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6"/>
        <w:rPr>
          <w:rFonts w:hint="eastAsia"/>
          <w:color w:val="000000"/>
        </w:rPr>
      </w:pPr>
      <w:r>
        <w:rPr>
          <w:rFonts w:hint="eastAsia"/>
          <w:color w:val="000000"/>
        </w:rPr>
      </w:r>
      <w:r/>
    </w:p>
    <w:p>
      <w:pPr>
        <w:pStyle w:val="807"/>
        <w:spacing w:line="360" w:lineRule="auto"/>
        <w:rPr>
          <w:rFonts w:hint="eastAsia"/>
          <w:color w:val="000000"/>
        </w:rPr>
      </w:pPr>
      <w:r>
        <w:rPr>
          <w:rFonts w:hint="eastAsia"/>
          <w:color w:val="000000"/>
        </w:rPr>
      </w:r>
      <w:r/>
    </w:p>
    <w:p>
      <w:pPr>
        <w:pStyle w:val="1028"/>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45"/>
        <w:ind w:firstLine="1506"/>
        <w:spacing w:line="360" w:lineRule="auto"/>
        <w:rPr>
          <w:rFonts w:hint="eastAsia"/>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南京市高淳区精神病防治院2026年物业服务</w:t>
      </w:r>
      <w:r>
        <w:rPr>
          <w:rFonts w:hint="eastAsia"/>
          <w:b/>
          <w:color w:val="000000"/>
          <w:sz w:val="30"/>
          <w:szCs w:val="30"/>
          <w:u w:val="single"/>
        </w:rPr>
      </w:r>
      <w:r/>
    </w:p>
    <w:p>
      <w:pPr>
        <w:pStyle w:val="745"/>
        <w:ind w:firstLine="1506"/>
        <w:spacing w:line="360" w:lineRule="auto"/>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JSZC-320118-JZCG-G2026-</w:t>
      </w:r>
      <w:r>
        <w:rPr>
          <w:rFonts w:hint="eastAsia"/>
          <w:b/>
          <w:color w:val="000000"/>
          <w:sz w:val="32"/>
          <w:szCs w:val="32"/>
          <w:lang w:val="en-US" w:eastAsia="zh-CN"/>
        </w:rPr>
        <w:t xml:space="preserve">0</w:t>
      </w:r>
      <w:r>
        <w:rPr>
          <w:rFonts w:hint="eastAsia"/>
          <w:b/>
          <w:color w:val="000000"/>
          <w:sz w:val="32"/>
          <w:szCs w:val="32"/>
          <w:lang w:val="en-US" w:eastAsia="zh-CN"/>
        </w:rPr>
        <w:t xml:space="preserve">008</w:t>
      </w:r>
      <w:r>
        <w:rPr>
          <w:rFonts w:hint="eastAsia"/>
          <w:b/>
          <w:color w:val="000000"/>
          <w:sz w:val="32"/>
          <w:szCs w:val="32"/>
        </w:rPr>
        <w:t xml:space="preserve"> </w:t>
      </w:r>
      <w:r>
        <w:rPr>
          <w:rFonts w:hint="eastAsia"/>
          <w:b/>
          <w:color w:val="000000"/>
          <w:sz w:val="30"/>
          <w:szCs w:val="30"/>
        </w:rPr>
        <w:t xml:space="preserve">              </w:t>
      </w:r>
      <w:r>
        <w:rPr>
          <w:rFonts w:hint="eastAsia"/>
          <w:b/>
          <w:color w:val="000000"/>
          <w:sz w:val="30"/>
          <w:szCs w:val="30"/>
        </w:rPr>
      </w:r>
      <w:r/>
    </w:p>
    <w:p>
      <w:pPr>
        <w:pStyle w:val="745"/>
        <w:jc w:val="center"/>
        <w:spacing w:line="360" w:lineRule="auto"/>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color w:val="000000"/>
          <w:sz w:val="32"/>
        </w:rPr>
      </w:pPr>
      <w:r>
        <w:rPr>
          <w:rFonts w:hint="eastAsia"/>
          <w:b/>
          <w:bCs/>
          <w:color w:val="000000"/>
          <w:sz w:val="32"/>
        </w:rPr>
        <w:t xml:space="preserve">南京市公共资源交易中心高淳分中心</w:t>
      </w:r>
      <w:r>
        <w:rPr>
          <w:rFonts w:hint="eastAsia"/>
          <w:b/>
          <w:bCs/>
          <w:color w:val="000000"/>
          <w:sz w:val="32"/>
        </w:rPr>
      </w:r>
      <w:r/>
    </w:p>
    <w:p>
      <w:pPr>
        <w:pStyle w:val="745"/>
        <w:jc w:val="center"/>
        <w:spacing w:line="360" w:lineRule="auto"/>
        <w:rPr>
          <w:rFonts w:hint="eastAsia"/>
          <w:b/>
          <w:color w:val="000000"/>
          <w:sz w:val="32"/>
          <w:szCs w:val="32"/>
        </w:rPr>
      </w:pPr>
      <w:r>
        <w:rPr>
          <w:rFonts w:hint="eastAsia"/>
          <w:b/>
          <w:color w:val="000000"/>
          <w:sz w:val="32"/>
          <w:szCs w:val="32"/>
        </w:rPr>
        <w:t xml:space="preserve">2026年8月</w:t>
      </w:r>
      <w:r>
        <w:rPr>
          <w:rFonts w:hint="eastAsia"/>
          <w:b/>
          <w:color w:val="000000"/>
          <w:sz w:val="32"/>
          <w:szCs w:val="32"/>
        </w:rPr>
      </w:r>
      <w:r/>
    </w:p>
    <w:p>
      <w:pPr>
        <w:pStyle w:val="74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t xml:space="preserve">                      </w:t>
      </w:r>
      <w:r>
        <w:rPr>
          <w:rFonts w:hint="eastAsia"/>
          <w:color w:val="000000"/>
        </w:rPr>
      </w:r>
      <w:r/>
    </w:p>
    <w:p>
      <w:pPr>
        <w:pStyle w:val="796"/>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96"/>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jc w:val="center"/>
        <w:spacing w:line="360" w:lineRule="auto"/>
        <w:rPr>
          <w:rFonts w:hint="eastAsia" w:ascii="黑体" w:hAnsi="Arial" w:eastAsia="黑体"/>
          <w:b/>
          <w:color w:val="000000"/>
          <w:sz w:val="44"/>
        </w:rPr>
        <w:outlineLvl w:val="0"/>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45"/>
        <w:spacing w:line="36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6</w:t>
      </w:r>
      <w:r>
        <w:rPr>
          <w:rFonts w:hint="eastAsia" w:ascii="黑体" w:hAnsi="宋体" w:eastAsia="黑体"/>
          <w:color w:val="000000"/>
          <w:sz w:val="36"/>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合同文本……………………………………17</w:t>
      </w:r>
      <w:r>
        <w:rPr>
          <w:rFonts w:hint="eastAsia" w:ascii="黑体" w:hAnsi="宋体" w:eastAsia="黑体"/>
          <w:color w:val="000000"/>
          <w:sz w:val="36"/>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采购需求……………………………………21</w:t>
      </w:r>
      <w:r>
        <w:rPr>
          <w:rFonts w:hint="eastAsia" w:ascii="黑体" w:hAnsi="宋体" w:eastAsia="黑体"/>
          <w:color w:val="000000"/>
          <w:sz w:val="36"/>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评标方法与评标标准………………………39</w:t>
      </w:r>
      <w:r>
        <w:rPr>
          <w:rFonts w:hint="eastAsia" w:ascii="黑体" w:hAnsi="宋体" w:eastAsia="黑体"/>
          <w:color w:val="000000"/>
          <w:sz w:val="36"/>
        </w:rPr>
      </w:r>
      <w:r/>
    </w:p>
    <w:p>
      <w:pPr>
        <w:pStyle w:val="745"/>
        <w:numPr>
          <w:ilvl w:val="0"/>
          <w:numId w:val="4"/>
        </w:numPr>
        <w:jc w:val="center"/>
        <w:spacing w:line="3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投标文件格式………………………………42</w:t>
      </w:r>
      <w:r>
        <w:rPr>
          <w:rFonts w:hint="eastAsia" w:ascii="黑体" w:hAnsi="宋体" w:eastAsia="黑体"/>
          <w:color w:val="000000"/>
          <w:sz w:val="36"/>
        </w:rPr>
      </w:r>
      <w:r/>
    </w:p>
    <w:p>
      <w:pPr>
        <w:pStyle w:val="745"/>
        <w:spacing w:line="36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45"/>
        <w:jc w:val="center"/>
        <w:spacing w:line="360" w:lineRule="auto"/>
        <w:rPr>
          <w:rFonts w:hint="eastAsia" w:ascii="宋体" w:hAnsi="宋体"/>
          <w:color w:val="000000"/>
          <w:sz w:val="24"/>
          <w:szCs w:val="24"/>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宋体" w:hAnsi="宋体"/>
          <w:color w:val="000000"/>
          <w:sz w:val="24"/>
          <w:szCs w:val="24"/>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745"/>
        <w:ind w:firstLine="480"/>
        <w:spacing w:line="360" w:lineRule="auto"/>
        <w:rPr>
          <w:rFonts w:ascii="宋体" w:hAnsi="宋体"/>
          <w:color w:val="000000"/>
          <w:sz w:val="24"/>
          <w:szCs w:val="24"/>
        </w:rPr>
      </w:pPr>
      <w:r/>
      <w:bookmarkEnd w:id="11"/>
      <w:r>
        <w:rPr>
          <w:rFonts w:hint="eastAsia" w:ascii="宋体" w:hAnsi="宋体"/>
          <w:color w:val="000000"/>
          <w:sz w:val="24"/>
          <w:szCs w:val="24"/>
        </w:rPr>
        <w:t xml:space="preserve">1.项目编号：JSZC-320118-JZCG-G2026-</w:t>
      </w:r>
      <w:r>
        <w:rPr>
          <w:rFonts w:hint="eastAsia" w:ascii="宋体" w:hAnsi="宋体"/>
          <w:color w:val="000000"/>
          <w:sz w:val="24"/>
          <w:szCs w:val="24"/>
          <w:lang w:val="en-US" w:eastAsia="zh-CN"/>
        </w:rPr>
        <w:t xml:space="preserve">0008</w:t>
      </w:r>
      <w:r>
        <w:rPr>
          <w:rFonts w:hint="eastAsia" w:ascii="宋体" w:hAnsi="宋体"/>
          <w:color w:val="000000"/>
          <w:sz w:val="24"/>
          <w:szCs w:val="24"/>
        </w:rPr>
        <w:t xml:space="preserve"> </w:t>
      </w:r>
      <w:r>
        <w:rPr>
          <w:rFonts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2.项目名称：南京市高淳区精神病防治院2026年物业服务</w:t>
      </w:r>
      <w:r>
        <w:rPr>
          <w:rFonts w:hint="eastAsia" w:ascii="宋体" w:hAnsi="宋体"/>
          <w:color w:val="000000"/>
          <w:sz w:val="24"/>
          <w:szCs w:val="24"/>
        </w:rPr>
      </w:r>
      <w:r/>
    </w:p>
    <w:p>
      <w:pPr>
        <w:pStyle w:val="745"/>
        <w:ind w:firstLine="480"/>
        <w:spacing w:line="360" w:lineRule="auto"/>
        <w:rPr>
          <w:rFonts w:ascii="宋体" w:hAnsi="宋体"/>
          <w:color w:val="000000"/>
          <w:sz w:val="24"/>
          <w:szCs w:val="24"/>
        </w:rPr>
      </w:pPr>
      <w:r>
        <w:rPr>
          <w:rFonts w:hint="eastAsia" w:ascii="宋体" w:hAnsi="宋体"/>
          <w:color w:val="000000"/>
          <w:sz w:val="24"/>
          <w:szCs w:val="24"/>
        </w:rPr>
        <w:t xml:space="preserve">3.预算金额：170万元/年</w:t>
      </w:r>
      <w:r>
        <w:rPr>
          <w:rFonts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4.最高限价：</w:t>
      </w:r>
      <w:r>
        <w:rPr>
          <w:rFonts w:ascii="宋体" w:hAnsi="宋体"/>
          <w:color w:val="000000"/>
          <w:sz w:val="24"/>
          <w:szCs w:val="24"/>
        </w:rPr>
        <w:t xml:space="preserve">1</w:t>
      </w:r>
      <w:r>
        <w:rPr>
          <w:rFonts w:hint="eastAsia" w:ascii="宋体" w:hAnsi="宋体"/>
          <w:color w:val="000000"/>
          <w:sz w:val="24"/>
          <w:szCs w:val="24"/>
        </w:rPr>
        <w:t xml:space="preserve">70</w:t>
      </w:r>
      <w:r>
        <w:rPr>
          <w:rFonts w:ascii="宋体" w:hAnsi="宋体"/>
          <w:color w:val="000000"/>
          <w:sz w:val="24"/>
          <w:szCs w:val="24"/>
        </w:rPr>
        <w:t xml:space="preserve">万元/年，报价超过最高限价作无效投标处理。</w:t>
      </w:r>
      <w:r>
        <w:rPr>
          <w:rFonts w:hint="eastAsia" w:ascii="宋体" w:hAnsi="宋体"/>
          <w:color w:val="000000"/>
          <w:sz w:val="24"/>
          <w:szCs w:val="24"/>
        </w:rPr>
      </w:r>
      <w:r/>
    </w:p>
    <w:p>
      <w:pPr>
        <w:pStyle w:val="745"/>
        <w:ind w:firstLine="480"/>
        <w:spacing w:line="360"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olor w:val="000000"/>
          <w:sz w:val="24"/>
          <w:szCs w:val="24"/>
        </w:rPr>
        <w:t xml:space="preserve">南京市高淳区精神病防治院202</w:t>
      </w:r>
      <w:r>
        <w:rPr>
          <w:rFonts w:hint="eastAsia" w:ascii="宋体" w:hAnsi="宋体"/>
          <w:color w:val="000000"/>
          <w:sz w:val="24"/>
          <w:szCs w:val="24"/>
        </w:rPr>
        <w:t xml:space="preserve">6</w:t>
      </w:r>
      <w:r>
        <w:rPr>
          <w:rFonts w:ascii="宋体" w:hAnsi="宋体"/>
          <w:color w:val="000000"/>
          <w:sz w:val="24"/>
          <w:szCs w:val="24"/>
        </w:rPr>
        <w:t xml:space="preserve">年物业服务</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745"/>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6.合同履行期限：合同生效之日起一年。</w:t>
      </w:r>
      <w:r>
        <w:rPr>
          <w:rFonts w:hint="eastAsia" w:ascii="宋体" w:hAnsi="宋体" w:cs="宋体"/>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8.本项目不允许分包。</w:t>
      </w:r>
      <w:r>
        <w:rPr>
          <w:rFonts w:hint="eastAsia" w:ascii="宋体" w:hAnsi="宋体" w:cs="宋体"/>
          <w:color w:val="000000"/>
          <w:sz w:val="24"/>
          <w:szCs w:val="24"/>
        </w:rPr>
      </w:r>
      <w:r/>
    </w:p>
    <w:p>
      <w:pPr>
        <w:pStyle w:val="748"/>
        <w:ind w:firstLine="465"/>
        <w:spacing w:before="120" w:after="120" w:line="360" w:lineRule="auto"/>
        <w:rPr>
          <w:rFonts w:hint="eastAsia" w:ascii="方正黑体_GBK" w:hAnsi="方正黑体_GBK" w:eastAsia="方正黑体_GBK" w:cs="方正黑体_GBK"/>
          <w:color w:val="000000"/>
        </w:rPr>
      </w:pPr>
      <w:r/>
      <w:bookmarkStart w:id="12" w:name="_Toc35393791"/>
      <w:r/>
      <w:bookmarkStart w:id="13" w:name="_Toc28359003"/>
      <w:r/>
      <w:bookmarkStart w:id="14" w:name="_Toc28359080"/>
      <w:r/>
      <w:bookmarkStart w:id="15" w:name="_Toc38985264"/>
      <w:r/>
      <w:bookmarkStart w:id="16" w:name="_Toc35393622"/>
      <w:r>
        <w:rPr>
          <w:rFonts w:hint="eastAsia" w:ascii="方正黑体_GBK" w:hAnsi="方正黑体_GBK" w:eastAsia="方正黑体_GBK" w:cs="方正黑体_GBK"/>
          <w:color w:val="000000"/>
        </w:rPr>
        <w:t xml:space="preserve">二、</w:t>
      </w:r>
      <w:r>
        <w:rPr>
          <w:rFonts w:ascii="方正黑体_GBK" w:hAnsi="方正黑体_GBK" w:eastAsia="方正黑体_GBK" w:cs="方正黑体_GBK"/>
          <w:color w:val="000000"/>
        </w:rPr>
        <w:t xml:space="preserve">申请人的</w:t>
      </w:r>
      <w:r>
        <w:rPr>
          <w:rFonts w:hint="eastAsia" w:ascii="方正黑体_GBK" w:hAnsi="方正黑体_GBK" w:eastAsia="方正黑体_GBK" w:cs="方正黑体_GBK"/>
          <w:color w:val="000000"/>
        </w:rPr>
        <w:t xml:space="preserve">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745"/>
        <w:ind w:firstLine="480"/>
        <w:spacing w:line="360" w:lineRule="auto"/>
        <w:rPr>
          <w:rFonts w:hint="eastAsia" w:ascii="宋体" w:hAnsi="宋体"/>
          <w:color w:val="000000"/>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w:t>
      </w:r>
      <w:r>
        <w:rPr>
          <w:rFonts w:hint="eastAsia" w:ascii="宋体" w:hAnsi="宋体"/>
          <w:color w:val="000000"/>
          <w:sz w:val="24"/>
          <w:szCs w:val="24"/>
          <w:lang w:val="zh-CN"/>
        </w:rPr>
      </w:r>
      <w:r/>
    </w:p>
    <w:p>
      <w:pPr>
        <w:pStyle w:val="745"/>
        <w:ind w:firstLine="482"/>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本项目专门面向中小微企业采购，</w:t>
      </w:r>
      <w:r>
        <w:rPr>
          <w:rFonts w:hint="eastAsia" w:ascii="宋体" w:hAnsi="宋体"/>
          <w:b/>
          <w:bCs/>
          <w:color w:val="000000"/>
          <w:sz w:val="24"/>
          <w:szCs w:val="24"/>
        </w:rPr>
        <w:t xml:space="preserve">投标人</w:t>
      </w:r>
      <w:r>
        <w:rPr>
          <w:rFonts w:hint="eastAsia" w:ascii="宋体" w:hAnsi="宋体"/>
          <w:b/>
          <w:bCs/>
          <w:color w:val="000000"/>
          <w:sz w:val="24"/>
          <w:szCs w:val="24"/>
          <w:lang w:val="zh-CN"/>
        </w:rPr>
        <w:t xml:space="preserve">应为中小微企业或监狱企业或残疾人福利性单位，提供《中小企业声明函》或《残疾人福利性单位声明函》（格式见第六章）或监狱企业的证明文件。</w:t>
      </w:r>
      <w:r>
        <w:rPr>
          <w:rFonts w:hint="eastAsia" w:ascii="宋体" w:hAnsi="宋体"/>
          <w:b/>
          <w:bCs/>
          <w:color w:val="000000"/>
          <w:sz w:val="24"/>
          <w:szCs w:val="24"/>
          <w:lang w:val="zh-CN"/>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rPr>
      </w:r>
      <w:r/>
    </w:p>
    <w:p>
      <w:pPr>
        <w:pStyle w:val="745"/>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投标人</w:t>
      </w:r>
      <w:r>
        <w:rPr>
          <w:rFonts w:hint="eastAsia" w:ascii="宋体" w:hAnsi="宋体"/>
          <w:b/>
          <w:bCs/>
          <w:color w:val="000000"/>
          <w:sz w:val="24"/>
          <w:szCs w:val="24"/>
          <w:lang w:val="zh-CN"/>
        </w:rPr>
        <w:t xml:space="preserve">提供</w:t>
      </w:r>
      <w:r>
        <w:rPr>
          <w:rFonts w:hint="eastAsia" w:ascii="宋体" w:hAnsi="宋体"/>
          <w:b/>
          <w:bCs/>
          <w:color w:val="000000"/>
          <w:sz w:val="24"/>
          <w:szCs w:val="24"/>
        </w:rPr>
        <w:t xml:space="preserve">服务所在地公安部门</w:t>
      </w:r>
      <w:r>
        <w:rPr>
          <w:rFonts w:hint="eastAsia" w:ascii="宋体" w:hAnsi="宋体"/>
          <w:b/>
          <w:bCs/>
          <w:color w:val="000000"/>
          <w:sz w:val="24"/>
          <w:szCs w:val="24"/>
          <w:lang w:val="zh-CN"/>
        </w:rPr>
        <w:t xml:space="preserve">出具的自行招用保安员单位备案证明，或自开展保安服务之日起</w:t>
      </w:r>
      <w:r>
        <w:rPr>
          <w:rFonts w:hint="eastAsia" w:ascii="宋体" w:hAnsi="宋体"/>
          <w:b/>
          <w:bCs/>
          <w:color w:val="000000"/>
          <w:sz w:val="24"/>
          <w:szCs w:val="24"/>
        </w:rPr>
        <w:t xml:space="preserve">30</w:t>
      </w:r>
      <w:r>
        <w:rPr>
          <w:rFonts w:hint="eastAsia" w:ascii="宋体" w:hAnsi="宋体"/>
          <w:b/>
          <w:bCs/>
          <w:color w:val="000000"/>
          <w:sz w:val="24"/>
          <w:szCs w:val="24"/>
          <w:lang w:val="zh-CN"/>
        </w:rPr>
        <w:t xml:space="preserve">个工作日内向</w:t>
      </w:r>
      <w:r>
        <w:rPr>
          <w:rFonts w:hint="eastAsia" w:ascii="宋体" w:hAnsi="宋体"/>
          <w:b/>
          <w:bCs/>
          <w:color w:val="000000"/>
          <w:sz w:val="24"/>
          <w:szCs w:val="24"/>
        </w:rPr>
        <w:t xml:space="preserve">服务所在地公安部门</w:t>
      </w:r>
      <w:r>
        <w:rPr>
          <w:rFonts w:hint="eastAsia" w:ascii="宋体" w:hAnsi="宋体"/>
          <w:b/>
          <w:bCs/>
          <w:color w:val="000000"/>
          <w:sz w:val="24"/>
          <w:szCs w:val="24"/>
          <w:lang w:val="zh-CN"/>
        </w:rPr>
        <w:t xml:space="preserve">备案承诺书（格式自拟）。</w:t>
      </w:r>
      <w:r>
        <w:rPr>
          <w:rFonts w:hint="eastAsia" w:ascii="宋体" w:hAnsi="宋体"/>
          <w:b/>
          <w:bCs/>
          <w:color w:val="000000"/>
          <w:sz w:val="24"/>
          <w:szCs w:val="24"/>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745"/>
        <w:ind w:firstLine="480"/>
        <w:spacing w:line="360" w:lineRule="auto"/>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45"/>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745"/>
        <w:ind w:firstLine="480"/>
        <w:spacing w:line="360" w:lineRule="auto"/>
        <w:rPr>
          <w:rFonts w:hint="eastAsia" w:ascii="宋体" w:hAnsi="宋体"/>
          <w:bCs/>
          <w:color w:val="000000"/>
          <w:sz w:val="24"/>
          <w:szCs w:val="24"/>
          <w:u w:val="single"/>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color w:val="000000"/>
          <w:sz w:val="24"/>
          <w:szCs w:val="24"/>
        </w:rPr>
        <w:t xml:space="preserve">1.提交投标文件截止时间、开标时间：</w:t>
      </w:r>
      <w:r>
        <w:rPr>
          <w:rFonts w:hint="eastAsia" w:ascii="宋体" w:hAnsi="宋体" w:cs="宋体"/>
          <w:b/>
          <w:bCs w:val="0"/>
          <w:color w:val="000000"/>
          <w:sz w:val="24"/>
          <w:szCs w:val="24"/>
        </w:rPr>
        <w:t xml:space="preserve">2026</w:t>
      </w:r>
      <w:r>
        <w:rPr>
          <w:rFonts w:hint="eastAsia" w:ascii="宋体" w:hAnsi="宋体"/>
          <w:b/>
          <w:bCs w:val="0"/>
          <w:color w:val="000000"/>
          <w:sz w:val="24"/>
          <w:szCs w:val="24"/>
        </w:rPr>
        <w:t xml:space="preserve">年</w:t>
      </w:r>
      <w:r>
        <w:rPr>
          <w:rFonts w:hint="eastAsia" w:ascii="宋体" w:hAnsi="宋体" w:cs="宋体"/>
          <w:b/>
          <w:bCs w:val="0"/>
          <w:color w:val="000000"/>
          <w:sz w:val="24"/>
          <w:szCs w:val="24"/>
        </w:rPr>
        <w:t xml:space="preserve">09</w:t>
      </w:r>
      <w:r>
        <w:rPr>
          <w:rFonts w:hint="eastAsia" w:ascii="宋体" w:hAnsi="宋体"/>
          <w:b/>
          <w:bCs w:val="0"/>
          <w:color w:val="000000"/>
          <w:sz w:val="24"/>
          <w:szCs w:val="24"/>
        </w:rPr>
        <w:t xml:space="preserve">月</w:t>
      </w:r>
      <w:r>
        <w:rPr>
          <w:rFonts w:hint="eastAsia" w:ascii="宋体" w:hAnsi="宋体" w:cs="宋体"/>
          <w:b/>
          <w:bCs w:val="0"/>
          <w:color w:val="000000"/>
          <w:sz w:val="24"/>
          <w:szCs w:val="24"/>
          <w:lang w:val="en-US" w:eastAsia="zh-CN"/>
        </w:rPr>
        <w:t xml:space="preserve">11</w:t>
      </w:r>
      <w:r>
        <w:rPr>
          <w:rFonts w:hint="eastAsia" w:ascii="宋体" w:hAnsi="宋体"/>
          <w:b/>
          <w:bCs w:val="0"/>
          <w:color w:val="000000"/>
          <w:sz w:val="24"/>
          <w:szCs w:val="24"/>
        </w:rPr>
        <w:t xml:space="preserve">日</w:t>
      </w:r>
      <w:r>
        <w:rPr>
          <w:rFonts w:hint="eastAsia" w:ascii="宋体" w:hAnsi="宋体" w:cs="宋体"/>
          <w:b/>
          <w:bCs w:val="0"/>
          <w:color w:val="000000"/>
          <w:sz w:val="24"/>
          <w:szCs w:val="24"/>
          <w:lang w:val="en-US" w:eastAsia="zh-CN"/>
        </w:rPr>
        <w:t xml:space="preserve">09</w:t>
      </w:r>
      <w:r>
        <w:rPr>
          <w:rFonts w:hint="eastAsia"/>
          <w:b/>
          <w:bCs w:val="0"/>
          <w:color w:val="000000"/>
          <w:sz w:val="24"/>
          <w:szCs w:val="24"/>
        </w:rPr>
        <w:t xml:space="preserve">时</w:t>
      </w:r>
      <w:r>
        <w:rPr>
          <w:rFonts w:hint="eastAsia" w:ascii="宋体" w:hAnsi="宋体" w:cs="宋体"/>
          <w:b/>
          <w:bCs w:val="0"/>
          <w:color w:val="000000"/>
          <w:sz w:val="24"/>
          <w:szCs w:val="24"/>
          <w:lang w:val="en-US" w:eastAsia="zh-CN"/>
        </w:rPr>
        <w:t xml:space="preserve">30</w:t>
      </w:r>
      <w:r>
        <w:rPr>
          <w:rFonts w:hint="eastAsia" w:ascii="宋体" w:hAnsi="宋体"/>
          <w:b/>
          <w:bCs w:val="0"/>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745"/>
        <w:ind w:firstLine="480"/>
        <w:spacing w:line="360"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745"/>
        <w:ind w:firstLine="480"/>
        <w:spacing w:line="360" w:lineRule="auto"/>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745"/>
        <w:ind w:firstLine="480"/>
        <w:spacing w:line="360" w:lineRule="auto"/>
        <w:tabs>
          <w:tab w:val="left" w:pos="900" w:leader="none"/>
        </w:tabs>
        <w:rPr>
          <w:rFonts w:hint="eastAsia" w:ascii="宋体" w:hAnsi="宋体"/>
          <w:bCs/>
          <w:color w:val="000000"/>
          <w:sz w:val="24"/>
          <w:szCs w:val="24"/>
        </w:rPr>
      </w:pPr>
      <w:r/>
      <w:bookmarkStart w:id="35" w:name="_Toc35393796"/>
      <w:r/>
      <w:bookmarkStart w:id="36" w:name="_Toc38985269"/>
      <w:r/>
      <w:bookmarkStart w:id="37" w:name="_Toc35393627"/>
      <w:r/>
      <w:bookmarkStart w:id="38" w:name="_Toc28359085"/>
      <w:r/>
      <w:bookmarkStart w:id="39"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45"/>
        <w:ind w:firstLine="480"/>
        <w:spacing w:line="360"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w:t>
      </w:r>
      <w:r>
        <w:rPr>
          <w:rFonts w:hint="eastAsia" w:ascii="宋体" w:hAnsi="宋体" w:cs="宋体"/>
          <w:color w:val="000000"/>
          <w:sz w:val="24"/>
          <w:szCs w:val="24"/>
        </w:rPr>
      </w:r>
      <w:r/>
    </w:p>
    <w:p>
      <w:pPr>
        <w:pStyle w:val="745"/>
        <w:ind w:firstLine="480"/>
        <w:spacing w:line="360"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45"/>
        <w:ind w:firstLine="482"/>
        <w:spacing w:line="360"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w:t>
      </w:r>
      <w:r>
        <w:rPr>
          <w:rFonts w:hint="eastAsia" w:ascii="宋体" w:hAnsi="宋体"/>
          <w:b/>
          <w:bCs/>
          <w:color w:val="000000"/>
          <w:sz w:val="24"/>
        </w:rPr>
        <w:t xml:space="preserve">投标人</w:t>
      </w:r>
      <w:r>
        <w:rPr>
          <w:rFonts w:hint="eastAsia" w:ascii="宋体" w:hAnsi="宋体"/>
          <w:b/>
          <w:bCs/>
          <w:color w:val="000000"/>
          <w:sz w:val="24"/>
          <w:lang w:val="zh-CN"/>
        </w:rPr>
        <w:t xml:space="preserve">资格</w:t>
      </w:r>
      <w:r>
        <w:rPr>
          <w:rFonts w:hint="eastAsia" w:ascii="宋体" w:hAnsi="宋体"/>
          <w:b/>
          <w:bCs/>
          <w:color w:val="000000"/>
          <w:sz w:val="24"/>
        </w:rPr>
        <w:t xml:space="preserve">要求</w:t>
      </w:r>
      <w:r>
        <w:rPr>
          <w:rFonts w:hint="eastAsia" w:ascii="宋体" w:hAnsi="宋体"/>
          <w:b/>
          <w:bCs/>
          <w:color w:val="000000"/>
          <w:sz w:val="24"/>
          <w:lang w:val="zh-CN"/>
        </w:rPr>
        <w:t xml:space="preserve">、评标方法和评标标准、合同文本、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采购人《质疑函》收件人：王桂珍，收件地址：南京市高淳区东坝街道青山路100号南京市高淳区精神病防治院，联系电话：18013815535。</w:t>
      </w:r>
      <w:r>
        <w:rPr>
          <w:rFonts w:hint="eastAsia" w:ascii="宋体" w:hAnsi="宋体"/>
          <w:color w:val="000000"/>
          <w:sz w:val="24"/>
        </w:rPr>
      </w:r>
      <w:r/>
    </w:p>
    <w:p>
      <w:pPr>
        <w:pStyle w:val="745"/>
        <w:ind w:firstLine="480"/>
        <w:spacing w:line="360" w:lineRule="auto"/>
        <w:widowControl/>
        <w:rPr>
          <w:rFonts w:ascii="宋体" w:hAnsi="宋体"/>
          <w:color w:val="000000"/>
          <w:sz w:val="24"/>
        </w:rPr>
      </w:pPr>
      <w:r>
        <w:rPr>
          <w:rFonts w:hint="eastAsia" w:ascii="宋体" w:hAnsi="宋体"/>
          <w:color w:val="000000"/>
          <w:sz w:val="24"/>
          <w:lang w:val="zh-CN"/>
        </w:rPr>
        <w:t xml:space="preserve">交易中心《质疑函》收件人：南京市公共资源交易中心高淳分中心政府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eastAsia="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地址：南京市高淳区创新大道</w:t>
      </w:r>
      <w:r>
        <w:rPr>
          <w:rFonts w:hint="eastAsia" w:ascii="宋体" w:hAnsi="宋体"/>
          <w:color w:val="000000"/>
          <w:sz w:val="24"/>
        </w:rPr>
        <w:t xml:space="preserve">9号市民中心四楼B区B409</w:t>
      </w:r>
      <w:r>
        <w:rPr>
          <w:rFonts w:hint="eastAsia" w:ascii="宋体" w:hAnsi="宋体"/>
          <w:color w:val="000000"/>
          <w:sz w:val="24"/>
          <w:lang w:val="zh-CN"/>
        </w:rPr>
        <w:t xml:space="preserve">，联系电话：025-</w:t>
      </w:r>
      <w:r>
        <w:rPr>
          <w:rFonts w:hint="eastAsia" w:ascii="宋体" w:hAnsi="宋体"/>
          <w:color w:val="000000"/>
          <w:sz w:val="24"/>
        </w:rPr>
        <w:t xml:space="preserve">56821765</w:t>
      </w:r>
      <w:r>
        <w:rPr>
          <w:rFonts w:hint="eastAsia" w:ascii="宋体" w:hAnsi="宋体"/>
          <w:color w:val="000000"/>
          <w:sz w:val="24"/>
          <w:lang w:val="zh-CN"/>
        </w:rPr>
        <w:t xml:space="preserve">。</w:t>
      </w:r>
      <w:r>
        <w:rPr>
          <w:rFonts w:ascii="宋体" w:hAnsi="宋体"/>
          <w:color w:val="000000"/>
          <w:sz w:val="24"/>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名  称：南京市高淳区精神病防治院 </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rPr>
        <w:t xml:space="preserve">南京市高淳区东坝街道青山路100号</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联系人：王桂珍</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联系电话：</w:t>
      </w:r>
      <w:bookmarkStart w:id="40" w:name="_Toc28359009"/>
      <w:r/>
      <w:bookmarkStart w:id="41" w:name="_Toc28359086"/>
      <w:r>
        <w:rPr>
          <w:rFonts w:hint="eastAsia" w:ascii="宋体" w:hAnsi="宋体"/>
          <w:color w:val="000000"/>
          <w:sz w:val="24"/>
        </w:rPr>
        <w:t xml:space="preserve">18013815535</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745"/>
        <w:ind w:firstLine="480"/>
        <w:spacing w:line="360" w:lineRule="auto"/>
        <w:rPr>
          <w:rFonts w:hint="eastAsia" w:ascii="宋体" w:hAnsi="宋体"/>
          <w:color w:val="000000"/>
          <w:sz w:val="24"/>
        </w:rPr>
      </w:pPr>
      <w:r>
        <w:rPr>
          <w:rFonts w:hint="eastAsia" w:ascii="宋体" w:hAnsi="宋体"/>
          <w:color w:val="000000"/>
          <w:sz w:val="24"/>
          <w:szCs w:val="24"/>
        </w:rPr>
        <w:t xml:space="preserve">地  址：</w:t>
      </w:r>
      <w:r>
        <w:rPr>
          <w:rFonts w:hint="eastAsia" w:ascii="宋体" w:hAnsi="宋体"/>
          <w:color w:val="000000"/>
          <w:sz w:val="24"/>
        </w:rPr>
        <w:t xml:space="preserve">南京市高淳区淳溪街道创新大道9号高淳市民中心四楼</w:t>
      </w:r>
      <w:r>
        <w:rPr>
          <w:rFonts w:hint="eastAsia" w:ascii="宋体" w:hAnsi="宋体"/>
          <w:color w:val="000000"/>
          <w:sz w:val="24"/>
        </w:rPr>
      </w:r>
      <w:r/>
    </w:p>
    <w:p>
      <w:pPr>
        <w:pStyle w:val="745"/>
        <w:ind w:firstLine="480"/>
        <w:spacing w:line="360" w:lineRule="auto"/>
        <w:rPr>
          <w:rFonts w:hint="eastAsia" w:ascii="宋体" w:hAnsi="宋体"/>
          <w:color w:val="000000"/>
          <w:sz w:val="24"/>
        </w:rPr>
      </w:pPr>
      <w:r/>
      <w:bookmarkStart w:id="42" w:name="_Toc120614211"/>
      <w:r>
        <w:rPr>
          <w:rFonts w:hint="eastAsia" w:ascii="宋体" w:hAnsi="宋体"/>
          <w:color w:val="000000"/>
          <w:sz w:val="24"/>
        </w:rPr>
        <w:t xml:space="preserve">联系人：杨女士</w:t>
      </w:r>
      <w:r>
        <w:rPr>
          <w:rFonts w:hint="eastAsia" w:ascii="宋体" w:hAnsi="宋体"/>
          <w:color w:val="000000"/>
          <w:sz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联系电话：025-56821765</w:t>
      </w:r>
      <w:r>
        <w:rPr>
          <w:rFonts w:hint="eastAsia" w:ascii="宋体" w:hAnsi="宋体"/>
          <w:color w:val="000000"/>
          <w:sz w:val="24"/>
        </w:rPr>
      </w:r>
      <w:r/>
    </w:p>
    <w:p>
      <w:pPr>
        <w:pStyle w:val="807"/>
        <w:ind w:left="0"/>
        <w:jc w:val="center"/>
        <w:spacing w:line="360" w:lineRule="auto"/>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8"/>
        <w:ind w:firstLine="465"/>
        <w:spacing w:before="120" w:after="120" w:line="360" w:lineRule="auto"/>
        <w:rPr>
          <w:rFonts w:hint="eastAsia" w:ascii="方正黑体_GBK" w:hAnsi="方正黑体_GBK" w:eastAsia="方正黑体_GBK" w:cs="方正黑体_GBK"/>
          <w:color w:val="000000"/>
        </w:rPr>
      </w:pPr>
      <w:r/>
      <w:bookmarkStart w:id="47" w:name="_Toc16938519"/>
      <w:r/>
      <w:bookmarkStart w:id="48" w:name="_Toc513029203"/>
      <w:r/>
      <w:bookmarkStart w:id="49" w:name="_Toc20823275"/>
      <w:r/>
      <w:bookmarkStart w:id="50" w:name="_Toc120614214"/>
      <w:r/>
      <w:bookmarkStart w:id="51" w:name="_Toc120614221"/>
      <w:r/>
      <w:bookmarkStart w:id="52" w:name="_Toc513029242"/>
      <w:r/>
      <w:bookmarkStart w:id="53" w:name="_Toc479757207"/>
      <w:r/>
      <w:bookmarkStart w:id="54" w:name="_Toc20823314"/>
      <w:r/>
      <w:bookmarkStart w:id="55" w:name="_Toc16938558"/>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2.1 满足招标公告对投标人资格要求。</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2.2 满足招标文件规定的实质性要求。</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748"/>
        <w:ind w:firstLine="465"/>
        <w:spacing w:before="120" w:after="120" w:line="360" w:lineRule="auto"/>
        <w:rPr>
          <w:rFonts w:hint="eastAsia" w:ascii="方正黑体_GBK" w:hAnsi="方正黑体_GBK" w:eastAsia="方正黑体_GBK" w:cs="方正黑体_GBK"/>
          <w:color w:val="000000"/>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78" w:name="_Toc16938528"/>
      <w:r/>
      <w:bookmarkStart w:id="79" w:name="_Toc513029212"/>
      <w:r/>
      <w:bookmarkStart w:id="80" w:name="_Toc462564071"/>
      <w:r/>
      <w:bookmarkStart w:id="81" w:name="_Toc20823284"/>
      <w:r>
        <w:rPr>
          <w:rFonts w:hint="eastAsia" w:ascii="方正楷体_GBK" w:hAnsi="方正楷体_GBK" w:eastAsia="方正楷体_GBK" w:cs="方正楷体_GBK"/>
          <w:color w:val="000000"/>
          <w:sz w:val="28"/>
          <w:szCs w:val="28"/>
        </w:rPr>
        <w:t xml:space="preserve">7.招标文件的澄清或修改</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bookmarkStart w:id="82" w:name="_Toc462564072"/>
      <w:r/>
      <w:bookmarkStart w:id="83" w:name="_Toc16938529"/>
      <w:r/>
      <w:bookmarkStart w:id="84" w:name="_Toc20823285"/>
      <w:r/>
      <w:bookmarkStart w:id="85" w:name="_Toc120614216"/>
      <w:r/>
      <w:bookmarkStart w:id="86" w:name="_Toc513029213"/>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rPr>
          <w:rFonts w:hint="eastAsia" w:ascii="宋体" w:hAnsi="宋体"/>
          <w:color w:val="000000"/>
          <w:sz w:val="24"/>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color w:val="000000"/>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87" w:name="_Toc20823286"/>
      <w:r/>
      <w:bookmarkStart w:id="88" w:name="_Toc16938530"/>
      <w:r/>
      <w:bookmarkStart w:id="89" w:name="_Toc462564073"/>
      <w:r/>
      <w:bookmarkStart w:id="90" w:name="_Toc513029214"/>
      <w:r>
        <w:rPr>
          <w:rFonts w:hint="eastAsia" w:ascii="方正楷体_GBK" w:hAnsi="方正楷体_GBK" w:eastAsia="方正楷体_GBK" w:cs="方正楷体_GBK"/>
          <w:color w:val="000000"/>
          <w:sz w:val="28"/>
          <w:szCs w:val="28"/>
        </w:rPr>
        <w:t xml:space="preserve">8.投标文件的语言及度量衡单位</w:t>
      </w:r>
      <w:bookmarkEnd w:id="87"/>
      <w:r/>
      <w:bookmarkEnd w:id="88"/>
      <w:r/>
      <w:bookmarkEnd w:id="89"/>
      <w:r/>
      <w:bookmarkEnd w:id="90"/>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rPr>
          <w:rFonts w:hint="eastAsia" w:ascii="宋体" w:hAnsi="宋体"/>
          <w:color w:val="000000"/>
          <w:sz w:val="24"/>
        </w:rPr>
      </w:r>
      <w:r/>
    </w:p>
    <w:p>
      <w:pPr>
        <w:pStyle w:val="745"/>
        <w:ind w:firstLine="420"/>
        <w:spacing w:line="360" w:lineRule="auto"/>
        <w:rPr>
          <w:rFonts w:hint="eastAsia" w:ascii="宋体" w:hAnsi="宋体"/>
          <w:color w:val="000000"/>
          <w:sz w:val="24"/>
          <w:szCs w:val="22"/>
        </w:rPr>
      </w:pPr>
      <w:r>
        <w:rPr>
          <w:rFonts w:hint="eastAsia" w:ascii="宋体" w:hAnsi="宋体"/>
          <w:color w:val="000000"/>
          <w:sz w:val="24"/>
          <w:szCs w:val="22"/>
        </w:rPr>
        <w:t xml:space="preserve">8.2 除技术性能另有规定外，投标文件所使用的度量衡单位，均须采用国家法定计量单位。</w:t>
      </w:r>
      <w:r>
        <w:rPr>
          <w:rFonts w:hint="eastAsia" w:ascii="宋体" w:hAnsi="宋体"/>
          <w:color w:val="000000"/>
          <w:sz w:val="24"/>
          <w:szCs w:val="22"/>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91" w:name="_Toc513029215"/>
      <w:r/>
      <w:bookmarkStart w:id="92" w:name="_Toc20823287"/>
      <w:r/>
      <w:bookmarkStart w:id="93" w:name="_Toc16938531"/>
      <w:r/>
      <w:bookmarkStart w:id="94" w:name="_Toc462564074"/>
      <w:r>
        <w:rPr>
          <w:rFonts w:hint="eastAsia" w:ascii="方正楷体_GBK" w:hAnsi="方正楷体_GBK" w:eastAsia="方正楷体_GBK" w:cs="方正楷体_GBK"/>
          <w:color w:val="000000"/>
          <w:sz w:val="28"/>
          <w:szCs w:val="28"/>
        </w:rPr>
        <w:t xml:space="preserve">9.投标文件构成</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9.1 投标文件应包括资格证明文件、符合性证明文件、开标一览表、投标分项报价表（如有）、响应及偏离表、投标函、法定代表人授权委托书。</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9.2 </w:t>
      </w:r>
      <w:r>
        <w:rPr>
          <w:rFonts w:hint="eastAsia" w:ascii="宋体" w:hAnsi="宋体"/>
          <w:b/>
          <w:bCs/>
          <w:color w:val="000000"/>
          <w:sz w:val="24"/>
        </w:rPr>
        <w:t xml:space="preserve">如标书制作工具与“江苏政府采购网”发布的招标文件内容不一致，以“江苏政府采购网”发布的招标文件内容为准。</w:t>
      </w:r>
      <w:r>
        <w:rPr>
          <w:rFonts w:hint="eastAsia" w:ascii="宋体" w:hAnsi="宋体"/>
          <w:color w:val="000000"/>
          <w:sz w:val="24"/>
        </w:rPr>
      </w:r>
      <w:r/>
    </w:p>
    <w:p>
      <w:pPr>
        <w:pStyle w:val="745"/>
        <w:ind w:firstLine="490"/>
        <w:spacing w:line="360" w:lineRule="auto"/>
        <w:rPr>
          <w:rFonts w:ascii="方正楷体_GBK" w:hAnsi="方正楷体_GBK" w:eastAsia="方正楷体_GBK" w:cs="方正楷体_GBK"/>
          <w:b/>
          <w:bCs/>
          <w:color w:val="000000"/>
          <w:sz w:val="28"/>
          <w:szCs w:val="28"/>
        </w:rPr>
      </w:pPr>
      <w:r/>
      <w:bookmarkStart w:id="95" w:name="_Hlt26670360"/>
      <w:r/>
      <w:bookmarkEnd w:id="95"/>
      <w:r/>
      <w:bookmarkStart w:id="96" w:name="_Hlt26954838"/>
      <w:r/>
      <w:bookmarkEnd w:id="96"/>
      <w:r/>
      <w:bookmarkStart w:id="97" w:name="_Toc49090509"/>
      <w:r/>
      <w:bookmarkStart w:id="98" w:name="_Toc14577354"/>
      <w:r/>
      <w:bookmarkStart w:id="99" w:name="_Toc513029219"/>
      <w:r/>
      <w:bookmarkStart w:id="100" w:name="_Toc14577357"/>
      <w:r/>
      <w:bookmarkStart w:id="101" w:name="_Toc513029216"/>
      <w:r/>
      <w:bookmarkStart w:id="102" w:name="_Toc49090507"/>
      <w:r/>
      <w:bookmarkStart w:id="103" w:name="_Hlt26668975"/>
      <w:r/>
      <w:bookmarkEnd w:id="103"/>
      <w:r>
        <w:rPr>
          <w:rFonts w:hint="eastAsia" w:ascii="方正楷体_GBK" w:hAnsi="方正楷体_GBK" w:eastAsia="方正楷体_GBK" w:cs="方正楷体_GBK"/>
          <w:b/>
          <w:bCs/>
          <w:color w:val="000000"/>
          <w:sz w:val="28"/>
          <w:szCs w:val="28"/>
        </w:rPr>
        <w:t xml:space="preserve">10.</w:t>
      </w:r>
      <w:bookmarkEnd w:id="97"/>
      <w:r/>
      <w:bookmarkEnd w:id="98"/>
      <w:r/>
      <w:bookmarkEnd w:id="99"/>
      <w:r/>
      <w:bookmarkEnd w:id="100"/>
      <w:r/>
      <w:bookmarkEnd w:id="101"/>
      <w:r/>
      <w:bookmarkEnd w:id="102"/>
      <w:r>
        <w:rPr>
          <w:rFonts w:hint="eastAsia" w:ascii="方正楷体_GBK" w:hAnsi="方正楷体_GBK" w:eastAsia="方正楷体_GBK" w:cs="方正楷体_GBK"/>
          <w:b/>
          <w:bCs/>
          <w:color w:val="000000"/>
          <w:sz w:val="28"/>
          <w:szCs w:val="28"/>
        </w:rPr>
        <w:t xml:space="preserve">投标报价</w:t>
      </w:r>
      <w:r>
        <w:rPr>
          <w:rFonts w:ascii="方正楷体_GBK" w:hAnsi="方正楷体_GBK" w:eastAsia="方正楷体_GBK" w:cs="方正楷体_GBK"/>
          <w:b/>
          <w:bCs/>
          <w:color w:val="000000"/>
          <w:sz w:val="28"/>
          <w:szCs w:val="28"/>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和投标分项报价表（如有），否则作为无效投标。</w:t>
      </w:r>
      <w:r>
        <w:rPr>
          <w:rFonts w:hint="eastAsia" w:ascii="宋体" w:hAnsi="宋体"/>
          <w:color w:val="000000"/>
          <w:sz w:val="24"/>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Start w:id="104" w:name="_Hlt26954842"/>
      <w:r/>
      <w:bookmarkEnd w:id="104"/>
      <w:r/>
      <w:bookmarkStart w:id="105" w:name="_Hlt26670425"/>
      <w:r/>
      <w:bookmarkEnd w:id="105"/>
      <w:r/>
      <w:bookmarkStart w:id="106" w:name="_Hlt26954844"/>
      <w:r/>
      <w:bookmarkEnd w:id="106"/>
      <w:r/>
      <w:bookmarkStart w:id="107" w:name="_Hlt26670486"/>
      <w:r/>
      <w:bookmarkEnd w:id="107"/>
      <w:r/>
      <w:bookmarkStart w:id="108" w:name="_Hlt26954846"/>
      <w:r/>
      <w:bookmarkEnd w:id="108"/>
      <w:r/>
      <w:bookmarkStart w:id="109" w:name="_Hlt26670403"/>
      <w:r/>
      <w:bookmarkEnd w:id="109"/>
      <w:r/>
      <w:bookmarkStart w:id="110" w:name="_Hlt26670482"/>
      <w:r/>
      <w:bookmarkEnd w:id="110"/>
      <w:r/>
      <w:bookmarkStart w:id="111" w:name="_Hlt26668983"/>
      <w:r/>
      <w:bookmarkEnd w:id="111"/>
      <w:r/>
      <w:bookmarkStart w:id="112" w:name="_Hlt26954731"/>
      <w:r/>
      <w:bookmarkEnd w:id="112"/>
      <w:r/>
      <w:bookmarkStart w:id="113" w:name="_Hlt26954848"/>
      <w:r/>
      <w:bookmarkEnd w:id="113"/>
      <w:r>
        <w:rPr>
          <w:rFonts w:hint="eastAsia" w:ascii="方正楷体_GBK" w:hAnsi="方正楷体_GBK" w:eastAsia="方正楷体_GBK" w:cs="方正楷体_GBK"/>
          <w:color w:val="000000"/>
          <w:sz w:val="28"/>
          <w:szCs w:val="28"/>
        </w:rPr>
        <w:t xml:space="preserve">11.响应及偏离表</w:t>
      </w:r>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rPr>
          <w:rFonts w:hint="eastAsia" w:ascii="宋体" w:hAnsi="宋体"/>
          <w:color w:val="000000"/>
          <w:sz w:val="24"/>
          <w:lang w:val="zh-CN"/>
        </w:rPr>
      </w:r>
      <w:r/>
    </w:p>
    <w:p>
      <w:pPr>
        <w:pStyle w:val="749"/>
        <w:ind w:firstLine="420"/>
        <w:spacing w:before="0" w:after="0" w:line="360" w:lineRule="auto"/>
        <w:rPr>
          <w:rFonts w:ascii="方正楷体_GBK" w:hAnsi="方正楷体_GBK" w:eastAsia="方正楷体_GBK" w:cs="方正楷体_GBK"/>
          <w:color w:val="000000"/>
          <w:sz w:val="28"/>
          <w:szCs w:val="28"/>
        </w:rPr>
      </w:pPr>
      <w:r/>
      <w:bookmarkStart w:id="114" w:name="_Toc14577359"/>
      <w:r/>
      <w:bookmarkStart w:id="115" w:name="_Toc49090510"/>
      <w:r>
        <w:rPr>
          <w:rFonts w:hint="eastAsia" w:ascii="方正楷体_GBK" w:hAnsi="方正楷体_GBK" w:eastAsia="方正楷体_GBK" w:cs="方正楷体_GBK"/>
          <w:color w:val="000000"/>
          <w:sz w:val="28"/>
          <w:szCs w:val="28"/>
        </w:rPr>
        <w:t xml:space="preserve">12.投标函和授权委托书</w:t>
      </w:r>
      <w:r>
        <w:rPr>
          <w:rFonts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和法定代表人授权委托书，否则作为无效投标</w:t>
      </w:r>
      <w:r>
        <w:rPr>
          <w:rFonts w:hint="eastAsia" w:ascii="宋体" w:hAnsi="宋体"/>
          <w:b/>
          <w:bCs/>
          <w:color w:val="000000"/>
          <w:sz w:val="24"/>
          <w:lang w:val="zh-CN"/>
        </w:rPr>
        <w:t xml:space="preserve">。</w:t>
      </w:r>
      <w:r>
        <w:rPr>
          <w:rFonts w:hint="eastAsia" w:ascii="宋体" w:hAnsi="宋体"/>
          <w:color w:val="000000"/>
          <w:sz w:val="24"/>
          <w:lang w:val="zh-CN"/>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bookmarkEnd w:id="114"/>
      <w:r/>
      <w:bookmarkEnd w:id="115"/>
      <w:r/>
      <w:bookmarkStart w:id="116" w:name="_Toc14577360"/>
      <w:r/>
      <w:bookmarkStart w:id="117" w:name="_Toc49090511"/>
      <w:r/>
      <w:bookmarkStart w:id="118" w:name="_Hlt26954850"/>
      <w:r/>
      <w:bookmarkEnd w:id="118"/>
      <w:r/>
      <w:bookmarkStart w:id="119" w:name="_Hlt26670489"/>
      <w:r/>
      <w:bookmarkEnd w:id="119"/>
      <w:r/>
      <w:bookmarkStart w:id="120" w:name="_Hlt26954734"/>
      <w:r/>
      <w:bookmarkEnd w:id="120"/>
      <w:r>
        <w:rPr>
          <w:rFonts w:hint="eastAsia" w:ascii="方正楷体_GBK" w:hAnsi="方正楷体_GBK" w:eastAsia="方正楷体_GBK" w:cs="方正楷体_GBK"/>
          <w:color w:val="000000"/>
          <w:sz w:val="28"/>
          <w:szCs w:val="28"/>
        </w:rPr>
        <w:t xml:space="preserve">13.投标有效期</w:t>
      </w:r>
      <w:bookmarkEnd w:id="116"/>
      <w:r/>
      <w:bookmarkEnd w:id="117"/>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rPr>
          <w:rFonts w:hint="eastAsia" w:ascii="宋体" w:hAnsi="宋体"/>
          <w:color w:val="000000"/>
          <w:sz w:val="24"/>
          <w:lang w:val="zh-CN"/>
        </w:rPr>
      </w:r>
      <w:r/>
    </w:p>
    <w:p>
      <w:pPr>
        <w:pStyle w:val="749"/>
        <w:ind w:firstLine="420"/>
        <w:spacing w:before="0" w:after="0" w:line="360" w:lineRule="auto"/>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14.投标有效期的延长</w:t>
      </w:r>
      <w:r>
        <w:rPr>
          <w:rFonts w:hint="eastAsia" w:ascii="方正楷体_GBK" w:hAnsi="方正楷体_GBK" w:eastAsia="方正楷体_GBK" w:cs="方正楷体_GBK"/>
          <w:color w:val="000000"/>
          <w:sz w:val="28"/>
          <w:szCs w:val="28"/>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465"/>
        <w:spacing w:before="120" w:after="120" w:line="360" w:lineRule="auto"/>
        <w:rPr>
          <w:rFonts w:ascii="方正黑体_GBK" w:hAnsi="方正黑体_GBK" w:eastAsia="方正黑体_GBK" w:cs="方正黑体_GBK"/>
          <w:color w:val="000000"/>
        </w:rPr>
      </w:pPr>
      <w:r/>
      <w:bookmarkStart w:id="121" w:name="_Hlt26954739"/>
      <w:r/>
      <w:bookmarkEnd w:id="121"/>
      <w:r/>
      <w:bookmarkStart w:id="122" w:name="_Hlt26954852"/>
      <w:r/>
      <w:bookmarkEnd w:id="122"/>
      <w:r/>
      <w:bookmarkStart w:id="123" w:name="_Toc16938540"/>
      <w:r/>
      <w:bookmarkStart w:id="124" w:name="_Toc20823296"/>
      <w:r/>
      <w:bookmarkStart w:id="125" w:name="_Toc120614217"/>
      <w:r/>
      <w:bookmarkStart w:id="126" w:name="_Toc513029224"/>
      <w:r/>
      <w:bookmarkStart w:id="127" w:name="_Toc513029237"/>
      <w:r/>
      <w:bookmarkStart w:id="128" w:name="_Toc16938553"/>
      <w:r/>
      <w:bookmarkStart w:id="129" w:name="_Toc20823309"/>
      <w:r>
        <w:rPr>
          <w:rFonts w:hint="eastAsia" w:ascii="方正黑体_GBK" w:hAnsi="方正黑体_GBK" w:eastAsia="方正黑体_GBK" w:cs="方正黑体_GBK"/>
          <w:color w:val="000000"/>
        </w:rPr>
        <w:t xml:space="preserve">四、投标文件的递交</w:t>
      </w:r>
      <w:bookmarkEnd w:id="123"/>
      <w:r/>
      <w:bookmarkEnd w:id="124"/>
      <w:r/>
      <w:bookmarkEnd w:id="125"/>
      <w:r/>
      <w:bookmarkEnd w:id="126"/>
      <w:r>
        <w:rPr>
          <w:rFonts w:hint="eastAsia" w:ascii="方正黑体_GBK" w:hAnsi="方正黑体_GBK" w:eastAsia="方正黑体_GBK" w:cs="方正黑体_GBK"/>
          <w:color w:val="000000"/>
        </w:rPr>
        <w:t xml:space="preserve">、撤回和修改</w:t>
      </w:r>
      <w:r>
        <w:rPr>
          <w:rFonts w:ascii="方正黑体_GBK" w:hAnsi="方正黑体_GBK" w:eastAsia="方正黑体_GBK" w:cs="方正黑体_GBK"/>
          <w:color w:val="000000"/>
        </w:rPr>
      </w:r>
      <w:r/>
    </w:p>
    <w:p>
      <w:pPr>
        <w:pStyle w:val="749"/>
        <w:ind w:firstLine="390"/>
        <w:spacing w:before="0" w:after="0" w:line="360" w:lineRule="auto"/>
        <w:rPr>
          <w:rFonts w:hint="eastAsia" w:ascii="方正楷体_GBK" w:hAnsi="方正楷体_GBK" w:eastAsia="方正楷体_GBK" w:cs="方正楷体_GBK"/>
          <w:color w:val="000000"/>
        </w:rPr>
      </w:pPr>
      <w:r/>
      <w:bookmarkStart w:id="130" w:name="_Toc513029225"/>
      <w:r/>
      <w:bookmarkStart w:id="131" w:name="_Toc16938541"/>
      <w:r/>
      <w:bookmarkStart w:id="132" w:name="_Toc462564084"/>
      <w:r/>
      <w:bookmarkStart w:id="133" w:name="_Toc20823297"/>
      <w:r>
        <w:rPr>
          <w:rFonts w:hint="eastAsia" w:ascii="方正楷体_GBK" w:hAnsi="方正楷体_GBK" w:eastAsia="方正楷体_GBK" w:cs="方正楷体_GBK"/>
          <w:color w:val="000000"/>
        </w:rPr>
        <w:t xml:space="preserve">15.投标文件</w:t>
      </w:r>
      <w:bookmarkEnd w:id="130"/>
      <w:r/>
      <w:bookmarkEnd w:id="131"/>
      <w:r/>
      <w:bookmarkEnd w:id="132"/>
      <w:r/>
      <w:bookmarkEnd w:id="133"/>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color w:val="000000"/>
          <w:sz w:val="24"/>
          <w:lang w:val="zh-CN"/>
        </w:rPr>
        <w:t xml:space="preserve">投标截止时间后上传的投标文件将被拒绝。</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bookmarkEnd w:id="134"/>
      <w:r/>
      <w:bookmarkEnd w:id="135"/>
      <w:r/>
      <w:bookmarkEnd w:id="136"/>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749"/>
        <w:ind w:firstLine="390"/>
        <w:spacing w:before="0" w:after="0" w:line="360" w:lineRule="auto"/>
        <w:rPr>
          <w:rFonts w:hint="eastAsia" w:ascii="方正楷体_GBK" w:hAnsi="方正楷体_GBK" w:eastAsia="方正楷体_GBK" w:cs="方正楷体_GBK"/>
          <w:color w:val="000000"/>
        </w:rPr>
      </w:pPr>
      <w:r/>
      <w:bookmarkStart w:id="137" w:name="_Toc513029227"/>
      <w:r/>
      <w:bookmarkStart w:id="138" w:name="_Toc16938543"/>
      <w:r/>
      <w:bookmarkStart w:id="139" w:name="_Toc20823299"/>
      <w:r>
        <w:rPr>
          <w:rFonts w:hint="eastAsia" w:ascii="方正楷体_GBK" w:hAnsi="方正楷体_GBK" w:eastAsia="方正楷体_GBK" w:cs="方正楷体_GBK"/>
          <w:color w:val="000000"/>
        </w:rPr>
        <w:t xml:space="preserve">16.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color w:val="000000"/>
        </w:rPr>
        <w:t xml:space="preserve">投标文件的撤回和修改</w:t>
      </w:r>
      <w:bookmarkEnd w:id="140"/>
      <w:r/>
      <w:bookmarkEnd w:id="141"/>
      <w:r/>
      <w:bookmarkEnd w:id="142"/>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748"/>
        <w:ind w:firstLine="465"/>
        <w:spacing w:before="120" w:after="120" w:line="360" w:lineRule="auto"/>
        <w:rPr>
          <w:rFonts w:hint="eastAsia" w:ascii="方正黑体_GBK" w:hAnsi="方正黑体_GBK" w:eastAsia="方正黑体_GBK" w:cs="方正黑体_GBK"/>
          <w:color w:val="000000"/>
        </w:rPr>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color w:val="000000"/>
        </w:rPr>
        <w:t xml:space="preserve">五、开标与评标</w:t>
      </w:r>
      <w:bookmarkEnd w:id="143"/>
      <w:r/>
      <w:bookmarkEnd w:id="144"/>
      <w:r/>
      <w:bookmarkEnd w:id="145"/>
      <w:r/>
      <w:bookmarkEnd w:id="146"/>
      <w:r>
        <w:rPr>
          <w:rFonts w:hint="eastAsia" w:ascii="方正黑体_GBK" w:hAnsi="方正黑体_GBK" w:eastAsia="方正黑体_GBK" w:cs="方正黑体_GBK"/>
          <w:color w:val="000000"/>
        </w:rPr>
      </w:r>
      <w:r/>
    </w:p>
    <w:p>
      <w:pPr>
        <w:pStyle w:val="749"/>
        <w:ind w:firstLine="390"/>
        <w:spacing w:before="0" w:after="0" w:line="360" w:lineRule="auto"/>
        <w:rPr>
          <w:rFonts w:hint="eastAsia" w:ascii="方正楷体_GBK" w:hAnsi="方正楷体_GBK" w:eastAsia="方正楷体_GBK" w:cs="方正楷体_GBK"/>
          <w:color w:val="000000"/>
        </w:rPr>
      </w:pPr>
      <w:r/>
      <w:bookmarkStart w:id="147" w:name="_Toc16938546"/>
      <w:r/>
      <w:bookmarkStart w:id="148" w:name="_Toc513029230"/>
      <w:r/>
      <w:bookmarkStart w:id="149" w:name="_Toc20823302"/>
      <w:r>
        <w:rPr>
          <w:rFonts w:hint="eastAsia" w:ascii="方正楷体_GBK" w:hAnsi="方正楷体_GBK" w:eastAsia="方正楷体_GBK" w:cs="方正楷体_GBK"/>
          <w:color w:val="000000"/>
        </w:rPr>
        <w:t xml:space="preserve">17.开标</w:t>
      </w:r>
      <w:bookmarkEnd w:id="147"/>
      <w:r/>
      <w:bookmarkEnd w:id="148"/>
      <w:r/>
      <w:bookmarkEnd w:id="149"/>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bookmarkStart w:id="150" w:name="_Toc16938547"/>
      <w:r/>
      <w:bookmarkStart w:id="151" w:name="_Toc20823303"/>
      <w:r/>
      <w:bookmarkStart w:id="152" w:name="_Toc513029231"/>
      <w:r>
        <w:rPr>
          <w:rFonts w:hint="eastAsia" w:ascii="宋体" w:hAnsi="宋体"/>
          <w:color w:val="000000"/>
          <w:sz w:val="24"/>
          <w:lang w:val="zh-CN"/>
        </w:rPr>
        <w:t xml:space="preserve">18.评标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749"/>
        <w:ind w:firstLine="390"/>
        <w:spacing w:before="0" w:after="0" w:line="36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bookmarkEnd w:id="150"/>
      <w:r/>
      <w:bookmarkEnd w:id="151"/>
      <w:r/>
      <w:bookmarkEnd w:id="152"/>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749"/>
        <w:ind w:firstLine="390"/>
        <w:spacing w:before="0" w:after="0" w:line="360" w:lineRule="auto"/>
        <w:rPr>
          <w:rFonts w:hint="eastAsia" w:ascii="方正楷体_GBK" w:hAnsi="方正楷体_GBK" w:eastAsia="方正楷体_GBK" w:cs="方正楷体_GBK"/>
          <w:color w:val="000000"/>
        </w:rPr>
      </w:pPr>
      <w:r/>
      <w:bookmarkStart w:id="153" w:name="_Toc513029232"/>
      <w:r/>
      <w:bookmarkStart w:id="154" w:name="_Toc16938548"/>
      <w:r/>
      <w:bookmarkStart w:id="155" w:name="_Toc20823304"/>
      <w:r>
        <w:rPr>
          <w:rFonts w:hint="eastAsia" w:ascii="方正楷体_GBK" w:hAnsi="方正楷体_GBK" w:eastAsia="方正楷体_GBK" w:cs="方正楷体_GBK"/>
          <w:color w:val="000000"/>
        </w:rPr>
        <w:t xml:space="preserve">20.投标文件的澄清</w:t>
      </w:r>
      <w:bookmarkEnd w:id="153"/>
      <w:r/>
      <w:bookmarkEnd w:id="154"/>
      <w:r/>
      <w:bookmarkEnd w:id="155"/>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749"/>
        <w:ind w:firstLine="390"/>
        <w:spacing w:before="0" w:after="0" w:line="360" w:lineRule="auto"/>
        <w:rPr>
          <w:rFonts w:hint="eastAsia" w:ascii="方正楷体_GBK" w:hAnsi="方正楷体_GBK" w:eastAsia="方正楷体_GBK" w:cs="方正楷体_GBK"/>
          <w:color w:val="000000"/>
        </w:rPr>
      </w:pPr>
      <w:r/>
      <w:bookmarkStart w:id="156" w:name="_Toc16938549"/>
      <w:r/>
      <w:bookmarkStart w:id="157" w:name="_Toc20823305"/>
      <w:r/>
      <w:bookmarkStart w:id="158" w:name="_Toc513029233"/>
      <w:r>
        <w:rPr>
          <w:rFonts w:hint="eastAsia" w:ascii="方正楷体_GBK" w:hAnsi="方正楷体_GBK" w:eastAsia="方正楷体_GBK" w:cs="方正楷体_GBK"/>
          <w:color w:val="000000"/>
        </w:rPr>
        <w:t xml:space="preserve">21.投标文件的</w:t>
      </w:r>
      <w:bookmarkEnd w:id="156"/>
      <w:r/>
      <w:bookmarkEnd w:id="157"/>
      <w:r/>
      <w:bookmarkEnd w:id="158"/>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szCs w:val="22"/>
          <w:lang w:val="zh-CN"/>
        </w:rPr>
        <w:t xml:space="preserve">本文件中打“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rPr>
          <w:rFonts w:hint="eastAsia" w:ascii="宋体" w:hAnsi="宋体"/>
          <w:color w:val="000000"/>
          <w:sz w:val="24"/>
          <w:lang w:val="zh-CN"/>
        </w:rPr>
      </w:r>
      <w:r/>
    </w:p>
    <w:p>
      <w:pPr>
        <w:pStyle w:val="745"/>
        <w:ind w:firstLine="422"/>
        <w:spacing w:line="360" w:lineRule="auto"/>
        <w:rPr>
          <w:rFonts w:hint="eastAsia"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rPr>
          <w:rFonts w:hint="eastAsia" w:ascii="宋体" w:hAnsi="宋体"/>
          <w:b/>
          <w:bCs/>
          <w:color w:val="000000"/>
          <w:sz w:val="24"/>
          <w:lang w:val="zh-CN"/>
        </w:rPr>
      </w:r>
      <w:r/>
    </w:p>
    <w:p>
      <w:pPr>
        <w:pStyle w:val="745"/>
        <w:ind w:firstLine="420"/>
        <w:spacing w:line="360" w:lineRule="auto"/>
        <w:rPr>
          <w:rFonts w:hint="eastAsia" w:ascii="宋体" w:hAnsi="宋体"/>
          <w:color w:val="000000"/>
          <w:sz w:val="24"/>
          <w:lang w:val="zh-CN"/>
        </w:rPr>
      </w:pPr>
      <w:r/>
      <w:bookmarkStart w:id="159" w:name="_Toc513029234"/>
      <w:r/>
      <w:bookmarkStart w:id="160" w:name="_Toc16938550"/>
      <w:r/>
      <w:bookmarkStart w:id="161" w:name="_Toc20823306"/>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rPr>
          <w:rFonts w:hint="eastAsia" w:ascii="宋体" w:hAnsi="宋体"/>
          <w:color w:val="000000"/>
          <w:sz w:val="24"/>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000000"/>
          <w:sz w:val="24"/>
          <w:szCs w:val="22"/>
          <w:lang w:val="zh-CN"/>
        </w:rPr>
        <w:t xml:space="preserve">投标人已随投标文件一并提交相关书面说明及必要的证明材料的，在评标现场可不再重复提交</w:t>
      </w:r>
      <w:bookmarkEnd w:id="162"/>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5"/>
        <w:ind w:firstLine="420"/>
        <w:spacing w:line="360" w:lineRule="auto"/>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749"/>
        <w:ind w:firstLine="390"/>
        <w:spacing w:before="0" w:after="0" w:line="36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59"/>
      <w:r/>
      <w:bookmarkEnd w:id="160"/>
      <w:r/>
      <w:bookmarkEnd w:id="161"/>
      <w:r>
        <w:rPr>
          <w:rFonts w:hint="eastAsia" w:ascii="方正楷体_GBK" w:hAnsi="方正楷体_GBK" w:eastAsia="方正楷体_GBK" w:cs="方正楷体_GBK"/>
          <w:color w:val="000000"/>
        </w:rPr>
        <w:t xml:space="preserve">2.无效投标和废标</w:t>
      </w:r>
      <w:r>
        <w:rPr>
          <w:rFonts w:hint="eastAsia" w:ascii="方正楷体_GBK" w:hAnsi="方正楷体_GBK" w:eastAsia="方正楷体_GBK" w:cs="方正楷体_GBK"/>
          <w:color w:val="000000"/>
        </w:rPr>
      </w:r>
      <w:r/>
    </w:p>
    <w:p>
      <w:pPr>
        <w:pStyle w:val="745"/>
        <w:ind w:firstLine="422"/>
        <w:spacing w:line="360" w:lineRule="auto"/>
        <w:rPr>
          <w:rFonts w:hint="eastAsia" w:ascii="宋体" w:hAnsi="宋体"/>
          <w:b/>
          <w:bCs/>
          <w:color w:val="000000"/>
          <w:sz w:val="24"/>
          <w:lang w:val="zh-CN"/>
        </w:rPr>
      </w:pPr>
      <w:r/>
      <w:bookmarkStart w:id="163" w:name="_Toc16938551"/>
      <w:r/>
      <w:bookmarkStart w:id="164" w:name="_Toc20823307"/>
      <w:r/>
      <w:bookmarkStart w:id="165" w:name="_Toc513029235"/>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rPr>
          <w:rFonts w:hint="eastAsia" w:ascii="宋体" w:hAnsi="宋体"/>
          <w:b/>
          <w:bCs/>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22.1.10 投标人串通投标。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5"/>
        <w:ind w:firstLine="420"/>
        <w:spacing w:line="360" w:lineRule="auto"/>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 不同投标人的投标文件相互混装。</w:t>
      </w:r>
      <w:r>
        <w:rPr>
          <w:rFonts w:hint="eastAsia" w:ascii="宋体" w:hAnsi="宋体"/>
          <w:color w:val="000000"/>
          <w:sz w:val="24"/>
          <w:lang w:val="zh-CN"/>
        </w:rPr>
      </w:r>
      <w:r/>
    </w:p>
    <w:p>
      <w:pPr>
        <w:pStyle w:val="745"/>
        <w:ind w:firstLine="420"/>
        <w:spacing w:line="360" w:lineRule="auto"/>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rPr>
          <w:rFonts w:ascii="宋体" w:hAnsi="宋体"/>
          <w:color w:val="000000"/>
          <w:sz w:val="24"/>
          <w:lang w:val="zh-CN"/>
        </w:rPr>
      </w:r>
      <w:r/>
    </w:p>
    <w:p>
      <w:pPr>
        <w:pStyle w:val="745"/>
        <w:ind w:firstLine="422"/>
        <w:spacing w:line="360" w:lineRule="auto"/>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rPr>
          <w:rFonts w:hint="eastAsia" w:ascii="宋体" w:hAnsi="宋体"/>
          <w:b/>
          <w:bCs/>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748"/>
        <w:ind w:firstLine="465"/>
        <w:spacing w:before="120" w:after="120" w:line="360" w:lineRule="auto"/>
        <w:rPr>
          <w:rFonts w:hint="eastAsia" w:ascii="方正黑体_GBK" w:hAnsi="方正黑体_GBK" w:eastAsia="方正黑体_GBK" w:cs="方正黑体_GBK"/>
          <w:color w:val="000000"/>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color w:val="000000"/>
        </w:rPr>
        <w:t xml:space="preserve">六、定标</w:t>
      </w:r>
      <w:bookmarkEnd w:id="166"/>
      <w:r>
        <w:rPr>
          <w:rFonts w:hint="eastAsia" w:ascii="方正黑体_GBK" w:hAnsi="方正黑体_GBK" w:eastAsia="方正黑体_GBK" w:cs="方正黑体_GBK"/>
          <w:color w:val="000000"/>
        </w:rPr>
      </w:r>
      <w:r/>
    </w:p>
    <w:p>
      <w:pPr>
        <w:pStyle w:val="749"/>
        <w:ind w:firstLine="390"/>
        <w:spacing w:before="0" w:after="0" w:line="360" w:lineRule="auto"/>
        <w:rPr>
          <w:rFonts w:hint="eastAsia" w:ascii="方正楷体_GBK" w:hAnsi="方正楷体_GBK" w:eastAsia="方正楷体_GBK" w:cs="方正楷体_GBK"/>
          <w:color w:val="000000"/>
        </w:rPr>
      </w:pPr>
      <w:r/>
      <w:bookmarkStart w:id="167" w:name="_Toc16938554"/>
      <w:r/>
      <w:bookmarkStart w:id="168" w:name="_Toc513029238"/>
      <w:r/>
      <w:bookmarkStart w:id="169" w:name="_Toc20823310"/>
      <w:r>
        <w:rPr>
          <w:rFonts w:hint="eastAsia" w:ascii="方正楷体_GBK" w:hAnsi="方正楷体_GBK" w:eastAsia="方正楷体_GBK" w:cs="方正楷体_GBK"/>
          <w:color w:val="000000"/>
        </w:rPr>
        <w:t xml:space="preserve">2</w:t>
      </w:r>
      <w:bookmarkEnd w:id="168"/>
      <w:r>
        <w:rPr>
          <w:rFonts w:hint="eastAsia" w:ascii="方正楷体_GBK" w:hAnsi="方正楷体_GBK" w:eastAsia="方正楷体_GBK" w:cs="方正楷体_GBK"/>
          <w:color w:val="000000"/>
        </w:rPr>
        <w:t xml:space="preserve">3.确定</w:t>
      </w:r>
      <w:bookmarkEnd w:id="167"/>
      <w:r/>
      <w:bookmarkEnd w:id="169"/>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745"/>
        <w:ind w:firstLine="420"/>
        <w:spacing w:line="360" w:lineRule="auto"/>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rPr>
          <w:rFonts w:hint="eastAsia" w:ascii="宋体" w:hAnsi="宋体"/>
          <w:color w:val="000000"/>
          <w:sz w:val="24"/>
          <w:lang w:val="zh-CN"/>
        </w:rPr>
      </w:r>
      <w:r/>
    </w:p>
    <w:p>
      <w:pPr>
        <w:pStyle w:val="749"/>
        <w:ind w:firstLine="390"/>
        <w:spacing w:before="0" w:after="0" w:line="36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748"/>
        <w:ind w:firstLine="465"/>
        <w:spacing w:before="120" w:after="120" w:line="360" w:lineRule="auto"/>
        <w:rPr>
          <w:rFonts w:hint="eastAsia" w:ascii="方正黑体_GBK" w:hAnsi="方正黑体_GBK" w:eastAsia="方正黑体_GBK" w:cs="方正黑体_GBK"/>
          <w:color w:val="000000"/>
        </w:rPr>
      </w:pPr>
      <w:r/>
      <w:bookmarkStart w:id="170" w:name="_Toc16938552"/>
      <w:r/>
      <w:bookmarkStart w:id="171" w:name="_Toc20823308"/>
      <w:r/>
      <w:bookmarkStart w:id="172" w:name="_Toc513029236"/>
      <w:r/>
      <w:bookmarkStart w:id="173" w:name="_Toc120614220"/>
      <w:r>
        <w:rPr>
          <w:rFonts w:hint="eastAsia" w:ascii="方正黑体_GBK" w:hAnsi="方正黑体_GBK" w:eastAsia="方正黑体_GBK" w:cs="方正黑体_GBK"/>
          <w:color w:val="000000"/>
        </w:rPr>
        <w:t xml:space="preserve">七、授予合同</w:t>
      </w:r>
      <w:bookmarkEnd w:id="173"/>
      <w:r>
        <w:rPr>
          <w:rFonts w:hint="eastAsia" w:ascii="方正黑体_GBK" w:hAnsi="方正黑体_GBK" w:eastAsia="方正黑体_GBK" w:cs="方正黑体_GBK"/>
          <w:color w:val="000000"/>
        </w:rPr>
      </w:r>
      <w:r/>
    </w:p>
    <w:p>
      <w:pPr>
        <w:pStyle w:val="749"/>
        <w:ind w:firstLine="390"/>
        <w:spacing w:before="0" w:after="0" w:line="360" w:lineRule="auto"/>
        <w:rPr>
          <w:rFonts w:hint="eastAsia" w:ascii="方正楷体_GBK" w:hAnsi="方正楷体_GBK" w:eastAsia="方正楷体_GBK" w:cs="方正楷体_GBK"/>
          <w:color w:val="000000"/>
        </w:rPr>
      </w:pPr>
      <w:r/>
      <w:bookmarkEnd w:id="170"/>
      <w:r/>
      <w:bookmarkEnd w:id="171"/>
      <w:r/>
      <w:bookmarkEnd w:id="172"/>
      <w:r>
        <w:rPr>
          <w:rFonts w:hint="eastAsia" w:ascii="方正楷体_GBK" w:hAnsi="方正楷体_GBK" w:eastAsia="方正楷体_GBK" w:cs="方正楷体_GBK"/>
          <w:color w:val="000000"/>
        </w:rPr>
        <w:t xml:space="preserve">25.签订合同</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749"/>
        <w:ind w:firstLine="390"/>
        <w:spacing w:before="0" w:after="0" w:line="36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749"/>
        <w:ind w:firstLine="390"/>
        <w:spacing w:before="0" w:after="0" w:line="36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rPr>
          <w:rFonts w:hint="eastAsia" w:ascii="方正楷体_GBK" w:hAnsi="方正楷体_GBK" w:eastAsia="方正楷体_GBK" w:cs="方正楷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依据《关于在全省政府采购领域推行电子履约保函（保险）的通知》（苏财购〔2023〕150号），需要缴纳履约保证金的，中标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rPr>
          <w:rFonts w:hint="eastAsia" w:ascii="宋体" w:hAnsi="宋体"/>
          <w:color w:val="000000"/>
          <w:sz w:val="24"/>
          <w:lang w:val="zh-CN"/>
        </w:rPr>
      </w:r>
      <w:r/>
    </w:p>
    <w:p>
      <w:pPr>
        <w:pStyle w:val="748"/>
        <w:ind w:firstLine="465"/>
        <w:spacing w:before="120" w:after="120" w:line="360"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rPr>
          <w:rFonts w:hint="eastAsia" w:ascii="宋体" w:hAnsi="宋体"/>
          <w:color w:val="000000"/>
          <w:sz w:val="24"/>
          <w:lang w:val="zh-CN"/>
        </w:rPr>
      </w:r>
      <w:r/>
    </w:p>
    <w:p>
      <w:pPr>
        <w:pStyle w:val="745"/>
        <w:ind w:firstLine="420"/>
        <w:spacing w:line="360" w:lineRule="auto"/>
        <w:rPr>
          <w:rFonts w:hint="eastAsia" w:ascii="宋体" w:hAnsi="宋体"/>
          <w:b/>
          <w:bCs/>
          <w:color w:val="000000"/>
          <w:sz w:val="24"/>
          <w:szCs w:val="22"/>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szCs w:val="22"/>
        </w:rPr>
      </w:r>
      <w:r/>
    </w:p>
    <w:p>
      <w:pPr>
        <w:pStyle w:val="745"/>
        <w:ind w:firstLine="422"/>
        <w:spacing w:line="360" w:lineRule="auto"/>
        <w:rPr>
          <w:rFonts w:hint="eastAsia" w:ascii="宋体" w:hAnsi="宋体"/>
          <w:b/>
          <w:bCs/>
          <w:color w:val="000000"/>
          <w:sz w:val="24"/>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投标人对采购人、交易中心的质疑答复不满意，或者采购人、交易中心未在规定时间内作出质疑答复的，可以在答复期满后15个工作日内向高淳区财政局提起投诉。</w:t>
      </w:r>
      <w:r>
        <w:rPr>
          <w:rFonts w:hint="eastAsia" w:ascii="宋体" w:hAnsi="宋体"/>
          <w:b/>
          <w:bCs/>
          <w:color w:val="000000"/>
          <w:sz w:val="24"/>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45"/>
        <w:ind w:firstLine="420"/>
        <w:spacing w:line="360" w:lineRule="auto"/>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lang w:val="zh-CN"/>
        </w:rPr>
      </w:r>
      <w:r/>
    </w:p>
    <w:p>
      <w:pPr>
        <w:pStyle w:val="748"/>
        <w:ind w:firstLine="465"/>
        <w:spacing w:before="120" w:after="120" w:line="360" w:lineRule="auto"/>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749"/>
        <w:ind w:firstLine="420"/>
        <w:spacing w:before="0" w:after="0" w:line="36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w:t>
      </w:r>
      <w:r>
        <w:rPr>
          <w:rFonts w:hint="eastAsia" w:ascii="方正楷体_GBK" w:hAnsi="方正楷体_GBK" w:eastAsia="方正楷体_GBK" w:cs="方正楷体_GBK"/>
          <w:color w:val="000000"/>
          <w:sz w:val="28"/>
        </w:rPr>
        <w:t xml:space="preserve">5</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745"/>
        <w:ind w:firstLine="420"/>
        <w:spacing w:line="360" w:lineRule="auto"/>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rPr>
          <w:rFonts w:ascii="宋体" w:hAnsi="宋体"/>
          <w:b/>
          <w:bCs/>
          <w:color w:val="000000"/>
          <w:sz w:val="24"/>
        </w:rPr>
      </w:r>
      <w:r/>
    </w:p>
    <w:p>
      <w:pPr>
        <w:pStyle w:val="745"/>
        <w:ind w:firstLine="420"/>
        <w:spacing w:line="360" w:lineRule="auto"/>
        <w:rPr>
          <w:rFonts w:hint="eastAsia"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rPr>
      </w:r>
      <w:r/>
    </w:p>
    <w:p>
      <w:pPr>
        <w:pStyle w:val="745"/>
        <w:ind w:firstLine="420"/>
        <w:spacing w:line="360" w:lineRule="auto"/>
        <w:rPr>
          <w:rFonts w:hint="eastAsia" w:ascii="宋体" w:hAnsi="宋体"/>
          <w:color w:val="000000"/>
          <w:sz w:val="24"/>
        </w:rPr>
      </w:pPr>
      <w:r>
        <w:rPr>
          <w:rFonts w:hint="eastAsia" w:ascii="宋体" w:hAnsi="宋体"/>
          <w:color w:val="000000"/>
          <w:sz w:val="24"/>
          <w:szCs w:val="22"/>
        </w:rPr>
        <w:t xml:space="preserve">35.4</w:t>
      </w:r>
      <w:r>
        <w:rPr>
          <w:rFonts w:hint="eastAsia" w:ascii="宋体" w:hAnsi="宋体"/>
          <w:b/>
          <w:bCs/>
          <w:color w:val="000000"/>
          <w:sz w:val="24"/>
          <w:szCs w:val="22"/>
        </w:rPr>
        <w:t xml:space="preserve"> </w:t>
      </w:r>
      <w:r>
        <w:rPr>
          <w:rFonts w:hint="eastAsia" w:ascii="宋体" w:hAnsi="宋体"/>
          <w:b/>
          <w:bCs/>
          <w:color w:val="000000"/>
          <w:sz w:val="24"/>
          <w:szCs w:val="22"/>
          <w:lang w:val="zh-CN"/>
        </w:rPr>
        <w:t xml:space="preserve">评委会评审中发现</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提供的</w:t>
      </w:r>
      <w:r>
        <w:rPr>
          <w:rFonts w:hint="eastAsia" w:ascii="宋体" w:hAnsi="宋体"/>
          <w:b/>
          <w:bCs/>
          <w:color w:val="000000"/>
          <w:sz w:val="24"/>
          <w:lang w:val="zh-CN"/>
        </w:rPr>
        <w:t xml:space="preserve">《中小企业声明函》</w:t>
      </w:r>
      <w:r>
        <w:rPr>
          <w:rFonts w:hint="eastAsia" w:ascii="宋体" w:hAnsi="宋体"/>
          <w:b/>
          <w:bCs/>
          <w:color w:val="000000"/>
          <w:sz w:val="24"/>
          <w:szCs w:val="22"/>
          <w:lang w:val="zh-CN"/>
        </w:rPr>
        <w:t xml:space="preserve">内容含义不明确、同类事项表述不一致或者有明显文字错误等情况的，应当以书面形式要求</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作出必要的澄清、说明或者补正。</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745"/>
        <w:ind w:firstLine="420"/>
        <w:spacing w:line="360" w:lineRule="auto"/>
        <w:rPr>
          <w:rFonts w:hint="eastAsia" w:ascii="宋体" w:hAnsi="宋体"/>
          <w:color w:val="000000"/>
          <w:sz w:val="24"/>
        </w:rPr>
      </w:pPr>
      <w:r>
        <w:rPr>
          <w:rFonts w:hint="eastAsia" w:ascii="宋体" w:hAnsi="宋体"/>
          <w:color w:val="000000"/>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color w:val="000000"/>
          <w:sz w:val="24"/>
        </w:rPr>
      </w:r>
      <w:r/>
    </w:p>
    <w:p>
      <w:pPr>
        <w:pStyle w:val="807"/>
        <w:spacing w:line="360" w:lineRule="auto"/>
        <w:rPr>
          <w:rFonts w:hint="eastAsia"/>
          <w:color w:val="000000"/>
        </w:rPr>
      </w:pPr>
      <w:r>
        <w:rPr>
          <w:rFonts w:hint="eastAsia"/>
          <w:color w:val="000000"/>
        </w:rPr>
      </w:r>
      <w:r/>
    </w:p>
    <w:p>
      <w:pPr>
        <w:pStyle w:val="745"/>
        <w:spacing w:line="360" w:lineRule="auto"/>
        <w:rPr>
          <w:rFonts w:hint="eastAsia"/>
          <w:color w:val="000000"/>
          <w:lang w:val="zh-CN"/>
        </w:rPr>
      </w:pPr>
      <w:r>
        <w:rPr>
          <w:rFonts w:hint="eastAsia"/>
          <w:color w:val="000000"/>
          <w:lang w:val="zh-CN"/>
        </w:rPr>
      </w:r>
      <w:r/>
    </w:p>
    <w:p>
      <w:pPr>
        <w:pStyle w:val="807"/>
        <w:ind w:left="0"/>
        <w:jc w:val="center"/>
        <w:spacing w:line="360" w:lineRule="auto"/>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5"/>
        <w:jc w:val="center"/>
        <w:spacing w:before="120" w:after="120" w:line="360" w:lineRule="auto"/>
        <w:rPr>
          <w:rFonts w:hint="eastAsia" w:ascii="宋体" w:hAnsi="宋体"/>
          <w:bCs/>
          <w:color w:val="000000"/>
          <w:sz w:val="24"/>
        </w:rPr>
      </w:pPr>
      <w:r/>
      <w:bookmarkStart w:id="174" w:name="_Toc16938559"/>
      <w:r/>
      <w:bookmarkStart w:id="175" w:name="_Toc20823315"/>
      <w:r/>
      <w:bookmarkStart w:id="176" w:name="_Toc513029243"/>
      <w:r/>
      <w:bookmarkStart w:id="177" w:name="_Hlt16619350"/>
      <w:r/>
      <w:bookmarkStart w:id="178" w:name="_Toc20823346"/>
      <w:r/>
      <w:bookmarkStart w:id="179" w:name="_Toc16938590"/>
      <w:r/>
      <w:bookmarkStart w:id="180" w:name="_Toc120614244"/>
      <w:r/>
      <w:bookmarkStart w:id="181" w:name="_Toc462564139"/>
      <w:r/>
      <w:bookmarkStart w:id="182"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7"/>
        <w:ind w:left="0"/>
        <w:spacing w:line="360" w:lineRule="auto"/>
        <w:rPr>
          <w:rFonts w:hint="eastAsia"/>
          <w:color w:val="000000"/>
        </w:rPr>
      </w:pPr>
      <w:r>
        <w:rPr>
          <w:rFonts w:hint="eastAsia"/>
          <w:color w:val="000000"/>
        </w:rPr>
      </w:r>
      <w:r/>
    </w:p>
    <w:p>
      <w:pPr>
        <w:pStyle w:val="745"/>
        <w:jc w:val="center"/>
        <w:spacing w:before="120" w:after="120" w:line="360"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5"/>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5"/>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5"/>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5"/>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5"/>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南京市公共资源交易中心高淳分中心组织的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5"/>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745"/>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5"/>
        <w:spacing w:line="360" w:lineRule="auto"/>
        <w:rPr>
          <w:rFonts w:hint="eastAsia"/>
          <w:color w:val="000000"/>
        </w:rPr>
      </w:pPr>
      <w:r>
        <w:rPr>
          <w:rFonts w:ascii="宋体" w:hAnsi="宋体" w:cs="宋体"/>
          <w:color w:val="000000"/>
          <w:sz w:val="24"/>
          <w:szCs w:val="24"/>
        </w:rPr>
        <w:t xml:space="preserve">1.</w:t>
      </w:r>
      <w:r>
        <w:rPr>
          <w:rFonts w:hint="eastAsia" w:ascii="宋体" w:hAnsi="宋体" w:cs="宋体"/>
          <w:color w:val="000000"/>
          <w:sz w:val="24"/>
          <w:szCs w:val="24"/>
        </w:rPr>
        <w:t xml:space="preserve">7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5"/>
        <w:spacing w:line="360"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5"/>
        <w:spacing w:line="360"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745"/>
        <w:spacing w:line="360"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甲方于合同签订后支付年度合同款的10%作为预付款，该预付款在支付首次合同款时扣回。合同款执行每月考核半年一支付的方式，即全年分两次支付，考核扣除的费用从应支付的款项中扣除。</w:t>
      </w:r>
      <w:r>
        <w:rPr>
          <w:rFonts w:hint="eastAsia" w:ascii="宋体" w:hAnsi="宋体"/>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满足合同约定支付条件的，甲方收到乙方发票后10个工作日内，将资金支付到合同约定的乙方账户。 </w:t>
      </w:r>
      <w:r>
        <w:rPr>
          <w:rFonts w:hint="eastAsia" w:ascii="宋体" w:hAnsi="宋体" w:cs="Courier New"/>
          <w:color w:val="000000"/>
          <w:sz w:val="24"/>
          <w:szCs w:val="24"/>
        </w:rPr>
      </w:r>
      <w:r/>
    </w:p>
    <w:p>
      <w:pPr>
        <w:pStyle w:val="775"/>
        <w:spacing w:line="360"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5"/>
        <w:spacing w:line="360"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20 %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5"/>
        <w:spacing w:line="360" w:lineRule="auto"/>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5"/>
        <w:spacing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5"/>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5"/>
        <w:spacing w:before="120" w:after="120" w:line="360"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5"/>
        <w:ind w:firstLine="240"/>
        <w:spacing w:before="120" w:after="120" w:line="360" w:lineRule="auto"/>
        <w:rPr>
          <w:rFonts w:hint="eastAsia" w:hAnsi="宋体"/>
          <w:color w:val="000000"/>
          <w:sz w:val="24"/>
          <w:szCs w:val="24"/>
        </w:rPr>
      </w:pPr>
      <w:r/>
      <w:bookmarkEnd w:id="174"/>
      <w:r/>
      <w:bookmarkEnd w:id="175"/>
      <w:r/>
      <w:bookmarkEnd w:id="176"/>
      <w:r>
        <w:rPr>
          <w:rFonts w:hint="eastAsia" w:hAnsi="宋体"/>
          <w:color w:val="000000"/>
          <w:sz w:val="24"/>
          <w:szCs w:val="24"/>
        </w:rPr>
        <w:t xml:space="preserve">甲方：（公章）                       乙方：（公章） </w:t>
      </w:r>
      <w:r>
        <w:rPr>
          <w:rFonts w:hint="eastAsia" w:hAnsi="宋体"/>
          <w:color w:val="000000"/>
          <w:sz w:val="24"/>
          <w:szCs w:val="24"/>
        </w:rPr>
      </w:r>
      <w:r/>
    </w:p>
    <w:p>
      <w:pPr>
        <w:pStyle w:val="775"/>
        <w:spacing w:before="120" w:after="120" w:line="360" w:lineRule="auto"/>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775"/>
        <w:spacing w:before="120" w:after="120" w:line="360"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775"/>
        <w:ind w:firstLine="240"/>
        <w:spacing w:before="120" w:after="120" w:line="360"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775"/>
        <w:spacing w:before="120" w:after="120" w:line="360"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5"/>
        <w:ind w:firstLine="5280"/>
        <w:spacing w:before="120" w:after="120" w:line="360"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775"/>
        <w:spacing w:before="120" w:after="120" w:line="360" w:lineRule="auto"/>
        <w:rPr>
          <w:rFonts w:hint="eastAsia" w:hAnsi="宋体"/>
          <w:color w:val="000000"/>
          <w:sz w:val="24"/>
          <w:szCs w:val="24"/>
        </w:rPr>
      </w:pPr>
      <w:r>
        <w:rPr>
          <w:rFonts w:hint="eastAsia" w:hAnsi="宋体"/>
          <w:color w:val="000000"/>
          <w:sz w:val="24"/>
          <w:szCs w:val="24"/>
        </w:rPr>
      </w:r>
      <w:r/>
    </w:p>
    <w:p>
      <w:pPr>
        <w:pStyle w:val="775"/>
        <w:ind w:firstLine="5280"/>
        <w:spacing w:before="120" w:after="120" w:line="360" w:lineRule="auto"/>
        <w:rPr>
          <w:rFonts w:hint="eastAsia" w:hAnsi="宋体"/>
          <w:color w:val="000000"/>
          <w:sz w:val="24"/>
          <w:szCs w:val="24"/>
        </w:rPr>
      </w:pPr>
      <w:r>
        <w:rPr>
          <w:rFonts w:hint="eastAsia" w:hAnsi="宋体"/>
          <w:color w:val="000000"/>
          <w:sz w:val="24"/>
          <w:szCs w:val="24"/>
        </w:rPr>
      </w:r>
      <w:r/>
    </w:p>
    <w:p>
      <w:pPr>
        <w:pStyle w:val="775"/>
        <w:ind w:firstLine="5280"/>
        <w:spacing w:before="120" w:after="120" w:line="360" w:lineRule="auto"/>
        <w:rPr>
          <w:rFonts w:hint="eastAsia" w:hAnsi="宋体"/>
          <w:color w:val="000000"/>
          <w:sz w:val="24"/>
          <w:szCs w:val="24"/>
        </w:rPr>
      </w:pPr>
      <w:r>
        <w:rPr>
          <w:rFonts w:hint="eastAsia" w:hAnsi="宋体"/>
          <w:color w:val="000000"/>
          <w:sz w:val="24"/>
          <w:szCs w:val="24"/>
        </w:rPr>
      </w:r>
      <w:r/>
    </w:p>
    <w:p>
      <w:pPr>
        <w:pStyle w:val="745"/>
        <w:jc w:val="center"/>
        <w:spacing w:before="120" w:after="120" w:line="360"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775"/>
        <w:jc w:val="left"/>
        <w:spacing w:line="360"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978"/>
        <w:jc w:val="center"/>
        <w:spacing w:before="120" w:after="120" w:line="360" w:lineRule="auto"/>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77"/>
      <w:r>
        <w:rPr>
          <w:rFonts w:hint="eastAsia" w:ascii="方正小标宋简体" w:hAnsi="方正小标宋简体" w:eastAsia="方正小标宋简体" w:cs="方正小标宋简体"/>
          <w:color w:val="000000"/>
          <w:sz w:val="36"/>
          <w:szCs w:val="36"/>
        </w:rPr>
        <w:t xml:space="preserve">四章  采购需求</w:t>
      </w:r>
      <w:bookmarkEnd w:id="178"/>
      <w:r/>
      <w:bookmarkEnd w:id="179"/>
      <w:r/>
      <w:bookmarkEnd w:id="180"/>
      <w:r>
        <w:rPr>
          <w:rFonts w:hint="eastAsia" w:hAnsi="宋体"/>
          <w:color w:val="000000"/>
          <w:sz w:val="24"/>
          <w:szCs w:val="24"/>
        </w:rPr>
      </w:r>
      <w:r/>
    </w:p>
    <w:p>
      <w:pPr>
        <w:pStyle w:val="745"/>
        <w:ind w:firstLine="480"/>
        <w:spacing w:line="360" w:lineRule="auto"/>
        <w:rPr>
          <w:rFonts w:hint="eastAsia" w:ascii="宋体" w:hAnsi="宋体"/>
          <w:color w:val="000000"/>
          <w:sz w:val="24"/>
          <w:szCs w:val="24"/>
        </w:rPr>
      </w:pPr>
      <w:r/>
      <w:bookmarkStart w:id="183" w:name="_Toc49090575"/>
      <w:r/>
      <w:bookmarkStart w:id="184" w:name="_Toc120614281"/>
      <w:r/>
      <w:bookmarkStart w:id="185" w:name="_Toc26554093"/>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45"/>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771"/>
        <w:spacing w:after="0" w:line="360" w:lineRule="auto"/>
        <w:rPr>
          <w:color w:val="000000"/>
          <w:sz w:val="24"/>
          <w:szCs w:val="24"/>
        </w:rPr>
      </w:pPr>
      <w:r>
        <w:rPr>
          <w:color w:val="000000"/>
          <w:sz w:val="24"/>
          <w:szCs w:val="24"/>
        </w:rPr>
        <w:t xml:space="preserve">南京市高淳区东坝街道青山路100号、南京市高淳区淳溪街道凤山西路60号卫生服务站</w:t>
      </w:r>
      <w:r>
        <w:rPr>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745"/>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南京市高淳区东坝街道青山路100号建筑面积：11000㎡；淳溪街道凤山西路60号</w:t>
      </w:r>
      <w:r>
        <w:rPr>
          <w:rFonts w:hint="eastAsia" w:ascii="宋体" w:hAnsi="宋体" w:cs="Courier New"/>
          <w:color w:val="000000"/>
          <w:sz w:val="24"/>
          <w:szCs w:val="24"/>
        </w:rPr>
        <w:t xml:space="preserve">高淳区心理健康管理中心</w:t>
      </w:r>
      <w:r>
        <w:rPr>
          <w:rFonts w:ascii="宋体" w:hAnsi="宋体" w:cs="Courier New"/>
          <w:color w:val="000000"/>
          <w:sz w:val="24"/>
          <w:szCs w:val="24"/>
        </w:rPr>
        <w:t xml:space="preserve">518.46㎡</w:t>
      </w:r>
      <w:r>
        <w:rPr>
          <w:rFonts w:hint="eastAsia" w:ascii="宋体" w:hAnsi="宋体" w:cs="Courier New"/>
          <w:color w:val="000000"/>
          <w:sz w:val="24"/>
          <w:szCs w:val="24"/>
        </w:rPr>
        <w:t xml:space="preserve">。</w:t>
      </w:r>
      <w:r>
        <w:rPr>
          <w:rFonts w:ascii="宋体" w:hAnsi="宋体" w:cs="Courier New"/>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3.办公用房</w:t>
      </w:r>
      <w:r>
        <w:rPr>
          <w:rFonts w:hint="eastAsia" w:ascii="宋体" w:hAnsi="宋体"/>
          <w:color w:val="000000"/>
          <w:sz w:val="24"/>
          <w:szCs w:val="24"/>
        </w:rPr>
      </w:r>
      <w:r/>
    </w:p>
    <w:p>
      <w:pPr>
        <w:pStyle w:val="745"/>
        <w:ind w:firstLine="480"/>
        <w:spacing w:line="360" w:lineRule="auto"/>
        <w:rPr>
          <w:rFonts w:hint="eastAsia"/>
          <w:color w:val="000000"/>
          <w:sz w:val="24"/>
          <w:szCs w:val="24"/>
        </w:rPr>
      </w:pPr>
      <w:r>
        <w:rPr>
          <w:rFonts w:hint="eastAsia"/>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color w:val="000000"/>
          <w:sz w:val="24"/>
          <w:szCs w:val="24"/>
        </w:rPr>
      </w:r>
      <w:r/>
    </w:p>
    <w:p>
      <w:pPr>
        <w:pStyle w:val="745"/>
        <w:ind w:firstLine="480"/>
        <w:spacing w:line="360" w:lineRule="auto"/>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全院综合楼1幢（含门急诊、住院功能，三层加屋面）、行政楼1幢（行政、住院及临床辅助治疗科室）、食堂楼1幢、宝龙心理门诊部1层。辅助设施包括：安保监控室2间、配电间1间，办公场所出入口4个，其中主出入口2个，辅助出入口2个。</w:t>
      </w:r>
      <w:r>
        <w:rPr>
          <w:rFonts w:hint="eastAsia" w:ascii="宋体" w:hAnsi="宋体"/>
          <w:color w:val="000000"/>
          <w:sz w:val="24"/>
          <w:szCs w:val="24"/>
        </w:rPr>
      </w:r>
      <w:r/>
    </w:p>
    <w:p>
      <w:pPr>
        <w:pStyle w:val="745"/>
        <w:spacing w:line="360" w:lineRule="auto"/>
        <w:rPr>
          <w:rFonts w:ascii="宋体" w:hAnsi="宋体" w:cs="Courier New"/>
          <w:color w:val="000000"/>
          <w:sz w:val="24"/>
          <w:szCs w:val="24"/>
        </w:rPr>
      </w:pPr>
      <w:r>
        <w:rPr>
          <w:rFonts w:ascii="宋体" w:hAnsi="宋体" w:cs="Courier New"/>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5"/>
              <w:jc w:val="center"/>
              <w:spacing w:line="360" w:lineRule="auto"/>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745"/>
              <w:jc w:val="center"/>
              <w:spacing w:line="360" w:lineRule="auto"/>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5"/>
              <w:jc w:val="center"/>
              <w:spacing w:line="360" w:lineRule="auto"/>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745"/>
              <w:jc w:val="center"/>
              <w:spacing w:line="360" w:lineRule="auto"/>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color w:val="000000"/>
                <w:sz w:val="24"/>
                <w:szCs w:val="24"/>
              </w:rPr>
              <w:t xml:space="preserve">中小企业划分标准</w:t>
            </w:r>
            <w:r>
              <w:rPr>
                <w:rFonts w:ascii="宋体" w:hAnsi="宋体"/>
                <w:color w:val="000000"/>
                <w:sz w:val="24"/>
                <w:szCs w:val="24"/>
              </w:rPr>
              <w:t xml:space="preserve">所属行业</w:t>
            </w:r>
            <w:r>
              <w:rPr>
                <w:rFonts w:hint="eastAsia" w:ascii="宋体" w:hAnsi="宋体"/>
                <w:bCs/>
                <w:color w:val="000000"/>
                <w:sz w:val="24"/>
                <w:szCs w:val="24"/>
              </w:rPr>
            </w:r>
            <w:r/>
          </w:p>
        </w:tc>
        <w:tc>
          <w:tcPr>
            <w:tcW w:w="566" w:type="dxa"/>
            <w:vAlign w:val="center"/>
            <w:textDirection w:val="lrTb"/>
            <w:noWrap w:val="false"/>
          </w:tcPr>
          <w:p>
            <w:pPr>
              <w:pStyle w:val="745"/>
              <w:jc w:val="center"/>
              <w:spacing w:line="360" w:lineRule="auto"/>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745"/>
              <w:jc w:val="center"/>
              <w:spacing w:line="360" w:lineRule="auto"/>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597"/>
        </w:trPr>
        <w:tc>
          <w:tcPr>
            <w:tcW w:w="420"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745"/>
              <w:spacing w:line="360" w:lineRule="auto"/>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745"/>
              <w:jc w:val="center"/>
              <w:spacing w:line="360"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745"/>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bl>
    <w:p>
      <w:pPr>
        <w:pStyle w:val="745"/>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745"/>
        <w:ind w:firstLine="480"/>
        <w:spacing w:line="360"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745"/>
        <w:ind w:firstLine="480"/>
        <w:spacing w:line="360" w:lineRule="auto"/>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1.服务要求</w:t>
      </w:r>
      <w:r>
        <w:rPr>
          <w:rFonts w:hint="eastAsia" w:ascii="宋体" w:hAnsi="宋体"/>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（1）环境保洁</w:t>
            </w:r>
            <w:r>
              <w:rPr>
                <w:rFonts w:hint="eastAsia" w:ascii="宋体" w:hAnsi="宋体" w:cs="宋体"/>
                <w:color w:val="000000"/>
                <w:sz w:val="24"/>
                <w:szCs w:val="24"/>
              </w:rPr>
            </w:r>
            <w:r/>
          </w:p>
          <w:p>
            <w:pPr>
              <w:pStyle w:val="771"/>
              <w:ind w:left="0" w:firstLine="480"/>
              <w:spacing w:after="0" w:line="360" w:lineRule="auto"/>
              <w:rPr>
                <w:rFonts w:ascii="宋体" w:hAnsi="宋体" w:cs="Courier New"/>
                <w:color w:val="000000"/>
                <w:sz w:val="24"/>
                <w:szCs w:val="24"/>
              </w:rPr>
            </w:pPr>
            <w:r>
              <w:rPr>
                <w:rFonts w:hint="eastAsia" w:ascii="宋体" w:hAnsi="宋体" w:cs="Courier New"/>
                <w:color w:val="000000"/>
                <w:sz w:val="24"/>
                <w:szCs w:val="24"/>
              </w:rPr>
              <w:t xml:space="preserve">按照采购人各部门的需要，合理安排员工错时上下班，保证采购人环境的干净、整洁；保洁工作要求有每日重点，保留书面文件形式，利于执行监管；各类墩布、尘推套专用，墩布有明显使用标记，各类用品、用具分类摆放，整齐有序。所有保洁用尘推、拖布、毛巾</w:t>
            </w:r>
            <w:r>
              <w:rPr>
                <w:rFonts w:hint="eastAsia" w:ascii="宋体" w:hAnsi="宋体" w:cs="Courier New"/>
                <w:color w:val="000000"/>
                <w:sz w:val="24"/>
                <w:szCs w:val="24"/>
              </w:rPr>
              <w:t xml:space="preserve">必须进行集中清洗、消毒并烘干后使用；各地面拖前必须湿式清扫,拖地后及时摆放“小心地滑 ”的黄色安全警示牌。加强巡视检查，每两小时巡查不少于一次，有水渍及时清理，保持地面干爽。如因未及时清理造成地面湿滑导致人员意外受伤，相关责任由供应商承担。使用环保的地面清洁剂并符合采购人院感的要求；病房、治疗室、处置室、库房、配餐间、洗手间、员工休息室、公共区域、办公区域、药房、药库(含窗户)等所有医疗办公区域的保洁和消毒，做到“六面光 ”。室内消毒应符合采购人消毒规范，有相关管理人员定期检查与监督；病人床单元的终末处理和</w:t>
            </w:r>
            <w:r>
              <w:rPr>
                <w:rFonts w:hint="eastAsia" w:ascii="宋体" w:hAnsi="宋体" w:cs="Courier New"/>
                <w:color w:val="000000"/>
                <w:sz w:val="24"/>
                <w:szCs w:val="24"/>
              </w:rPr>
              <w:t xml:space="preserve">消毒；室内各物品按清洁要求保洁，各种仪器、治疗车及推床、轮椅的车轮日常维护无杂物缠绕，易推行；室内、楼顶、各种顶棚、雨棚，户外明沟、窨井内杂物的清理及管道的畅通；科室、病房空调的进出风口定期清洗，排风扇、各类灯具等外观擦拭；协助对下水道地漏飞虫的治理和灭鼠工作；定期拆装窗帘和隔帘，负责每季度清洗一次；负责医疗废物暂存点医疗垃圾的收集、登记、数据上传、回收公司交接、存放点管理；负责院内工作人员工作服的收集、转运、清洗、晾晒工作；中标单位根据医院工作周期和时间合理安排人员工作休息时间，确保每天保洁服务达到要求。</w:t>
            </w:r>
            <w:r>
              <w:rPr>
                <w:rFonts w:ascii="宋体" w:hAnsi="宋体" w:cs="Courier New"/>
                <w:color w:val="000000"/>
                <w:sz w:val="24"/>
                <w:szCs w:val="24"/>
              </w:rPr>
            </w:r>
            <w:r/>
          </w:p>
          <w:p>
            <w:pPr>
              <w:pStyle w:val="772"/>
              <w:spacing w:line="360" w:lineRule="auto"/>
              <w:rPr>
                <w:rFonts w:ascii="宋体" w:hAnsi="宋体"/>
                <w:b/>
                <w:bCs/>
                <w:color w:val="000000"/>
                <w:spacing w:val="-5"/>
                <w:sz w:val="24"/>
                <w:szCs w:val="24"/>
              </w:rPr>
            </w:pPr>
            <w:r>
              <w:rPr>
                <w:rFonts w:hint="eastAsia"/>
                <w:color w:val="000000"/>
              </w:rPr>
              <w:t xml:space="preserve">（2）</w:t>
            </w:r>
            <w:r>
              <w:rPr>
                <w:rFonts w:ascii="宋体" w:hAnsi="宋体"/>
                <w:b/>
                <w:bCs/>
                <w:color w:val="000000"/>
                <w:spacing w:val="-5"/>
                <w:sz w:val="24"/>
                <w:szCs w:val="24"/>
              </w:rPr>
              <w:t xml:space="preserve">病区专职保洁（简称辅</w:t>
            </w:r>
            <w:r>
              <w:rPr>
                <w:rFonts w:hint="eastAsia" w:ascii="宋体" w:hAnsi="宋体"/>
                <w:b/>
                <w:bCs/>
                <w:color w:val="000000"/>
                <w:spacing w:val="-5"/>
                <w:sz w:val="24"/>
                <w:szCs w:val="24"/>
              </w:rPr>
              <w:t xml:space="preserve">工</w:t>
            </w:r>
            <w:r>
              <w:rPr>
                <w:rFonts w:ascii="宋体" w:hAnsi="宋体"/>
                <w:b/>
                <w:bCs/>
                <w:color w:val="000000"/>
                <w:spacing w:val="-5"/>
                <w:sz w:val="24"/>
                <w:szCs w:val="24"/>
              </w:rPr>
              <w:t xml:space="preserve">）</w:t>
            </w:r>
            <w:r>
              <w:rPr>
                <w:rFonts w:ascii="宋体" w:hAnsi="宋体"/>
                <w:b/>
                <w:bCs/>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ascii="宋体" w:hAnsi="宋体" w:cs="宋体"/>
                <w:color w:val="000000"/>
                <w:spacing w:val="-5"/>
                <w:sz w:val="24"/>
                <w:szCs w:val="24"/>
              </w:rPr>
              <w:t xml:space="preserve">辅</w:t>
            </w:r>
            <w:r>
              <w:rPr>
                <w:rFonts w:hint="eastAsia" w:ascii="宋体" w:hAnsi="宋体" w:cs="宋体"/>
                <w:color w:val="000000"/>
                <w:spacing w:val="-5"/>
                <w:sz w:val="24"/>
                <w:szCs w:val="24"/>
              </w:rPr>
              <w:t xml:space="preserve">工</w:t>
            </w:r>
            <w:r>
              <w:rPr>
                <w:rFonts w:ascii="宋体" w:hAnsi="宋体" w:cs="宋体"/>
                <w:color w:val="000000"/>
                <w:spacing w:val="-5"/>
                <w:sz w:val="24"/>
                <w:szCs w:val="24"/>
              </w:rPr>
              <w:t xml:space="preserve">三班倒24小时在岗制，值晚夜班，服从病区护士长排班，值班期间要服从护士长及当班护士的工作安排，在护士指导下完成病人的</w:t>
            </w:r>
            <w:r>
              <w:rPr>
                <w:rFonts w:hint="eastAsia" w:ascii="宋体" w:hAnsi="宋体" w:cs="宋体"/>
                <w:color w:val="000000"/>
                <w:spacing w:val="-5"/>
                <w:sz w:val="24"/>
                <w:szCs w:val="24"/>
              </w:rPr>
              <w:t xml:space="preserve">清洁工作</w:t>
            </w:r>
            <w:r>
              <w:rPr>
                <w:rFonts w:ascii="宋体" w:hAnsi="宋体" w:cs="宋体"/>
                <w:color w:val="000000"/>
                <w:spacing w:val="-5"/>
                <w:sz w:val="24"/>
                <w:szCs w:val="24"/>
              </w:rPr>
              <w:t xml:space="preserve">（洗澡、洗漱、头发胡须的修理及穿着</w:t>
            </w:r>
            <w:r>
              <w:rPr>
                <w:rFonts w:hint="eastAsia" w:ascii="宋体" w:hAnsi="宋体" w:cs="宋体"/>
                <w:color w:val="000000"/>
                <w:spacing w:val="-5"/>
                <w:sz w:val="24"/>
                <w:szCs w:val="24"/>
              </w:rPr>
              <w:t xml:space="preserve">、协助患者进餐、饮水、服药等</w:t>
            </w:r>
            <w:r>
              <w:rPr>
                <w:rFonts w:ascii="宋体" w:hAnsi="宋体" w:cs="宋体"/>
                <w:color w:val="000000"/>
                <w:spacing w:val="-5"/>
                <w:sz w:val="24"/>
                <w:szCs w:val="24"/>
              </w:rPr>
              <w:t xml:space="preserve">）</w:t>
            </w:r>
            <w:r>
              <w:rPr>
                <w:rFonts w:hint="eastAsia" w:ascii="宋体" w:hAnsi="宋体" w:cs="宋体"/>
                <w:color w:val="000000"/>
                <w:spacing w:val="-5"/>
                <w:sz w:val="24"/>
                <w:szCs w:val="24"/>
              </w:rPr>
              <w:t xml:space="preserve">；协助</w:t>
            </w:r>
            <w:r>
              <w:rPr>
                <w:rFonts w:ascii="宋体" w:hAnsi="宋体" w:cs="宋体"/>
                <w:color w:val="000000"/>
                <w:spacing w:val="-5"/>
                <w:sz w:val="24"/>
                <w:szCs w:val="24"/>
              </w:rPr>
              <w:t xml:space="preserve">每日负责探视时间段家属的管理，严格限制探视人数</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及时清除患者排泄物（大小便、呕吐物等），负责大小便器清洁、消毒、污染物的清洗消毒、晾晒后归位</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患者外出检查或入科、转科、出院时协助护士一起搬、抬、运、转病人</w:t>
            </w:r>
            <w:r>
              <w:rPr>
                <w:rFonts w:hint="eastAsia" w:ascii="宋体" w:hAnsi="宋体" w:cs="宋体"/>
                <w:color w:val="000000"/>
                <w:spacing w:val="-5"/>
                <w:sz w:val="24"/>
                <w:szCs w:val="24"/>
              </w:rPr>
              <w:t xml:space="preserve">，协助病人约束性保护；</w:t>
            </w:r>
            <w:r>
              <w:rPr>
                <w:rFonts w:ascii="宋体" w:hAnsi="宋体" w:cs="宋体"/>
                <w:color w:val="000000"/>
                <w:spacing w:val="-5"/>
                <w:sz w:val="24"/>
                <w:szCs w:val="24"/>
              </w:rPr>
              <w:t xml:space="preserve">负责</w:t>
            </w:r>
            <w:r>
              <w:rPr>
                <w:rFonts w:hint="eastAsia" w:ascii="宋体" w:hAnsi="宋体" w:cs="宋体"/>
                <w:color w:val="000000"/>
                <w:spacing w:val="-5"/>
                <w:sz w:val="24"/>
                <w:szCs w:val="24"/>
              </w:rPr>
              <w:t xml:space="preserve">协助</w:t>
            </w:r>
            <w:r>
              <w:rPr>
                <w:rFonts w:ascii="宋体" w:hAnsi="宋体" w:cs="宋体"/>
                <w:color w:val="000000"/>
                <w:spacing w:val="-5"/>
                <w:sz w:val="24"/>
                <w:szCs w:val="24"/>
              </w:rPr>
              <w:t xml:space="preserve">新病人入院时接收生活用物并放置于床头柜，脸盆、脚盆及毛巾区分清楚做好标示后放于指定地点</w:t>
            </w:r>
            <w:r>
              <w:rPr>
                <w:rFonts w:hint="eastAsia" w:ascii="宋体" w:hAnsi="宋体" w:cs="宋体"/>
                <w:color w:val="000000"/>
                <w:spacing w:val="-5"/>
                <w:sz w:val="24"/>
                <w:szCs w:val="24"/>
              </w:rPr>
              <w:t xml:space="preserve">；协助</w:t>
            </w:r>
            <w:r>
              <w:rPr>
                <w:rFonts w:ascii="宋体" w:hAnsi="宋体" w:cs="宋体"/>
                <w:color w:val="000000"/>
                <w:spacing w:val="-5"/>
                <w:sz w:val="24"/>
                <w:szCs w:val="24"/>
              </w:rPr>
              <w:t xml:space="preserve">完成出院病人的终末消毒及病室的日常清洁卫生工作</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协助医护人员运送标本</w:t>
            </w:r>
            <w:r>
              <w:rPr>
                <w:rFonts w:hint="eastAsia" w:ascii="宋体" w:hAnsi="宋体" w:cs="宋体"/>
                <w:color w:val="000000"/>
                <w:spacing w:val="-5"/>
                <w:sz w:val="24"/>
                <w:szCs w:val="24"/>
              </w:rPr>
              <w:t xml:space="preserve">；按照保洁服务要求和病区保洁服务标准做好保洁；</w:t>
            </w:r>
            <w:r>
              <w:rPr>
                <w:rFonts w:ascii="宋体" w:hAnsi="宋体" w:cs="宋体"/>
                <w:color w:val="000000"/>
                <w:spacing w:val="-5"/>
                <w:sz w:val="24"/>
                <w:szCs w:val="24"/>
              </w:rPr>
              <w:t xml:space="preserve">完成采购人赋予的其他临时性工作。</w:t>
            </w:r>
            <w:r>
              <w:rPr>
                <w:rFonts w:hint="eastAsia" w:ascii="宋体" w:hAnsi="宋体" w:cs="宋体"/>
                <w:color w:val="000000"/>
                <w:spacing w:val="-5"/>
                <w:sz w:val="24"/>
                <w:szCs w:val="24"/>
              </w:rPr>
            </w:r>
            <w:r/>
          </w:p>
          <w:p>
            <w:pPr>
              <w:pStyle w:val="745"/>
              <w:spacing w:line="360" w:lineRule="auto"/>
              <w:rPr>
                <w:rFonts w:hint="eastAsia" w:ascii="宋体" w:hAnsi="宋体" w:cs="宋体"/>
                <w:color w:val="000000"/>
                <w:spacing w:val="-5"/>
                <w:sz w:val="24"/>
                <w:szCs w:val="24"/>
              </w:rPr>
            </w:pPr>
            <w:r>
              <w:rPr>
                <w:rFonts w:hint="eastAsia" w:ascii="宋体" w:hAnsi="宋体" w:cs="宋体"/>
                <w:b/>
                <w:bCs/>
                <w:color w:val="000000"/>
                <w:spacing w:val="-5"/>
                <w:sz w:val="24"/>
                <w:szCs w:val="24"/>
              </w:rPr>
              <w:t xml:space="preserve">（3）</w:t>
            </w:r>
            <w:r>
              <w:rPr>
                <w:rFonts w:ascii="宋体" w:hAnsi="宋体" w:cs="宋体"/>
                <w:b/>
                <w:bCs/>
                <w:color w:val="000000"/>
                <w:spacing w:val="-5"/>
                <w:sz w:val="24"/>
                <w:szCs w:val="24"/>
              </w:rPr>
              <w:t xml:space="preserve">安全保卫</w:t>
            </w:r>
            <w:r>
              <w:rPr>
                <w:rFonts w:hint="eastAsia" w:ascii="宋体" w:hAnsi="宋体" w:cs="宋体"/>
                <w:b/>
                <w:bCs/>
                <w:color w:val="000000"/>
                <w:spacing w:val="-5"/>
                <w:sz w:val="24"/>
                <w:szCs w:val="24"/>
              </w:rPr>
              <w:t xml:space="preserve">服务要求</w:t>
            </w:r>
            <w:r>
              <w:rPr>
                <w:rFonts w:hint="eastAsia" w:ascii="宋体" w:hAnsi="宋体" w:cs="宋体"/>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ascii="宋体" w:hAnsi="宋体" w:cs="宋体"/>
                <w:color w:val="000000"/>
                <w:spacing w:val="-5"/>
                <w:sz w:val="24"/>
                <w:szCs w:val="24"/>
              </w:rPr>
              <w:t xml:space="preserve">中标方要严格执行国务院关于《保安服务管理条例》、《江苏省企业事业单位内部治</w:t>
            </w:r>
            <w:r>
              <w:rPr>
                <w:rFonts w:hint="eastAsia" w:ascii="宋体" w:hAnsi="宋体" w:cs="宋体"/>
                <w:color w:val="000000"/>
                <w:spacing w:val="-5"/>
                <w:sz w:val="24"/>
                <w:szCs w:val="24"/>
              </w:rPr>
              <w:t xml:space="preserve">安保卫条例》等有关规定和章程要求，按照规范提供标准化服务；</w:t>
            </w:r>
            <w:r>
              <w:rPr>
                <w:rFonts w:ascii="宋体" w:hAnsi="宋体" w:cs="宋体"/>
                <w:color w:val="000000"/>
                <w:spacing w:val="-5"/>
                <w:sz w:val="24"/>
                <w:szCs w:val="24"/>
              </w:rPr>
              <w:t xml:space="preserve">安保人员应服装统一、整洁，挂牌上岗，应按《保安员着装规范》要求，由中标方按</w:t>
            </w:r>
            <w:r>
              <w:rPr>
                <w:rFonts w:hint="eastAsia" w:ascii="宋体" w:hAnsi="宋体" w:cs="宋体"/>
                <w:color w:val="000000"/>
                <w:spacing w:val="-5"/>
                <w:sz w:val="24"/>
                <w:szCs w:val="24"/>
              </w:rPr>
              <w:t xml:space="preserve">标准自行配备保安制服，着装上岗；中标方</w:t>
            </w:r>
            <w:r>
              <w:rPr>
                <w:rFonts w:ascii="宋体" w:hAnsi="宋体" w:cs="宋体"/>
                <w:color w:val="000000"/>
                <w:spacing w:val="-5"/>
                <w:sz w:val="24"/>
                <w:szCs w:val="24"/>
              </w:rPr>
              <w:t xml:space="preserve">要定期组织保安人员的法律法规、专业知识与技能培训，要有系统的体能训练计</w:t>
            </w:r>
            <w:r>
              <w:rPr>
                <w:rFonts w:hint="eastAsia" w:ascii="宋体" w:hAnsi="宋体" w:cs="宋体"/>
                <w:color w:val="000000"/>
                <w:spacing w:val="-5"/>
                <w:sz w:val="24"/>
                <w:szCs w:val="24"/>
              </w:rPr>
              <w:t xml:space="preserve">划和定期的消防演练计划；</w:t>
            </w:r>
            <w:r>
              <w:rPr>
                <w:rFonts w:ascii="宋体" w:hAnsi="宋体" w:cs="宋体"/>
                <w:color w:val="000000"/>
                <w:spacing w:val="-5"/>
                <w:sz w:val="24"/>
                <w:szCs w:val="24"/>
              </w:rPr>
              <w:t xml:space="preserve">中标方要按照院方实际要</w:t>
            </w:r>
            <w:r>
              <w:rPr>
                <w:rFonts w:hint="eastAsia" w:ascii="宋体" w:hAnsi="宋体" w:cs="宋体"/>
                <w:color w:val="000000"/>
                <w:spacing w:val="-5"/>
                <w:sz w:val="24"/>
                <w:szCs w:val="24"/>
              </w:rPr>
              <w:t xml:space="preserve">求，制定出相应的安保规章制度；</w:t>
            </w:r>
            <w:r>
              <w:rPr>
                <w:rFonts w:ascii="宋体" w:hAnsi="宋体" w:cs="宋体"/>
                <w:color w:val="000000"/>
                <w:spacing w:val="-5"/>
                <w:sz w:val="24"/>
                <w:szCs w:val="24"/>
              </w:rPr>
              <w:t xml:space="preserve">中标方要对医院各种公共应急事件和各种医患纠纷与矛盾负全责，要有完整的应急事</w:t>
            </w:r>
            <w:r>
              <w:rPr>
                <w:rFonts w:hint="eastAsia" w:ascii="宋体" w:hAnsi="宋体" w:cs="宋体"/>
                <w:color w:val="000000"/>
                <w:spacing w:val="-5"/>
                <w:sz w:val="24"/>
                <w:szCs w:val="24"/>
              </w:rPr>
              <w:t xml:space="preserve">件处理预案，对车辆问题、打架斗殴、医闹、医患纠纷等处理现场，要有管控能力，善于驾驭局面，妥善处理事件；</w:t>
            </w:r>
            <w:r>
              <w:rPr>
                <w:rFonts w:ascii="宋体" w:hAnsi="宋体" w:cs="宋体"/>
                <w:color w:val="000000"/>
                <w:spacing w:val="-5"/>
                <w:sz w:val="24"/>
                <w:szCs w:val="24"/>
              </w:rPr>
              <w:t xml:space="preserve">保安人员要坚决服从院职能部门的管理与使用，遵守医院各项制度和管理规定。</w:t>
            </w:r>
            <w:r>
              <w:rPr>
                <w:rFonts w:hint="eastAsia" w:ascii="宋体" w:hAnsi="宋体" w:cs="宋体"/>
                <w:color w:val="000000"/>
                <w:spacing w:val="-5"/>
                <w:sz w:val="24"/>
                <w:szCs w:val="24"/>
              </w:rPr>
              <w:t xml:space="preserve">若发生劳动争议均由中标方自己解决，医院无连带关系和责任；</w:t>
            </w:r>
            <w:r>
              <w:rPr>
                <w:rFonts w:ascii="宋体" w:hAnsi="宋体" w:cs="宋体"/>
                <w:color w:val="000000"/>
                <w:spacing w:val="-5"/>
                <w:sz w:val="24"/>
                <w:szCs w:val="24"/>
              </w:rPr>
              <w:t xml:space="preserve">要保证保安值勤人员的数、质量，未经</w:t>
            </w:r>
            <w:r>
              <w:rPr>
                <w:rFonts w:hint="eastAsia" w:ascii="宋体" w:hAnsi="宋体" w:cs="宋体"/>
                <w:color w:val="000000"/>
                <w:spacing w:val="-5"/>
                <w:sz w:val="24"/>
                <w:szCs w:val="24"/>
              </w:rPr>
              <w:t xml:space="preserve">采购方</w:t>
            </w:r>
            <w:r>
              <w:rPr>
                <w:rFonts w:ascii="宋体" w:hAnsi="宋体" w:cs="宋体"/>
                <w:color w:val="000000"/>
                <w:spacing w:val="-5"/>
                <w:sz w:val="24"/>
                <w:szCs w:val="24"/>
              </w:rPr>
              <w:t xml:space="preserve">批准不得善自更换人员</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保安人员要经过严格政审，坚决拥护党的领导，执行党的方针、政策，无劳动教养</w:t>
            </w:r>
            <w:r>
              <w:rPr>
                <w:rFonts w:hint="eastAsia" w:ascii="宋体" w:hAnsi="宋体" w:cs="宋体"/>
                <w:color w:val="000000"/>
                <w:spacing w:val="-5"/>
                <w:sz w:val="24"/>
                <w:szCs w:val="24"/>
              </w:rPr>
              <w:t xml:space="preserve">和刑事犯罪记录，以及社会不良记录，所有人员均需持证上岗；</w:t>
            </w:r>
            <w:r>
              <w:rPr>
                <w:rFonts w:ascii="宋体" w:hAnsi="宋体" w:cs="宋体"/>
                <w:color w:val="000000"/>
                <w:spacing w:val="-5"/>
                <w:sz w:val="24"/>
                <w:szCs w:val="24"/>
              </w:rPr>
              <w:t xml:space="preserve">医院如有重要检查、重要嘉宾参观以及其它重要活动时提前通知，应根据院方要求</w:t>
            </w:r>
            <w:r>
              <w:rPr>
                <w:rFonts w:hint="eastAsia" w:ascii="宋体" w:hAnsi="宋体" w:cs="宋体"/>
                <w:color w:val="000000"/>
                <w:spacing w:val="-5"/>
                <w:sz w:val="24"/>
                <w:szCs w:val="24"/>
              </w:rPr>
              <w:t xml:space="preserve">无条件服从；</w:t>
            </w:r>
            <w:r>
              <w:rPr>
                <w:rFonts w:ascii="宋体" w:hAnsi="宋体" w:cs="宋体"/>
                <w:color w:val="000000"/>
                <w:spacing w:val="-5"/>
                <w:sz w:val="24"/>
                <w:szCs w:val="24"/>
              </w:rPr>
              <w:t xml:space="preserve">院方有权提出更换不符合院方使用要求的保安人员</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保安人员在服务区域执行任务中，遇到发生案件，有抓获现场犯罪嫌疑人并报送公</w:t>
            </w:r>
            <w:r>
              <w:rPr>
                <w:rFonts w:hint="eastAsia" w:ascii="宋体" w:hAnsi="宋体" w:cs="宋体"/>
                <w:color w:val="000000"/>
                <w:spacing w:val="-5"/>
                <w:sz w:val="24"/>
                <w:szCs w:val="24"/>
              </w:rPr>
              <w:t xml:space="preserve">安机关处理的责任，但无实施拘留、关押、搜查、审讯或没收财物、罚款等处理的权力；对发生的刑事案件或治安案件，无侦查破案的权力，但有积极配合公安机关保护现场、维护秩序、提供情况的责任；</w:t>
            </w:r>
            <w:r>
              <w:rPr>
                <w:rFonts w:ascii="宋体" w:hAnsi="宋体" w:cs="宋体"/>
                <w:color w:val="000000"/>
                <w:spacing w:val="-5"/>
                <w:sz w:val="24"/>
                <w:szCs w:val="24"/>
              </w:rPr>
              <w:t xml:space="preserve">保安人员出现违法、违纪、违规行为，所造成的一切后果及损失，由中标方承担</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严禁值勤人员在上班时间仪容不整、缺岗、漏岗、串岗、迟到、早退、巡逻不到位、</w:t>
            </w:r>
            <w:r>
              <w:rPr>
                <w:rFonts w:hint="eastAsia" w:ascii="宋体" w:hAnsi="宋体" w:cs="宋体"/>
                <w:color w:val="000000"/>
                <w:spacing w:val="-5"/>
                <w:sz w:val="24"/>
                <w:szCs w:val="24"/>
              </w:rPr>
              <w:t xml:space="preserve">处置情况不及时等现象发生；</w:t>
            </w:r>
            <w:r>
              <w:rPr>
                <w:rFonts w:ascii="宋体" w:hAnsi="宋体" w:cs="宋体"/>
                <w:color w:val="000000"/>
                <w:spacing w:val="-5"/>
                <w:sz w:val="24"/>
                <w:szCs w:val="24"/>
              </w:rPr>
              <w:t xml:space="preserve">主出入口实行24小时值班，安全防范实行人防、机防、技防相结合，监控巡视、值班相配合，确保无漏岗、脱岗、睡岗、失职现象</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注意观察进出门的可疑人员，查验其证件，制止未经许可人员、推销员进入办公区；节假日期间和非工作时间对进出车辆和人员进行询问并登记</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按规定时间、线路巡查，不得漏查，巡查过程要多看、多听、多嗅，以确保完成巡视工作任务；巡查过程中发现问题立即处理，并通知值班室；按规定处理巡更过程中的其他工作，如关灯、关闭电源、检查办公室门是否锁闭等</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重大火灾、刑事案件或交通事故发生率1‰以下，处理及时率100%</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停车场管理制度完善，人员配备合理，机动车辆、非机动车分区停放有序、安全可靠，无乱停乱放和阻塞现象。出入口和道路无堵塞现象</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完成采购人赋予的其他临时性工作</w:t>
            </w:r>
            <w:r>
              <w:rPr>
                <w:rFonts w:hint="eastAsia" w:ascii="宋体" w:hAnsi="宋体" w:cs="宋体"/>
                <w:color w:val="000000"/>
                <w:spacing w:val="-5"/>
                <w:sz w:val="24"/>
                <w:szCs w:val="24"/>
              </w:rPr>
              <w:t xml:space="preserve">；配合消防监控值班员进行消防安全巡视及消防器具的巡视。定期检查消防器材并记录，对需更换新的要及时提交书面报告。定期检查安全出口、疏散通道内的应急照明是否完好，发现问题及时报告；承担抢险、救火及社会治安综合治理等工作；接受就诊人员的求助，回答就诊人员的询问。</w:t>
            </w:r>
            <w:r>
              <w:rPr>
                <w:rFonts w:hint="eastAsia" w:ascii="宋体" w:hAnsi="宋体" w:cs="宋体"/>
                <w:color w:val="000000"/>
                <w:spacing w:val="-5"/>
                <w:sz w:val="24"/>
                <w:szCs w:val="24"/>
              </w:rPr>
              <w:t xml:space="preserve">对入院就诊人员进行地点的指引，对就诊挂号、缴费及取药等各等待区域进行秩序维护；安保人员应服从采购人对其进行的监督和管理。认真做好保安值班室的值班管理工作，保持值班室的整洁卫生；完成医闹及医患纠纷的前期处理，保障院方正常工作秩序；做好雨雪天气时各入口防滑垫的及时铺放收回，收回后的清洁晾干保管，及时处理各入口处地面积水并于显眼位置摆放温馨提示牌；协助绿化维护；积极配合医院完成各项指令性任务和迎检工作；所有运行的操作流程、制度、计划、总结、培训、考核及各种运行记录、交接班记录、排班表等资料必须每月上交医院后勤部。</w:t>
            </w:r>
            <w:r>
              <w:rPr>
                <w:rFonts w:hint="eastAsia" w:ascii="宋体" w:hAnsi="宋体" w:cs="宋体"/>
                <w:color w:val="000000"/>
                <w:spacing w:val="-5"/>
                <w:sz w:val="24"/>
                <w:szCs w:val="24"/>
              </w:rPr>
            </w:r>
            <w:r/>
          </w:p>
          <w:p>
            <w:pPr>
              <w:pStyle w:val="745"/>
              <w:spacing w:line="360" w:lineRule="auto"/>
              <w:rPr>
                <w:rFonts w:hint="eastAsia" w:ascii="宋体" w:hAnsi="宋体" w:cs="宋体"/>
                <w:b/>
                <w:bCs/>
                <w:color w:val="000000"/>
                <w:spacing w:val="-5"/>
                <w:sz w:val="24"/>
                <w:szCs w:val="24"/>
              </w:rPr>
            </w:pPr>
            <w:r>
              <w:rPr>
                <w:rFonts w:hint="eastAsia" w:ascii="宋体" w:hAnsi="宋体" w:cs="宋体"/>
                <w:b/>
                <w:bCs/>
                <w:color w:val="000000"/>
                <w:spacing w:val="-5"/>
                <w:sz w:val="24"/>
                <w:szCs w:val="24"/>
              </w:rPr>
              <w:t xml:space="preserve">（4）维修</w:t>
            </w:r>
            <w:r>
              <w:rPr>
                <w:rFonts w:ascii="宋体" w:hAnsi="宋体" w:cs="宋体"/>
                <w:b/>
                <w:bCs/>
                <w:color w:val="000000"/>
                <w:spacing w:val="-5"/>
                <w:sz w:val="24"/>
                <w:szCs w:val="24"/>
              </w:rPr>
              <w:t xml:space="preserve">电工</w:t>
            </w:r>
            <w:r>
              <w:rPr>
                <w:rFonts w:hint="eastAsia" w:ascii="宋体" w:hAnsi="宋体" w:cs="宋体"/>
                <w:b/>
                <w:bCs/>
                <w:color w:val="000000"/>
                <w:spacing w:val="-5"/>
                <w:sz w:val="24"/>
                <w:szCs w:val="24"/>
              </w:rPr>
              <w:t xml:space="preserve">服务要求</w:t>
            </w:r>
            <w:r>
              <w:rPr>
                <w:rFonts w:hint="eastAsia" w:ascii="宋体" w:hAnsi="宋体" w:cs="宋体"/>
                <w:b/>
                <w:bCs/>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ascii="宋体" w:hAnsi="宋体" w:cs="宋体"/>
                <w:color w:val="000000"/>
                <w:spacing w:val="-5"/>
                <w:sz w:val="24"/>
                <w:szCs w:val="24"/>
              </w:rPr>
              <w:t xml:space="preserve">负责供配电系统</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照明系统</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给排水系统(水泵、阀门、管线)</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消防监控系统的正常运行、管理和维护</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所有维修人员必须持有效证件上岗</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电梯、空调、消防、弱电等专业维保单位进行维保时，必须随工监督</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负责配电值班及日常维修工作，日常维修报修15分钟内到场，维修率100%。对各种设备的日常运行有效管理。并协助、监管维保单位做好维护工作（不含专业维保合同确定的维护内容）</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负责空调系统的日常使用运行、（不含专业维保合同确定的维护内容）</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负责电梯的日常运行、管理；（不含专业维保合同确定的维护内容）</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负责对高、低压配电房24小时的值守和巡视</w:t>
            </w:r>
            <w:r>
              <w:rPr>
                <w:rFonts w:hint="eastAsia" w:ascii="宋体" w:hAnsi="宋体" w:cs="宋体"/>
                <w:color w:val="000000"/>
                <w:spacing w:val="-5"/>
                <w:sz w:val="24"/>
                <w:szCs w:val="24"/>
              </w:rPr>
              <w:t xml:space="preserve">，配合并参与消控室值班值守工作；水电安全管理及日常零星维修；配电房高压值班24小时值守，持证上岗；对院方所有公共设施设备（电梯、空调</w:t>
            </w:r>
            <w:r>
              <w:rPr>
                <w:rFonts w:hint="eastAsia" w:ascii="宋体" w:hAnsi="宋体" w:cs="宋体"/>
                <w:color w:val="000000"/>
                <w:spacing w:val="-5"/>
                <w:sz w:val="24"/>
                <w:szCs w:val="24"/>
              </w:rPr>
              <w:t xml:space="preserve">、消防、弱电等）的监管工作，做好日常养护和维修工作。在发现水、电、气等设施设备故障时，及时维修、配合养护、协助故障诊断。设施设备管理、保养、检修制度完善，保证设施设备正常运行；协助检查消防设备及消防报警系统设备，发现异常及时报修；负责水龙头、水池（箱）、电灯、开关、插座、家具等零星小维修（维修耗材由采购人提供）确保正常使用；自觉遵守节约型医院建议的相关规定，合理控制使用公共区域内的水电。楼内杜绝长明灯、长流水，做到人走灯灭，人走水停。物业人员须负责巡视检查，发现水电浪费的行为要及时制止，检查情况要记录备案；</w:t>
            </w:r>
            <w:r>
              <w:rPr>
                <w:rFonts w:ascii="宋体" w:hAnsi="宋体" w:cs="宋体"/>
                <w:color w:val="000000"/>
                <w:spacing w:val="-5"/>
                <w:sz w:val="24"/>
                <w:szCs w:val="24"/>
              </w:rPr>
              <w:t xml:space="preserve">完成采购人赋予的其他临时性工作。</w:t>
            </w:r>
            <w:r>
              <w:rPr>
                <w:rFonts w:hint="eastAsia" w:ascii="宋体" w:hAnsi="宋体" w:cs="宋体"/>
                <w:color w:val="000000"/>
                <w:spacing w:val="-5"/>
                <w:sz w:val="24"/>
                <w:szCs w:val="24"/>
              </w:rPr>
            </w:r>
            <w:r/>
          </w:p>
          <w:p>
            <w:pPr>
              <w:pStyle w:val="745"/>
              <w:spacing w:line="360" w:lineRule="auto"/>
              <w:rPr>
                <w:rFonts w:hint="eastAsia" w:ascii="宋体" w:hAnsi="宋体" w:cs="宋体"/>
                <w:b/>
                <w:bCs/>
                <w:color w:val="000000"/>
                <w:spacing w:val="-5"/>
                <w:sz w:val="24"/>
                <w:szCs w:val="24"/>
              </w:rPr>
            </w:pPr>
            <w:r>
              <w:rPr>
                <w:rFonts w:hint="eastAsia" w:ascii="宋体" w:hAnsi="宋体" w:cs="宋体"/>
                <w:b/>
                <w:bCs/>
                <w:color w:val="000000"/>
                <w:spacing w:val="-5"/>
                <w:sz w:val="24"/>
                <w:szCs w:val="24"/>
              </w:rPr>
              <w:t xml:space="preserve">（5）</w:t>
            </w:r>
            <w:r>
              <w:rPr>
                <w:rFonts w:ascii="宋体" w:hAnsi="宋体" w:cs="宋体"/>
                <w:b/>
                <w:bCs/>
                <w:color w:val="000000"/>
                <w:spacing w:val="-5"/>
                <w:sz w:val="24"/>
                <w:szCs w:val="24"/>
              </w:rPr>
              <w:t xml:space="preserve">消控室人员</w:t>
            </w:r>
            <w:r>
              <w:rPr>
                <w:rFonts w:hint="eastAsia" w:ascii="宋体" w:hAnsi="宋体" w:cs="宋体"/>
                <w:b/>
                <w:bCs/>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hint="eastAsia" w:ascii="宋体" w:hAnsi="宋体" w:cs="宋体"/>
                <w:color w:val="000000"/>
                <w:spacing w:val="-5"/>
                <w:sz w:val="24"/>
                <w:szCs w:val="24"/>
              </w:rPr>
              <w:t xml:space="preserve">负责对各种消防控制设备的监视和运行，不得擅离职守，做好检查、操作等工作；熟悉本单位所采用消防设施系统基</w:t>
            </w:r>
            <w:r>
              <w:rPr>
                <w:rFonts w:hint="eastAsia" w:ascii="宋体" w:hAnsi="宋体" w:cs="宋体"/>
                <w:color w:val="000000"/>
                <w:spacing w:val="-5"/>
                <w:sz w:val="24"/>
                <w:szCs w:val="24"/>
              </w:rPr>
              <w:t xml:space="preserve">本原理、功能，熟练掌握操作技术，协助技术人员进行修理、维护，不得擅自拆卸、挪用或停用，保证设备正常运行；发生火灾要尽快确认，及时、准确启动有关消防设备，正确有效地组织扑救及人员疏散，给领导决策当好参谋，并及时报警，消防队到场后，要如实报告情况，协助消防人员扑救火灾；严格执行值班登记制度，对消防控制室设备及通讯器材等要进行经常性的检查，定期做好各系统功能试验，以确保消防设施各系统运行状况良好。做好交接班工作，认真填写值班记录及系统运行登记表和控制器日检登记表；积极参加消防业务学习和专业培训，不断提高业务素质；</w:t>
            </w:r>
            <w:r>
              <w:rPr>
                <w:rFonts w:ascii="宋体" w:hAnsi="宋体" w:cs="宋体"/>
                <w:color w:val="000000"/>
                <w:spacing w:val="-5"/>
                <w:sz w:val="24"/>
                <w:szCs w:val="24"/>
              </w:rPr>
              <w:t xml:space="preserve">完成采购人赋予的其他临时性工作。</w:t>
            </w:r>
            <w:r>
              <w:rPr>
                <w:rFonts w:hint="eastAsia" w:ascii="宋体" w:hAnsi="宋体" w:cs="宋体"/>
                <w:color w:val="000000"/>
                <w:spacing w:val="-5"/>
                <w:sz w:val="24"/>
                <w:szCs w:val="24"/>
              </w:rPr>
              <w:t xml:space="preserve">对所有监控点实施监控无遗漏。要求消控值班人员身体健康，有责任心，工作认真，</w:t>
            </w:r>
            <w:r>
              <w:rPr>
                <w:rFonts w:ascii="宋体" w:hAnsi="宋体" w:cs="宋体"/>
                <w:color w:val="000000"/>
                <w:spacing w:val="-5"/>
                <w:sz w:val="24"/>
                <w:szCs w:val="24"/>
              </w:rPr>
              <w:t xml:space="preserve">持证上岗</w:t>
            </w:r>
            <w:r>
              <w:rPr>
                <w:rFonts w:hint="eastAsia" w:ascii="宋体" w:hAnsi="宋体" w:cs="宋体"/>
                <w:color w:val="000000"/>
                <w:spacing w:val="-5"/>
                <w:sz w:val="24"/>
                <w:szCs w:val="24"/>
              </w:rPr>
              <w:t xml:space="preserve">；技术防范设施（如安防消防监控、周界报警等）能有效使用，对所反映的信息实施管理并及时处理；配合采购人维保单位对消防监控设备进行定期检修、保养、更新，保证设备状态良好。对设备故障及时进行记录</w:t>
            </w:r>
            <w:r>
              <w:rPr>
                <w:rFonts w:hint="eastAsia" w:ascii="宋体" w:hAnsi="宋体" w:cs="宋体"/>
                <w:color w:val="000000"/>
                <w:spacing w:val="-5"/>
                <w:sz w:val="24"/>
                <w:szCs w:val="24"/>
              </w:rPr>
              <w:t xml:space="preserve">并报告有关负责人；负责物业管辖区域内消防监控值班室的消防安全设备检查，消防中控设备设施的运行记录，故障报告，消防故障处理。保证设备运行正常，及时解决设备运行过程中出现的问题。及时处理和记录主机的报警信息，和安保人员配合处理现场情况；定期巡检消防设施设备，设备故障及时记录并上报，白班夜班各一人负责消控室消防设备、监控设备、报警设备的正常运行、记录、巡查等工作。消控室接到报警信号，保安人员三分钟到达现场进行处理。消控室应接受救助要求，解答采购人询问。建立水、火、警情等应急预案，每年应组织不少于两次应急预案演习。</w:t>
            </w:r>
            <w:r>
              <w:rPr>
                <w:rFonts w:hint="eastAsia" w:ascii="宋体" w:hAnsi="宋体" w:cs="宋体"/>
                <w:color w:val="000000"/>
                <w:spacing w:val="-5"/>
                <w:sz w:val="24"/>
                <w:szCs w:val="24"/>
              </w:rPr>
            </w:r>
            <w:r/>
          </w:p>
          <w:p>
            <w:pPr>
              <w:pStyle w:val="745"/>
              <w:jc w:val="left"/>
              <w:spacing w:line="360" w:lineRule="auto"/>
              <w:rPr>
                <w:rFonts w:hint="eastAsia"/>
                <w:color w:val="000000"/>
              </w:rPr>
            </w:pPr>
            <w:r>
              <w:rPr>
                <w:rFonts w:hint="eastAsia"/>
                <w:color w:val="000000"/>
              </w:rPr>
            </w:r>
            <w:r/>
          </w:p>
        </w:tc>
      </w:tr>
    </w:tbl>
    <w:p>
      <w:pPr>
        <w:pStyle w:val="745"/>
        <w:spacing w:line="360" w:lineRule="auto"/>
        <w:rPr>
          <w:rFonts w:hint="eastAsia"/>
          <w:color w:val="000000"/>
          <w:sz w:val="24"/>
          <w:szCs w:val="24"/>
        </w:rPr>
      </w:pPr>
      <w:r>
        <w:rPr>
          <w:rFonts w:hint="eastAsia"/>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（一）人员数量</w:t>
            </w:r>
            <w:r>
              <w:rPr>
                <w:rFonts w:hint="eastAsia" w:ascii="宋体" w:hAnsi="宋体" w:cs="宋体"/>
                <w:color w:val="000000"/>
                <w:sz w:val="24"/>
                <w:szCs w:val="24"/>
              </w:rPr>
            </w:r>
            <w:r/>
          </w:p>
          <w:p>
            <w:pPr>
              <w:pStyle w:val="745"/>
              <w:jc w:val="left"/>
              <w:spacing w:line="360" w:lineRule="auto"/>
              <w:rPr>
                <w:rFonts w:hint="eastAsia" w:ascii="宋体" w:hAnsi="宋体" w:cs="宋体"/>
                <w:color w:val="000000"/>
                <w:sz w:val="24"/>
                <w:szCs w:val="24"/>
              </w:rPr>
            </w:pPr>
            <w:r>
              <w:rPr>
                <w:rFonts w:hint="eastAsia" w:hAnsi="宋体" w:cs="宋体"/>
                <w:color w:val="000000"/>
                <w:spacing w:val="-5"/>
                <w:sz w:val="24"/>
                <w:szCs w:val="24"/>
              </w:rPr>
              <w:t xml:space="preserve">1</w:t>
            </w:r>
            <w:r>
              <w:rPr>
                <w:rFonts w:hint="eastAsia" w:ascii="宋体" w:hAnsi="宋体" w:cs="宋体"/>
                <w:color w:val="000000"/>
                <w:sz w:val="24"/>
                <w:szCs w:val="24"/>
              </w:rPr>
              <w:t xml:space="preserve">.保安：4人</w:t>
            </w:r>
            <w:r>
              <w:rPr>
                <w:rFonts w:hint="eastAsia" w:ascii="宋体" w:hAnsi="宋体" w:cs="宋体"/>
                <w:color w:val="000000"/>
                <w:sz w:val="24"/>
                <w:szCs w:val="24"/>
              </w:rPr>
            </w:r>
            <w:r/>
          </w:p>
          <w:p>
            <w:pPr>
              <w:pStyle w:val="74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2.保洁：3人</w:t>
            </w:r>
            <w:r>
              <w:rPr>
                <w:rFonts w:hint="eastAsia" w:ascii="宋体" w:hAnsi="宋体" w:cs="宋体"/>
                <w:color w:val="000000"/>
                <w:sz w:val="24"/>
                <w:szCs w:val="24"/>
              </w:rPr>
            </w:r>
            <w:r/>
          </w:p>
          <w:p>
            <w:pPr>
              <w:pStyle w:val="74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3.电工：2人</w:t>
            </w:r>
            <w:r>
              <w:rPr>
                <w:rFonts w:hint="eastAsia" w:ascii="宋体" w:hAnsi="宋体" w:cs="宋体"/>
                <w:color w:val="000000"/>
                <w:sz w:val="24"/>
                <w:szCs w:val="24"/>
              </w:rPr>
            </w:r>
            <w:r/>
          </w:p>
          <w:p>
            <w:pPr>
              <w:pStyle w:val="74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4.消控室人员：3人</w:t>
            </w:r>
            <w:r>
              <w:rPr>
                <w:rFonts w:hint="eastAsia" w:ascii="宋体" w:hAnsi="宋体" w:cs="宋体"/>
                <w:color w:val="000000"/>
                <w:sz w:val="24"/>
                <w:szCs w:val="24"/>
              </w:rPr>
            </w:r>
            <w:r/>
          </w:p>
          <w:p>
            <w:pPr>
              <w:pStyle w:val="745"/>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5.病区专职保洁（辅工）：15人</w:t>
            </w:r>
            <w:r>
              <w:rPr>
                <w:rFonts w:ascii="宋体" w:hAnsi="宋体" w:cs="宋体"/>
                <w:color w:val="000000"/>
                <w:sz w:val="24"/>
                <w:szCs w:val="24"/>
              </w:rPr>
            </w:r>
            <w:r/>
          </w:p>
          <w:p>
            <w:pPr>
              <w:pStyle w:val="74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（二）人员要求</w:t>
            </w:r>
            <w:r>
              <w:rPr>
                <w:rFonts w:hint="eastAsia" w:ascii="宋体" w:hAnsi="宋体" w:cs="宋体"/>
                <w:color w:val="000000"/>
                <w:sz w:val="24"/>
                <w:szCs w:val="24"/>
              </w:rPr>
            </w:r>
            <w:r/>
          </w:p>
          <w:p>
            <w:pPr>
              <w:pStyle w:val="775"/>
              <w:ind w:firstLine="460"/>
              <w:spacing w:before="120" w:after="120" w:line="360" w:lineRule="auto"/>
              <w:rPr>
                <w:rFonts w:hint="eastAsia" w:hAnsi="宋体" w:cs="宋体"/>
                <w:color w:val="000000"/>
                <w:spacing w:val="-5"/>
                <w:sz w:val="24"/>
                <w:szCs w:val="24"/>
              </w:rPr>
              <w:outlineLvl w:val="1"/>
            </w:pPr>
            <w:r>
              <w:rPr>
                <w:rFonts w:hint="eastAsia" w:hAnsi="宋体" w:cs="宋体"/>
                <w:color w:val="000000"/>
                <w:spacing w:val="-5"/>
                <w:sz w:val="24"/>
                <w:szCs w:val="24"/>
              </w:rPr>
              <w:t xml:space="preserve">1、保安：男性，保安员应当依法取得保安员证，持证上岗</w:t>
            </w:r>
            <w:r>
              <w:rPr>
                <w:rFonts w:hint="eastAsia" w:hAnsi="宋体" w:cs="宋体"/>
                <w:b/>
                <w:bCs/>
                <w:color w:val="000000"/>
                <w:spacing w:val="-5"/>
                <w:sz w:val="24"/>
                <w:szCs w:val="24"/>
              </w:rPr>
              <w:t xml:space="preserve">（证书复印件上传至投标文件）</w:t>
            </w:r>
            <w:r>
              <w:rPr>
                <w:rFonts w:hint="eastAsia" w:hAnsi="宋体" w:cs="宋体"/>
                <w:color w:val="000000"/>
                <w:spacing w:val="-5"/>
                <w:sz w:val="24"/>
                <w:szCs w:val="24"/>
              </w:rPr>
              <w:t xml:space="preserve">。在合同履行期内其3人年龄（周岁）低于60周岁，1人年龄（周岁）低于50周岁。会普通话交流，能登记各类值班表格，具有较强的组织、管理、沟通能力，身体健康，能熟练操作各类安保巡逻、防暴器材。</w:t>
            </w:r>
            <w:r>
              <w:rPr>
                <w:rFonts w:hint="eastAsia" w:hAnsi="宋体" w:cs="宋体"/>
                <w:color w:val="000000"/>
                <w:spacing w:val="-5"/>
                <w:sz w:val="24"/>
                <w:szCs w:val="24"/>
              </w:rPr>
            </w:r>
            <w:r/>
          </w:p>
          <w:p>
            <w:pPr>
              <w:pStyle w:val="775"/>
              <w:ind w:firstLine="460"/>
              <w:spacing w:before="120" w:after="120" w:line="360" w:lineRule="auto"/>
              <w:rPr>
                <w:rFonts w:hint="eastAsia" w:hAnsi="宋体" w:cs="宋体"/>
                <w:color w:val="000000"/>
                <w:spacing w:val="-5"/>
                <w:sz w:val="24"/>
                <w:szCs w:val="24"/>
              </w:rPr>
              <w:outlineLvl w:val="1"/>
            </w:pPr>
            <w:r>
              <w:rPr>
                <w:rFonts w:hint="eastAsia" w:hAnsi="宋体" w:cs="宋体"/>
                <w:color w:val="000000"/>
                <w:spacing w:val="-5"/>
                <w:sz w:val="24"/>
                <w:szCs w:val="24"/>
              </w:rPr>
              <w:t xml:space="preserve">2、保洁：含医废管理，女性，在合同履行期内其年龄（周岁）低于58周岁，身体健康，能登记各类清洁消毒记录本。兼医废管理者，</w:t>
            </w:r>
            <w:r>
              <w:rPr>
                <w:rFonts w:hAnsi="宋体" w:cs="宋体"/>
                <w:color w:val="000000"/>
                <w:spacing w:val="-5"/>
                <w:sz w:val="24"/>
                <w:szCs w:val="24"/>
              </w:rPr>
              <w:t xml:space="preserve">经培训能</w:t>
            </w:r>
            <w:r>
              <w:rPr>
                <w:rFonts w:hint="eastAsia" w:hAnsi="宋体" w:cs="宋体"/>
                <w:color w:val="000000"/>
                <w:spacing w:val="-5"/>
                <w:sz w:val="24"/>
                <w:szCs w:val="24"/>
              </w:rPr>
              <w:t xml:space="preserve">熟练</w:t>
            </w:r>
            <w:r>
              <w:rPr>
                <w:rFonts w:hAnsi="宋体" w:cs="宋体"/>
                <w:color w:val="000000"/>
                <w:spacing w:val="-5"/>
                <w:sz w:val="24"/>
                <w:szCs w:val="24"/>
              </w:rPr>
              <w:t xml:space="preserve">操作相关设备，</w:t>
            </w:r>
            <w:r>
              <w:rPr>
                <w:rFonts w:hint="eastAsia" w:hAnsi="宋体" w:cs="宋体"/>
                <w:color w:val="000000"/>
                <w:spacing w:val="-5"/>
                <w:sz w:val="24"/>
                <w:szCs w:val="24"/>
              </w:rPr>
              <w:t xml:space="preserve">至少有相关工作经验，具有吃苦耐劳的精神，服从管理，经体检合格后上岗。</w:t>
            </w:r>
            <w:r>
              <w:rPr>
                <w:rFonts w:hint="eastAsia" w:hAnsi="宋体" w:cs="宋体"/>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hint="eastAsia" w:ascii="宋体" w:hAnsi="宋体" w:cs="宋体"/>
                <w:color w:val="000000"/>
                <w:spacing w:val="-5"/>
                <w:sz w:val="24"/>
                <w:szCs w:val="24"/>
              </w:rPr>
              <w:t xml:space="preserve">3、电工：男性，</w:t>
            </w:r>
            <w:r>
              <w:rPr>
                <w:rFonts w:hint="eastAsia" w:hAnsi="宋体" w:cs="宋体"/>
                <w:color w:val="000000"/>
                <w:spacing w:val="-5"/>
                <w:sz w:val="24"/>
                <w:szCs w:val="24"/>
              </w:rPr>
              <w:t xml:space="preserve">在合同履行期内其年龄（周岁）低于60周岁，</w:t>
            </w:r>
            <w:r>
              <w:rPr>
                <w:rFonts w:hint="eastAsia" w:ascii="宋体" w:hAnsi="宋体" w:cs="宋体"/>
                <w:color w:val="000000"/>
                <w:spacing w:val="-5"/>
                <w:sz w:val="24"/>
                <w:szCs w:val="24"/>
              </w:rPr>
              <w:t xml:space="preserve">持有电工操作证（至少一人持有高压操作证）。身心健康，具备设备设施专业技能，能规范组织设备设施运行工作。熟悉水、电维修管理及相关流程，具备较强的人际沟通、协调、组织、管理能力，责任心强。具有成熟的职业心态及心理抗压能力，能快速融入新环境。具备进行设备的安全检查维护和事故处理工作的能力。</w:t>
            </w:r>
            <w:r>
              <w:rPr>
                <w:rFonts w:hint="eastAsia" w:ascii="宋体" w:hAnsi="宋体" w:cs="宋体"/>
                <w:color w:val="000000"/>
                <w:spacing w:val="-5"/>
                <w:sz w:val="24"/>
                <w:szCs w:val="24"/>
              </w:rPr>
            </w:r>
            <w:r/>
          </w:p>
          <w:p>
            <w:pPr>
              <w:pStyle w:val="745"/>
              <w:ind w:firstLine="460"/>
              <w:spacing w:line="360" w:lineRule="auto"/>
              <w:rPr>
                <w:rFonts w:hint="eastAsia" w:ascii="宋体" w:hAnsi="宋体" w:cs="宋体"/>
                <w:color w:val="000000"/>
                <w:spacing w:val="-5"/>
                <w:sz w:val="24"/>
                <w:szCs w:val="24"/>
              </w:rPr>
            </w:pPr>
            <w:r>
              <w:rPr>
                <w:rFonts w:ascii="宋体" w:hAnsi="宋体" w:cs="宋体"/>
                <w:color w:val="000000"/>
                <w:spacing w:val="-5"/>
                <w:sz w:val="24"/>
                <w:szCs w:val="24"/>
              </w:rPr>
              <w:t xml:space="preserve">4</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消防监控值班人员：</w:t>
            </w:r>
            <w:r>
              <w:rPr>
                <w:rFonts w:hint="eastAsia" w:ascii="宋体" w:hAnsi="宋体" w:cs="宋体"/>
                <w:color w:val="000000"/>
                <w:spacing w:val="-5"/>
                <w:sz w:val="24"/>
                <w:szCs w:val="24"/>
              </w:rPr>
              <w:t xml:space="preserve">男性，</w:t>
            </w:r>
            <w:r>
              <w:rPr>
                <w:rFonts w:hint="eastAsia" w:hAnsi="宋体" w:cs="宋体"/>
                <w:color w:val="000000"/>
                <w:spacing w:val="-5"/>
                <w:sz w:val="24"/>
                <w:szCs w:val="24"/>
              </w:rPr>
              <w:t xml:space="preserve">在合同履行期内其年龄（周岁）低于60周岁，</w:t>
            </w:r>
            <w:r>
              <w:rPr>
                <w:rFonts w:ascii="宋体" w:hAnsi="宋体" w:cs="宋体"/>
                <w:color w:val="000000"/>
                <w:spacing w:val="-5"/>
                <w:sz w:val="24"/>
                <w:szCs w:val="24"/>
              </w:rPr>
              <w:t xml:space="preserve">身体健康，</w:t>
            </w:r>
            <w:r>
              <w:rPr>
                <w:rFonts w:hint="eastAsia" w:ascii="宋体" w:hAnsi="宋体" w:cs="宋体"/>
                <w:color w:val="000000"/>
                <w:spacing w:val="-5"/>
                <w:sz w:val="24"/>
                <w:szCs w:val="24"/>
              </w:rPr>
              <w:t xml:space="preserve">持有消防设施监控操作证书（四级/中级）。值班人员上岗时必须遵守“五不”，即不喝酒、不抽烟、不擅离工作岗位，不迟到早退，不做与工作无关的事。</w:t>
            </w:r>
            <w:r>
              <w:rPr>
                <w:rFonts w:ascii="宋体" w:hAnsi="宋体" w:cs="宋体"/>
                <w:color w:val="000000"/>
                <w:spacing w:val="-5"/>
                <w:sz w:val="24"/>
                <w:szCs w:val="24"/>
              </w:rPr>
              <w:t xml:space="preserve">能熟练掌握监控</w:t>
            </w:r>
            <w:r>
              <w:rPr>
                <w:rFonts w:hint="eastAsia" w:ascii="宋体" w:hAnsi="宋体" w:cs="宋体"/>
                <w:color w:val="000000"/>
                <w:spacing w:val="-5"/>
                <w:sz w:val="24"/>
                <w:szCs w:val="24"/>
              </w:rPr>
              <w:t xml:space="preserve">设备</w:t>
            </w:r>
            <w:r>
              <w:rPr>
                <w:rFonts w:ascii="宋体" w:hAnsi="宋体" w:cs="宋体"/>
                <w:color w:val="000000"/>
                <w:spacing w:val="-5"/>
                <w:sz w:val="24"/>
                <w:szCs w:val="24"/>
              </w:rPr>
              <w:t xml:space="preserve">操作方法和基本动作</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能熟练掌握消防控制报警主机的基本性能、基本操作程序和动作</w:t>
            </w:r>
            <w:r>
              <w:rPr>
                <w:rFonts w:hint="eastAsia" w:ascii="宋体" w:hAnsi="宋体" w:cs="宋体"/>
                <w:color w:val="000000"/>
                <w:spacing w:val="-5"/>
                <w:sz w:val="24"/>
                <w:szCs w:val="24"/>
              </w:rPr>
              <w:t xml:space="preserve">，</w:t>
            </w:r>
            <w:r>
              <w:rPr>
                <w:rFonts w:ascii="宋体" w:hAnsi="宋体" w:cs="宋体"/>
                <w:color w:val="000000"/>
                <w:spacing w:val="-5"/>
                <w:sz w:val="24"/>
                <w:szCs w:val="24"/>
              </w:rPr>
              <w:t xml:space="preserve">能正确处理各类突发报警情况。</w:t>
            </w:r>
            <w:r>
              <w:rPr>
                <w:rFonts w:hint="eastAsia" w:ascii="宋体" w:hAnsi="宋体" w:cs="宋体"/>
                <w:color w:val="000000"/>
                <w:spacing w:val="-5"/>
                <w:sz w:val="24"/>
                <w:szCs w:val="24"/>
              </w:rPr>
            </w:r>
            <w:r/>
          </w:p>
          <w:p>
            <w:pPr>
              <w:pStyle w:val="775"/>
              <w:ind w:firstLine="460"/>
              <w:spacing w:before="120" w:after="120" w:line="360" w:lineRule="auto"/>
              <w:rPr>
                <w:rFonts w:hint="eastAsia" w:hAnsi="宋体" w:cs="宋体"/>
                <w:color w:val="000000"/>
                <w:spacing w:val="-5"/>
                <w:sz w:val="24"/>
                <w:szCs w:val="24"/>
              </w:rPr>
              <w:outlineLvl w:val="1"/>
            </w:pPr>
            <w:r>
              <w:rPr>
                <w:rFonts w:hint="eastAsia" w:hAnsi="宋体" w:cs="宋体"/>
                <w:color w:val="000000"/>
                <w:spacing w:val="-5"/>
                <w:sz w:val="24"/>
                <w:szCs w:val="24"/>
              </w:rPr>
              <w:t xml:space="preserve">5、病区专职保洁（辅工）：15名人员中女性5名，在合同履行期内其年龄（周岁）低于50周岁；男性10名，其中3名在合同履行期内其年龄（周岁）低于62周岁。身体健康，五官端正，心理健康，无不良行为记录，具有吃苦耐劳的精神，服从管理。</w:t>
            </w:r>
            <w:r>
              <w:rPr>
                <w:rFonts w:hint="eastAsia" w:hAnsi="宋体" w:cs="宋体"/>
                <w:color w:val="000000"/>
                <w:spacing w:val="-5"/>
                <w:sz w:val="24"/>
                <w:szCs w:val="24"/>
              </w:rPr>
            </w:r>
            <w:r/>
          </w:p>
        </w:tc>
      </w:tr>
    </w:tbl>
    <w:p>
      <w:pPr>
        <w:pStyle w:val="745"/>
        <w:spacing w:line="360" w:lineRule="auto"/>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（3）投标人不得利用服务区域内的采购人房产、物业、水电等资源从事经营活动，不能改变其使用性质。</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cs="宋体"/>
                <w:color w:val="000000"/>
                <w:sz w:val="24"/>
                <w:szCs w:val="24"/>
              </w:rPr>
            </w:r>
            <w:r/>
          </w:p>
          <w:p>
            <w:pPr>
              <w:pStyle w:val="74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（5）投标人工作人员的岗位职责、操作规范、人身安全、医疗、工资、各项保险、劳动工具、劳保用品、内部管理、各类纠纷等事宜及所涉及经费均由投标人自行负责。 </w:t>
            </w:r>
            <w:r>
              <w:rPr>
                <w:rFonts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（6）所有服务人员要求统一着装、持证上岗、尽职尽责、岗位职责明确。上班不迟到，不早退，不串岗、不闲谈、不干私事，认真履行岗位职责，服从管理，接受督促，及时整改。</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（7）所有员工应无不良记录，无刑事犯罪记录，身体健康，相貌端正，责任心强。供应商在签订合同时，须提供所有人员身份证、有效期内的无犯罪记录证明和健康证明。</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办公用品、安保器械、清洁耗材、工程维修用具等易耗品正常需要量由采购人提供，供应商登记领用并和采购人确认。如因供应商管理不到位导致的超量部分由供应商采购补充。投标人负责配备用于物业管理服务的设备包括但不限于洗地机等用具</w:t>
            </w:r>
            <w:r>
              <w:rPr>
                <w:rFonts w:hint="eastAsia" w:ascii="宋体" w:hAnsi="宋体"/>
                <w:color w:val="000000"/>
                <w:sz w:val="24"/>
                <w:szCs w:val="24"/>
              </w:rPr>
              <w:t xml:space="preserve">。</w:t>
            </w:r>
            <w:r>
              <w:rPr>
                <w:rFonts w:hint="eastAsia" w:ascii="宋体" w:hAnsi="宋体" w:cs="宋体"/>
                <w:color w:val="000000"/>
                <w:sz w:val="24"/>
                <w:szCs w:val="24"/>
              </w:rPr>
            </w:r>
            <w:r/>
          </w:p>
        </w:tc>
      </w:tr>
    </w:tbl>
    <w:p>
      <w:pPr>
        <w:pStyle w:val="745"/>
        <w:ind w:firstLine="480"/>
        <w:spacing w:line="360"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74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745"/>
        <w:ind w:firstLine="480"/>
        <w:jc w:val="left"/>
        <w:spacing w:line="360" w:lineRule="auto"/>
        <w:rPr>
          <w:rFonts w:hint="eastAsia" w:ascii="宋体" w:hAnsi="宋体"/>
          <w:bCs/>
          <w:color w:val="000000"/>
          <w:sz w:val="24"/>
          <w:szCs w:val="24"/>
        </w:rPr>
      </w:pPr>
      <w:r>
        <w:rPr>
          <w:rFonts w:hint="eastAsia" w:ascii="宋体" w:hAnsi="宋体" w:cs="宋体"/>
          <w:color w:val="000000"/>
          <w:sz w:val="24"/>
          <w:szCs w:val="24"/>
        </w:rPr>
        <w:t xml:space="preserve">（1）投标人根据本项目采购需求和自身实际填报《投标分项报价表》（格式见第六章），其中“人工成本”须填报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《人工成本报价明细表》（格式见第六章）并满足以下要求：</w:t>
      </w:r>
      <w:r>
        <w:rPr>
          <w:rFonts w:hint="eastAsia" w:ascii="宋体" w:hAnsi="宋体"/>
          <w:bCs/>
          <w:color w:val="000000"/>
          <w:sz w:val="24"/>
          <w:szCs w:val="24"/>
        </w:rPr>
      </w:r>
      <w:r/>
    </w:p>
    <w:p>
      <w:pPr>
        <w:pStyle w:val="745"/>
        <w:ind w:firstLine="482"/>
        <w:spacing w:line="360" w:lineRule="auto"/>
        <w:rPr>
          <w:rFonts w:hint="eastAsia" w:ascii="宋体" w:hAnsi="宋体"/>
          <w:b/>
          <w:color w:val="000000"/>
          <w:sz w:val="24"/>
          <w:szCs w:val="24"/>
        </w:rPr>
      </w:pPr>
      <w:r>
        <w:rPr>
          <w:rFonts w:hint="eastAsia" w:ascii="宋体" w:hAnsi="宋体"/>
          <w:bCs/>
          <w:color w:val="000000"/>
          <w:sz w:val="24"/>
          <w:szCs w:val="24"/>
        </w:rPr>
        <w:t xml:space="preserve">①人员工资和</w:t>
      </w:r>
      <w:r>
        <w:rPr>
          <w:rFonts w:hint="eastAsia" w:ascii="宋体" w:hAnsi="宋体" w:cs="宋体"/>
          <w:color w:val="000000"/>
          <w:sz w:val="24"/>
          <w:szCs w:val="24"/>
        </w:rPr>
        <w:t xml:space="preserve">法定节假日加班工资</w:t>
      </w:r>
      <w:r>
        <w:rPr>
          <w:rFonts w:hint="eastAsia" w:ascii="宋体" w:hAnsi="宋体"/>
          <w:bCs/>
          <w:color w:val="000000"/>
          <w:sz w:val="24"/>
          <w:szCs w:val="24"/>
        </w:rPr>
        <w:t xml:space="preserve">。</w:t>
      </w:r>
      <w:r>
        <w:rPr>
          <w:rFonts w:hint="eastAsia" w:ascii="宋体" w:hAnsi="宋体"/>
          <w:b/>
          <w:color w:val="000000"/>
          <w:sz w:val="24"/>
          <w:szCs w:val="24"/>
        </w:rPr>
        <w:t xml:space="preserve">人员工资不得低于南京市最低月工资标准，并在《人工成本报价明细表》中按照物业服务人员岗位分别填报；</w:t>
      </w:r>
      <w:r>
        <w:rPr>
          <w:rFonts w:hint="eastAsia" w:ascii="宋体" w:hAnsi="宋体" w:cs="宋体"/>
          <w:b/>
          <w:color w:val="000000"/>
          <w:sz w:val="24"/>
          <w:szCs w:val="24"/>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本项目物业管理服务要求法定节假日在岗人数不少于16人</w:t>
      </w:r>
      <w:bookmarkStart w:id="186" w:name="OLE_LINK20"/>
      <w:r>
        <w:rPr>
          <w:rFonts w:hint="eastAsia" w:ascii="宋体" w:hAnsi="宋体" w:cs="宋体"/>
          <w:b/>
          <w:bCs/>
          <w:color w:val="000000"/>
          <w:sz w:val="24"/>
          <w:szCs w:val="24"/>
        </w:rPr>
        <w:t xml:space="preserve">（包括保洁岗位1人、门卫岗位2人、电工岗位1人、消控室岗位2人、病区专职辅工10人）</w:t>
      </w:r>
      <w:bookmarkEnd w:id="186"/>
      <w:r>
        <w:rPr>
          <w:rFonts w:hint="eastAsia" w:ascii="宋体" w:hAnsi="宋体" w:cs="宋体"/>
          <w:b/>
          <w:bCs/>
          <w:color w:val="000000"/>
          <w:sz w:val="24"/>
          <w:szCs w:val="24"/>
        </w:rPr>
        <w:t xml:space="preserve">，并按照合同履行期内的法定节假日天数</w:t>
      </w:r>
      <w:r>
        <w:rPr>
          <w:rFonts w:hint="eastAsia" w:ascii="宋体" w:hAnsi="宋体"/>
          <w:b/>
          <w:bCs/>
          <w:color w:val="000000"/>
          <w:sz w:val="24"/>
          <w:szCs w:val="24"/>
        </w:rPr>
        <w:t xml:space="preserve">（13天/年）</w:t>
      </w:r>
      <w:r>
        <w:rPr>
          <w:rFonts w:hint="eastAsia" w:ascii="宋体" w:hAnsi="宋体" w:cs="宋体"/>
          <w:b/>
          <w:bCs/>
          <w:color w:val="000000"/>
          <w:sz w:val="24"/>
          <w:szCs w:val="24"/>
        </w:rPr>
        <w:t xml:space="preserve">进行测算，报价中的“法定节假日加班工资”不得低于上述要求。</w:t>
      </w:r>
      <w:r>
        <w:rPr>
          <w:rFonts w:hint="eastAsia" w:ascii="宋体" w:hAnsi="宋体"/>
          <w:b/>
          <w:color w:val="000000"/>
          <w:sz w:val="24"/>
          <w:szCs w:val="24"/>
        </w:rPr>
        <w:t xml:space="preserve">双休在岗人数全年15人出勤不得低于</w:t>
      </w:r>
      <w:r>
        <w:rPr>
          <w:rFonts w:ascii="宋体" w:hAnsi="宋体"/>
          <w:b/>
          <w:color w:val="000000"/>
          <w:sz w:val="24"/>
          <w:szCs w:val="24"/>
        </w:rPr>
        <w:t xml:space="preserve">50</w:t>
      </w:r>
      <w:r>
        <w:rPr>
          <w:rFonts w:hint="eastAsia" w:ascii="宋体" w:hAnsi="宋体"/>
          <w:b/>
          <w:color w:val="000000"/>
          <w:sz w:val="24"/>
          <w:szCs w:val="24"/>
        </w:rPr>
        <w:t xml:space="preserve">天，报价中的双休人员加班费不得低于上述要求，否则按照无效响应处理。计算公式:2490元(实例)÷21.75天×2×（人数16人）×</w:t>
      </w:r>
      <w:r>
        <w:rPr>
          <w:rFonts w:ascii="宋体" w:hAnsi="宋体"/>
          <w:b/>
          <w:color w:val="000000"/>
          <w:sz w:val="24"/>
          <w:szCs w:val="24"/>
        </w:rPr>
        <w:t xml:space="preserve">5</w:t>
      </w:r>
      <w:r>
        <w:rPr>
          <w:rFonts w:hint="eastAsia" w:ascii="宋体" w:hAnsi="宋体"/>
          <w:b/>
          <w:color w:val="000000"/>
          <w:sz w:val="24"/>
          <w:szCs w:val="24"/>
        </w:rPr>
        <w:t xml:space="preserve">0天/年/人</w:t>
      </w:r>
      <w:r>
        <w:rPr>
          <w:rFonts w:hint="eastAsia" w:ascii="宋体" w:hAnsi="宋体"/>
          <w:b/>
          <w:color w:val="000000"/>
          <w:sz w:val="24"/>
          <w:szCs w:val="24"/>
        </w:rPr>
      </w:r>
      <w:r/>
    </w:p>
    <w:p>
      <w:pPr>
        <w:pStyle w:val="745"/>
        <w:ind w:firstLine="480"/>
        <w:jc w:val="left"/>
        <w:spacing w:line="360" w:lineRule="auto"/>
        <w:rPr>
          <w:rFonts w:hint="eastAsia" w:ascii="宋体" w:hAnsi="宋体" w:cs="宋体"/>
          <w:b/>
          <w:bCs/>
          <w:color w:val="000000"/>
          <w:sz w:val="24"/>
          <w:szCs w:val="24"/>
        </w:rPr>
      </w:pPr>
      <w:r>
        <w:rPr>
          <w:rFonts w:hint="eastAsia" w:ascii="宋体" w:hAnsi="宋体"/>
          <w:bCs/>
          <w:color w:val="000000"/>
          <w:sz w:val="24"/>
          <w:szCs w:val="24"/>
        </w:rPr>
        <w:t xml:space="preserve">②</w:t>
      </w:r>
      <w:r>
        <w:rPr>
          <w:rFonts w:ascii="宋体" w:hAnsi="宋体" w:cs="宋体"/>
          <w:color w:val="000000"/>
          <w:sz w:val="24"/>
          <w:szCs w:val="24"/>
        </w:rPr>
        <w:t xml:space="preserve">社会保险</w:t>
      </w:r>
      <w:r>
        <w:rPr>
          <w:rFonts w:hint="eastAsia" w:ascii="宋体" w:hAnsi="宋体" w:cs="宋体"/>
          <w:color w:val="000000"/>
          <w:sz w:val="24"/>
          <w:szCs w:val="24"/>
        </w:rPr>
        <w:t xml:space="preserve">和</w:t>
      </w:r>
      <w:r>
        <w:rPr>
          <w:rFonts w:ascii="宋体" w:hAnsi="宋体" w:cs="宋体"/>
          <w:color w:val="000000"/>
          <w:sz w:val="24"/>
          <w:szCs w:val="24"/>
        </w:rPr>
        <w:t xml:space="preserve">公积金</w:t>
      </w:r>
      <w:r>
        <w:rPr>
          <w:rFonts w:hint="eastAsia" w:ascii="宋体" w:hAnsi="宋体" w:cs="宋体"/>
          <w:color w:val="000000"/>
          <w:sz w:val="24"/>
          <w:szCs w:val="24"/>
        </w:rPr>
        <w:t xml:space="preserve">：</w:t>
      </w:r>
      <w:r>
        <w:rPr>
          <w:rFonts w:hint="eastAsia" w:ascii="宋体" w:hAnsi="宋体"/>
          <w:b/>
          <w:color w:val="000000"/>
          <w:sz w:val="24"/>
          <w:szCs w:val="24"/>
        </w:rPr>
        <w:t xml:space="preserve">社保</w:t>
      </w:r>
      <w:r>
        <w:rPr>
          <w:rFonts w:hint="eastAsia" w:ascii="宋体" w:hAnsi="宋体" w:cs="宋体"/>
          <w:b/>
          <w:color w:val="000000"/>
          <w:sz w:val="24"/>
          <w:szCs w:val="24"/>
        </w:rPr>
        <w:t xml:space="preserve">缴费基数不得低于</w:t>
      </w:r>
      <w:r>
        <w:rPr>
          <w:rFonts w:hint="eastAsia" w:ascii="宋体" w:hAnsi="宋体"/>
          <w:b/>
          <w:color w:val="000000"/>
          <w:sz w:val="24"/>
          <w:szCs w:val="24"/>
        </w:rPr>
        <w:t xml:space="preserve">人社部门现行文件</w:t>
      </w:r>
      <w:r>
        <w:rPr>
          <w:rFonts w:hint="eastAsia" w:ascii="宋体" w:hAnsi="宋体" w:cs="宋体"/>
          <w:b/>
          <w:color w:val="000000"/>
          <w:sz w:val="24"/>
          <w:szCs w:val="24"/>
        </w:rPr>
        <w:t xml:space="preserve">规定，公积金缴存基数不得低于南京市住房公积金缴存基数的相关规定，社保、公积金须</w:t>
      </w:r>
      <w:r>
        <w:rPr>
          <w:rFonts w:hint="eastAsia" w:ascii="宋体" w:hAnsi="宋体"/>
          <w:b/>
          <w:color w:val="000000"/>
          <w:sz w:val="24"/>
          <w:szCs w:val="24"/>
        </w:rPr>
        <w:t xml:space="preserve">在《人工成本报价明细表》中</w:t>
      </w:r>
      <w:bookmarkStart w:id="187" w:name="OLE_LINK7"/>
      <w:r>
        <w:rPr>
          <w:rFonts w:hint="eastAsia" w:ascii="宋体" w:hAnsi="宋体"/>
          <w:b/>
          <w:color w:val="000000"/>
          <w:sz w:val="24"/>
          <w:szCs w:val="24"/>
        </w:rPr>
        <w:t xml:space="preserve">按照物业服务人员岗位分别填报</w:t>
      </w:r>
      <w:bookmarkEnd w:id="187"/>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根据省人社部门文件规定，最低工资不包含劳动者按下限缴存的住房公积金，由用人单位按规定另行支付，投标人须测算在报价中。</w:t>
      </w:r>
      <w:r>
        <w:rPr>
          <w:rFonts w:hint="eastAsia" w:ascii="宋体" w:hAnsi="宋体" w:cs="宋体"/>
          <w:b/>
          <w:bCs/>
          <w:color w:val="000000"/>
          <w:sz w:val="24"/>
          <w:szCs w:val="24"/>
        </w:rPr>
      </w:r>
      <w:r/>
    </w:p>
    <w:p>
      <w:pPr>
        <w:pStyle w:val="745"/>
        <w:ind w:firstLine="482"/>
        <w:jc w:val="left"/>
        <w:spacing w:line="360" w:lineRule="auto"/>
        <w:rPr>
          <w:rFonts w:hint="eastAsia" w:ascii="宋体" w:hAnsi="宋体" w:cs="宋体"/>
          <w:b/>
          <w:bCs/>
          <w:color w:val="000000"/>
          <w:sz w:val="24"/>
          <w:szCs w:val="24"/>
        </w:rPr>
      </w:pPr>
      <w:r/>
      <w:bookmarkStart w:id="188" w:name="OLE_LINK9"/>
      <w:r>
        <w:rPr>
          <w:rFonts w:hint="eastAsia" w:ascii="宋体" w:hAnsi="宋体" w:cs="宋体"/>
          <w:b/>
          <w:bCs/>
          <w:color w:val="000000"/>
          <w:sz w:val="24"/>
          <w:szCs w:val="24"/>
        </w:rPr>
        <w:t xml:space="preserve">投标人为投入本项目服务人员缴纳社保和公积金的人数不少于21名。</w:t>
      </w:r>
      <w:r>
        <w:rPr>
          <w:rFonts w:hint="eastAsia" w:ascii="宋体" w:hAnsi="宋体" w:cs="宋体"/>
          <w:b/>
          <w:bCs/>
          <w:color w:val="000000"/>
          <w:sz w:val="24"/>
          <w:szCs w:val="24"/>
        </w:rPr>
      </w:r>
      <w:r/>
    </w:p>
    <w:p>
      <w:pPr>
        <w:pStyle w:val="745"/>
        <w:ind w:firstLine="482"/>
        <w:jc w:val="left"/>
        <w:spacing w:line="360" w:lineRule="auto"/>
        <w:rPr>
          <w:rFonts w:hint="eastAsia" w:ascii="宋体" w:hAnsi="宋体" w:cs="宋体"/>
          <w:b/>
          <w:bCs/>
          <w:color w:val="000000"/>
          <w:sz w:val="24"/>
          <w:szCs w:val="24"/>
        </w:rPr>
      </w:pPr>
      <w:r/>
      <w:bookmarkStart w:id="189" w:name="OLE_LINK8"/>
      <w:r>
        <w:rPr>
          <w:rFonts w:hint="eastAsia" w:ascii="宋体" w:hAnsi="宋体" w:cs="宋体"/>
          <w:b/>
          <w:bCs/>
          <w:color w:val="000000"/>
          <w:sz w:val="24"/>
          <w:szCs w:val="24"/>
        </w:rPr>
        <w:t xml:space="preserve">合同签订前，中标人应提供人员清单、依法订立的劳动合同、社保公积金缴纳证明等材料供采购人核验，否则采购人有权取消其中标资格，并依法追究相应责任。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rPr>
      </w:r>
      <w:r/>
    </w:p>
    <w:p>
      <w:pPr>
        <w:pStyle w:val="745"/>
        <w:ind w:firstLine="482"/>
        <w:jc w:val="left"/>
        <w:spacing w:line="360" w:lineRule="auto"/>
        <w:rPr>
          <w:rFonts w:hint="eastAsia" w:ascii="宋体" w:hAnsi="宋体" w:cs="宋体"/>
          <w:b/>
          <w:bCs/>
          <w:color w:val="000000"/>
          <w:sz w:val="24"/>
          <w:szCs w:val="24"/>
        </w:rPr>
      </w:pPr>
      <w:r/>
      <w:bookmarkEnd w:id="188"/>
      <w:r/>
      <w:bookmarkEnd w:id="189"/>
      <w:r>
        <w:rPr>
          <w:rFonts w:hint="eastAsia" w:ascii="宋体" w:hAnsi="宋体" w:cs="宋体"/>
          <w:b/>
          <w:bCs/>
          <w:color w:val="000000"/>
          <w:sz w:val="24"/>
          <w:szCs w:val="24"/>
        </w:rPr>
        <w:t xml:space="preserve">③上述①②款规定的相关费用测算所依据的政策，以本项目投标截止日（不含）前3个日历日有效的相关政策规定为准。</w:t>
      </w:r>
      <w:r>
        <w:rPr>
          <w:rFonts w:hint="eastAsia" w:ascii="宋体" w:hAnsi="宋体" w:cs="宋体"/>
          <w:b/>
          <w:bCs/>
          <w:color w:val="000000"/>
          <w:sz w:val="24"/>
          <w:szCs w:val="24"/>
        </w:rPr>
      </w:r>
      <w:r/>
    </w:p>
    <w:p>
      <w:pPr>
        <w:pStyle w:val="74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cs="宋体"/>
          <w:b/>
          <w:bCs/>
          <w:color w:val="000000"/>
          <w:sz w:val="24"/>
          <w:szCs w:val="24"/>
        </w:rPr>
      </w:r>
      <w:r/>
    </w:p>
    <w:p>
      <w:pPr>
        <w:pStyle w:val="745"/>
        <w:ind w:firstLine="480"/>
        <w:jc w:val="left"/>
        <w:spacing w:line="360" w:lineRule="auto"/>
        <w:rPr>
          <w:rFonts w:ascii="宋体" w:hAnsi="宋体"/>
          <w:bCs/>
          <w:color w:val="000000"/>
          <w:sz w:val="24"/>
          <w:szCs w:val="24"/>
        </w:rPr>
      </w:pPr>
      <w:r>
        <w:rPr>
          <w:rFonts w:hint="eastAsia" w:ascii="宋体" w:hAnsi="宋体" w:cs="宋体"/>
          <w:color w:val="000000"/>
          <w:sz w:val="24"/>
          <w:szCs w:val="24"/>
        </w:rPr>
        <w:t xml:space="preserve">（2）</w:t>
      </w:r>
      <w:r>
        <w:rPr>
          <w:rFonts w:hint="eastAsia" w:ascii="宋体" w:hAnsi="宋体"/>
          <w:bCs/>
          <w:color w:val="000000"/>
          <w:sz w:val="24"/>
          <w:szCs w:val="24"/>
        </w:rPr>
        <w:t xml:space="preserve">其他费用：</w:t>
      </w:r>
      <w:r>
        <w:rPr>
          <w:rFonts w:ascii="宋体" w:hAnsi="宋体"/>
          <w:bCs/>
          <w:color w:val="000000"/>
          <w:sz w:val="24"/>
          <w:szCs w:val="24"/>
        </w:rPr>
      </w:r>
      <w:r/>
    </w:p>
    <w:p>
      <w:pPr>
        <w:pStyle w:val="745"/>
        <w:ind w:firstLine="480"/>
        <w:jc w:val="left"/>
        <w:spacing w:line="360" w:lineRule="auto"/>
        <w:rPr>
          <w:rFonts w:hint="eastAsia" w:ascii="宋体" w:hAnsi="宋体" w:cs="宋体"/>
          <w:color w:val="000000"/>
          <w:sz w:val="24"/>
          <w:szCs w:val="24"/>
        </w:rPr>
      </w:pPr>
      <w:r>
        <w:rPr>
          <w:rFonts w:hint="eastAsia" w:ascii="宋体" w:hAnsi="宋体"/>
          <w:bCs/>
          <w:color w:val="000000"/>
          <w:sz w:val="24"/>
          <w:szCs w:val="24"/>
        </w:rPr>
        <w:fldChar w:fldCharType="begin"/>
      </w:r>
      <w:r>
        <w:rPr>
          <w:rFonts w:hint="eastAsia" w:ascii="宋体" w:hAnsi="宋体"/>
          <w:bCs/>
          <w:color w:val="000000"/>
          <w:sz w:val="24"/>
          <w:szCs w:val="24"/>
        </w:rPr>
        <w:instrText xml:space="preserve"> eq \o\ac(</w:instrText>
      </w:r>
      <w:r>
        <w:rPr>
          <w:rFonts w:hint="eastAsia" w:ascii="宋体" w:hAnsi="宋体"/>
          <w:bCs/>
          <w:color w:val="000000"/>
          <w:position w:val="-4"/>
          <w:sz w:val="36"/>
          <w:szCs w:val="24"/>
        </w:rPr>
        <w:instrText xml:space="preserve">○</w:instrText>
      </w:r>
      <w:r>
        <w:rPr>
          <w:rFonts w:hint="eastAsia" w:ascii="宋体" w:hAnsi="宋体"/>
          <w:bCs/>
          <w:color w:val="000000"/>
          <w:position w:val="0"/>
          <w:sz w:val="24"/>
          <w:szCs w:val="24"/>
        </w:rPr>
        <w:instrText xml:space="preserve">,1)</w:instrText>
      </w:r>
      <w:r>
        <w:rPr>
          <w:rFonts w:hint="eastAsia" w:ascii="宋体" w:hAnsi="宋体"/>
          <w:bCs/>
          <w:color w:val="000000"/>
          <w:sz w:val="24"/>
          <w:szCs w:val="24"/>
        </w:rPr>
        <w:fldChar w:fldCharType="end"/>
      </w:r>
      <w:r>
        <w:rPr>
          <w:rFonts w:hint="eastAsia" w:ascii="宋体" w:hAnsi="宋体" w:cs="宋体"/>
          <w:b/>
          <w:bCs/>
          <w:color w:val="000000"/>
          <w:sz w:val="24"/>
          <w:szCs w:val="24"/>
        </w:rPr>
        <w:t xml:space="preserve">①</w:t>
      </w:r>
      <w:r>
        <w:rPr>
          <w:rFonts w:ascii="宋体" w:hAnsi="宋体" w:cs="宋体"/>
          <w:color w:val="000000"/>
          <w:sz w:val="24"/>
          <w:szCs w:val="24"/>
        </w:rPr>
        <w:t xml:space="preserve">法定税费</w:t>
      </w:r>
      <w:r>
        <w:rPr>
          <w:rFonts w:hint="eastAsia" w:ascii="宋体" w:hAnsi="宋体" w:cs="宋体"/>
          <w:color w:val="000000"/>
          <w:sz w:val="24"/>
          <w:szCs w:val="24"/>
        </w:rPr>
        <w:t xml:space="preserve">：供应商应依法缴纳税费，</w:t>
      </w:r>
      <w:r>
        <w:rPr>
          <w:rFonts w:hint="eastAsia" w:ascii="宋体" w:hAnsi="宋体" w:cs="宋体"/>
          <w:b/>
          <w:bCs/>
          <w:color w:val="000000"/>
          <w:sz w:val="24"/>
          <w:szCs w:val="24"/>
        </w:rPr>
        <w:t xml:space="preserve">《投标报价明细表》中明确税费费率。</w:t>
      </w:r>
      <w:r>
        <w:rPr>
          <w:rFonts w:hint="eastAsia" w:ascii="宋体" w:hAnsi="宋体" w:cs="宋体"/>
          <w:color w:val="000000"/>
          <w:sz w:val="24"/>
          <w:szCs w:val="24"/>
        </w:rPr>
      </w:r>
      <w:r/>
    </w:p>
    <w:p>
      <w:pPr>
        <w:pStyle w:val="745"/>
        <w:ind w:firstLine="480"/>
        <w:spacing w:line="360" w:lineRule="auto"/>
        <w:rPr>
          <w:color w:val="000000"/>
          <w:sz w:val="24"/>
          <w:szCs w:val="24"/>
        </w:rPr>
      </w:pPr>
      <w:r>
        <w:rPr>
          <w:rFonts w:hint="eastAsia" w:ascii="宋体" w:hAnsi="宋体"/>
          <w:bCs/>
          <w:color w:val="000000"/>
          <w:sz w:val="24"/>
          <w:szCs w:val="24"/>
        </w:rPr>
        <w:fldChar w:fldCharType="begin"/>
      </w:r>
      <w:r>
        <w:rPr>
          <w:rFonts w:hint="eastAsia" w:ascii="宋体" w:hAnsi="宋体"/>
          <w:bCs/>
          <w:color w:val="000000"/>
          <w:sz w:val="24"/>
          <w:szCs w:val="24"/>
        </w:rPr>
        <w:instrText xml:space="preserve"> eq \o\ac(</w:instrText>
      </w:r>
      <w:r>
        <w:rPr>
          <w:rFonts w:hint="eastAsia" w:ascii="宋体" w:hAnsi="宋体"/>
          <w:bCs/>
          <w:color w:val="000000"/>
          <w:position w:val="-4"/>
          <w:sz w:val="36"/>
          <w:szCs w:val="24"/>
        </w:rPr>
        <w:instrText xml:space="preserve">○</w:instrText>
      </w:r>
      <w:r>
        <w:rPr>
          <w:rFonts w:hint="eastAsia" w:ascii="宋体" w:hAnsi="宋体"/>
          <w:bCs/>
          <w:color w:val="000000"/>
          <w:position w:val="0"/>
          <w:sz w:val="24"/>
          <w:szCs w:val="24"/>
        </w:rPr>
        <w:instrText xml:space="preserve">,2)</w:instrText>
      </w:r>
      <w:r>
        <w:rPr>
          <w:rFonts w:hint="eastAsia" w:ascii="宋体" w:hAnsi="宋体"/>
          <w:bCs/>
          <w:color w:val="000000"/>
          <w:sz w:val="24"/>
          <w:szCs w:val="24"/>
        </w:rPr>
        <w:fldChar w:fldCharType="end"/>
      </w:r>
      <w:r>
        <w:rPr>
          <w:rFonts w:hint="eastAsia" w:ascii="宋体" w:hAnsi="宋体" w:cs="宋体"/>
          <w:b/>
          <w:bCs/>
          <w:color w:val="000000"/>
          <w:sz w:val="24"/>
          <w:szCs w:val="24"/>
        </w:rPr>
        <w:t xml:space="preserve">②</w:t>
      </w:r>
      <w:r>
        <w:rPr>
          <w:rFonts w:ascii="Calibri" w:hAnsi="Calibri" w:cs="Calibri"/>
          <w:color w:val="000000"/>
          <w:sz w:val="24"/>
          <w:szCs w:val="24"/>
        </w:rPr>
        <w:t xml:space="preserve">本项目的物业服务人员在采购人食堂就餐，根据采购人就餐标准，由供应商或本项目物业服务人员单独购买餐券，此项费用不计入投标报价中。</w:t>
      </w:r>
      <w:r>
        <w:rPr>
          <w:color w:val="000000"/>
          <w:sz w:val="24"/>
          <w:szCs w:val="24"/>
        </w:rPr>
      </w:r>
      <w:r/>
    </w:p>
    <w:p>
      <w:pPr>
        <w:ind w:firstLine="480"/>
        <w:jc w:val="left"/>
        <w:spacing w:line="360" w:lineRule="auto"/>
        <w:rPr>
          <w:rFonts w:hint="eastAsia" w:ascii="宋体" w:hAnsi="宋体" w:cs="宋体"/>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olor w:val="000000"/>
          <w:sz w:val="24"/>
          <w:szCs w:val="24"/>
          <w:lang w:val="en-US"/>
        </w:rPr>
        <w:fldChar w:fldCharType="begin"/>
      </w:r>
      <w:r>
        <w:rPr>
          <w:rFonts w:hint="eastAsia" w:ascii="宋体" w:hAnsi="宋体" w:eastAsia="宋体"/>
          <w:color w:val="000000"/>
          <w:sz w:val="24"/>
          <w:szCs w:val="24"/>
          <w:lang w:val="en-US"/>
        </w:rPr>
        <w:instrText xml:space="preserve"> eq \o\ac(</w:instrText>
      </w:r>
      <w:r>
        <w:rPr>
          <w:rFonts w:hint="eastAsia" w:ascii="宋体" w:hAnsi="宋体" w:eastAsia="宋体"/>
          <w:color w:val="000000"/>
          <w:position w:val="-4"/>
          <w:sz w:val="36"/>
          <w:szCs w:val="24"/>
          <w:lang w:val="en-US"/>
        </w:rPr>
        <w:instrText xml:space="preserve">○</w:instrText>
      </w:r>
      <w:r>
        <w:rPr>
          <w:rFonts w:hint="eastAsia" w:ascii="宋体" w:hAnsi="宋体" w:eastAsia="宋体"/>
          <w:color w:val="000000"/>
          <w:position w:val="0"/>
          <w:sz w:val="24"/>
          <w:szCs w:val="24"/>
          <w:lang w:val="en-US"/>
        </w:rPr>
        <w:instrText xml:space="preserve">,3)</w:instrText>
      </w:r>
      <w:r>
        <w:rPr>
          <w:rFonts w:hint="eastAsia" w:ascii="宋体" w:hAnsi="宋体" w:eastAsia="宋体"/>
          <w:color w:val="000000"/>
          <w:sz w:val="24"/>
          <w:szCs w:val="24"/>
          <w:lang w:val="en-US"/>
        </w:rPr>
        <w:fldChar w:fldCharType="end"/>
      </w:r>
      <w:r>
        <w:rPr>
          <w:rFonts w:ascii="SimSun" w:hAnsi="SimSun" w:eastAsia="SimSun" w:cs="SimSun"/>
          <w:b/>
          <w:color w:val="000000"/>
          <w:sz w:val="24"/>
        </w:rPr>
        <w:t xml:space="preserve">③</w:t>
      </w:r>
      <w:r>
        <w:rPr>
          <w:rFonts w:hint="eastAsia" w:ascii="宋体" w:hAnsi="宋体" w:eastAsia="宋体" w:cs="Times New Roman"/>
          <w:b/>
          <w:bCs/>
          <w:color w:val="000000"/>
          <w:sz w:val="24"/>
          <w:szCs w:val="24"/>
          <w:lang w:val="en-US"/>
        </w:rPr>
        <w:t xml:space="preserve">服装费</w:t>
      </w:r>
      <w:r>
        <w:rPr>
          <w:rFonts w:hint="eastAsia" w:ascii="宋体" w:hAnsi="宋体" w:eastAsia="宋体" w:cs="Times New Roman"/>
          <w:color w:val="000000"/>
          <w:sz w:val="24"/>
          <w:szCs w:val="24"/>
          <w:lang w:val="en-US"/>
        </w:rPr>
        <w:t xml:space="preserve">。</w:t>
      </w:r>
      <w:r>
        <w:rPr>
          <w:rFonts w:hint="eastAsia" w:ascii="宋体" w:hAnsi="宋体" w:cs="宋体"/>
          <w:color w:val="000000"/>
          <w:sz w:val="24"/>
          <w:szCs w:val="24"/>
          <w:lang w:val="en-US"/>
        </w:rPr>
        <w:t xml:space="preserve">所有服务人员统一服装，供应商自行测算并考虑到报价中。</w:t>
      </w:r>
      <w:r>
        <w:rPr>
          <w:rFonts w:hint="eastAsia" w:ascii="宋体" w:hAnsi="宋体" w:cs="宋体"/>
          <w:color w:val="000000"/>
          <w:sz w:val="24"/>
          <w:szCs w:val="24"/>
        </w:rPr>
      </w:r>
      <w:r>
        <w:rPr>
          <w:rFonts w:hint="eastAsia" w:ascii="宋体" w:hAnsi="宋体" w:cs="宋体"/>
          <w:color w:val="000000"/>
          <w:sz w:val="24"/>
          <w:szCs w:val="24"/>
        </w:rPr>
      </w:r>
    </w:p>
    <w:p>
      <w:pPr>
        <w:ind w:firstLine="480"/>
        <w:jc w:val="left"/>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eq \o\ac(</w:instrText>
      </w:r>
      <w:r>
        <w:rPr>
          <w:rFonts w:hint="eastAsia" w:ascii="宋体" w:hAnsi="宋体" w:cs="宋体"/>
          <w:color w:val="000000"/>
          <w:sz w:val="24"/>
          <w:szCs w:val="24"/>
        </w:rPr>
        <w:instrText xml:space="preserve">○</w:instrText>
      </w:r>
      <w:r>
        <w:rPr>
          <w:rFonts w:hint="eastAsia" w:ascii="宋体" w:hAnsi="宋体" w:cs="宋体"/>
          <w:color w:val="000000"/>
          <w:sz w:val="24"/>
          <w:szCs w:val="24"/>
        </w:rPr>
        <w:instrText xml:space="preserve">,4)</w:instrText>
      </w:r>
      <w:r>
        <w:rPr>
          <w:rFonts w:hint="eastAsia" w:ascii="宋体" w:hAnsi="宋体" w:cs="宋体"/>
          <w:color w:val="000000"/>
          <w:sz w:val="24"/>
          <w:szCs w:val="24"/>
        </w:rPr>
        <w:fldChar w:fldCharType="end"/>
      </w:r>
      <w:r>
        <w:rPr>
          <w:rFonts w:hint="eastAsia" w:ascii="宋体" w:hAnsi="宋体" w:cs="宋体"/>
          <w:b/>
          <w:bCs/>
          <w:color w:val="000000"/>
          <w:sz w:val="24"/>
          <w:szCs w:val="24"/>
        </w:rPr>
        <w:t xml:space="preserve">④</w:t>
      </w:r>
      <w:r>
        <w:rPr>
          <w:rFonts w:hint="eastAsia" w:ascii="宋体" w:hAnsi="宋体" w:cs="宋体"/>
          <w:color w:val="000000"/>
          <w:sz w:val="24"/>
          <w:szCs w:val="24"/>
        </w:rPr>
        <w:t xml:space="preserve">投标人</w:t>
      </w:r>
      <w:r>
        <w:rPr>
          <w:rFonts w:hint="eastAsia" w:ascii="宋体" w:hAnsi="宋体" w:cs="宋体"/>
          <w:color w:val="000000"/>
          <w:sz w:val="24"/>
          <w:szCs w:val="24"/>
        </w:rPr>
        <w:t xml:space="preserve">须有</w:t>
      </w:r>
      <w:r>
        <w:rPr>
          <w:rFonts w:hint="eastAsia" w:ascii="宋体" w:hAnsi="宋体" w:cs="宋体"/>
          <w:color w:val="000000"/>
          <w:sz w:val="24"/>
          <w:szCs w:val="24"/>
        </w:rPr>
        <w:t xml:space="preserve">本</w:t>
      </w:r>
      <w:r>
        <w:rPr>
          <w:rFonts w:ascii="宋体" w:hAnsi="宋体" w:cs="宋体"/>
          <w:color w:val="000000"/>
          <w:sz w:val="24"/>
          <w:szCs w:val="24"/>
        </w:rPr>
        <w:t xml:space="preserve">项目服务的</w:t>
      </w:r>
      <w:r>
        <w:rPr>
          <w:rFonts w:hint="eastAsia" w:ascii="宋体" w:hAnsi="宋体" w:cs="宋体"/>
          <w:color w:val="000000"/>
          <w:sz w:val="24"/>
          <w:szCs w:val="24"/>
        </w:rPr>
        <w:t xml:space="preserve">基本配备如电脑、</w:t>
      </w:r>
      <w:r>
        <w:rPr>
          <w:rFonts w:ascii="宋体" w:hAnsi="宋体" w:cs="宋体"/>
          <w:color w:val="000000"/>
          <w:sz w:val="24"/>
          <w:szCs w:val="24"/>
        </w:rPr>
        <w:t xml:space="preserve">物业管理软件</w:t>
      </w:r>
      <w:r>
        <w:rPr>
          <w:rFonts w:hint="eastAsia" w:ascii="宋体" w:hAnsi="宋体" w:cs="宋体"/>
          <w:color w:val="000000"/>
          <w:sz w:val="24"/>
          <w:szCs w:val="24"/>
        </w:rPr>
        <w:t xml:space="preserve">、办公桌椅、文件柜等。</w:t>
      </w:r>
      <w:r/>
      <w:r>
        <w:rPr>
          <w:sz w:val="22"/>
        </w:rPr>
      </w:r>
    </w:p>
    <w:p>
      <w:pPr>
        <w:pStyle w:val="745"/>
        <w:ind w:firstLine="420"/>
        <w:rPr>
          <w:rFonts w:hint="eastAsia" w:ascii="宋体" w:hAnsi="宋体" w:cs="宋体"/>
          <w:color w:val="000000"/>
        </w:rPr>
      </w:pPr>
      <w:r>
        <w:rPr>
          <w:rFonts w:hint="eastAsia" w:ascii="宋体" w:hAnsi="宋体" w:cs="宋体"/>
          <w:color w:val="000000"/>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745"/>
        <w:ind w:firstLine="480"/>
        <w:spacing w:line="360" w:lineRule="auto"/>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（2）合同履约期间，如遇最低工资、社保和公积金等政策调整，按以下第（①）种方式处理：</w:t>
      </w:r>
      <w:r>
        <w:rPr>
          <w:rFonts w:hint="eastAsia" w:ascii="宋体" w:hAnsi="宋体"/>
          <w:color w:val="000000"/>
          <w:sz w:val="24"/>
          <w:szCs w:val="24"/>
        </w:rPr>
      </w:r>
      <w:r/>
    </w:p>
    <w:p>
      <w:pPr>
        <w:pStyle w:val="745"/>
        <w:ind w:firstLine="420"/>
        <w:spacing w:line="360" w:lineRule="auto"/>
        <w:rPr>
          <w:rFonts w:hint="eastAsia" w:ascii="宋体" w:hAnsi="宋体"/>
          <w:color w:val="000000"/>
          <w:sz w:val="24"/>
          <w:szCs w:val="24"/>
        </w:rPr>
      </w:pPr>
      <w:r>
        <w:rPr>
          <w:rFonts w:hint="eastAsia" w:ascii="宋体" w:hAnsi="宋体"/>
          <w:color w:val="000000"/>
          <w:sz w:val="24"/>
          <w:szCs w:val="24"/>
        </w:rPr>
        <w:t xml:space="preserve">①由中标人承担。</w:t>
      </w:r>
      <w:r>
        <w:rPr>
          <w:rFonts w:hint="eastAsia" w:ascii="宋体" w:hAnsi="宋体"/>
          <w:color w:val="000000"/>
          <w:sz w:val="24"/>
          <w:szCs w:val="24"/>
        </w:rPr>
      </w:r>
      <w:r/>
    </w:p>
    <w:p>
      <w:pPr>
        <w:pStyle w:val="745"/>
        <w:ind w:firstLine="420"/>
        <w:spacing w:line="360" w:lineRule="auto"/>
        <w:rPr>
          <w:rFonts w:hint="eastAsia" w:ascii="宋体" w:hAnsi="宋体"/>
          <w:color w:val="000000"/>
          <w:sz w:val="24"/>
          <w:szCs w:val="24"/>
        </w:rPr>
      </w:pPr>
      <w:r>
        <w:rPr>
          <w:rFonts w:hint="eastAsia" w:ascii="宋体" w:hAnsi="宋体"/>
          <w:color w:val="000000"/>
          <w:sz w:val="24"/>
          <w:szCs w:val="24"/>
        </w:rPr>
        <w:t xml:space="preserve">②中标人可以与采购人协商，由采购人按协商意见承担相关费用。</w:t>
      </w:r>
      <w:r>
        <w:rPr>
          <w:rFonts w:hint="eastAsia" w:ascii="宋体" w:hAnsi="宋体"/>
          <w:color w:val="000000"/>
          <w:sz w:val="24"/>
          <w:szCs w:val="24"/>
        </w:rPr>
      </w:r>
      <w:r/>
    </w:p>
    <w:p>
      <w:pPr>
        <w:pStyle w:val="745"/>
        <w:ind w:firstLine="420"/>
        <w:spacing w:line="360" w:lineRule="auto"/>
        <w:rPr>
          <w:rFonts w:hint="eastAsia" w:ascii="宋体" w:hAnsi="宋体"/>
          <w:color w:val="000000"/>
          <w:sz w:val="24"/>
          <w:szCs w:val="24"/>
        </w:rPr>
      </w:pPr>
      <w:r>
        <w:rPr>
          <w:rFonts w:hint="eastAsia" w:ascii="宋体" w:hAnsi="宋体"/>
          <w:color w:val="000000"/>
          <w:sz w:val="24"/>
          <w:szCs w:val="24"/>
        </w:rPr>
      </w:r>
      <w:r/>
    </w:p>
    <w:p>
      <w:pPr>
        <w:pStyle w:val="745"/>
        <w:ind w:firstLine="480"/>
        <w:spacing w:line="360" w:lineRule="auto"/>
        <w:widowControl/>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745"/>
        <w:ind w:firstLine="420"/>
        <w:spacing w:line="360" w:lineRule="auto"/>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合同生效之日起一年。</w:t>
      </w:r>
      <w:r>
        <w:rPr>
          <w:rFonts w:hint="eastAsia" w:ascii="宋体" w:hAnsi="宋体"/>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74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4.考核要求（考核细则详见本章附件）</w:t>
      </w:r>
      <w:r>
        <w:rPr>
          <w:rFonts w:hint="eastAsia" w:ascii="宋体" w:hAnsi="宋体"/>
          <w:color w:val="000000"/>
          <w:sz w:val="24"/>
          <w:szCs w:val="24"/>
        </w:rPr>
      </w:r>
      <w:r/>
    </w:p>
    <w:p>
      <w:pPr>
        <w:pStyle w:val="7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745"/>
        <w:ind w:firstLine="480"/>
        <w:jc w:val="left"/>
        <w:spacing w:line="360" w:lineRule="auto"/>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745"/>
        <w:ind w:firstLine="480"/>
        <w:jc w:val="left"/>
        <w:spacing w:line="360" w:lineRule="auto"/>
        <w:widowControl/>
        <w:rPr>
          <w:rFonts w:hint="eastAsia" w:ascii="宋体" w:hAnsi="宋体"/>
          <w:color w:val="000000"/>
          <w:sz w:val="24"/>
          <w:szCs w:val="24"/>
        </w:rPr>
      </w:pPr>
      <w:r/>
      <w:bookmarkStart w:id="190" w:name="OLE_LINK1"/>
      <w:r>
        <w:rPr>
          <w:rFonts w:hint="eastAsia" w:ascii="宋体" w:hAnsi="宋体"/>
          <w:color w:val="000000"/>
          <w:sz w:val="24"/>
          <w:szCs w:val="24"/>
        </w:rPr>
        <w:t xml:space="preserve">6.其他要求</w:t>
      </w:r>
      <w:r>
        <w:rPr>
          <w:rFonts w:hint="eastAsia" w:ascii="宋体" w:hAnsi="宋体"/>
          <w:color w:val="000000"/>
          <w:sz w:val="24"/>
          <w:szCs w:val="24"/>
        </w:rPr>
      </w:r>
      <w:r/>
    </w:p>
    <w:p>
      <w:pPr>
        <w:pStyle w:val="745"/>
        <w:ind w:firstLine="480"/>
        <w:spacing w:line="360" w:lineRule="auto"/>
        <w:widowControl/>
        <w:rPr>
          <w:rFonts w:hint="eastAsia" w:ascii="宋体" w:hAnsi="宋体" w:cs="宋体"/>
          <w:color w:val="000000"/>
          <w:sz w:val="24"/>
          <w:szCs w:val="24"/>
        </w:rPr>
      </w:pPr>
      <w:r/>
      <w:bookmarkEnd w:id="190"/>
      <w:r>
        <w:rPr>
          <w:rFonts w:hint="eastAsia" w:ascii="宋体" w:hAnsi="宋体" w:cs="宋体"/>
          <w:color w:val="000000"/>
          <w:sz w:val="24"/>
          <w:szCs w:val="24"/>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cs="宋体"/>
          <w:color w:val="000000"/>
          <w:sz w:val="24"/>
          <w:szCs w:val="24"/>
        </w:rPr>
      </w:r>
      <w:r/>
    </w:p>
    <w:p>
      <w:pPr>
        <w:pStyle w:val="74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cs="宋体"/>
          <w:color w:val="000000"/>
          <w:sz w:val="24"/>
          <w:szCs w:val="24"/>
        </w:rPr>
      </w:r>
      <w:r/>
    </w:p>
    <w:p>
      <w:pPr>
        <w:pStyle w:val="807"/>
        <w:spacing w:line="36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1.考核细则</w:t>
      </w:r>
      <w:r>
        <w:rPr>
          <w:rFonts w:hint="eastAsia" w:ascii="宋体" w:hAnsi="宋体" w:cs="宋体"/>
          <w:color w:val="000000"/>
          <w:sz w:val="24"/>
          <w:szCs w:val="24"/>
        </w:rPr>
      </w:r>
      <w:r/>
    </w:p>
    <w:p>
      <w:pPr>
        <w:pStyle w:val="745"/>
        <w:ind w:firstLine="3373"/>
        <w:spacing w:line="360" w:lineRule="auto"/>
        <w:rPr>
          <w:rFonts w:hint="eastAsia" w:ascii="宋体" w:hAnsi="宋体" w:cs="Courier New"/>
          <w:color w:val="000000"/>
          <w:sz w:val="48"/>
          <w:szCs w:val="48"/>
        </w:rPr>
      </w:pPr>
      <w:r>
        <w:rPr>
          <w:rFonts w:hint="eastAsia" w:ascii="宋体" w:hAnsi="宋体"/>
          <w:b/>
          <w:bCs/>
          <w:color w:val="000000"/>
          <w:sz w:val="48"/>
          <w:szCs w:val="48"/>
        </w:rPr>
        <w:t xml:space="preserve">物业服务考核细则</w:t>
      </w:r>
      <w:r>
        <w:rPr>
          <w:rFonts w:hint="eastAsia" w:ascii="宋体" w:hAnsi="宋体" w:cs="Courier New"/>
          <w:color w:val="000000"/>
          <w:sz w:val="48"/>
          <w:szCs w:val="48"/>
        </w:rPr>
      </w:r>
      <w:r/>
    </w:p>
    <w:p>
      <w:pPr>
        <w:pStyle w:val="745"/>
        <w:ind w:firstLine="482"/>
        <w:spacing w:line="360" w:lineRule="auto"/>
        <w:rPr>
          <w:rFonts w:hint="eastAsia" w:ascii="宋体" w:hAnsi="宋体" w:cs="Courier New"/>
          <w:b/>
          <w:bCs/>
          <w:color w:val="000000"/>
          <w:sz w:val="24"/>
          <w:szCs w:val="24"/>
        </w:rPr>
      </w:pPr>
      <w:r>
        <w:rPr>
          <w:rFonts w:hint="eastAsia" w:ascii="宋体" w:hAnsi="宋体" w:cs="Courier New"/>
          <w:b/>
          <w:bCs/>
          <w:color w:val="000000"/>
          <w:sz w:val="24"/>
          <w:szCs w:val="24"/>
        </w:rPr>
      </w:r>
      <w:r/>
    </w:p>
    <w:p>
      <w:pPr>
        <w:pStyle w:val="745"/>
        <w:ind w:firstLine="482"/>
        <w:spacing w:line="360" w:lineRule="auto"/>
        <w:rPr>
          <w:rFonts w:hint="eastAsia" w:ascii="宋体" w:hAnsi="宋体" w:cs="Courier New"/>
          <w:b/>
          <w:bCs/>
          <w:color w:val="000000"/>
          <w:sz w:val="24"/>
          <w:szCs w:val="24"/>
        </w:rPr>
      </w:pPr>
      <w:r>
        <w:rPr>
          <w:rFonts w:hint="eastAsia" w:ascii="宋体" w:hAnsi="宋体" w:cs="Courier New"/>
          <w:b/>
          <w:bCs/>
          <w:color w:val="000000"/>
          <w:sz w:val="24"/>
          <w:szCs w:val="24"/>
        </w:rPr>
        <w:t xml:space="preserve">一、中标供应商层面考核</w:t>
      </w:r>
      <w:r>
        <w:rPr>
          <w:rFonts w:hint="eastAsia" w:ascii="宋体" w:hAnsi="宋体" w:cs="Courier New"/>
          <w:b/>
          <w:bCs/>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（1）如不履行合同或降低合同（包括采购文件）要求，经采购人口头及书面整改警示后仍未达标，或</w:t>
      </w:r>
      <w:r>
        <w:rPr>
          <w:rFonts w:hint="eastAsia" w:ascii="宋体" w:hAnsi="宋体" w:cs="宋体"/>
          <w:color w:val="000000"/>
          <w:sz w:val="24"/>
          <w:szCs w:val="24"/>
        </w:rPr>
        <w:t xml:space="preserve">中标供应商责任导致人员的年龄、学历、技能、工作经历、薪酬等违反服务要求的，</w:t>
      </w:r>
      <w:r>
        <w:rPr>
          <w:rFonts w:hint="eastAsia" w:ascii="宋体" w:hAnsi="宋体" w:cs="Courier New"/>
          <w:color w:val="000000"/>
          <w:sz w:val="24"/>
          <w:szCs w:val="24"/>
        </w:rPr>
        <w:t xml:space="preserve">供应商不符合招标文件要求的行为应立即予以整改，并视情节轻重给予500-1000元的经济处罚。供应商无法按要求整改的，采购人有权终止合同。</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（2）不执行采购人制定的管理制度致发生意外事故，造成采购人损失的，采购人将视情节扣除考核服务费或解除合同，并依法追究中标供应商的法律责任。</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（3）因管理不当，对采购人造成影响，将视情节扣除考核服务费。</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（4）采购人监管部门负责：监管部门将日常检查发现存在的问题以书面形式提交供应商，并要求供应商限时整改，供应商以书面形式向甲方反馈整改措施及效果并对 存在问题进行持续质量改进。对于监管部门提出的问题未限时整改的或整改不到位的，落实考核：500元/次。</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（5）岗位人员缺编处罚：供应商岗位人员不得缺编，每缺编 1 人按200元每天计罚，缺编2人或2人以上无条件终止与院方物业合同。</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所有在采购人处工作的物业工作人员，其司职的岗位必须相对固定，不得随意转岗、流动。如果变化，供应商需提前和采购人相关部门沟通，说明缘由后方可调换。如果发现物业服务人员缺岗，应提前向供应商主管部门汇报，并向采购人相关科室和物业管理部门报备。若发现供应商在采购人不知情的情况下随意调岗、轮转、变更各岗位（工作地点）的人员，以及采购人在检查过程中发现物业服务人员有缺岗、脱岗现象，每检查发现一人/次，处罚200元/人次。</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（7）经院级层面反馈的供应商服务不到位现象，扣除供应商服务费500元/次。因服务不到位，被投诉并经核实确认为有效投诉的，造成恶劣影响的，采购人扣除供应商服务费 500-1000 元/次。供应商若有其它违规行为，视情节轻重给予500-1000元的经济处罚。</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8）供应商在合同期间及服务过程中，给采购人造成损失时采购人有权从合同款项中直接扣除相应损失。因服务人员失职造成重大责任事故或恶劣社会影响，如发生封闭病房病人外跑甚至死亡、安全生产事故、泄露患者隐私、私拍照片视频等上传网络造成舆情等，所有责任由供应商全权承担，采购人将通过法律程序维权，采购人可无条件终止合同。</w:t>
      </w:r>
      <w:r>
        <w:rPr>
          <w:rFonts w:hint="eastAsia" w:ascii="宋体" w:hAnsi="宋体" w:cs="Courier New"/>
          <w:color w:val="000000"/>
          <w:sz w:val="24"/>
          <w:szCs w:val="24"/>
        </w:rPr>
      </w:r>
      <w:r/>
    </w:p>
    <w:p>
      <w:pPr>
        <w:pStyle w:val="745"/>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（9）供应商在服务期间为医院争创荣誉、提供增值服务、挽回或避免重大损失等情形者，可报请院管理部门，经会商后予以酌情加分奖励，原则上最高加分不高于10分。</w:t>
      </w:r>
      <w:r>
        <w:rPr>
          <w:rFonts w:hint="eastAsia" w:ascii="宋体" w:hAnsi="宋体" w:cs="Courier New"/>
          <w:color w:val="000000"/>
          <w:sz w:val="24"/>
          <w:szCs w:val="24"/>
        </w:rPr>
      </w:r>
      <w:r/>
    </w:p>
    <w:p>
      <w:pPr>
        <w:pStyle w:val="745"/>
        <w:ind w:firstLine="480"/>
        <w:spacing w:line="360" w:lineRule="auto"/>
        <w:rPr>
          <w:rFonts w:hint="eastAsia" w:ascii="宋体" w:hAnsi="宋体" w:cs="Courier New"/>
          <w:b/>
          <w:bCs/>
          <w:color w:val="000000"/>
          <w:sz w:val="24"/>
          <w:szCs w:val="24"/>
        </w:rPr>
      </w:pPr>
      <w:r>
        <w:rPr>
          <w:rFonts w:hint="eastAsia" w:ascii="宋体" w:hAnsi="宋体" w:cs="Courier New"/>
          <w:b/>
          <w:bCs/>
          <w:color w:val="000000"/>
          <w:sz w:val="24"/>
          <w:szCs w:val="24"/>
        </w:rPr>
        <w:t xml:space="preserve">二、服务人员考核层面</w:t>
      </w:r>
      <w:r>
        <w:rPr>
          <w:rFonts w:hint="eastAsia" w:ascii="宋体" w:hAnsi="宋体" w:cs="Courier New"/>
          <w:b/>
          <w:bCs/>
          <w:color w:val="000000"/>
          <w:sz w:val="24"/>
          <w:szCs w:val="24"/>
        </w:rPr>
      </w:r>
      <w:r/>
    </w:p>
    <w:p>
      <w:pPr>
        <w:pStyle w:val="745"/>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通用类考核（仪表仪容、劳动纪律及其他）占15分，其他各岗位工作内容和工作要求考核分为85分，具体如下：</w:t>
      </w:r>
      <w:r>
        <w:rPr>
          <w:rFonts w:hint="eastAsia" w:ascii="等线" w:hAnsi="等线" w:eastAsia="等线" w:cs="等线"/>
          <w:color w:val="000000"/>
          <w:sz w:val="24"/>
          <w:szCs w:val="24"/>
        </w:rPr>
      </w:r>
      <w:r/>
    </w:p>
    <w:p>
      <w:pPr>
        <w:pStyle w:val="745"/>
        <w:ind w:firstLine="3184"/>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（一）通用类考核15分</w:t>
      </w:r>
      <w:r>
        <w:rPr>
          <w:rFonts w:hint="eastAsia" w:ascii="等线" w:hAnsi="等线" w:eastAsia="等线" w:cs="等线"/>
          <w:b/>
          <w:bCs/>
          <w:color w:val="000000"/>
          <w:sz w:val="24"/>
          <w:szCs w:val="24"/>
        </w:rPr>
      </w:r>
      <w:r/>
    </w:p>
    <w:tbl>
      <w:tblPr>
        <w:tblpPr w:horzAnchor="page" w:tblpX="1273" w:vertAnchor="text" w:tblpY="203" w:leftFromText="180" w:topFromText="0" w:rightFromText="180" w:bottomFromText="0"/>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5774"/>
        <w:gridCol w:w="2797"/>
      </w:tblGrid>
      <w:tr>
        <w:trPr>
          <w:trHeight w:val="536"/>
        </w:trPr>
        <w:tc>
          <w:tcPr>
            <w:tcW w:w="1460" w:type="dxa"/>
            <w:vAlign w:val="top"/>
            <w:textDirection w:val="lrTb"/>
            <w:noWrap w:val="false"/>
          </w:tcPr>
          <w:p>
            <w:pPr>
              <w:pStyle w:val="745"/>
              <w:jc w:val="center"/>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b/>
                <w:bCs/>
                <w:color w:val="000000"/>
                <w:sz w:val="24"/>
                <w:szCs w:val="24"/>
              </w:rPr>
              <w:t xml:space="preserve">考核项目</w:t>
            </w:r>
            <w:r>
              <w:rPr>
                <w:rFonts w:hint="eastAsia" w:ascii="等线" w:hAnsi="等线" w:eastAsia="等线" w:cs="等线"/>
                <w:color w:val="000000"/>
                <w:sz w:val="24"/>
                <w:szCs w:val="24"/>
              </w:rPr>
            </w:r>
            <w:r/>
          </w:p>
        </w:tc>
        <w:tc>
          <w:tcPr>
            <w:tcW w:w="5774" w:type="dxa"/>
            <w:vAlign w:val="top"/>
            <w:textDirection w:val="lrTb"/>
            <w:noWrap w:val="false"/>
          </w:tcPr>
          <w:p>
            <w:pPr>
              <w:pStyle w:val="745"/>
              <w:ind w:firstLine="643"/>
              <w:jc w:val="center"/>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考核内容</w:t>
            </w:r>
            <w:r>
              <w:rPr>
                <w:rFonts w:hint="eastAsia" w:ascii="等线" w:hAnsi="等线" w:eastAsia="等线" w:cs="等线"/>
                <w:b/>
                <w:bCs/>
                <w:color w:val="000000"/>
                <w:sz w:val="24"/>
                <w:szCs w:val="24"/>
              </w:rPr>
            </w:r>
            <w:r/>
          </w:p>
        </w:tc>
        <w:tc>
          <w:tcPr>
            <w:tcW w:w="2797" w:type="dxa"/>
            <w:vAlign w:val="top"/>
            <w:textDirection w:val="lrTb"/>
            <w:noWrap w:val="false"/>
          </w:tcPr>
          <w:p>
            <w:pPr>
              <w:pStyle w:val="745"/>
              <w:ind w:firstLine="643"/>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b/>
                <w:bCs/>
                <w:color w:val="000000"/>
                <w:sz w:val="24"/>
                <w:szCs w:val="24"/>
              </w:rPr>
              <w:t xml:space="preserve">扣分标准</w:t>
            </w:r>
            <w:r>
              <w:rPr>
                <w:rFonts w:hint="eastAsia" w:ascii="等线" w:hAnsi="等线" w:eastAsia="等线" w:cs="等线"/>
                <w:color w:val="000000"/>
                <w:sz w:val="24"/>
                <w:szCs w:val="24"/>
              </w:rPr>
            </w:r>
            <w:r/>
          </w:p>
        </w:tc>
      </w:tr>
      <w:tr>
        <w:trPr>
          <w:cantSplit/>
          <w:trHeight w:val="567"/>
        </w:trPr>
        <w:tc>
          <w:tcPr>
            <w:tcW w:w="1460" w:type="dxa"/>
            <w:vAlign w:val="center"/>
            <w:vMerge w:val="restart"/>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仪容仪表</w:t>
            </w:r>
            <w:r>
              <w:rPr>
                <w:rFonts w:hint="eastAsia" w:ascii="等线" w:hAnsi="等线" w:eastAsia="等线" w:cs="等线"/>
                <w:b/>
                <w:bCs/>
                <w:color w:val="000000"/>
                <w:sz w:val="24"/>
                <w:szCs w:val="24"/>
              </w:rPr>
            </w:r>
            <w:r/>
          </w:p>
          <w:p>
            <w:pPr>
              <w:pStyle w:val="745"/>
              <w:ind w:firstLine="48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1、举止端庄大方</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文明礼貌服务</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保持良好工作态度</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2 </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cantSplit/>
          <w:trHeight w:val="567"/>
        </w:trPr>
        <w:tc>
          <w:tcPr>
            <w:tcW w:w="1460" w:type="dxa"/>
            <w:vAlign w:val="center"/>
            <w:vMerge w:val="continue"/>
            <w:textDirection w:val="lrTb"/>
            <w:noWrap w:val="false"/>
          </w:tcPr>
          <w:p>
            <w:pPr>
              <w:pStyle w:val="745"/>
              <w:ind w:firstLine="56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2、着装上岗,佩带胸牌</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服装整洁</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仪表端庄</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保持良好的个人卫生</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cantSplit/>
          <w:trHeight w:val="567"/>
        </w:trPr>
        <w:tc>
          <w:tcPr>
            <w:tcW w:w="1460" w:type="dxa"/>
            <w:vAlign w:val="center"/>
            <w:vMerge w:val="continue"/>
            <w:textDirection w:val="lrTb"/>
            <w:noWrap w:val="false"/>
          </w:tcPr>
          <w:p>
            <w:pPr>
              <w:pStyle w:val="745"/>
              <w:ind w:firstLine="56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3、态度和谐,说话和气</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善待病人</w:t>
            </w:r>
            <w:r>
              <w:rPr>
                <w:rStyle w:val="1070"/>
                <w:rFonts w:hint="eastAsia" w:ascii="等线" w:hAnsi="等线" w:eastAsia="等线" w:cs="等线"/>
                <w:color w:val="000000"/>
              </w:rPr>
              <w:t xml:space="preserve">,</w:t>
            </w:r>
            <w:r>
              <w:rPr>
                <w:rFonts w:hint="eastAsia" w:ascii="等线" w:hAnsi="等线" w:eastAsia="等线" w:cs="等线"/>
                <w:color w:val="000000"/>
                <w:sz w:val="24"/>
                <w:szCs w:val="24"/>
              </w:rPr>
              <w:t xml:space="preserve">不可打骂病人、家属、医护人员</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cantSplit/>
          <w:trHeight w:val="567"/>
        </w:trPr>
        <w:tc>
          <w:tcPr>
            <w:tcW w:w="1460" w:type="dxa"/>
            <w:vAlign w:val="center"/>
            <w:vMerge w:val="restart"/>
            <w:textDirection w:val="lrTb"/>
            <w:noWrap w:val="false"/>
          </w:tcPr>
          <w:p>
            <w:pPr>
              <w:pStyle w:val="745"/>
              <w:ind w:firstLine="48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劳动纪律</w:t>
            </w:r>
            <w:r>
              <w:rPr>
                <w:rFonts w:hint="eastAsia" w:ascii="等线" w:hAnsi="等线" w:eastAsia="等线" w:cs="等线"/>
                <w:b/>
                <w:bCs/>
                <w:color w:val="000000"/>
                <w:sz w:val="24"/>
                <w:szCs w:val="24"/>
              </w:rPr>
            </w:r>
            <w:r/>
          </w:p>
          <w:p>
            <w:pPr>
              <w:pStyle w:val="745"/>
              <w:ind w:firstLine="48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1、遵纪守法,坚守岗位,严格履行请假制度,不准擅自离开工作岗位，不得私自找人代班</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 2 分</w:t>
            </w:r>
            <w:r>
              <w:rPr>
                <w:rFonts w:hint="eastAsia" w:ascii="等线" w:hAnsi="等线" w:eastAsia="等线" w:cs="等线"/>
                <w:color w:val="000000"/>
                <w:sz w:val="24"/>
                <w:szCs w:val="24"/>
              </w:rPr>
            </w:r>
            <w:r/>
          </w:p>
        </w:tc>
      </w:tr>
      <w:tr>
        <w:trPr>
          <w:cantSplit/>
          <w:trHeight w:val="631"/>
        </w:trPr>
        <w:tc>
          <w:tcPr>
            <w:tcW w:w="1460" w:type="dxa"/>
            <w:vAlign w:val="center"/>
            <w:vMerge w:val="continue"/>
            <w:textDirection w:val="lrTb"/>
            <w:noWrap w:val="false"/>
          </w:tcPr>
          <w:p>
            <w:pPr>
              <w:pStyle w:val="745"/>
              <w:ind w:firstLine="56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2、遵守公司、医院、病区的各项规章制度,保证医院的秩序。</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 1 分</w:t>
            </w:r>
            <w:r>
              <w:rPr>
                <w:rFonts w:hint="eastAsia" w:ascii="等线" w:hAnsi="等线" w:eastAsia="等线" w:cs="等线"/>
                <w:color w:val="000000"/>
                <w:sz w:val="24"/>
                <w:szCs w:val="24"/>
              </w:rPr>
            </w:r>
            <w:r/>
          </w:p>
        </w:tc>
      </w:tr>
      <w:tr>
        <w:trPr>
          <w:cantSplit/>
          <w:trHeight w:val="567"/>
        </w:trPr>
        <w:tc>
          <w:tcPr>
            <w:tcW w:w="1460" w:type="dxa"/>
            <w:vAlign w:val="center"/>
            <w:vMerge w:val="continue"/>
            <w:textDirection w:val="lrTb"/>
            <w:noWrap w:val="false"/>
          </w:tcPr>
          <w:p>
            <w:pPr>
              <w:pStyle w:val="745"/>
              <w:ind w:firstLine="562"/>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3、如抽烟、喝酒、玩手机、拍视频网传等</w:t>
            </w:r>
            <w:r>
              <w:rPr>
                <w:rFonts w:hint="eastAsia" w:ascii="等线" w:hAnsi="等线" w:eastAsia="等线" w:cs="等线"/>
                <w:color w:val="000000"/>
                <w:sz w:val="24"/>
                <w:szCs w:val="24"/>
              </w:rPr>
            </w:r>
            <w:r/>
          </w:p>
        </w:tc>
        <w:tc>
          <w:tcPr>
            <w:tcW w:w="279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一项不符合要求扣 2 分</w:t>
            </w:r>
            <w:r>
              <w:rPr>
                <w:rFonts w:hint="eastAsia" w:ascii="等线" w:hAnsi="等线" w:eastAsia="等线" w:cs="等线"/>
                <w:color w:val="000000"/>
                <w:sz w:val="24"/>
                <w:szCs w:val="24"/>
              </w:rPr>
            </w:r>
            <w:r/>
          </w:p>
        </w:tc>
      </w:tr>
      <w:tr>
        <w:trPr>
          <w:cantSplit/>
          <w:trHeight w:val="567"/>
        </w:trPr>
        <w:tc>
          <w:tcPr>
            <w:tcW w:w="1460"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t xml:space="preserve">其他（5分）</w:t>
            </w: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1.接受或索要病人、家属钱物</w:t>
            </w:r>
            <w:r>
              <w:rPr>
                <w:rFonts w:hint="eastAsia" w:ascii="等线" w:hAnsi="等线" w:eastAsia="等线" w:cs="等线"/>
                <w:color w:val="000000"/>
                <w:sz w:val="24"/>
                <w:szCs w:val="24"/>
              </w:rPr>
            </w:r>
            <w:r/>
          </w:p>
        </w:tc>
        <w:tc>
          <w:tcPr>
            <w:tcW w:w="2797" w:type="dxa"/>
            <w:vAlign w:val="center"/>
            <w:textDirection w:val="lrTb"/>
            <w:noWrap w:val="false"/>
          </w:tcPr>
          <w:p>
            <w:pPr>
              <w:pStyle w:val="745"/>
              <w:jc w:val="center"/>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查实后扣5分，相关人员清退</w:t>
            </w:r>
            <w:r>
              <w:rPr>
                <w:rFonts w:hint="eastAsia" w:ascii="等线" w:hAnsi="等线" w:eastAsia="等线" w:cs="等线"/>
                <w:color w:val="000000"/>
                <w:sz w:val="24"/>
                <w:szCs w:val="24"/>
              </w:rPr>
            </w:r>
            <w:r/>
          </w:p>
        </w:tc>
      </w:tr>
      <w:tr>
        <w:trPr>
          <w:cantSplit/>
          <w:trHeight w:val="567"/>
        </w:trPr>
        <w:tc>
          <w:tcPr>
            <w:tcW w:w="1460"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1273" w:y="203"/>
            </w:pPr>
            <w:r>
              <w:rPr>
                <w:rFonts w:hint="eastAsia" w:ascii="等线" w:hAnsi="等线" w:eastAsia="等线" w:cs="等线"/>
                <w:b/>
                <w:bCs/>
                <w:color w:val="000000"/>
                <w:sz w:val="24"/>
                <w:szCs w:val="24"/>
              </w:rPr>
            </w:r>
            <w:r/>
          </w:p>
        </w:tc>
        <w:tc>
          <w:tcPr>
            <w:tcW w:w="5774"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2.其他不符合医院管理规定的情况</w:t>
            </w:r>
            <w:r>
              <w:rPr>
                <w:rFonts w:hint="eastAsia" w:ascii="等线" w:hAnsi="等线" w:eastAsia="等线" w:cs="等线"/>
                <w:color w:val="000000"/>
                <w:sz w:val="24"/>
                <w:szCs w:val="24"/>
              </w:rPr>
            </w:r>
            <w:r/>
          </w:p>
        </w:tc>
        <w:tc>
          <w:tcPr>
            <w:tcW w:w="2797" w:type="dxa"/>
            <w:vAlign w:val="center"/>
            <w:textDirection w:val="lrTb"/>
            <w:noWrap w:val="false"/>
          </w:tcPr>
          <w:p>
            <w:pPr>
              <w:pStyle w:val="745"/>
              <w:jc w:val="center"/>
              <w:spacing w:line="360" w:lineRule="auto"/>
              <w:rPr>
                <w:rFonts w:hint="eastAsia" w:ascii="等线" w:hAnsi="等线" w:eastAsia="等线" w:cs="等线"/>
                <w:color w:val="000000"/>
                <w:sz w:val="24"/>
                <w:szCs w:val="24"/>
              </w:rPr>
              <w:framePr w:vAnchor="text" w:hAnchor="page" w:x="1273" w:y="203"/>
            </w:pPr>
            <w:r>
              <w:rPr>
                <w:rFonts w:hint="eastAsia" w:ascii="等线" w:hAnsi="等线" w:eastAsia="等线" w:cs="等线"/>
                <w:color w:val="000000"/>
                <w:sz w:val="24"/>
                <w:szCs w:val="24"/>
              </w:rPr>
              <w:t xml:space="preserve">扣分附扣分说明</w:t>
            </w:r>
            <w:r>
              <w:rPr>
                <w:rFonts w:hint="eastAsia" w:ascii="等线" w:hAnsi="等线" w:eastAsia="等线" w:cs="等线"/>
                <w:color w:val="000000"/>
                <w:sz w:val="24"/>
                <w:szCs w:val="24"/>
              </w:rPr>
            </w:r>
            <w:r/>
          </w:p>
        </w:tc>
      </w:tr>
    </w:tbl>
    <w:p>
      <w:pPr>
        <w:pStyle w:val="745"/>
        <w:ind w:firstLine="3184"/>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184"/>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（二）环境保洁类考核85分</w:t>
      </w:r>
      <w:r>
        <w:rPr>
          <w:rFonts w:hint="eastAsia" w:ascii="等线" w:hAnsi="等线" w:eastAsia="等线" w:cs="等线"/>
          <w:b/>
          <w:bCs/>
          <w:color w:val="000000"/>
          <w:sz w:val="24"/>
          <w:szCs w:val="24"/>
        </w:rPr>
      </w:r>
      <w:r/>
    </w:p>
    <w:tbl>
      <w:tblPr>
        <w:tblpPr w:horzAnchor="page" w:tblpX="1011" w:vertAnchor="text" w:tblpY="382" w:leftFromText="180" w:topFromText="0" w:rightFromText="180" w:bottomFromText="0"/>
        <w:tblW w:w="104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1"/>
        <w:gridCol w:w="5435"/>
        <w:gridCol w:w="3017"/>
      </w:tblGrid>
      <w:tr>
        <w:trPr>
          <w:trHeight w:val="629"/>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考核项目</w:t>
            </w:r>
            <w:r>
              <w:rPr>
                <w:rFonts w:hint="eastAsia" w:ascii="等线" w:hAnsi="等线" w:eastAsia="等线" w:cs="等线"/>
                <w:b/>
                <w:bCs/>
                <w:color w:val="000000"/>
                <w:sz w:val="24"/>
                <w:szCs w:val="24"/>
              </w:rPr>
            </w:r>
            <w:r/>
          </w:p>
        </w:tc>
        <w:tc>
          <w:tcPr>
            <w:tcW w:w="5435"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考核标准</w:t>
            </w:r>
            <w:r>
              <w:rPr>
                <w:rFonts w:hint="eastAsia" w:ascii="等线" w:hAnsi="等线" w:eastAsia="等线" w:cs="等线"/>
                <w:b/>
                <w:bCs/>
                <w:color w:val="000000"/>
                <w:sz w:val="24"/>
                <w:szCs w:val="24"/>
              </w:rPr>
            </w:r>
            <w:r/>
          </w:p>
        </w:tc>
        <w:tc>
          <w:tcPr>
            <w:tcW w:w="3017" w:type="dxa"/>
            <w:vAlign w:val="center"/>
            <w:textDirection w:val="lrTb"/>
            <w:noWrap w:val="false"/>
          </w:tcPr>
          <w:p>
            <w:pPr>
              <w:pStyle w:val="745"/>
              <w:ind w:firstLine="643"/>
              <w:jc w:val="left"/>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扣分标准</w:t>
            </w:r>
            <w:r>
              <w:rPr>
                <w:rFonts w:hint="eastAsia" w:ascii="等线" w:hAnsi="等线" w:eastAsia="等线" w:cs="等线"/>
                <w:b/>
                <w:bCs/>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地面10分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干净、室内地面干燥、无垃圾废物、无烟蒂纸屑、无灰尘泥土、无痰迹，无其他可擦洗污迹、墙角、沟、边保洁到位，走动式维护，确保全天候洁净</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墙壁5分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墙壁（含电梯间）目视干净无尘，无蛛网，无可擦洗污迹，无牛皮癣，保洁工具、材料适合相应墙体材质，不得损伤、污染墙体</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卫生死角10分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水管处、下水道口、排水沟、水池、雨水槽内阴沟、污水井及绿化带等地方确保其内无杂物</w:t>
            </w:r>
            <w:r>
              <w:rPr>
                <w:rFonts w:hint="eastAsia" w:ascii="等线" w:hAnsi="等线" w:eastAsia="等线" w:cs="等线"/>
                <w:color w:val="000000"/>
                <w:sz w:val="24"/>
                <w:szCs w:val="24"/>
              </w:rPr>
            </w:r>
            <w:r/>
          </w:p>
        </w:tc>
        <w:tc>
          <w:tcPr>
            <w:tcW w:w="3017"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一项不符合要求扣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垃圾分类处5分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垃圾分类处地面无垃圾，各分类桶外立面洁净</w:t>
            </w:r>
            <w:r>
              <w:rPr>
                <w:rFonts w:hint="eastAsia" w:ascii="等线" w:hAnsi="等线" w:eastAsia="等线" w:cs="等线"/>
                <w:color w:val="000000"/>
                <w:sz w:val="24"/>
                <w:szCs w:val="24"/>
              </w:rPr>
            </w:r>
            <w:r/>
          </w:p>
        </w:tc>
        <w:tc>
          <w:tcPr>
            <w:tcW w:w="3017"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门、窗、洞、台</w:t>
            </w:r>
            <w:r>
              <w:rPr>
                <w:rFonts w:hint="eastAsia" w:ascii="等线" w:hAnsi="等线" w:eastAsia="等线" w:cs="等线"/>
                <w:b/>
                <w:bCs/>
                <w:color w:val="000000"/>
                <w:sz w:val="24"/>
                <w:szCs w:val="24"/>
              </w:rPr>
            </w:r>
            <w:r/>
          </w:p>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目视干净整洁，无可擦洗污迹，门窗手摸无灰尘，其他无积灰，无蛛网，无隐藏垃圾、废物、烟蒂等。</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家具5分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清洁无结垢、无灰尘，如有污染，及时清洁消毒，目视干净，摆放整齐，手摸无灰尘，不得使用有可能损伤家具的工具和材料</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卫生洁具5分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面盆、水池、水龙头、便器及其他洗浴清洁设备每日清洁，便器每日消毒，目视干净整洁，无污垢，台面等无积水，卫生间保持通风正常</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玻璃、镜子5分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每日擦洗，使用专用清洁试剂，保持干净明亮，目视无灰尘，无污迹，无水渍，手摸边框无灰尘</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卫生（废物）桶、篓5分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专用垃圾袋完好，铺放整齐符合要求，及时回收更换，保证内容物不超容积 2/3，有污秽物时及时清理更换，每日对桶（篓）体定时清洁，无污迹，无积灰，无异味，无溢满</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开水间5分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开水间清洁整齐，无杂物，无晾挂；地面清洁，无污迹，无积水，无异味；开水炉清洁干净</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节约用水用电5分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保洁活动时避免耗水量大的冲洗法，如必须使用冲洗时，应采用间断冲洗，做到人走水关，杜绝长流水；做好院区公共区域照明灯管理，无长明灯现象</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医疗垃圾10分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按规定路线,密闭运送医疗垃圾,防止造成环境污染，医疗垃圾暂时存放点由专人管理,保持清洁;不得堆放非医疗废弃物</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洗涤5分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接收的洗涤物品要按控感管理规定分类洗涤，逐一清点数目，并与科室做好交接记录，根据洗涤量节约用水用电，做到人走机停，关水关电关灯；节约用水、电及其它材料</w:t>
            </w:r>
            <w:r>
              <w:rPr>
                <w:rFonts w:hint="eastAsia" w:ascii="等线" w:hAnsi="等线" w:eastAsia="等线" w:cs="等线"/>
                <w:color w:val="000000"/>
                <w:sz w:val="24"/>
                <w:szCs w:val="24"/>
              </w:rPr>
            </w:r>
            <w:r/>
          </w:p>
        </w:tc>
        <w:tc>
          <w:tcPr>
            <w:tcW w:w="3017"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r>
        <w:trPr/>
        <w:tc>
          <w:tcPr>
            <w:tcW w:w="1971"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framePr w:vAnchor="text" w:hAnchor="page" w:x="1011" w:y="382"/>
            </w:pPr>
            <w:r>
              <w:rPr>
                <w:rFonts w:hint="eastAsia" w:ascii="等线" w:hAnsi="等线" w:eastAsia="等线" w:cs="等线"/>
                <w:b/>
                <w:bCs/>
                <w:color w:val="000000"/>
                <w:sz w:val="24"/>
                <w:szCs w:val="24"/>
              </w:rPr>
              <w:t xml:space="preserve">记录、登记5分</w:t>
            </w:r>
            <w:r>
              <w:rPr>
                <w:rFonts w:hint="eastAsia" w:ascii="等线" w:hAnsi="等线" w:eastAsia="等线" w:cs="等线"/>
                <w:b/>
                <w:bCs/>
                <w:color w:val="000000"/>
                <w:sz w:val="24"/>
                <w:szCs w:val="24"/>
              </w:rPr>
            </w:r>
            <w:r/>
          </w:p>
        </w:tc>
        <w:tc>
          <w:tcPr>
            <w:tcW w:w="5435"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根据工作及上级检查要求，及时准确的记录各类登记本</w:t>
            </w:r>
            <w:r>
              <w:rPr>
                <w:rFonts w:hint="eastAsia" w:ascii="等线" w:hAnsi="等线" w:eastAsia="等线" w:cs="等线"/>
                <w:color w:val="000000"/>
                <w:sz w:val="24"/>
                <w:szCs w:val="24"/>
              </w:rPr>
            </w:r>
            <w:r/>
          </w:p>
        </w:tc>
        <w:tc>
          <w:tcPr>
            <w:tcW w:w="3017" w:type="dxa"/>
            <w:vAlign w:val="top"/>
            <w:textDirection w:val="lrTb"/>
            <w:noWrap w:val="false"/>
          </w:tcPr>
          <w:p>
            <w:pPr>
              <w:pStyle w:val="745"/>
              <w:spacing w:line="360" w:lineRule="auto"/>
              <w:rPr>
                <w:rFonts w:hint="eastAsia" w:ascii="等线" w:hAnsi="等线" w:eastAsia="等线" w:cs="等线"/>
                <w:color w:val="000000"/>
                <w:sz w:val="24"/>
                <w:szCs w:val="24"/>
              </w:rPr>
              <w:framePr w:vAnchor="text" w:hAnchor="page" w:x="1011" w:y="382"/>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 分</w:t>
            </w:r>
            <w:r>
              <w:rPr>
                <w:rFonts w:hint="eastAsia" w:ascii="等线" w:hAnsi="等线" w:eastAsia="等线" w:cs="等线"/>
                <w:color w:val="000000"/>
                <w:sz w:val="24"/>
                <w:szCs w:val="24"/>
              </w:rPr>
            </w:r>
            <w:r/>
          </w:p>
        </w:tc>
      </w:tr>
    </w:tbl>
    <w:p>
      <w:pPr>
        <w:pStyle w:val="745"/>
        <w:spacing w:line="360" w:lineRule="auto"/>
        <w:rPr>
          <w:color w:val="000000"/>
        </w:rPr>
      </w:pPr>
      <w:r>
        <w:rPr>
          <w:color w:val="000000"/>
        </w:rPr>
      </w:r>
      <w:r/>
    </w:p>
    <w:p>
      <w:pPr>
        <w:pStyle w:val="745"/>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2641"/>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2641"/>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2641"/>
        <w:spacing w:line="360" w:lineRule="auto"/>
        <w:rPr>
          <w:rFonts w:hint="eastAsia" w:ascii="等线" w:hAnsi="等线" w:eastAsia="等线" w:cs="等线"/>
          <w:color w:val="000000"/>
          <w:sz w:val="24"/>
          <w:szCs w:val="24"/>
        </w:rPr>
      </w:pPr>
      <w:r>
        <w:rPr>
          <w:rFonts w:hint="eastAsia" w:ascii="等线" w:hAnsi="等线" w:eastAsia="等线" w:cs="等线"/>
          <w:b/>
          <w:bCs/>
          <w:color w:val="000000"/>
          <w:sz w:val="24"/>
          <w:szCs w:val="24"/>
        </w:rPr>
        <w:t xml:space="preserve">（三）病区专职保洁（辅工）85分</w:t>
      </w:r>
      <w:r>
        <w:rPr>
          <w:rFonts w:hint="eastAsia" w:ascii="等线" w:hAnsi="等线" w:eastAsia="等线" w:cs="等线"/>
          <w:color w:val="000000"/>
          <w:sz w:val="24"/>
          <w:szCs w:val="24"/>
        </w:rPr>
      </w:r>
      <w:r/>
    </w:p>
    <w:tbl>
      <w:tblPr>
        <w:tblpPr w:horzAnchor="page" w:tblpX="761" w:vertAnchor="text" w:tblpY="750" w:leftFromText="180" w:topFromText="0" w:rightFromText="180" w:bottomFromText="0"/>
        <w:tblW w:w="10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6108"/>
        <w:gridCol w:w="2299"/>
      </w:tblGrid>
      <w:tr>
        <w:trPr>
          <w:trHeight w:val="629"/>
        </w:trPr>
        <w:tc>
          <w:tcPr>
            <w:tcW w:w="2164"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考核项目</w:t>
            </w:r>
            <w:r>
              <w:rPr>
                <w:rFonts w:hint="eastAsia" w:ascii="等线" w:hAnsi="等线" w:eastAsia="等线" w:cs="等线"/>
                <w:b/>
                <w:bCs/>
                <w:color w:val="000000"/>
                <w:sz w:val="24"/>
                <w:szCs w:val="24"/>
              </w:rPr>
            </w:r>
            <w:r/>
          </w:p>
        </w:tc>
        <w:tc>
          <w:tcPr>
            <w:tcW w:w="6108"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考核标准</w:t>
            </w:r>
            <w:r>
              <w:rPr>
                <w:rFonts w:hint="eastAsia" w:ascii="等线" w:hAnsi="等线" w:eastAsia="等线" w:cs="等线"/>
                <w:b/>
                <w:bCs/>
                <w:color w:val="000000"/>
                <w:sz w:val="24"/>
                <w:szCs w:val="24"/>
              </w:rPr>
            </w:r>
            <w:r/>
          </w:p>
        </w:tc>
        <w:tc>
          <w:tcPr>
            <w:tcW w:w="2299" w:type="dxa"/>
            <w:vAlign w:val="center"/>
            <w:textDirection w:val="lrTb"/>
            <w:noWrap w:val="false"/>
          </w:tcPr>
          <w:p>
            <w:pPr>
              <w:pStyle w:val="745"/>
              <w:ind w:firstLine="643"/>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扣分标准</w:t>
            </w:r>
            <w:r>
              <w:rPr>
                <w:rFonts w:hint="eastAsia" w:ascii="等线" w:hAnsi="等线" w:eastAsia="等线" w:cs="等线"/>
                <w:b/>
                <w:bCs/>
                <w:color w:val="000000"/>
                <w:sz w:val="24"/>
                <w:szCs w:val="24"/>
              </w:rPr>
            </w:r>
            <w:r/>
          </w:p>
        </w:tc>
      </w:tr>
      <w:tr>
        <w:trPr/>
        <w:tc>
          <w:tcPr>
            <w:tcW w:w="2164"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工作态度</w:t>
            </w:r>
            <w:r>
              <w:rPr>
                <w:rFonts w:hint="eastAsia" w:ascii="等线" w:hAnsi="等线" w:eastAsia="等线" w:cs="等线"/>
                <w:b/>
                <w:bCs/>
                <w:color w:val="000000"/>
                <w:sz w:val="24"/>
                <w:szCs w:val="24"/>
              </w:rPr>
            </w:r>
            <w:r/>
          </w:p>
          <w:p>
            <w:pPr>
              <w:pStyle w:val="745"/>
              <w:ind w:firstLine="482"/>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服从病区护士长排班，未经护士长同意不得私自调班、调休；工作期间无顶撞医护行为及语言，无谩骂、殴打患者行为，工作期间无看手机、长时间接听电话（超过3分钟）、睡觉等与工作无关并影响工作的情形</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分，如有殴打行为，中标方需承担一切后果并无条件配合采购方换人</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firstLine="24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值班巡视</w:t>
            </w:r>
            <w:r>
              <w:rPr>
                <w:rFonts w:hint="eastAsia" w:ascii="等线" w:hAnsi="等线" w:eastAsia="等线" w:cs="等线"/>
                <w:b/>
                <w:bCs/>
                <w:color w:val="000000"/>
                <w:sz w:val="24"/>
                <w:szCs w:val="24"/>
              </w:rPr>
            </w:r>
            <w:r/>
          </w:p>
          <w:p>
            <w:pPr>
              <w:pStyle w:val="745"/>
              <w:ind w:firstLine="48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15分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值班期间按照病区规定按时巡视，值班期间无故不得离开值班地点</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病区卫生</w:t>
            </w:r>
            <w:r>
              <w:rPr>
                <w:rFonts w:hint="eastAsia" w:ascii="等线" w:hAnsi="等线" w:eastAsia="等线" w:cs="等线"/>
                <w:b/>
                <w:bCs/>
                <w:color w:val="000000"/>
                <w:sz w:val="24"/>
                <w:szCs w:val="24"/>
              </w:rPr>
            </w:r>
            <w:r/>
          </w:p>
          <w:p>
            <w:pPr>
              <w:pStyle w:val="745"/>
              <w:ind w:firstLine="514"/>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干净、室内地面干燥、无垃圾废物、无烟蒂纸屑、无灰尘泥土、无痰迹、无蛛网；开水间清洁整齐，无杂物、无晾挂、无积水、无异味；每日对垃圾桶（篓）体定时清洁，无异味，无溢满</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病人饮食安全</w:t>
            </w:r>
            <w:r>
              <w:rPr>
                <w:rFonts w:hint="eastAsia" w:ascii="等线" w:hAnsi="等线" w:eastAsia="等线" w:cs="等线"/>
                <w:b/>
                <w:bCs/>
                <w:color w:val="000000"/>
                <w:sz w:val="24"/>
                <w:szCs w:val="24"/>
              </w:rPr>
            </w:r>
            <w:r/>
          </w:p>
          <w:p>
            <w:pPr>
              <w:pStyle w:val="745"/>
              <w:ind w:firstLine="482"/>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每天确保供应患者饮用水（凉白开），不给患者食用过期、过夜及被污染的食品，不得帮患者从院外带食品入病区</w:t>
            </w:r>
            <w:r>
              <w:rPr>
                <w:rFonts w:hint="eastAsia" w:ascii="等线" w:hAnsi="等线" w:eastAsia="等线" w:cs="等线"/>
                <w:color w:val="000000"/>
                <w:sz w:val="24"/>
                <w:szCs w:val="24"/>
              </w:rPr>
            </w:r>
            <w:r/>
          </w:p>
        </w:tc>
        <w:tc>
          <w:tcPr>
            <w:tcW w:w="2299"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病人卫生</w:t>
            </w:r>
            <w:r>
              <w:rPr>
                <w:rFonts w:hint="eastAsia" w:ascii="等线" w:hAnsi="等线" w:eastAsia="等线" w:cs="等线"/>
                <w:b/>
                <w:bCs/>
                <w:color w:val="000000"/>
                <w:sz w:val="24"/>
                <w:szCs w:val="24"/>
              </w:rPr>
            </w:r>
            <w:r/>
          </w:p>
          <w:p>
            <w:pPr>
              <w:pStyle w:val="745"/>
              <w:ind w:firstLine="482"/>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15分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根据护理部要求协助患者洗漱更换衣物，病人及身着衣物整洁无异味；患者无长指甲，男性患者无长发、长胡须</w:t>
            </w:r>
            <w:r>
              <w:rPr>
                <w:rFonts w:hint="eastAsia" w:ascii="等线" w:hAnsi="等线" w:eastAsia="等线" w:cs="等线"/>
                <w:color w:val="000000"/>
                <w:sz w:val="24"/>
                <w:szCs w:val="24"/>
              </w:rPr>
            </w:r>
            <w:r/>
          </w:p>
        </w:tc>
        <w:tc>
          <w:tcPr>
            <w:tcW w:w="2299"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left="720" w:hanging="72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病区家具、电器         5分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清洁无结垢、无灰尘，如有污染，及时清洁消毒，目视干净，摆放整齐，手摸无灰尘，不得使用有可能损伤家具的工具和材料</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firstLine="24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卫生洁具</w:t>
            </w:r>
            <w:r>
              <w:rPr>
                <w:rFonts w:hint="eastAsia" w:ascii="等线" w:hAnsi="等线" w:eastAsia="等线" w:cs="等线"/>
                <w:b/>
                <w:bCs/>
                <w:color w:val="000000"/>
                <w:sz w:val="24"/>
                <w:szCs w:val="24"/>
              </w:rPr>
            </w:r>
            <w:r/>
          </w:p>
          <w:p>
            <w:pPr>
              <w:pStyle w:val="745"/>
              <w:ind w:firstLine="72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 5分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面盆、水池、水龙头、便器及其他洗浴清洁设备清洁，便器每日消毒，目视干净整洁，无污垢，台面等无积水，卫生间保持通风正常</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节约用水用电</w:t>
            </w:r>
            <w:r>
              <w:rPr>
                <w:rFonts w:hint="eastAsia" w:ascii="等线" w:hAnsi="等线" w:eastAsia="等线" w:cs="等线"/>
                <w:b/>
                <w:bCs/>
                <w:color w:val="000000"/>
                <w:sz w:val="24"/>
                <w:szCs w:val="24"/>
              </w:rPr>
            </w:r>
            <w:r/>
          </w:p>
          <w:p>
            <w:pPr>
              <w:pStyle w:val="745"/>
              <w:ind w:firstLine="79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保洁活动时避免耗水量大的冲洗法，如必须使用冲洗时，应采用间断冲洗，做到人走水关，杜绝长流水；做好病区公共区域照明灯管理，无长明灯现象</w:t>
            </w:r>
            <w:r>
              <w:rPr>
                <w:rFonts w:hint="eastAsia" w:ascii="等线" w:hAnsi="等线" w:eastAsia="等线" w:cs="等线"/>
                <w:color w:val="000000"/>
                <w:sz w:val="24"/>
                <w:szCs w:val="24"/>
              </w:rPr>
            </w:r>
            <w:r/>
          </w:p>
        </w:tc>
        <w:tc>
          <w:tcPr>
            <w:tcW w:w="2299" w:type="dxa"/>
            <w:vAlign w:val="center"/>
            <w:textDirection w:val="lrTb"/>
            <w:noWrap w:val="false"/>
          </w:tcPr>
          <w:p>
            <w:pPr>
              <w:pStyle w:val="745"/>
              <w:jc w:val="left"/>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2164" w:type="dxa"/>
            <w:vAlign w:val="center"/>
            <w:textDirection w:val="lrTb"/>
            <w:noWrap w:val="false"/>
          </w:tcPr>
          <w:p>
            <w:pPr>
              <w:pStyle w:val="745"/>
              <w:ind w:left="720" w:hanging="720"/>
              <w:jc w:val="left"/>
              <w:spacing w:line="360" w:lineRule="auto"/>
              <w:rPr>
                <w:rFonts w:hint="eastAsia" w:ascii="等线" w:hAnsi="等线" w:eastAsia="等线" w:cs="等线"/>
                <w:b/>
                <w:bCs/>
                <w:color w:val="000000"/>
                <w:sz w:val="24"/>
                <w:szCs w:val="24"/>
              </w:rPr>
              <w:framePr w:vAnchor="text" w:hAnchor="page" w:x="761" w:y="750"/>
            </w:pPr>
            <w:r>
              <w:rPr>
                <w:rFonts w:hint="eastAsia" w:ascii="等线" w:hAnsi="等线" w:eastAsia="等线" w:cs="等线"/>
                <w:b/>
                <w:bCs/>
                <w:color w:val="000000"/>
                <w:sz w:val="24"/>
                <w:szCs w:val="24"/>
              </w:rPr>
              <w:t xml:space="preserve">病区护士长评分       10分</w:t>
            </w:r>
            <w:r>
              <w:rPr>
                <w:rFonts w:hint="eastAsia" w:ascii="等线" w:hAnsi="等线" w:eastAsia="等线" w:cs="等线"/>
                <w:b/>
                <w:bCs/>
                <w:color w:val="000000"/>
                <w:sz w:val="24"/>
                <w:szCs w:val="24"/>
              </w:rPr>
            </w:r>
            <w:r/>
          </w:p>
        </w:tc>
        <w:tc>
          <w:tcPr>
            <w:tcW w:w="6108" w:type="dxa"/>
            <w:vAlign w:val="center"/>
            <w:textDirection w:val="lrTb"/>
            <w:noWrap w:val="false"/>
          </w:tcPr>
          <w:p>
            <w:pPr>
              <w:pStyle w:val="745"/>
              <w:ind w:firstLine="560"/>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t xml:space="preserve">优秀（20分）良好（10分）一般（5分）较差不得分</w:t>
            </w:r>
            <w:r>
              <w:rPr>
                <w:rFonts w:hint="eastAsia" w:ascii="等线" w:hAnsi="等线" w:eastAsia="等线" w:cs="等线"/>
                <w:color w:val="000000"/>
                <w:sz w:val="24"/>
                <w:szCs w:val="24"/>
              </w:rPr>
            </w:r>
            <w:r/>
          </w:p>
        </w:tc>
        <w:tc>
          <w:tcPr>
            <w:tcW w:w="2299" w:type="dxa"/>
            <w:vAlign w:val="center"/>
            <w:textDirection w:val="lrTb"/>
            <w:noWrap w:val="false"/>
          </w:tcPr>
          <w:p>
            <w:pPr>
              <w:pStyle w:val="745"/>
              <w:spacing w:line="360" w:lineRule="auto"/>
              <w:rPr>
                <w:rFonts w:hint="eastAsia" w:ascii="等线" w:hAnsi="等线" w:eastAsia="等线" w:cs="等线"/>
                <w:color w:val="000000"/>
                <w:sz w:val="24"/>
                <w:szCs w:val="24"/>
              </w:rPr>
              <w:framePr w:vAnchor="text" w:hAnchor="page" w:x="761" w:y="750"/>
            </w:pPr>
            <w:r>
              <w:rPr>
                <w:rFonts w:hint="eastAsia" w:ascii="等线" w:hAnsi="等线" w:eastAsia="等线" w:cs="等线"/>
                <w:color w:val="000000"/>
                <w:sz w:val="24"/>
                <w:szCs w:val="24"/>
              </w:rPr>
            </w:r>
            <w:r/>
          </w:p>
        </w:tc>
      </w:tr>
    </w:tbl>
    <w:p>
      <w:pPr>
        <w:pStyle w:val="745"/>
        <w:ind w:firstLine="360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60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60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（四）安全保卫85分</w:t>
      </w:r>
      <w:r>
        <w:rPr>
          <w:rFonts w:hint="eastAsia" w:ascii="等线" w:hAnsi="等线" w:eastAsia="等线" w:cs="等线"/>
          <w:b/>
          <w:bCs/>
          <w:color w:val="000000"/>
          <w:sz w:val="24"/>
          <w:szCs w:val="24"/>
        </w:rPr>
      </w:r>
      <w:r/>
    </w:p>
    <w:tbl>
      <w:tblPr>
        <w:tblW w:w="10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6531"/>
        <w:gridCol w:w="2808"/>
      </w:tblGrid>
      <w:tr>
        <w:trPr>
          <w:trHeight w:val="629"/>
        </w:trPr>
        <w:tc>
          <w:tcPr>
            <w:tcW w:w="1078" w:type="dxa"/>
            <w:vAlign w:val="center"/>
            <w:textDirection w:val="lrTb"/>
            <w:noWrap w:val="false"/>
          </w:tcPr>
          <w:p>
            <w:pPr>
              <w:pStyle w:val="745"/>
              <w:ind w:firstLine="241"/>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考核项目</w:t>
            </w:r>
            <w:r>
              <w:rPr>
                <w:rFonts w:hint="eastAsia" w:ascii="等线" w:hAnsi="等线" w:eastAsia="等线" w:cs="等线"/>
                <w:b/>
                <w:bCs/>
                <w:color w:val="000000"/>
                <w:sz w:val="24"/>
                <w:szCs w:val="24"/>
              </w:rPr>
            </w:r>
            <w:r/>
          </w:p>
        </w:tc>
        <w:tc>
          <w:tcPr>
            <w:tcW w:w="6531"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考核标准</w:t>
            </w:r>
            <w:r>
              <w:rPr>
                <w:rFonts w:hint="eastAsia" w:ascii="等线" w:hAnsi="等线" w:eastAsia="等线" w:cs="等线"/>
                <w:b/>
                <w:bCs/>
                <w:color w:val="000000"/>
                <w:sz w:val="24"/>
                <w:szCs w:val="24"/>
              </w:rPr>
            </w:r>
            <w:r/>
          </w:p>
        </w:tc>
        <w:tc>
          <w:tcPr>
            <w:tcW w:w="2808"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扣分标准</w:t>
            </w:r>
            <w:r>
              <w:rPr>
                <w:rFonts w:hint="eastAsia" w:ascii="等线" w:hAnsi="等线" w:eastAsia="等线" w:cs="等线"/>
                <w:b/>
                <w:bCs/>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工作态度</w:t>
            </w:r>
            <w:r>
              <w:rPr>
                <w:rFonts w:hint="eastAsia" w:ascii="等线" w:hAnsi="等线" w:eastAsia="等线" w:cs="等线"/>
                <w:b/>
                <w:bCs/>
                <w:color w:val="000000"/>
                <w:sz w:val="24"/>
                <w:szCs w:val="24"/>
              </w:rPr>
            </w:r>
            <w:r/>
          </w:p>
          <w:p>
            <w:pPr>
              <w:pStyle w:val="760"/>
              <w:ind w:firstLine="24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15分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服从安保科工作安排，工作期间无顶撞医护、患者行为及语言，无谩骂、殴打患者行为，工作期间无看手机、睡觉等与工作无关并影响工作的情形、无酒后上岗等行为，未经同意不得私自调班换班换人</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值班巡视</w:t>
            </w:r>
            <w:r>
              <w:rPr>
                <w:rFonts w:hint="eastAsia" w:ascii="等线" w:hAnsi="等线" w:eastAsia="等线" w:cs="等线"/>
                <w:b/>
                <w:bCs/>
                <w:color w:val="000000"/>
                <w:sz w:val="24"/>
                <w:szCs w:val="24"/>
              </w:rPr>
            </w:r>
            <w:r/>
          </w:p>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15分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值班期间按照规定按时巡视打卡，值班期间无故不得离开值班地点</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防暴器材 10分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妥善保管防暴巡视器材，做到定时维护清洁，确保各类器材处于可用状态；能按规范操作各类器材；</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应急能力 10分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遇到冲动暴力事件发生或接收到一键报警警示音能及时携带器材到达并妥善制止事件进一步发生</w:t>
            </w:r>
            <w:r>
              <w:rPr>
                <w:rFonts w:hint="eastAsia" w:ascii="等线" w:hAnsi="等线" w:eastAsia="等线" w:cs="等线"/>
                <w:color w:val="000000"/>
                <w:sz w:val="24"/>
                <w:szCs w:val="24"/>
              </w:rPr>
            </w:r>
            <w:r/>
          </w:p>
        </w:tc>
        <w:tc>
          <w:tcPr>
            <w:tcW w:w="2808"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未做到及时到位扣5分，因未及时到位发生案情一次扣完，并承担标书内所列的其他系列责任</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停车秩序 5分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机动车辆、非机动车分区停放有序、安全可靠，无乱停乱放和阻塞现象</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进出人员管理</w:t>
            </w:r>
            <w:r>
              <w:rPr>
                <w:rFonts w:hint="eastAsia" w:ascii="等线" w:hAnsi="等线" w:eastAsia="等线" w:cs="等线"/>
                <w:b/>
                <w:bCs/>
                <w:color w:val="000000"/>
                <w:sz w:val="24"/>
                <w:szCs w:val="24"/>
              </w:rPr>
            </w:r>
            <w:r/>
          </w:p>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主出入口实行实行人防、机防、技防相结合，观察进出门的可疑人员，查验其证件，制止未经许可人员、推销员进入办公区；节假日期间和非工作时间对进出车辆和人员进行询问并登记，防止住院患者外跑并根据应急预案采取应急措施</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分，因脱岗或其他原因造成患者外跑未及时阻止，一次扣完</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巡视巡查</w:t>
            </w:r>
            <w:r>
              <w:rPr>
                <w:rFonts w:hint="eastAsia" w:ascii="等线" w:hAnsi="等线" w:eastAsia="等线" w:cs="等线"/>
                <w:b/>
                <w:bCs/>
                <w:color w:val="000000"/>
                <w:sz w:val="24"/>
                <w:szCs w:val="24"/>
              </w:rPr>
            </w:r>
            <w:r/>
          </w:p>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按规定时间、线路巡查并打卡，按规定处理巡更过程中的其他工作，如关灯、关闭电源、检查办公室门是否锁闭等</w:t>
            </w:r>
            <w:r>
              <w:rPr>
                <w:rFonts w:hint="eastAsia" w:ascii="等线" w:hAnsi="等线" w:eastAsia="等线" w:cs="等线"/>
                <w:color w:val="000000"/>
                <w:sz w:val="24"/>
                <w:szCs w:val="24"/>
              </w:rPr>
            </w:r>
            <w:r/>
          </w:p>
        </w:tc>
        <w:tc>
          <w:tcPr>
            <w:tcW w:w="2808"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记录、登记</w:t>
            </w:r>
            <w:r>
              <w:rPr>
                <w:rFonts w:hint="eastAsia" w:ascii="等线" w:hAnsi="等线" w:eastAsia="等线" w:cs="等线"/>
                <w:b/>
                <w:bCs/>
                <w:color w:val="000000"/>
                <w:sz w:val="24"/>
                <w:szCs w:val="24"/>
              </w:rPr>
            </w:r>
            <w:r/>
          </w:p>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根据工作及上级检查要求，及时准确的记录各类登记本</w:t>
            </w:r>
            <w:r>
              <w:rPr>
                <w:rFonts w:hint="eastAsia" w:ascii="等线" w:hAnsi="等线" w:eastAsia="等线" w:cs="等线"/>
                <w:color w:val="000000"/>
                <w:sz w:val="24"/>
                <w:szCs w:val="24"/>
              </w:rPr>
            </w:r>
            <w:r/>
          </w:p>
        </w:tc>
        <w:tc>
          <w:tcPr>
            <w:tcW w:w="2808"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078" w:type="dxa"/>
            <w:vAlign w:val="center"/>
            <w:textDirection w:val="lrTb"/>
            <w:noWrap w:val="false"/>
          </w:tcPr>
          <w:p>
            <w:pPr>
              <w:pStyle w:val="745"/>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其他工作执行情况5分</w:t>
            </w:r>
            <w:r>
              <w:rPr>
                <w:rFonts w:hint="eastAsia" w:ascii="等线" w:hAnsi="等线" w:eastAsia="等线" w:cs="等线"/>
                <w:b/>
                <w:bCs/>
                <w:color w:val="000000"/>
                <w:sz w:val="24"/>
                <w:szCs w:val="24"/>
              </w:rPr>
            </w:r>
            <w:r/>
          </w:p>
        </w:tc>
        <w:tc>
          <w:tcPr>
            <w:tcW w:w="6531"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完成采购方需要配合完成的工作</w:t>
            </w:r>
            <w:r>
              <w:rPr>
                <w:rFonts w:hint="eastAsia" w:ascii="等线" w:hAnsi="等线" w:eastAsia="等线" w:cs="等线"/>
                <w:color w:val="000000"/>
                <w:sz w:val="24"/>
                <w:szCs w:val="24"/>
              </w:rPr>
            </w:r>
            <w:r/>
          </w:p>
        </w:tc>
        <w:tc>
          <w:tcPr>
            <w:tcW w:w="2808"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bl>
    <w:p>
      <w:pPr>
        <w:pStyle w:val="745"/>
        <w:ind w:firstLine="384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84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84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842"/>
        <w:spacing w:line="360" w:lineRule="auto"/>
        <w:rPr>
          <w:rFonts w:hint="eastAsia" w:ascii="等线" w:hAnsi="等线" w:eastAsia="等线" w:cs="等线"/>
          <w:color w:val="000000"/>
          <w:sz w:val="24"/>
          <w:szCs w:val="24"/>
        </w:rPr>
      </w:pPr>
      <w:r>
        <w:rPr>
          <w:rFonts w:hint="eastAsia" w:ascii="等线" w:hAnsi="等线" w:eastAsia="等线" w:cs="等线"/>
          <w:b/>
          <w:bCs/>
          <w:color w:val="000000"/>
          <w:sz w:val="24"/>
          <w:szCs w:val="24"/>
        </w:rPr>
        <w:t xml:space="preserve">（五）电工维修类85分</w:t>
      </w:r>
      <w:r>
        <w:rPr>
          <w:rFonts w:hint="eastAsia" w:ascii="等线" w:hAnsi="等线" w:eastAsia="等线" w:cs="等线"/>
          <w:color w:val="000000"/>
          <w:sz w:val="24"/>
          <w:szCs w:val="24"/>
        </w:rPr>
      </w:r>
      <w:r/>
    </w:p>
    <w:tbl>
      <w:tblPr>
        <w:tblW w:w="104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6824"/>
        <w:gridCol w:w="2503"/>
      </w:tblGrid>
      <w:tr>
        <w:trPr>
          <w:trHeight w:val="629"/>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考核项目</w:t>
            </w:r>
            <w:r>
              <w:rPr>
                <w:rFonts w:hint="eastAsia" w:ascii="等线" w:hAnsi="等线" w:eastAsia="等线" w:cs="等线"/>
                <w:b/>
                <w:bCs/>
                <w:color w:val="000000"/>
                <w:sz w:val="24"/>
                <w:szCs w:val="24"/>
              </w:rPr>
            </w:r>
            <w:r/>
          </w:p>
        </w:tc>
        <w:tc>
          <w:tcPr>
            <w:tcW w:w="6824"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考核标准</w:t>
            </w:r>
            <w:r>
              <w:rPr>
                <w:rFonts w:hint="eastAsia" w:ascii="等线" w:hAnsi="等线" w:eastAsia="等线" w:cs="等线"/>
                <w:b/>
                <w:bCs/>
                <w:color w:val="000000"/>
                <w:sz w:val="24"/>
                <w:szCs w:val="24"/>
              </w:rPr>
            </w:r>
            <w:r/>
          </w:p>
        </w:tc>
        <w:tc>
          <w:tcPr>
            <w:tcW w:w="2503"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扣分标准</w:t>
            </w:r>
            <w:r>
              <w:rPr>
                <w:rFonts w:hint="eastAsia" w:ascii="等线" w:hAnsi="等线" w:eastAsia="等线" w:cs="等线"/>
                <w:b/>
                <w:bCs/>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工作态度10分</w:t>
            </w:r>
            <w:r>
              <w:rPr>
                <w:rFonts w:hint="eastAsia" w:ascii="等线" w:hAnsi="等线" w:eastAsia="等线" w:cs="等线"/>
                <w:b/>
                <w:bCs/>
                <w:color w:val="000000"/>
                <w:sz w:val="24"/>
                <w:szCs w:val="24"/>
              </w:rPr>
            </w:r>
            <w:r/>
          </w:p>
        </w:tc>
        <w:tc>
          <w:tcPr>
            <w:tcW w:w="682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服从工作安排，工作期间无顶撞医护、患者行为及语言，工作期间无看手机、睡觉等与工作无关并影响工作的情形、无酒后上岗等行为，各科室有工作需要，紧急事件立即到岗，非紧急事件应15分钟内到岗并信息或电话联系说明事由并告知到岗处理时间</w:t>
            </w:r>
            <w:r>
              <w:rPr>
                <w:rFonts w:hint="eastAsia" w:ascii="等线" w:hAnsi="等线" w:eastAsia="等线" w:cs="等线"/>
                <w:color w:val="000000"/>
                <w:sz w:val="24"/>
                <w:szCs w:val="24"/>
              </w:rPr>
            </w:r>
            <w:r/>
          </w:p>
        </w:tc>
        <w:tc>
          <w:tcPr>
            <w:tcW w:w="2503"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值班巡视10分</w:t>
            </w:r>
            <w:r>
              <w:rPr>
                <w:rFonts w:hint="eastAsia" w:ascii="等线" w:hAnsi="等线" w:eastAsia="等线" w:cs="等线"/>
                <w:b/>
                <w:bCs/>
                <w:color w:val="000000"/>
                <w:sz w:val="24"/>
                <w:szCs w:val="24"/>
              </w:rPr>
            </w:r>
            <w:r/>
          </w:p>
        </w:tc>
        <w:tc>
          <w:tcPr>
            <w:tcW w:w="682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值班期间按照规定消控打卡，值班期间无故不得离开值班地点，负责对高、低压配电房24小时的值守和巡视，配合并参与消控室值班值守工作</w:t>
            </w:r>
            <w:r>
              <w:rPr>
                <w:rFonts w:hint="eastAsia" w:ascii="等线" w:hAnsi="等线" w:eastAsia="等线" w:cs="等线"/>
                <w:color w:val="000000"/>
                <w:sz w:val="24"/>
                <w:szCs w:val="24"/>
              </w:rPr>
            </w:r>
            <w:r/>
          </w:p>
        </w:tc>
        <w:tc>
          <w:tcPr>
            <w:tcW w:w="2503"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工作器材5分</w:t>
            </w:r>
            <w:r>
              <w:rPr>
                <w:rFonts w:hint="eastAsia" w:ascii="等线" w:hAnsi="等线" w:eastAsia="等线" w:cs="等线"/>
                <w:b/>
                <w:bCs/>
                <w:color w:val="000000"/>
                <w:sz w:val="24"/>
                <w:szCs w:val="24"/>
              </w:rPr>
            </w:r>
            <w:r/>
          </w:p>
        </w:tc>
        <w:tc>
          <w:tcPr>
            <w:tcW w:w="682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妥善保管各类工具，做到定时维护清洁，确保各类工具处于可用状态； 能熟练操作水泵房各类开关(消防操作员工作范围除外)</w:t>
            </w:r>
            <w:r>
              <w:rPr>
                <w:rFonts w:hint="eastAsia" w:ascii="等线" w:hAnsi="等线" w:eastAsia="等线" w:cs="等线"/>
                <w:color w:val="000000"/>
                <w:sz w:val="24"/>
                <w:szCs w:val="24"/>
              </w:rPr>
            </w:r>
            <w:r/>
          </w:p>
        </w:tc>
        <w:tc>
          <w:tcPr>
            <w:tcW w:w="2503"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应急能力20分</w:t>
            </w:r>
            <w:r>
              <w:rPr>
                <w:rFonts w:hint="eastAsia" w:ascii="等线" w:hAnsi="等线" w:eastAsia="等线" w:cs="等线"/>
                <w:b/>
                <w:bCs/>
                <w:color w:val="000000"/>
                <w:sz w:val="24"/>
                <w:szCs w:val="24"/>
              </w:rPr>
            </w:r>
            <w:r/>
          </w:p>
        </w:tc>
        <w:tc>
          <w:tcPr>
            <w:tcW w:w="6824"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遇到突发事件，能及时冷静处理并遏制事件进一步发生；能熟练操作灭火器、消防栓等应急器材，对各线路问题能及时分析原因并检修到位</w:t>
            </w:r>
            <w:r>
              <w:rPr>
                <w:rFonts w:hint="eastAsia" w:ascii="等线" w:hAnsi="等线" w:eastAsia="等线" w:cs="等线"/>
                <w:color w:val="000000"/>
                <w:sz w:val="24"/>
                <w:szCs w:val="24"/>
              </w:rPr>
            </w:r>
            <w:r/>
          </w:p>
        </w:tc>
        <w:tc>
          <w:tcPr>
            <w:tcW w:w="2503"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管理、维护</w:t>
            </w:r>
            <w:r>
              <w:rPr>
                <w:rFonts w:hint="eastAsia" w:ascii="等线" w:hAnsi="等线" w:eastAsia="等线" w:cs="等线"/>
                <w:b/>
                <w:bCs/>
                <w:color w:val="000000"/>
                <w:sz w:val="24"/>
                <w:szCs w:val="24"/>
              </w:rPr>
            </w:r>
            <w:r/>
          </w:p>
          <w:p>
            <w:pPr>
              <w:pStyle w:val="745"/>
              <w:spacing w:line="360" w:lineRule="auto"/>
              <w:rPr>
                <w:rFonts w:hint="eastAsia" w:ascii="等线" w:hAnsi="等线" w:eastAsia="等线" w:cs="等线"/>
                <w:color w:val="000000"/>
                <w:sz w:val="24"/>
                <w:szCs w:val="24"/>
              </w:rPr>
            </w:pPr>
            <w:r>
              <w:rPr>
                <w:rFonts w:hint="eastAsia" w:ascii="等线" w:hAnsi="等线" w:eastAsia="等线" w:cs="等线"/>
                <w:b/>
                <w:bCs/>
                <w:color w:val="000000"/>
                <w:sz w:val="24"/>
                <w:szCs w:val="24"/>
              </w:rPr>
              <w:t xml:space="preserve">25分</w:t>
            </w:r>
            <w:r>
              <w:rPr>
                <w:rFonts w:hint="eastAsia" w:ascii="等线" w:hAnsi="等线" w:eastAsia="等线" w:cs="等线"/>
                <w:color w:val="000000"/>
                <w:sz w:val="24"/>
                <w:szCs w:val="24"/>
              </w:rPr>
            </w:r>
            <w:r/>
          </w:p>
        </w:tc>
        <w:tc>
          <w:tcPr>
            <w:tcW w:w="6824" w:type="dxa"/>
            <w:vAlign w:val="center"/>
            <w:textDirection w:val="lrTb"/>
            <w:noWrap w:val="false"/>
          </w:tcPr>
          <w:p>
            <w:pPr>
              <w:pStyle w:val="775"/>
              <w:spacing w:before="120" w:after="120" w:line="360" w:lineRule="auto"/>
              <w:rPr>
                <w:rFonts w:hint="eastAsia" w:ascii="等线" w:hAnsi="等线" w:eastAsia="等线" w:cs="等线"/>
                <w:color w:val="000000"/>
                <w:sz w:val="24"/>
                <w:szCs w:val="24"/>
              </w:rPr>
              <w:outlineLvl w:val="1"/>
            </w:pPr>
            <w:r>
              <w:rPr>
                <w:rFonts w:hint="eastAsia" w:ascii="等线" w:hAnsi="等线" w:eastAsia="等线" w:cs="等线"/>
                <w:color w:val="000000"/>
                <w:sz w:val="24"/>
                <w:szCs w:val="24"/>
              </w:rPr>
              <w:t xml:space="preserve">对配电系统、照明系统、给排水系统(水泵、阀门、管线)、消防监控系统的正常运行、管理和维护，确保线路安全，无安全隐患</w:t>
            </w:r>
            <w:r>
              <w:rPr>
                <w:rFonts w:hint="eastAsia" w:ascii="等线" w:hAnsi="等线" w:eastAsia="等线" w:cs="等线"/>
                <w:color w:val="000000"/>
                <w:sz w:val="24"/>
                <w:szCs w:val="24"/>
              </w:rPr>
            </w:r>
            <w:r/>
          </w:p>
        </w:tc>
        <w:tc>
          <w:tcPr>
            <w:tcW w:w="2503"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2</w:t>
            </w:r>
            <w:r>
              <w:rPr>
                <w:rFonts w:hint="eastAsia" w:ascii="等线" w:hAnsi="等线" w:eastAsia="等线" w:cs="等线"/>
                <w:color w:val="000000"/>
                <w:sz w:val="24"/>
                <w:szCs w:val="24"/>
              </w:rPr>
              <w:t xml:space="preserve">分，如因线路安全发生隐患，一次扣完</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spacing w:line="360" w:lineRule="auto"/>
              <w:rPr>
                <w:rFonts w:hint="eastAsia" w:ascii="等线" w:hAnsi="等线" w:eastAsia="等线" w:cs="等线"/>
                <w:b/>
                <w:bCs/>
                <w:color w:val="000000"/>
                <w:sz w:val="24"/>
                <w:szCs w:val="24"/>
              </w:rPr>
            </w:pPr>
            <w:r/>
            <w:bookmarkStart w:id="191" w:name="_Hlk170204942"/>
            <w:r>
              <w:rPr>
                <w:rFonts w:hint="eastAsia" w:ascii="等线" w:hAnsi="等线" w:eastAsia="等线" w:cs="等线"/>
                <w:b/>
                <w:bCs/>
                <w:color w:val="000000"/>
                <w:sz w:val="24"/>
                <w:szCs w:val="24"/>
              </w:rPr>
              <w:t xml:space="preserve">记录、登记</w:t>
            </w:r>
            <w:r>
              <w:rPr>
                <w:rFonts w:hint="eastAsia" w:ascii="等线" w:hAnsi="等线" w:eastAsia="等线" w:cs="等线"/>
                <w:b/>
                <w:bCs/>
                <w:color w:val="000000"/>
                <w:sz w:val="24"/>
                <w:szCs w:val="24"/>
              </w:rPr>
            </w:r>
            <w:r/>
          </w:p>
          <w:p>
            <w:pPr>
              <w:pStyle w:val="760"/>
              <w:ind w:firstLine="48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5分</w:t>
            </w:r>
            <w:r>
              <w:rPr>
                <w:rFonts w:hint="eastAsia" w:ascii="等线" w:hAnsi="等线" w:eastAsia="等线" w:cs="等线"/>
                <w:b/>
                <w:bCs/>
                <w:color w:val="000000"/>
                <w:sz w:val="24"/>
                <w:szCs w:val="24"/>
              </w:rPr>
            </w:r>
            <w:r/>
          </w:p>
        </w:tc>
        <w:tc>
          <w:tcPr>
            <w:tcW w:w="6824" w:type="dxa"/>
            <w:vAlign w:val="center"/>
            <w:textDirection w:val="lrTb"/>
            <w:noWrap w:val="false"/>
          </w:tcPr>
          <w:p>
            <w:pPr>
              <w:pStyle w:val="775"/>
              <w:spacing w:before="120" w:after="120" w:line="360" w:lineRule="auto"/>
              <w:rPr>
                <w:rFonts w:hint="eastAsia" w:ascii="等线" w:hAnsi="等线" w:eastAsia="等线" w:cs="等线"/>
                <w:color w:val="000000"/>
                <w:sz w:val="24"/>
                <w:szCs w:val="24"/>
              </w:rPr>
              <w:outlineLvl w:val="1"/>
            </w:pPr>
            <w:r>
              <w:rPr>
                <w:rFonts w:hint="eastAsia" w:ascii="等线" w:hAnsi="等线" w:eastAsia="等线" w:cs="等线"/>
                <w:color w:val="000000"/>
                <w:sz w:val="24"/>
                <w:szCs w:val="24"/>
              </w:rPr>
              <w:t xml:space="preserve">根据工作及上级检查要求，及时准确的记录各类登记本</w:t>
            </w:r>
            <w:r>
              <w:rPr>
                <w:rFonts w:hint="eastAsia" w:ascii="等线" w:hAnsi="等线" w:eastAsia="等线" w:cs="等线"/>
                <w:color w:val="000000"/>
                <w:sz w:val="24"/>
                <w:szCs w:val="24"/>
              </w:rPr>
            </w:r>
            <w:r/>
          </w:p>
        </w:tc>
        <w:tc>
          <w:tcPr>
            <w:tcW w:w="2503"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bookmarkEnd w:id="191"/>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节约用水、用电等 5分</w:t>
            </w:r>
            <w:r>
              <w:rPr>
                <w:rFonts w:hint="eastAsia" w:ascii="等线" w:hAnsi="等线" w:eastAsia="等线" w:cs="等线"/>
                <w:b/>
                <w:bCs/>
                <w:color w:val="000000"/>
                <w:sz w:val="24"/>
                <w:szCs w:val="24"/>
              </w:rPr>
            </w:r>
            <w:r/>
          </w:p>
        </w:tc>
        <w:tc>
          <w:tcPr>
            <w:tcW w:w="6824" w:type="dxa"/>
            <w:vAlign w:val="center"/>
            <w:textDirection w:val="lrTb"/>
            <w:noWrap w:val="false"/>
          </w:tcPr>
          <w:p>
            <w:pPr>
              <w:pStyle w:val="775"/>
              <w:spacing w:before="120" w:after="120" w:line="360" w:lineRule="auto"/>
              <w:rPr>
                <w:rFonts w:hint="eastAsia" w:ascii="等线" w:hAnsi="等线" w:eastAsia="等线" w:cs="等线"/>
                <w:color w:val="000000"/>
                <w:sz w:val="24"/>
                <w:szCs w:val="24"/>
              </w:rPr>
              <w:outlineLvl w:val="1"/>
            </w:pPr>
            <w:r>
              <w:rPr>
                <w:rFonts w:hint="eastAsia" w:ascii="等线" w:hAnsi="等线" w:eastAsia="等线" w:cs="等线"/>
                <w:color w:val="000000"/>
                <w:sz w:val="24"/>
                <w:szCs w:val="24"/>
              </w:rPr>
              <w:t xml:space="preserve">维护测试、修理时注意节约用水、用电及相关耗材</w:t>
            </w:r>
            <w:r>
              <w:rPr>
                <w:rFonts w:hint="eastAsia" w:ascii="等线" w:hAnsi="等线" w:eastAsia="等线" w:cs="等线"/>
                <w:color w:val="000000"/>
                <w:sz w:val="24"/>
                <w:szCs w:val="24"/>
              </w:rPr>
            </w:r>
            <w:r/>
          </w:p>
        </w:tc>
        <w:tc>
          <w:tcPr>
            <w:tcW w:w="2503"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10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其他工作执行情况 5分</w:t>
            </w:r>
            <w:r>
              <w:rPr>
                <w:rFonts w:hint="eastAsia" w:ascii="等线" w:hAnsi="等线" w:eastAsia="等线" w:cs="等线"/>
                <w:b/>
                <w:bCs/>
                <w:color w:val="000000"/>
                <w:sz w:val="24"/>
                <w:szCs w:val="24"/>
              </w:rPr>
            </w:r>
            <w:r/>
          </w:p>
        </w:tc>
        <w:tc>
          <w:tcPr>
            <w:tcW w:w="6824"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完成采购方需要配合完成的工作</w:t>
            </w:r>
            <w:r>
              <w:rPr>
                <w:rFonts w:hint="eastAsia" w:ascii="等线" w:hAnsi="等线" w:eastAsia="等线" w:cs="等线"/>
                <w:color w:val="000000"/>
                <w:sz w:val="24"/>
                <w:szCs w:val="24"/>
              </w:rPr>
            </w:r>
            <w:r/>
          </w:p>
        </w:tc>
        <w:tc>
          <w:tcPr>
            <w:tcW w:w="2503"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bl>
    <w:p>
      <w:pPr>
        <w:pStyle w:val="745"/>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r>
      <w:r/>
    </w:p>
    <w:p>
      <w:pPr>
        <w:pStyle w:val="745"/>
        <w:ind w:firstLine="3602"/>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（六）消控室人员85分</w:t>
      </w:r>
      <w:r>
        <w:rPr>
          <w:rFonts w:hint="eastAsia" w:ascii="等线" w:hAnsi="等线" w:eastAsia="等线" w:cs="等线"/>
          <w:b/>
          <w:bCs/>
          <w:color w:val="000000"/>
          <w:sz w:val="24"/>
          <w:szCs w:val="24"/>
        </w:rPr>
      </w:r>
      <w:r/>
    </w:p>
    <w:tbl>
      <w:tblPr>
        <w:tblW w:w="10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6882"/>
        <w:gridCol w:w="2204"/>
      </w:tblGrid>
      <w:tr>
        <w:trPr>
          <w:trHeight w:val="629"/>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考核项目</w:t>
            </w:r>
            <w:r>
              <w:rPr>
                <w:rFonts w:hint="eastAsia" w:ascii="等线" w:hAnsi="等线" w:eastAsia="等线" w:cs="等线"/>
                <w:b/>
                <w:bCs/>
                <w:color w:val="000000"/>
                <w:sz w:val="24"/>
                <w:szCs w:val="24"/>
              </w:rPr>
            </w:r>
            <w:r/>
          </w:p>
        </w:tc>
        <w:tc>
          <w:tcPr>
            <w:tcW w:w="6882"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考核标准</w:t>
            </w:r>
            <w:r>
              <w:rPr>
                <w:rFonts w:hint="eastAsia" w:ascii="等线" w:hAnsi="等线" w:eastAsia="等线" w:cs="等线"/>
                <w:b/>
                <w:bCs/>
                <w:color w:val="000000"/>
                <w:sz w:val="24"/>
                <w:szCs w:val="24"/>
              </w:rPr>
            </w:r>
            <w:r/>
          </w:p>
        </w:tc>
        <w:tc>
          <w:tcPr>
            <w:tcW w:w="2204" w:type="dxa"/>
            <w:vAlign w:val="center"/>
            <w:textDirection w:val="lrTb"/>
            <w:noWrap w:val="false"/>
          </w:tcPr>
          <w:p>
            <w:pPr>
              <w:pStyle w:val="745"/>
              <w:ind w:firstLine="643"/>
              <w:jc w:val="center"/>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扣分标准</w:t>
            </w:r>
            <w:r>
              <w:rPr>
                <w:rFonts w:hint="eastAsia" w:ascii="等线" w:hAnsi="等线" w:eastAsia="等线" w:cs="等线"/>
                <w:b/>
                <w:bCs/>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工作态度</w:t>
            </w:r>
            <w:r>
              <w:rPr>
                <w:rFonts w:hint="eastAsia" w:ascii="等线" w:hAnsi="等线" w:eastAsia="等线" w:cs="等线"/>
                <w:b/>
                <w:bCs/>
                <w:color w:val="000000"/>
                <w:sz w:val="24"/>
                <w:szCs w:val="24"/>
              </w:rPr>
            </w:r>
            <w:r/>
          </w:p>
          <w:p>
            <w:pPr>
              <w:pStyle w:val="760"/>
              <w:ind w:firstLine="48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20分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服从工作安排，工作期间无顶撞医护、患者行为及语言，工作期间无看手机、睡觉等与工作无关并影响工作的情形、无酒后上岗等行为</w:t>
            </w:r>
            <w:r>
              <w:rPr>
                <w:rFonts w:hint="eastAsia" w:ascii="等线" w:hAnsi="等线" w:eastAsia="等线" w:cs="等线"/>
                <w:color w:val="000000"/>
                <w:sz w:val="24"/>
                <w:szCs w:val="24"/>
              </w:rPr>
            </w:r>
            <w:r/>
          </w:p>
        </w:tc>
        <w:tc>
          <w:tcPr>
            <w:tcW w:w="220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值班巡视</w:t>
            </w:r>
            <w:r>
              <w:rPr>
                <w:rFonts w:hint="eastAsia" w:ascii="等线" w:hAnsi="等线" w:eastAsia="等线" w:cs="等线"/>
                <w:b/>
                <w:bCs/>
                <w:color w:val="000000"/>
                <w:sz w:val="24"/>
                <w:szCs w:val="24"/>
              </w:rPr>
            </w:r>
            <w:r/>
          </w:p>
          <w:p>
            <w:pPr>
              <w:pStyle w:val="760"/>
              <w:ind w:firstLine="48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20分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值班期间按照规定消控打卡，值班期间无故不得离开值班地点，脱岗、睡岗等</w:t>
            </w:r>
            <w:r>
              <w:rPr>
                <w:rFonts w:hint="eastAsia" w:ascii="等线" w:hAnsi="等线" w:eastAsia="等线" w:cs="等线"/>
                <w:color w:val="000000"/>
                <w:sz w:val="24"/>
                <w:szCs w:val="24"/>
              </w:rPr>
            </w:r>
            <w:r/>
          </w:p>
        </w:tc>
        <w:tc>
          <w:tcPr>
            <w:tcW w:w="220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5</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设施设备</w:t>
            </w:r>
            <w:r>
              <w:rPr>
                <w:rFonts w:hint="eastAsia" w:ascii="等线" w:hAnsi="等线" w:eastAsia="等线" w:cs="等线"/>
                <w:b/>
                <w:bCs/>
                <w:color w:val="000000"/>
                <w:sz w:val="24"/>
                <w:szCs w:val="24"/>
              </w:rPr>
            </w:r>
            <w:r/>
          </w:p>
          <w:p>
            <w:pPr>
              <w:pStyle w:val="760"/>
              <w:ind w:firstLine="48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10分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妥善保管各类工具，消控室所有设备做到定时维护清洁，确保各类工具、设备处于可用状态</w:t>
            </w:r>
            <w:r>
              <w:rPr>
                <w:rFonts w:hint="eastAsia" w:ascii="等线" w:hAnsi="等线" w:eastAsia="等线" w:cs="等线"/>
                <w:color w:val="000000"/>
                <w:sz w:val="24"/>
                <w:szCs w:val="24"/>
              </w:rPr>
            </w:r>
            <w:r/>
          </w:p>
        </w:tc>
        <w:tc>
          <w:tcPr>
            <w:tcW w:w="220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应急能力</w:t>
            </w:r>
            <w:r>
              <w:rPr>
                <w:rFonts w:hint="eastAsia" w:ascii="等线" w:hAnsi="等线" w:eastAsia="等线" w:cs="等线"/>
                <w:b/>
                <w:bCs/>
                <w:color w:val="000000"/>
                <w:sz w:val="24"/>
                <w:szCs w:val="24"/>
              </w:rPr>
            </w:r>
            <w:r/>
          </w:p>
          <w:p>
            <w:pPr>
              <w:pStyle w:val="760"/>
              <w:ind w:firstLine="480"/>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20分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发生火灾能尽快确认，及时、准确启动有关消防设备，正确有效地组织扑救及人员疏散，并及时报警，消防队到场后，能如实报告情况，协助消防人员扑救火灾</w:t>
            </w:r>
            <w:r>
              <w:rPr>
                <w:rFonts w:hint="eastAsia" w:ascii="等线" w:hAnsi="等线" w:eastAsia="等线" w:cs="等线"/>
                <w:color w:val="000000"/>
                <w:sz w:val="24"/>
                <w:szCs w:val="24"/>
              </w:rPr>
            </w:r>
            <w:r/>
          </w:p>
        </w:tc>
        <w:tc>
          <w:tcPr>
            <w:tcW w:w="2204"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5</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ind w:left="482" w:hanging="482"/>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登记、记录   5分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能严格执行值班登记制度，对消防控制室设备及通讯器材等进行经常性的检查，定期做好各系统功能试验，以确保消防设施各系统运行状况良好。做好交接班工作，认真填写值班记录及系统运行登记表和控制器日检登记表</w:t>
            </w:r>
            <w:r>
              <w:rPr>
                <w:rFonts w:hint="eastAsia" w:ascii="等线" w:hAnsi="等线" w:eastAsia="等线" w:cs="等线"/>
                <w:color w:val="000000"/>
                <w:sz w:val="24"/>
                <w:szCs w:val="24"/>
              </w:rPr>
            </w:r>
            <w:r/>
          </w:p>
        </w:tc>
        <w:tc>
          <w:tcPr>
            <w:tcW w:w="2204" w:type="dxa"/>
            <w:vAlign w:val="center"/>
            <w:textDirection w:val="lrTb"/>
            <w:noWrap w:val="false"/>
          </w:tcPr>
          <w:p>
            <w:pPr>
              <w:pStyle w:val="7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节约用水、用电  5分</w:t>
            </w:r>
            <w:r>
              <w:rPr>
                <w:rFonts w:hint="eastAsia" w:ascii="等线" w:hAnsi="等线" w:eastAsia="等线" w:cs="等线"/>
                <w:b/>
                <w:bCs/>
                <w:color w:val="000000"/>
                <w:sz w:val="24"/>
                <w:szCs w:val="24"/>
              </w:rPr>
            </w:r>
            <w:r/>
          </w:p>
        </w:tc>
        <w:tc>
          <w:tcPr>
            <w:tcW w:w="6882" w:type="dxa"/>
            <w:vAlign w:val="center"/>
            <w:textDirection w:val="lrTb"/>
            <w:noWrap w:val="false"/>
          </w:tcPr>
          <w:p>
            <w:pPr>
              <w:pStyle w:val="775"/>
              <w:spacing w:before="120" w:after="120" w:line="360" w:lineRule="auto"/>
              <w:rPr>
                <w:rFonts w:hint="eastAsia" w:ascii="等线" w:hAnsi="等线" w:eastAsia="等线" w:cs="等线"/>
                <w:color w:val="000000"/>
                <w:sz w:val="24"/>
                <w:szCs w:val="24"/>
              </w:rPr>
              <w:outlineLvl w:val="1"/>
            </w:pPr>
            <w:r>
              <w:rPr>
                <w:rFonts w:hint="eastAsia" w:ascii="等线" w:hAnsi="等线" w:eastAsia="等线" w:cs="等线"/>
                <w:color w:val="000000"/>
                <w:sz w:val="24"/>
                <w:szCs w:val="24"/>
              </w:rPr>
              <w:t xml:space="preserve">维护测试、修理时注意节约用水、用电及相关耗材</w:t>
            </w:r>
            <w:r>
              <w:rPr>
                <w:rFonts w:hint="eastAsia" w:ascii="等线" w:hAnsi="等线" w:eastAsia="等线" w:cs="等线"/>
                <w:color w:val="000000"/>
                <w:sz w:val="24"/>
                <w:szCs w:val="24"/>
              </w:rPr>
            </w:r>
            <w:r/>
          </w:p>
        </w:tc>
        <w:tc>
          <w:tcPr>
            <w:tcW w:w="2204"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r>
        <w:trPr/>
        <w:tc>
          <w:tcPr>
            <w:tcW w:w="1331" w:type="dxa"/>
            <w:vAlign w:val="center"/>
            <w:textDirection w:val="lrTb"/>
            <w:noWrap w:val="false"/>
          </w:tcPr>
          <w:p>
            <w:pPr>
              <w:pStyle w:val="745"/>
              <w:jc w:val="left"/>
              <w:spacing w:line="36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rPr>
              <w:t xml:space="preserve">其他工作执行情况  5分</w:t>
            </w:r>
            <w:r>
              <w:rPr>
                <w:rFonts w:hint="eastAsia" w:ascii="等线" w:hAnsi="等线" w:eastAsia="等线" w:cs="等线"/>
                <w:b/>
                <w:bCs/>
                <w:color w:val="000000"/>
                <w:sz w:val="24"/>
                <w:szCs w:val="24"/>
              </w:rPr>
            </w:r>
            <w:r/>
          </w:p>
        </w:tc>
        <w:tc>
          <w:tcPr>
            <w:tcW w:w="6882"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完成采购方需要配合完成的工作</w:t>
            </w:r>
            <w:r>
              <w:rPr>
                <w:rFonts w:hint="eastAsia" w:ascii="等线" w:hAnsi="等线" w:eastAsia="等线" w:cs="等线"/>
                <w:color w:val="000000"/>
                <w:sz w:val="24"/>
                <w:szCs w:val="24"/>
              </w:rPr>
            </w:r>
            <w:r/>
          </w:p>
        </w:tc>
        <w:tc>
          <w:tcPr>
            <w:tcW w:w="2204" w:type="dxa"/>
            <w:vAlign w:val="center"/>
            <w:textDirection w:val="lrTb"/>
            <w:noWrap w:val="false"/>
          </w:tcPr>
          <w:p>
            <w:pPr>
              <w:pStyle w:val="745"/>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一次不符合要求扣</w:t>
            </w:r>
            <w:r>
              <w:rPr>
                <w:rStyle w:val="1070"/>
                <w:rFonts w:hint="eastAsia" w:ascii="等线" w:hAnsi="等线" w:eastAsia="等线" w:cs="等线"/>
                <w:color w:val="000000"/>
              </w:rPr>
              <w:t xml:space="preserve"> 1</w:t>
            </w:r>
            <w:r>
              <w:rPr>
                <w:rFonts w:hint="eastAsia" w:ascii="等线" w:hAnsi="等线" w:eastAsia="等线" w:cs="等线"/>
                <w:color w:val="000000"/>
                <w:sz w:val="24"/>
                <w:szCs w:val="24"/>
              </w:rPr>
              <w:t xml:space="preserve">分</w:t>
            </w:r>
            <w:r>
              <w:rPr>
                <w:rFonts w:hint="eastAsia" w:ascii="等线" w:hAnsi="等线" w:eastAsia="等线" w:cs="等线"/>
                <w:color w:val="000000"/>
                <w:sz w:val="24"/>
                <w:szCs w:val="24"/>
              </w:rPr>
            </w:r>
            <w:r/>
          </w:p>
        </w:tc>
      </w:tr>
    </w:tbl>
    <w:p>
      <w:pPr>
        <w:pStyle w:val="745"/>
        <w:rPr>
          <w:rFonts w:hint="eastAsia" w:ascii="宋体" w:hAnsi="宋体" w:cs="Courier New"/>
          <w:color w:val="000000"/>
          <w:sz w:val="24"/>
          <w:szCs w:val="24"/>
        </w:rPr>
      </w:pPr>
      <w:r>
        <w:rPr>
          <w:rFonts w:hint="eastAsia" w:ascii="宋体" w:hAnsi="宋体" w:cs="Courier New"/>
          <w:color w:val="000000"/>
          <w:sz w:val="24"/>
          <w:szCs w:val="24"/>
        </w:rPr>
      </w:r>
      <w:r/>
    </w:p>
    <w:p>
      <w:pPr>
        <w:pStyle w:val="745"/>
        <w:ind w:firstLine="482"/>
        <w:rPr>
          <w:rFonts w:hint="eastAsia" w:ascii="宋体" w:hAnsi="宋体" w:cs="Courier New"/>
          <w:b/>
          <w:bCs/>
          <w:color w:val="000000"/>
          <w:sz w:val="24"/>
          <w:szCs w:val="24"/>
        </w:rPr>
      </w:pPr>
      <w:r>
        <w:rPr>
          <w:rFonts w:hint="eastAsia" w:ascii="宋体" w:hAnsi="宋体" w:cs="Courier New"/>
          <w:b/>
          <w:bCs/>
          <w:color w:val="000000"/>
          <w:sz w:val="24"/>
          <w:szCs w:val="24"/>
        </w:rPr>
      </w:r>
      <w:r/>
    </w:p>
    <w:p>
      <w:pPr>
        <w:pStyle w:val="745"/>
        <w:ind w:firstLine="482"/>
        <w:rPr>
          <w:rFonts w:hint="eastAsia" w:ascii="宋体" w:hAnsi="宋体" w:cs="Courier New"/>
          <w:color w:val="000000"/>
          <w:sz w:val="24"/>
          <w:szCs w:val="24"/>
        </w:rPr>
      </w:pPr>
      <w:r>
        <w:rPr>
          <w:rFonts w:hint="eastAsia" w:ascii="宋体" w:hAnsi="宋体" w:cs="Courier New"/>
          <w:b/>
          <w:bCs/>
          <w:color w:val="000000"/>
          <w:sz w:val="24"/>
          <w:szCs w:val="24"/>
        </w:rPr>
        <w:t xml:space="preserve">三、1、</w:t>
      </w:r>
      <w:r>
        <w:rPr>
          <w:rFonts w:hint="eastAsia" w:ascii="宋体" w:hAnsi="宋体" w:cs="Courier New"/>
          <w:color w:val="000000"/>
          <w:sz w:val="24"/>
          <w:szCs w:val="24"/>
        </w:rPr>
        <w:t xml:space="preserve">综合考核（百分制）：按照分类考评细则，经采购人每月对供应商、服务人员进行考核后，如考核结果：</w:t>
      </w:r>
      <w:r>
        <w:rPr>
          <w:rFonts w:ascii="宋体" w:hAnsi="宋体" w:cs="Courier New"/>
          <w:color w:val="000000"/>
          <w:sz w:val="24"/>
          <w:szCs w:val="24"/>
        </w:rPr>
        <w:t xml:space="preserve"> </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总分≥85分，不处罚</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80分≤总分＜85分，扣除管理服务费1000-5000元；</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75分≤总分＜80分，扣除管理服务费5000-10000元；</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70分≤总分＜75分，扣除管理服务费10000-15000元；</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65分≤总分＜70分，扣除管理服务费15000-20000元；</w:t>
      </w:r>
      <w:r>
        <w:rPr>
          <w:rFonts w:hint="eastAsia" w:ascii="宋体" w:hAnsi="宋体" w:cs="Courier New"/>
          <w:color w:val="000000"/>
          <w:sz w:val="24"/>
          <w:szCs w:val="24"/>
        </w:rPr>
      </w:r>
      <w:r/>
    </w:p>
    <w:p>
      <w:pPr>
        <w:pStyle w:val="745"/>
        <w:rPr>
          <w:rFonts w:hint="eastAsia" w:ascii="宋体" w:hAnsi="宋体" w:cs="Courier New"/>
          <w:color w:val="000000"/>
          <w:sz w:val="24"/>
          <w:szCs w:val="24"/>
        </w:rPr>
      </w:pPr>
      <w:r>
        <w:rPr>
          <w:rFonts w:hint="eastAsia" w:ascii="宋体" w:hAnsi="宋体" w:cs="Courier New"/>
          <w:color w:val="000000"/>
          <w:sz w:val="24"/>
          <w:szCs w:val="24"/>
        </w:rPr>
        <w:t xml:space="preserve">60分≤总分＜65分，扣除管理服务费20000元； </w:t>
      </w:r>
      <w:r>
        <w:rPr>
          <w:rFonts w:hint="eastAsia" w:ascii="宋体" w:hAnsi="宋体" w:cs="Courier New"/>
          <w:color w:val="000000"/>
          <w:sz w:val="24"/>
          <w:szCs w:val="24"/>
        </w:rPr>
      </w:r>
      <w:r/>
    </w:p>
    <w:p>
      <w:pPr>
        <w:pStyle w:val="745"/>
        <w:ind w:firstLine="480"/>
        <w:rPr>
          <w:rFonts w:hint="eastAsia" w:ascii="宋体" w:hAnsi="宋体" w:cs="Courier New"/>
          <w:color w:val="000000"/>
          <w:sz w:val="24"/>
          <w:szCs w:val="24"/>
        </w:rPr>
      </w:pPr>
      <w:r>
        <w:rPr>
          <w:rFonts w:hint="eastAsia" w:ascii="宋体" w:hAnsi="宋体" w:cs="Courier New"/>
          <w:color w:val="000000"/>
          <w:sz w:val="24"/>
          <w:szCs w:val="24"/>
        </w:rPr>
        <w:t xml:space="preserve">2、得分85分以下为不合格。连续3个月总分＜85分，或单月考核＜70分，采购人在扣除管理费的同时将有权终止合同。供应商在接到采购人书面通知后的2周内必须撤离项目现场，由评标得分排名下一位的供应商接手或重新招标，撤离公司必须与前来接手的公司做好交接工作，不得影响采购人物业工作正常运转。</w:t>
      </w:r>
      <w:r>
        <w:rPr>
          <w:rFonts w:hint="eastAsia" w:ascii="宋体" w:hAnsi="宋体" w:cs="Courier New"/>
          <w:color w:val="000000"/>
          <w:sz w:val="24"/>
          <w:szCs w:val="24"/>
        </w:rPr>
      </w:r>
      <w:r/>
    </w:p>
    <w:p>
      <w:pPr>
        <w:pStyle w:val="745"/>
        <w:ind w:firstLine="480"/>
        <w:rPr>
          <w:rFonts w:hint="eastAsia" w:ascii="宋体" w:hAnsi="宋体" w:cs="Courier New"/>
          <w:color w:val="000000"/>
          <w:sz w:val="24"/>
          <w:szCs w:val="24"/>
        </w:rPr>
      </w:pPr>
      <w:r>
        <w:rPr>
          <w:rFonts w:hint="eastAsia" w:ascii="宋体" w:hAnsi="宋体" w:cs="Courier New"/>
          <w:color w:val="000000"/>
          <w:sz w:val="24"/>
          <w:szCs w:val="24"/>
        </w:rPr>
        <w:t xml:space="preserve">3.考核后月物业管理服务费计算：月考核物业管理服务费=当月合同服务费-当月供应商考核扣除服务费额-当月服务人员考核扣除服务费额</w:t>
      </w:r>
      <w:r>
        <w:rPr>
          <w:rFonts w:hint="eastAsia" w:ascii="宋体" w:hAnsi="宋体" w:cs="Courier New"/>
          <w:color w:val="000000"/>
          <w:sz w:val="24"/>
          <w:szCs w:val="24"/>
        </w:rPr>
      </w:r>
      <w:r/>
    </w:p>
    <w:p>
      <w:pPr>
        <w:pStyle w:val="745"/>
        <w:jc w:val="center"/>
        <w:rPr>
          <w:rFonts w:hint="eastAsia" w:ascii="方正小标宋_GBK" w:hAnsi="方正小标宋_GBK" w:eastAsia="方正小标宋_GBK" w:cs="方正小标宋_GBK"/>
          <w:color w:val="000000"/>
          <w:sz w:val="32"/>
          <w:szCs w:val="40"/>
        </w:rPr>
      </w:pPr>
      <w:r>
        <w:rPr>
          <w:rFonts w:hint="eastAsia" w:ascii="方正小标宋_GBK" w:hAnsi="方正小标宋_GBK" w:eastAsia="方正小标宋_GBK" w:cs="方正小标宋_GBK"/>
          <w:color w:val="000000"/>
          <w:sz w:val="32"/>
          <w:szCs w:val="40"/>
        </w:rPr>
      </w:r>
      <w:r/>
    </w:p>
    <w:p>
      <w:pPr>
        <w:pStyle w:val="745"/>
        <w:ind w:firstLine="36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r>
      <w:r/>
    </w:p>
    <w:p>
      <w:pPr>
        <w:pStyle w:val="745"/>
        <w:ind w:firstLine="360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t xml:space="preserve">高淳区精神病防治院</w:t>
      </w:r>
      <w:r>
        <w:rPr>
          <w:rFonts w:hint="eastAsia" w:ascii="方正小标宋_GBK" w:hAnsi="方正小标宋_GBK" w:eastAsia="方正小标宋_GBK" w:cs="方正小标宋_GBK"/>
          <w:color w:val="000000"/>
          <w:sz w:val="36"/>
          <w:szCs w:val="36"/>
        </w:rPr>
      </w:r>
      <w:r/>
    </w:p>
    <w:p>
      <w:pPr>
        <w:pStyle w:val="745"/>
        <w:ind w:firstLine="324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t xml:space="preserve">第三方单位考核汇总表</w:t>
      </w:r>
      <w:r>
        <w:rPr>
          <w:rFonts w:hint="eastAsia" w:ascii="方正小标宋_GBK" w:hAnsi="方正小标宋_GBK" w:eastAsia="方正小标宋_GBK" w:cs="方正小标宋_GBK"/>
          <w:color w:val="000000"/>
          <w:sz w:val="36"/>
          <w:szCs w:val="36"/>
        </w:rPr>
      </w:r>
      <w:r/>
    </w:p>
    <w:tbl>
      <w:tblPr>
        <w:tblpPr w:horzAnchor="page" w:tblpX="1073" w:vertAnchor="text" w:tblpY="1171" w:leftFromText="180" w:topFromText="0" w:rightFromText="180" w:bottomFromText="0"/>
        <w:tblW w:w="97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4"/>
        <w:gridCol w:w="2981"/>
      </w:tblGrid>
      <w:tr>
        <w:trPr>
          <w:trHeight w:val="672"/>
        </w:trPr>
        <w:tc>
          <w:tcPr>
            <w:gridSpan w:val="2"/>
            <w:tcW w:w="9785"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被考核单位：                             </w:t>
            </w:r>
            <w:r>
              <w:rPr>
                <w:rFonts w:hint="eastAsia" w:ascii="宋体" w:hAnsi="宋体" w:cs="宋体"/>
                <w:color w:val="000000"/>
                <w:sz w:val="28"/>
                <w:szCs w:val="28"/>
              </w:rPr>
            </w:r>
            <w:r/>
          </w:p>
        </w:tc>
      </w:tr>
      <w:tr>
        <w:trPr>
          <w:trHeight w:val="574"/>
        </w:trPr>
        <w:tc>
          <w:tcPr>
            <w:gridSpan w:val="2"/>
            <w:tcW w:w="9785"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考核周期：                             考核日期：</w:t>
            </w:r>
            <w:r>
              <w:rPr>
                <w:rFonts w:hint="eastAsia" w:ascii="宋体" w:hAnsi="宋体" w:cs="宋体"/>
                <w:color w:val="000000"/>
                <w:sz w:val="28"/>
                <w:szCs w:val="28"/>
              </w:rPr>
            </w:r>
            <w:r/>
          </w:p>
        </w:tc>
      </w:tr>
      <w:tr>
        <w:trPr>
          <w:trHeight w:val="1633"/>
        </w:trPr>
        <w:tc>
          <w:tcPr>
            <w:tcW w:w="6804" w:type="dxa"/>
            <w:vAlign w:val="center"/>
            <w:textDirection w:val="lrTb"/>
            <w:noWrap w:val="false"/>
          </w:tcPr>
          <w:p>
            <w:pPr>
              <w:pStyle w:val="745"/>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供应商层面考核结果：</w:t>
            </w:r>
            <w:r>
              <w:rPr>
                <w:rFonts w:hint="eastAsia" w:ascii="宋体" w:hAnsi="宋体" w:cs="宋体"/>
                <w:color w:val="000000"/>
                <w:sz w:val="28"/>
                <w:szCs w:val="28"/>
              </w:rPr>
            </w:r>
            <w:r/>
          </w:p>
        </w:tc>
        <w:tc>
          <w:tcPr>
            <w:tcW w:w="2981" w:type="dxa"/>
            <w:vAlign w:val="center"/>
            <w:textDirection w:val="lrTb"/>
            <w:noWrap w:val="false"/>
          </w:tcPr>
          <w:p>
            <w:pPr>
              <w:pStyle w:val="745"/>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扣分扣款</w:t>
            </w: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服务人员层面考核明细</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扣分</w:t>
            </w: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2</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3</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4</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5</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6</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7</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8</w:t>
            </w: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r>
      <w:tr>
        <w:trPr>
          <w:trHeight w:val="552"/>
        </w:trPr>
        <w:tc>
          <w:tcPr>
            <w:tcW w:w="6804"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r>
            <w:r/>
          </w:p>
        </w:tc>
        <w:tc>
          <w:tcPr>
            <w:tcW w:w="2981" w:type="dxa"/>
            <w:vAlign w:val="center"/>
            <w:textDirection w:val="lrTb"/>
            <w:noWrap w:val="false"/>
          </w:tcPr>
          <w:p>
            <w:pPr>
              <w:pStyle w:val="745"/>
              <w:jc w:val="left"/>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总分：</w:t>
            </w:r>
            <w:r>
              <w:rPr>
                <w:rFonts w:hint="eastAsia" w:ascii="宋体" w:hAnsi="宋体" w:cs="宋体"/>
                <w:color w:val="000000"/>
                <w:sz w:val="28"/>
                <w:szCs w:val="28"/>
              </w:rPr>
            </w:r>
            <w:r/>
          </w:p>
        </w:tc>
      </w:tr>
      <w:tr>
        <w:trPr>
          <w:trHeight w:val="766"/>
        </w:trPr>
        <w:tc>
          <w:tcPr>
            <w:gridSpan w:val="2"/>
            <w:tcW w:w="9785" w:type="dxa"/>
            <w:vAlign w:val="top"/>
            <w:textDirection w:val="lrTb"/>
            <w:noWrap w:val="false"/>
          </w:tcPr>
          <w:p>
            <w:pPr>
              <w:pStyle w:val="745"/>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考核小组人员签字：</w:t>
            </w:r>
            <w:r>
              <w:rPr>
                <w:rFonts w:hint="eastAsia" w:ascii="宋体" w:hAnsi="宋体" w:cs="宋体"/>
                <w:color w:val="000000"/>
                <w:sz w:val="28"/>
                <w:szCs w:val="28"/>
              </w:rPr>
            </w:r>
            <w:r/>
          </w:p>
        </w:tc>
      </w:tr>
      <w:tr>
        <w:trPr>
          <w:trHeight w:val="752"/>
        </w:trPr>
        <w:tc>
          <w:tcPr>
            <w:gridSpan w:val="2"/>
            <w:tcW w:w="9785" w:type="dxa"/>
            <w:vAlign w:val="top"/>
            <w:textDirection w:val="lrTb"/>
            <w:noWrap w:val="false"/>
          </w:tcPr>
          <w:p>
            <w:pPr>
              <w:pStyle w:val="745"/>
              <w:rPr>
                <w:rFonts w:hint="eastAsia" w:ascii="宋体" w:hAnsi="宋体" w:cs="宋体"/>
                <w:color w:val="000000"/>
                <w:sz w:val="28"/>
                <w:szCs w:val="28"/>
              </w:rPr>
              <w:framePr w:vAnchor="text" w:hAnchor="page" w:x="1073" w:y="1171"/>
            </w:pPr>
            <w:r>
              <w:rPr>
                <w:rFonts w:hint="eastAsia" w:ascii="宋体" w:hAnsi="宋体" w:cs="宋体"/>
                <w:color w:val="000000"/>
                <w:sz w:val="28"/>
                <w:szCs w:val="28"/>
              </w:rPr>
              <w:t xml:space="preserve">被考核项目负责人签字：</w:t>
            </w:r>
            <w:r>
              <w:rPr>
                <w:rFonts w:hint="eastAsia" w:ascii="宋体" w:hAnsi="宋体" w:cs="宋体"/>
                <w:color w:val="000000"/>
                <w:sz w:val="28"/>
                <w:szCs w:val="28"/>
              </w:rPr>
            </w:r>
            <w:r/>
          </w:p>
        </w:tc>
      </w:tr>
    </w:tbl>
    <w:p>
      <w:pPr>
        <w:pStyle w:val="745"/>
        <w:rPr>
          <w:color w:val="000000"/>
          <w:sz w:val="28"/>
          <w:szCs w:val="36"/>
        </w:rPr>
      </w:pPr>
      <w:r>
        <w:rPr>
          <w:rFonts w:hint="eastAsia"/>
          <w:color w:val="000000"/>
          <w:sz w:val="28"/>
          <w:szCs w:val="36"/>
        </w:rPr>
        <w:t xml:space="preserve">备注：1.本表依据被考核单位招标时相关承诺及考核细则进行考核。</w:t>
      </w:r>
      <w:r>
        <w:rPr>
          <w:color w:val="000000"/>
          <w:sz w:val="28"/>
          <w:szCs w:val="36"/>
        </w:rPr>
      </w:r>
      <w:r/>
    </w:p>
    <w:p>
      <w:pPr>
        <w:pStyle w:val="745"/>
        <w:numPr>
          <w:ilvl w:val="0"/>
          <w:numId w:val="5"/>
        </w:numPr>
        <w:tabs>
          <w:tab w:val="left" w:pos="312" w:leader="none"/>
        </w:tabs>
        <w:rPr>
          <w:color w:val="000000"/>
          <w:sz w:val="28"/>
          <w:szCs w:val="36"/>
        </w:rPr>
      </w:pPr>
      <w:r>
        <w:rPr>
          <w:rFonts w:hint="eastAsia"/>
          <w:color w:val="000000"/>
          <w:sz w:val="28"/>
          <w:szCs w:val="36"/>
        </w:rPr>
        <w:t xml:space="preserve">本表一式三份，被考核单位存档一份，医院考核管理部门一份，及院财务部门一份，作合同支付依据。3、考核明细应详细罗列，必要时附照片（附后）</w:t>
      </w:r>
      <w:r>
        <w:rPr>
          <w:color w:val="000000"/>
          <w:sz w:val="28"/>
          <w:szCs w:val="36"/>
        </w:rPr>
      </w:r>
      <w:r/>
    </w:p>
    <w:p>
      <w:pPr>
        <w:pStyle w:val="745"/>
        <w:rPr>
          <w:color w:val="000000"/>
        </w:rPr>
      </w:pPr>
      <w:r>
        <w:rPr>
          <w:color w:val="000000"/>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807"/>
        <w:spacing w:line="36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807"/>
        <w:spacing w:line="36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45"/>
        <w:ind w:right="840"/>
        <w:jc w:val="center"/>
        <w:spacing w:line="36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5"/>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5"/>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服务中2.1实施方案”得分由高到低顺序排列。在投标文件满足招标文件全部实质性要求的投标人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745"/>
        <w:ind w:firstLine="48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45"/>
              <w:jc w:val="center"/>
              <w:spacing w:before="122" w:line="360"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745"/>
              <w:jc w:val="center"/>
              <w:spacing w:before="122" w:line="360"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745"/>
              <w:jc w:val="center"/>
              <w:spacing w:before="122" w:line="360"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745"/>
              <w:jc w:val="center"/>
              <w:spacing w:before="122" w:line="360"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745"/>
              <w:jc w:val="center"/>
              <w:spacing w:before="122" w:line="360"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745"/>
              <w:ind w:left="114"/>
              <w:spacing w:before="122" w:line="360"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745"/>
              <w:jc w:val="center"/>
              <w:spacing w:before="68" w:line="360"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745"/>
              <w:jc w:val="left"/>
              <w:spacing w:before="68" w:line="360"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745"/>
              <w:jc w:val="left"/>
              <w:spacing w:line="360" w:lineRule="auto"/>
              <w:rPr>
                <w:rFonts w:hint="eastAsia"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w:t>
            </w:r>
            <w:r>
              <w:rPr>
                <w:rFonts w:hint="eastAsia" w:ascii="宋体" w:hAnsi="宋体" w:cs="宋体"/>
                <w:color w:val="000000"/>
              </w:rPr>
              <w:t xml:space="preserve">（</w:t>
            </w:r>
            <w:r>
              <w:rPr>
                <w:rFonts w:ascii="宋体" w:hAnsi="宋体" w:cs="宋体"/>
                <w:color w:val="000000"/>
              </w:rPr>
              <w:t xml:space="preserve">评标基准价/投标报价</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价格分值（小数点保留两位）</w:t>
            </w:r>
            <w:r>
              <w:rPr>
                <w:rFonts w:hint="eastAsia" w:ascii="宋体" w:hAnsi="宋体" w:cs="宋体"/>
                <w:color w:val="000000"/>
              </w:rPr>
            </w:r>
            <w:r/>
          </w:p>
          <w:p>
            <w:pPr>
              <w:pStyle w:val="745"/>
              <w:jc w:val="left"/>
              <w:spacing w:line="360" w:lineRule="auto"/>
              <w:rPr>
                <w:rFonts w:ascii="宋体" w:hAnsi="宋体" w:cs="宋体"/>
                <w:color w:val="000000"/>
              </w:rPr>
            </w:pPr>
            <w:r>
              <w:rPr>
                <w:rFonts w:hint="eastAsia" w:ascii="宋体" w:hAnsi="宋体" w:cs="宋体"/>
                <w:color w:val="000000"/>
              </w:rPr>
              <w:t xml:space="preserve">因落实政府采购政策进行价格调整的，以调整后的价格计算评标基准价和投标报价。</w:t>
            </w:r>
            <w:r>
              <w:rPr>
                <w:rFonts w:ascii="宋体" w:hAnsi="宋体" w:cs="宋体"/>
                <w:color w:val="000000"/>
              </w:rPr>
            </w:r>
            <w:r/>
          </w:p>
        </w:tc>
        <w:tc>
          <w:tcPr>
            <w:tcW w:w="573" w:type="dxa"/>
            <w:vAlign w:val="center"/>
            <w:textDirection w:val="lrTb"/>
            <w:noWrap w:val="false"/>
          </w:tcPr>
          <w:p>
            <w:pPr>
              <w:pStyle w:val="745"/>
              <w:jc w:val="center"/>
              <w:spacing w:before="69" w:line="360" w:lineRule="auto"/>
              <w:rPr>
                <w:rFonts w:hint="eastAsia" w:ascii="宋体" w:hAnsi="宋体" w:cs="宋体"/>
                <w:color w:val="000000"/>
                <w:szCs w:val="22"/>
              </w:rPr>
            </w:pPr>
            <w:r>
              <w:rPr>
                <w:rFonts w:hint="eastAsia"/>
                <w:color w:val="000000"/>
              </w:rPr>
              <w:t xml:space="preserve">50</w:t>
            </w:r>
            <w:r>
              <w:rPr>
                <w:rFonts w:hint="eastAsia" w:ascii="宋体" w:hAnsi="宋体" w:cs="宋体"/>
                <w:color w:val="000000"/>
                <w:szCs w:val="22"/>
              </w:rPr>
            </w:r>
            <w:r/>
          </w:p>
        </w:tc>
        <w:tc>
          <w:tcPr>
            <w:tcW w:w="783" w:type="dxa"/>
            <w:vAlign w:val="center"/>
            <w:textDirection w:val="lrTb"/>
            <w:noWrap w:val="false"/>
          </w:tcPr>
          <w:p>
            <w:pPr>
              <w:pStyle w:val="745"/>
              <w:jc w:val="center"/>
              <w:spacing w:before="69" w:line="360"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745"/>
              <w:ind w:left="114"/>
              <w:spacing w:before="123" w:line="360"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745"/>
              <w:jc w:val="center"/>
              <w:spacing w:line="360" w:lineRule="auto"/>
              <w:rPr>
                <w:rFonts w:ascii="宋体" w:hAnsi="宋体" w:cs="宋体"/>
                <w:color w:val="000000"/>
                <w:spacing w:val="-2"/>
              </w:rPr>
            </w:pPr>
            <w:r>
              <w:rPr>
                <w:rFonts w:hint="eastAsia" w:ascii="宋体" w:hAnsi="宋体" w:cs="宋体"/>
                <w:color w:val="000000"/>
              </w:rPr>
              <w:t xml:space="preserve">2.1</w:t>
            </w:r>
            <w:r>
              <w:rPr>
                <w:rFonts w:ascii="宋体" w:hAnsi="宋体" w:cs="宋体"/>
                <w:color w:val="000000"/>
                <w:spacing w:val="-2"/>
              </w:rPr>
            </w:r>
            <w:r/>
          </w:p>
        </w:tc>
        <w:tc>
          <w:tcPr>
            <w:tcW w:w="1179" w:type="dxa"/>
            <w:vAlign w:val="center"/>
            <w:textDirection w:val="lrTb"/>
            <w:noWrap w:val="false"/>
          </w:tcPr>
          <w:p>
            <w:pPr>
              <w:pStyle w:val="745"/>
              <w:jc w:val="left"/>
              <w:spacing w:before="68" w:line="360" w:lineRule="auto"/>
              <w:rPr>
                <w:rFonts w:ascii="宋体" w:hAnsi="宋体" w:cs="宋体"/>
                <w:color w:val="000000"/>
                <w:spacing w:val="-2"/>
                <w:szCs w:val="22"/>
              </w:rPr>
            </w:pPr>
            <w:r>
              <w:rPr>
                <w:rFonts w:ascii="宋体" w:hAnsi="宋体" w:cs="宋体"/>
                <w:color w:val="000000"/>
                <w:spacing w:val="-2"/>
                <w:szCs w:val="22"/>
              </w:rPr>
              <w:t xml:space="preserve">实施方案</w:t>
            </w:r>
            <w:r>
              <w:rPr>
                <w:rFonts w:ascii="宋体" w:hAnsi="宋体" w:cs="宋体"/>
                <w:color w:val="000000"/>
                <w:spacing w:val="-2"/>
                <w:szCs w:val="22"/>
              </w:rPr>
            </w:r>
            <w:r/>
          </w:p>
        </w:tc>
        <w:tc>
          <w:tcPr>
            <w:tcW w:w="6616" w:type="dxa"/>
            <w:vAlign w:val="center"/>
            <w:textDirection w:val="lrTb"/>
            <w:noWrap w:val="false"/>
          </w:tcPr>
          <w:p>
            <w:pPr>
              <w:pStyle w:val="745"/>
              <w:spacing w:line="360" w:lineRule="auto"/>
              <w:rPr>
                <w:rFonts w:hint="eastAsia"/>
                <w:color w:val="000000"/>
              </w:rPr>
            </w:pPr>
            <w:r/>
            <w:bookmarkStart w:id="192" w:name="OLE_LINK5"/>
            <w:r>
              <w:rPr>
                <w:rFonts w:hint="eastAsia"/>
                <w:color w:val="000000"/>
              </w:rPr>
              <w:t xml:space="preserve">根据本项目采购需求中“实施要求”编制方案，内容包含：1.服务管理工作目标、项目定位；2.本项目重点难点把控；3.各工种如保洁、安保、电工、消控管理、病区专职保洁（辅工）、医疗废物管理等内容。以上每项内容逐项评分：</w:t>
            </w:r>
            <w:r>
              <w:rPr>
                <w:rFonts w:hint="eastAsia"/>
                <w:color w:val="000000"/>
              </w:rPr>
            </w:r>
            <w:r/>
          </w:p>
          <w:p>
            <w:pPr>
              <w:pStyle w:val="745"/>
              <w:jc w:val="left"/>
              <w:spacing w:line="360" w:lineRule="auto"/>
              <w:rPr>
                <w:rFonts w:hint="eastAsia"/>
                <w:color w:val="000000"/>
              </w:rPr>
            </w:pPr>
            <w:r>
              <w:rPr>
                <w:rFonts w:ascii="宋体" w:hAnsi="宋体" w:cs="宋体"/>
                <w:color w:val="000000"/>
                <w:sz w:val="24"/>
                <w:szCs w:val="24"/>
              </w:rPr>
              <w:t xml:space="preserve">（1）</w:t>
            </w:r>
            <w:r>
              <w:rPr>
                <w:color w:val="000000"/>
              </w:rPr>
              <w:t xml:space="preserve">方案内容专门针对本项目，</w:t>
            </w:r>
            <w:r>
              <w:rPr>
                <w:rFonts w:hint="eastAsia"/>
                <w:color w:val="000000"/>
              </w:rPr>
              <w:t xml:space="preserve">契合</w:t>
            </w:r>
            <w:r>
              <w:rPr>
                <w:color w:val="000000"/>
              </w:rPr>
              <w:t xml:space="preserve">采购需求视为符合</w:t>
            </w:r>
            <w:r>
              <w:rPr>
                <w:rFonts w:hint="eastAsia"/>
                <w:color w:val="000000"/>
              </w:rPr>
              <w:t xml:space="preserve">，</w:t>
            </w:r>
            <w:r>
              <w:rPr>
                <w:color w:val="000000"/>
              </w:rPr>
              <w:t xml:space="preserve">得</w:t>
            </w:r>
            <w:r>
              <w:rPr>
                <w:rFonts w:hint="eastAsia"/>
                <w:color w:val="000000"/>
              </w:rPr>
              <w:t xml:space="preserve">2</w:t>
            </w:r>
            <w:r>
              <w:rPr>
                <w:color w:val="000000"/>
              </w:rPr>
              <w:t xml:space="preserve">分；</w:t>
            </w:r>
            <w:r>
              <w:rPr>
                <w:rFonts w:hint="eastAsia"/>
                <w:color w:val="000000"/>
              </w:rPr>
            </w:r>
            <w:r/>
          </w:p>
          <w:p>
            <w:pPr>
              <w:pStyle w:val="745"/>
              <w:jc w:val="left"/>
              <w:spacing w:line="360" w:lineRule="auto"/>
              <w:rPr>
                <w:rFonts w:hint="eastAsia"/>
                <w:color w:val="000000"/>
              </w:rPr>
            </w:pPr>
            <w:r>
              <w:rPr>
                <w:color w:val="000000"/>
              </w:rPr>
              <w:t xml:space="preserve">（2）方案内容属于通用类，非专门针对本项目，部分</w:t>
            </w:r>
            <w:r>
              <w:rPr>
                <w:rFonts w:hint="eastAsia"/>
                <w:color w:val="000000"/>
              </w:rPr>
              <w:t xml:space="preserve">契合采购需求</w:t>
            </w:r>
            <w:r>
              <w:rPr>
                <w:color w:val="000000"/>
              </w:rPr>
              <w:t xml:space="preserve">视为部分符合</w:t>
            </w:r>
            <w:r>
              <w:rPr>
                <w:rFonts w:hint="eastAsia"/>
                <w:color w:val="000000"/>
              </w:rPr>
              <w:t xml:space="preserve">，</w:t>
            </w:r>
            <w:r>
              <w:rPr>
                <w:color w:val="000000"/>
              </w:rPr>
              <w:t xml:space="preserve">得</w:t>
            </w:r>
            <w:r>
              <w:rPr>
                <w:rFonts w:hint="eastAsia"/>
                <w:color w:val="000000"/>
              </w:rPr>
              <w:t xml:space="preserve">1</w:t>
            </w:r>
            <w:r>
              <w:rPr>
                <w:color w:val="000000"/>
              </w:rPr>
              <w:t xml:space="preserve">分； </w:t>
            </w:r>
            <w:r>
              <w:rPr>
                <w:rFonts w:hint="eastAsia"/>
                <w:color w:val="000000"/>
              </w:rPr>
            </w:r>
            <w:r/>
          </w:p>
          <w:p>
            <w:pPr>
              <w:pStyle w:val="745"/>
              <w:spacing w:line="360" w:lineRule="auto"/>
              <w:rPr>
                <w:rFonts w:ascii="宋体" w:hAnsi="宋体" w:cs="宋体"/>
                <w:color w:val="000000"/>
              </w:rPr>
            </w:pPr>
            <w:r>
              <w:rPr>
                <w:color w:val="000000"/>
              </w:rPr>
              <w:t xml:space="preserve">（3）方案内容非专门针对本项目</w:t>
            </w:r>
            <w:r>
              <w:rPr>
                <w:rFonts w:hint="eastAsia"/>
                <w:color w:val="000000"/>
              </w:rPr>
              <w:t xml:space="preserve">，脱离</w:t>
            </w:r>
            <w:r>
              <w:rPr>
                <w:color w:val="000000"/>
              </w:rPr>
              <w:t xml:space="preserve">采购需求视为不符合不得分。</w:t>
            </w:r>
            <w:bookmarkEnd w:id="192"/>
            <w:r>
              <w:rPr>
                <w:rFonts w:ascii="宋体" w:hAnsi="宋体" w:cs="宋体"/>
                <w:color w:val="000000"/>
              </w:rPr>
            </w:r>
            <w:r/>
          </w:p>
        </w:tc>
        <w:tc>
          <w:tcPr>
            <w:tcW w:w="573" w:type="dxa"/>
            <w:vAlign w:val="center"/>
            <w:textDirection w:val="lrTb"/>
            <w:noWrap w:val="false"/>
          </w:tcPr>
          <w:p>
            <w:pPr>
              <w:pStyle w:val="745"/>
              <w:jc w:val="center"/>
              <w:spacing w:before="69" w:line="360" w:lineRule="auto"/>
              <w:rPr>
                <w:rFonts w:hint="eastAsia" w:ascii="宋体" w:hAnsi="宋体" w:eastAsia="宋体" w:cs="宋体"/>
                <w:color w:val="000000"/>
                <w:szCs w:val="22"/>
              </w:rPr>
            </w:pPr>
            <w:r>
              <w:rPr>
                <w:rFonts w:hint="eastAsia" w:ascii="宋体" w:hAnsi="宋体" w:eastAsia="宋体" w:cs="宋体"/>
                <w:color w:val="000000"/>
              </w:rPr>
              <w:t xml:space="preserve">6</w:t>
            </w:r>
            <w:r>
              <w:rPr>
                <w:rFonts w:hint="eastAsia" w:ascii="宋体" w:hAnsi="宋体" w:eastAsia="宋体" w:cs="宋体"/>
                <w:color w:val="000000"/>
                <w:szCs w:val="22"/>
              </w:rPr>
            </w:r>
            <w:r/>
          </w:p>
        </w:tc>
        <w:tc>
          <w:tcPr>
            <w:tcW w:w="783" w:type="dxa"/>
            <w:vAlign w:val="center"/>
            <w:textDirection w:val="lrTb"/>
            <w:noWrap w:val="false"/>
          </w:tcPr>
          <w:p>
            <w:pPr>
              <w:pStyle w:val="745"/>
              <w:jc w:val="center"/>
              <w:spacing w:before="68" w:line="360"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c>
          <w:tcPr>
            <w:tcW w:w="519"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2.2</w:t>
            </w:r>
            <w:r>
              <w:rPr>
                <w:rFonts w:hint="eastAsia" w:ascii="宋体" w:hAnsi="宋体" w:cs="宋体"/>
                <w:color w:val="000000"/>
              </w:rPr>
            </w:r>
            <w:r/>
          </w:p>
        </w:tc>
        <w:tc>
          <w:tcPr>
            <w:tcW w:w="1179" w:type="dxa"/>
            <w:vAlign w:val="center"/>
            <w:textDirection w:val="lrTb"/>
            <w:noWrap w:val="false"/>
          </w:tcPr>
          <w:p>
            <w:pPr>
              <w:pStyle w:val="745"/>
              <w:jc w:val="left"/>
              <w:spacing w:before="68" w:line="360" w:lineRule="auto"/>
              <w:rPr>
                <w:rFonts w:ascii="宋体" w:hAnsi="宋体" w:cs="宋体"/>
                <w:color w:val="000000"/>
                <w:spacing w:val="-2"/>
                <w:szCs w:val="22"/>
              </w:rPr>
            </w:pPr>
            <w:r>
              <w:rPr>
                <w:rFonts w:hint="eastAsia" w:ascii="宋体" w:hAnsi="宋体" w:cs="宋体"/>
                <w:color w:val="000000"/>
                <w:spacing w:val="-2"/>
                <w:szCs w:val="22"/>
              </w:rPr>
              <w:t xml:space="preserve">规章制度</w:t>
            </w:r>
            <w:r>
              <w:rPr>
                <w:rFonts w:ascii="宋体" w:hAnsi="宋体" w:cs="宋体"/>
                <w:color w:val="000000"/>
                <w:spacing w:val="-2"/>
                <w:szCs w:val="22"/>
              </w:rPr>
            </w:r>
            <w:r/>
          </w:p>
        </w:tc>
        <w:tc>
          <w:tcPr>
            <w:tcW w:w="6616" w:type="dxa"/>
            <w:vAlign w:val="center"/>
            <w:textDirection w:val="lrTb"/>
            <w:noWrap w:val="false"/>
          </w:tcPr>
          <w:p>
            <w:pPr>
              <w:pStyle w:val="745"/>
              <w:spacing w:line="360" w:lineRule="auto"/>
              <w:rPr>
                <w:rFonts w:hint="eastAsia"/>
                <w:color w:val="000000"/>
              </w:rPr>
            </w:pPr>
            <w:r>
              <w:rPr>
                <w:color w:val="000000"/>
              </w:rPr>
              <w:t xml:space="preserve">根据投标人提供的内部规章制度</w:t>
            </w:r>
            <w:r>
              <w:rPr>
                <w:rFonts w:hint="eastAsia"/>
                <w:color w:val="000000"/>
              </w:rPr>
              <w:t xml:space="preserve">综合</w:t>
            </w:r>
            <w:r>
              <w:rPr>
                <w:color w:val="000000"/>
              </w:rPr>
              <w:t xml:space="preserve">评分，</w:t>
            </w:r>
            <w:r>
              <w:rPr>
                <w:rFonts w:hint="eastAsia"/>
                <w:color w:val="000000"/>
              </w:rPr>
              <w:t xml:space="preserve">包含：1.保洁服务制度；2.安保服务制度；3.</w:t>
            </w:r>
            <w:r>
              <w:rPr>
                <w:color w:val="000000"/>
              </w:rPr>
              <w:t xml:space="preserve">病区专职保洁</w:t>
            </w:r>
            <w:r>
              <w:rPr>
                <w:rFonts w:hint="eastAsia"/>
                <w:color w:val="000000"/>
              </w:rPr>
              <w:t xml:space="preserve">制度；4.</w:t>
            </w:r>
            <w:r>
              <w:rPr>
                <w:color w:val="000000"/>
              </w:rPr>
              <w:t xml:space="preserve">消防监控服务</w:t>
            </w:r>
            <w:r>
              <w:rPr>
                <w:rFonts w:hint="eastAsia"/>
                <w:color w:val="000000"/>
              </w:rPr>
              <w:t xml:space="preserve">制度。</w:t>
            </w:r>
            <w:r>
              <w:rPr>
                <w:color w:val="000000"/>
              </w:rPr>
              <w:t xml:space="preserve">以上每项内容逐条阐述。</w:t>
            </w:r>
            <w:r>
              <w:rPr>
                <w:rFonts w:hint="eastAsia"/>
                <w:color w:val="000000"/>
              </w:rPr>
            </w:r>
            <w:r/>
          </w:p>
          <w:p>
            <w:pPr>
              <w:pStyle w:val="745"/>
              <w:spacing w:line="360" w:lineRule="auto"/>
              <w:rPr>
                <w:color w:val="000000"/>
              </w:rPr>
            </w:pPr>
            <w:r>
              <w:rPr>
                <w:color w:val="000000"/>
              </w:rPr>
              <w:t xml:space="preserve">（1）上述每项内容完备健全、针对性强、可操作性强的，得</w:t>
            </w:r>
            <w:r>
              <w:rPr>
                <w:rFonts w:hint="eastAsia"/>
                <w:color w:val="000000"/>
              </w:rPr>
              <w:t xml:space="preserve">1</w:t>
            </w:r>
            <w:r>
              <w:rPr>
                <w:color w:val="000000"/>
              </w:rPr>
              <w:t xml:space="preserve">分；</w:t>
            </w:r>
            <w:r>
              <w:rPr>
                <w:color w:val="000000"/>
              </w:rPr>
            </w:r>
            <w:r/>
          </w:p>
          <w:p>
            <w:pPr>
              <w:pStyle w:val="745"/>
              <w:spacing w:line="360" w:lineRule="auto"/>
              <w:rPr>
                <w:color w:val="000000"/>
              </w:rPr>
            </w:pPr>
            <w:r>
              <w:rPr>
                <w:color w:val="000000"/>
              </w:rPr>
              <w:t xml:space="preserve">（2）上述每项内容较完备健全、针对性较强、可操作性较强的，得</w:t>
            </w:r>
            <w:r>
              <w:rPr>
                <w:rFonts w:hint="eastAsia"/>
                <w:color w:val="000000"/>
              </w:rPr>
              <w:t xml:space="preserve">0.5</w:t>
            </w:r>
            <w:r>
              <w:rPr>
                <w:color w:val="000000"/>
              </w:rPr>
              <w:t xml:space="preserve">分； </w:t>
            </w:r>
            <w:r>
              <w:rPr>
                <w:color w:val="000000"/>
              </w:rPr>
            </w:r>
            <w:r/>
          </w:p>
          <w:p>
            <w:pPr>
              <w:pStyle w:val="745"/>
              <w:spacing w:line="360" w:lineRule="auto"/>
              <w:rPr>
                <w:rFonts w:hint="eastAsia"/>
                <w:color w:val="000000"/>
              </w:rPr>
            </w:pPr>
            <w:r>
              <w:rPr>
                <w:color w:val="000000"/>
              </w:rPr>
              <w:t xml:space="preserve">（3）上述每项内容不可行或未提供预案的不得分。</w:t>
            </w:r>
            <w:r>
              <w:rPr>
                <w:rFonts w:hint="eastAsia"/>
                <w:color w:val="000000"/>
              </w:rPr>
            </w:r>
            <w:r/>
          </w:p>
        </w:tc>
        <w:tc>
          <w:tcPr>
            <w:tcW w:w="573" w:type="dxa"/>
            <w:vAlign w:val="center"/>
            <w:textDirection w:val="lrTb"/>
            <w:noWrap w:val="false"/>
          </w:tcPr>
          <w:p>
            <w:pPr>
              <w:pStyle w:val="745"/>
              <w:jc w:val="center"/>
              <w:spacing w:before="69"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783" w:type="dxa"/>
            <w:vAlign w:val="center"/>
            <w:textDirection w:val="lrTb"/>
            <w:noWrap w:val="false"/>
          </w:tcPr>
          <w:p>
            <w:pPr>
              <w:pStyle w:val="745"/>
              <w:jc w:val="center"/>
              <w:spacing w:before="68" w:line="360"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rPr>
            </w:r>
            <w:r/>
          </w:p>
        </w:tc>
        <w:tc>
          <w:tcPr>
            <w:tcW w:w="1179" w:type="dxa"/>
            <w:vAlign w:val="center"/>
            <w:textDirection w:val="lrTb"/>
            <w:noWrap w:val="false"/>
          </w:tcPr>
          <w:p>
            <w:pPr>
              <w:pStyle w:val="745"/>
              <w:jc w:val="left"/>
              <w:spacing w:before="68" w:line="360" w:lineRule="auto"/>
              <w:rPr>
                <w:rFonts w:ascii="宋体" w:hAnsi="宋体" w:cs="宋体"/>
                <w:color w:val="000000"/>
                <w:spacing w:val="-2"/>
                <w:szCs w:val="22"/>
              </w:rPr>
            </w:pPr>
            <w:r>
              <w:rPr>
                <w:rFonts w:hint="eastAsia" w:ascii="宋体" w:hAnsi="宋体" w:cs="宋体"/>
                <w:color w:val="000000"/>
                <w:spacing w:val="-2"/>
                <w:szCs w:val="22"/>
              </w:rPr>
              <w:t xml:space="preserve">应急预案</w:t>
            </w:r>
            <w:r>
              <w:rPr>
                <w:rFonts w:ascii="宋体" w:hAnsi="宋体" w:cs="宋体"/>
                <w:color w:val="000000"/>
                <w:spacing w:val="-2"/>
                <w:szCs w:val="22"/>
              </w:rPr>
            </w:r>
            <w:r/>
          </w:p>
        </w:tc>
        <w:tc>
          <w:tcPr>
            <w:tcW w:w="6616" w:type="dxa"/>
            <w:vAlign w:val="top"/>
            <w:textDirection w:val="lrTb"/>
            <w:noWrap w:val="false"/>
          </w:tcPr>
          <w:p>
            <w:pPr>
              <w:pStyle w:val="745"/>
              <w:spacing w:line="360" w:lineRule="auto"/>
              <w:rPr>
                <w:color w:val="000000"/>
              </w:rPr>
            </w:pPr>
            <w:r>
              <w:rPr>
                <w:color w:val="000000"/>
              </w:rPr>
              <w:t xml:space="preserve">根据投标人提供的应急处理预案</w:t>
            </w:r>
            <w:r>
              <w:rPr>
                <w:rFonts w:hint="eastAsia"/>
                <w:color w:val="000000"/>
              </w:rPr>
              <w:t xml:space="preserve">综合</w:t>
            </w:r>
            <w:r>
              <w:rPr>
                <w:color w:val="000000"/>
              </w:rPr>
              <w:t xml:space="preserve">评分</w:t>
            </w:r>
            <w:r>
              <w:rPr>
                <w:rFonts w:hint="eastAsia"/>
                <w:color w:val="000000"/>
              </w:rPr>
              <w:t xml:space="preserve">，</w:t>
            </w:r>
            <w:r>
              <w:rPr>
                <w:color w:val="000000"/>
              </w:rPr>
              <w:t xml:space="preserve">包含：</w:t>
            </w:r>
            <w:r>
              <w:rPr>
                <w:rFonts w:hint="eastAsia"/>
                <w:color w:val="000000"/>
              </w:rPr>
              <w:t xml:space="preserve">1.</w:t>
            </w:r>
            <w:r>
              <w:rPr>
                <w:color w:val="000000"/>
              </w:rPr>
              <w:t xml:space="preserve">各类突发事件</w:t>
            </w:r>
            <w:r>
              <w:rPr>
                <w:rFonts w:hint="eastAsia"/>
                <w:color w:val="000000"/>
              </w:rPr>
              <w:t xml:space="preserve">（</w:t>
            </w:r>
            <w:r>
              <w:rPr>
                <w:color w:val="000000"/>
              </w:rPr>
              <w:t xml:space="preserve">如：公共安全类突发事件、自然灾害类突发事件</w:t>
            </w:r>
            <w:r>
              <w:rPr>
                <w:rFonts w:hint="eastAsia"/>
                <w:color w:val="000000"/>
              </w:rPr>
              <w:t xml:space="preserve">）及</w:t>
            </w:r>
            <w:r>
              <w:rPr>
                <w:color w:val="000000"/>
              </w:rPr>
              <w:t xml:space="preserve">各类迎查的处理流程</w:t>
            </w:r>
            <w:r>
              <w:rPr>
                <w:rFonts w:hint="eastAsia"/>
                <w:color w:val="000000"/>
              </w:rPr>
              <w:t xml:space="preserve">；2.</w:t>
            </w:r>
            <w:r>
              <w:rPr>
                <w:color w:val="000000"/>
              </w:rPr>
              <w:t xml:space="preserve">处理方法</w:t>
            </w:r>
            <w:r>
              <w:rPr>
                <w:rFonts w:hint="eastAsia"/>
                <w:color w:val="000000"/>
              </w:rPr>
              <w:t xml:space="preserve">；3.</w:t>
            </w:r>
            <w:r>
              <w:rPr>
                <w:color w:val="000000"/>
              </w:rPr>
              <w:t xml:space="preserve">相关措施</w:t>
            </w:r>
            <w:r>
              <w:rPr>
                <w:rFonts w:hint="eastAsia"/>
                <w:color w:val="000000"/>
              </w:rPr>
              <w:t xml:space="preserve">。</w:t>
            </w:r>
            <w:r>
              <w:rPr>
                <w:color w:val="000000"/>
              </w:rPr>
              <w:t xml:space="preserve">以上每项内容逐条阐述。</w:t>
            </w:r>
            <w:r>
              <w:rPr>
                <w:color w:val="000000"/>
              </w:rPr>
            </w:r>
            <w:r/>
          </w:p>
          <w:p>
            <w:pPr>
              <w:pStyle w:val="745"/>
              <w:spacing w:line="360" w:lineRule="auto"/>
              <w:rPr>
                <w:color w:val="000000"/>
              </w:rPr>
            </w:pPr>
            <w:r>
              <w:rPr>
                <w:color w:val="000000"/>
              </w:rPr>
              <w:t xml:space="preserve">（1）上述每项内容完备健全、针对性强、可操作性强的，得</w:t>
            </w:r>
            <w:r>
              <w:rPr>
                <w:rFonts w:hint="eastAsia"/>
                <w:color w:val="000000"/>
              </w:rPr>
              <w:t xml:space="preserve">1</w:t>
            </w:r>
            <w:r>
              <w:rPr>
                <w:color w:val="000000"/>
              </w:rPr>
              <w:t xml:space="preserve">分；</w:t>
            </w:r>
            <w:r>
              <w:rPr>
                <w:color w:val="000000"/>
              </w:rPr>
            </w:r>
            <w:r/>
          </w:p>
          <w:p>
            <w:pPr>
              <w:pStyle w:val="745"/>
              <w:spacing w:line="360" w:lineRule="auto"/>
              <w:rPr>
                <w:color w:val="000000"/>
              </w:rPr>
            </w:pPr>
            <w:r>
              <w:rPr>
                <w:color w:val="000000"/>
              </w:rPr>
              <w:t xml:space="preserve">（2）上述每项内容较完备健全、针对性较强、可操作性较强的，得</w:t>
            </w:r>
            <w:r>
              <w:rPr>
                <w:rFonts w:hint="eastAsia"/>
                <w:color w:val="000000"/>
              </w:rPr>
              <w:t xml:space="preserve">0.5</w:t>
            </w:r>
            <w:r>
              <w:rPr>
                <w:color w:val="000000"/>
              </w:rPr>
              <w:t xml:space="preserve">分； </w:t>
            </w:r>
            <w:r>
              <w:rPr>
                <w:color w:val="000000"/>
              </w:rPr>
            </w:r>
            <w:r/>
          </w:p>
          <w:p>
            <w:pPr>
              <w:pStyle w:val="745"/>
              <w:spacing w:line="360" w:lineRule="auto"/>
              <w:rPr>
                <w:color w:val="000000"/>
              </w:rPr>
            </w:pPr>
            <w:r>
              <w:rPr>
                <w:color w:val="000000"/>
              </w:rPr>
              <w:t xml:space="preserve">（3）上述每项内容不可行或未提供预案的不得分。 </w:t>
            </w:r>
            <w:r>
              <w:rPr>
                <w:color w:val="000000"/>
              </w:rPr>
            </w:r>
            <w:r/>
          </w:p>
        </w:tc>
        <w:tc>
          <w:tcPr>
            <w:tcW w:w="573" w:type="dxa"/>
            <w:vAlign w:val="center"/>
            <w:textDirection w:val="lrTb"/>
            <w:noWrap w:val="false"/>
          </w:tcPr>
          <w:p>
            <w:pPr>
              <w:pStyle w:val="745"/>
              <w:jc w:val="center"/>
              <w:spacing w:before="69"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783" w:type="dxa"/>
            <w:vAlign w:val="center"/>
            <w:textDirection w:val="lrTb"/>
            <w:noWrap w:val="false"/>
          </w:tcPr>
          <w:p>
            <w:pPr>
              <w:pStyle w:val="745"/>
              <w:jc w:val="center"/>
              <w:spacing w:before="68" w:line="360"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2.4</w:t>
            </w:r>
            <w:r>
              <w:rPr>
                <w:rFonts w:hint="eastAsia" w:ascii="宋体" w:hAnsi="宋体" w:cs="宋体"/>
                <w:color w:val="000000"/>
              </w:rPr>
            </w:r>
            <w:r/>
          </w:p>
        </w:tc>
        <w:tc>
          <w:tcPr>
            <w:tcW w:w="1179" w:type="dxa"/>
            <w:vAlign w:val="center"/>
            <w:textDirection w:val="lrTb"/>
            <w:noWrap w:val="false"/>
          </w:tcPr>
          <w:p>
            <w:pPr>
              <w:pStyle w:val="745"/>
              <w:jc w:val="left"/>
              <w:spacing w:before="68" w:line="360" w:lineRule="auto"/>
              <w:rPr>
                <w:rFonts w:hint="eastAsia" w:ascii="宋体" w:hAnsi="宋体" w:cs="宋体"/>
                <w:color w:val="000000"/>
                <w:spacing w:val="-2"/>
                <w:szCs w:val="22"/>
              </w:rPr>
            </w:pPr>
            <w:r>
              <w:rPr>
                <w:rFonts w:hint="eastAsia" w:ascii="宋体" w:hAnsi="宋体" w:cs="宋体"/>
                <w:color w:val="000000"/>
                <w:spacing w:val="-2"/>
                <w:szCs w:val="22"/>
              </w:rPr>
              <w:t xml:space="preserve">感染控制方案</w:t>
            </w:r>
            <w:r>
              <w:rPr>
                <w:rFonts w:hint="eastAsia" w:ascii="宋体" w:hAnsi="宋体" w:cs="宋体"/>
                <w:color w:val="000000"/>
                <w:spacing w:val="-2"/>
                <w:szCs w:val="22"/>
              </w:rPr>
            </w:r>
            <w:r/>
          </w:p>
        </w:tc>
        <w:tc>
          <w:tcPr>
            <w:tcW w:w="6616" w:type="dxa"/>
            <w:vAlign w:val="top"/>
            <w:textDirection w:val="lrTb"/>
            <w:noWrap w:val="false"/>
          </w:tcPr>
          <w:p>
            <w:pPr>
              <w:pStyle w:val="745"/>
              <w:spacing w:line="360" w:lineRule="auto"/>
              <w:rPr>
                <w:color w:val="000000"/>
              </w:rPr>
            </w:pPr>
            <w:r>
              <w:rPr>
                <w:rFonts w:hint="eastAsia"/>
                <w:color w:val="000000"/>
              </w:rPr>
              <w:t xml:space="preserve">根据投标人提供的感染控制方案综合评分，包含1.防止交叉感染、作业防护；2.清洁与消毒；3.医疗废物管理</w:t>
            </w:r>
            <w:r>
              <w:rPr>
                <w:rFonts w:hint="eastAsia"/>
                <w:color w:val="000000"/>
                <w:lang w:eastAsia="zh-CN"/>
              </w:rPr>
              <w:t xml:space="preserve">。</w:t>
            </w:r>
            <w:r>
              <w:rPr>
                <w:color w:val="000000"/>
              </w:rPr>
              <w:t xml:space="preserve">以上每项内容逐条阐述。</w:t>
            </w:r>
            <w:r>
              <w:rPr>
                <w:color w:val="000000"/>
              </w:rPr>
            </w:r>
            <w:r/>
          </w:p>
          <w:p>
            <w:pPr>
              <w:pStyle w:val="745"/>
              <w:spacing w:line="360" w:lineRule="auto"/>
              <w:rPr>
                <w:color w:val="000000"/>
              </w:rPr>
            </w:pPr>
            <w:r>
              <w:rPr>
                <w:color w:val="000000"/>
              </w:rPr>
              <w:t xml:space="preserve">（1）上述每项内容完备健全、针对性强、可操作性强的，得</w:t>
            </w:r>
            <w:r>
              <w:rPr>
                <w:rFonts w:hint="eastAsia"/>
                <w:color w:val="000000"/>
              </w:rPr>
              <w:t xml:space="preserve">1</w:t>
            </w:r>
            <w:r>
              <w:rPr>
                <w:color w:val="000000"/>
              </w:rPr>
              <w:t xml:space="preserve">分；</w:t>
            </w:r>
            <w:r>
              <w:rPr>
                <w:color w:val="000000"/>
              </w:rPr>
            </w:r>
            <w:r/>
          </w:p>
          <w:p>
            <w:pPr>
              <w:pStyle w:val="745"/>
              <w:spacing w:line="360" w:lineRule="auto"/>
              <w:rPr>
                <w:color w:val="000000"/>
              </w:rPr>
            </w:pPr>
            <w:r>
              <w:rPr>
                <w:color w:val="000000"/>
              </w:rPr>
              <w:t xml:space="preserve">（2）上述每项内容较完备健全、针对性较强、可操作性较强的，得</w:t>
            </w:r>
            <w:r>
              <w:rPr>
                <w:rFonts w:hint="eastAsia"/>
                <w:color w:val="000000"/>
              </w:rPr>
              <w:t xml:space="preserve">0.5</w:t>
            </w:r>
            <w:r>
              <w:rPr>
                <w:color w:val="000000"/>
              </w:rPr>
              <w:t xml:space="preserve">分； </w:t>
            </w:r>
            <w:r>
              <w:rPr>
                <w:color w:val="000000"/>
              </w:rPr>
            </w:r>
            <w:r/>
          </w:p>
          <w:p>
            <w:pPr>
              <w:pStyle w:val="745"/>
              <w:spacing w:line="360" w:lineRule="auto"/>
              <w:rPr>
                <w:color w:val="000000"/>
              </w:rPr>
            </w:pPr>
            <w:r>
              <w:rPr>
                <w:color w:val="000000"/>
              </w:rPr>
              <w:t xml:space="preserve">（3）上述每项内容不可行或未提供预案的不得分。</w:t>
            </w:r>
            <w:r>
              <w:rPr>
                <w:color w:val="000000"/>
              </w:rPr>
            </w:r>
            <w:r/>
          </w:p>
        </w:tc>
        <w:tc>
          <w:tcPr>
            <w:tcW w:w="573" w:type="dxa"/>
            <w:vAlign w:val="center"/>
            <w:textDirection w:val="lrTb"/>
            <w:noWrap w:val="false"/>
          </w:tcPr>
          <w:p>
            <w:pPr>
              <w:pStyle w:val="745"/>
              <w:jc w:val="center"/>
              <w:spacing w:before="69"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783" w:type="dxa"/>
            <w:vAlign w:val="center"/>
            <w:textDirection w:val="lrTb"/>
            <w:noWrap w:val="false"/>
          </w:tcPr>
          <w:p>
            <w:pPr>
              <w:pStyle w:val="745"/>
              <w:jc w:val="center"/>
              <w:spacing w:before="68" w:line="360"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2.5</w:t>
            </w:r>
            <w:r>
              <w:rPr>
                <w:rFonts w:hint="eastAsia" w:ascii="宋体" w:hAnsi="宋体" w:cs="宋体"/>
                <w:color w:val="000000"/>
              </w:rPr>
            </w:r>
            <w:r/>
          </w:p>
        </w:tc>
        <w:tc>
          <w:tcPr>
            <w:tcW w:w="1179" w:type="dxa"/>
            <w:vAlign w:val="center"/>
            <w:textDirection w:val="lrTb"/>
            <w:noWrap w:val="false"/>
          </w:tcPr>
          <w:p>
            <w:pPr>
              <w:pStyle w:val="745"/>
              <w:jc w:val="left"/>
              <w:spacing w:before="68" w:line="360" w:lineRule="auto"/>
              <w:rPr>
                <w:rFonts w:hint="eastAsia" w:ascii="宋体" w:hAnsi="宋体" w:cs="宋体"/>
                <w:color w:val="000000"/>
                <w:spacing w:val="-2"/>
                <w:szCs w:val="22"/>
              </w:rPr>
            </w:pPr>
            <w:r>
              <w:rPr>
                <w:rFonts w:hint="eastAsia" w:ascii="宋体" w:hAnsi="宋体" w:cs="宋体"/>
                <w:color w:val="000000"/>
                <w:spacing w:val="-2"/>
                <w:szCs w:val="22"/>
              </w:rPr>
              <w:t xml:space="preserve">人员管理</w:t>
            </w:r>
            <w:r>
              <w:rPr>
                <w:rFonts w:hint="eastAsia" w:ascii="宋体" w:hAnsi="宋体" w:cs="宋体"/>
                <w:color w:val="000000"/>
                <w:spacing w:val="-2"/>
                <w:szCs w:val="22"/>
              </w:rPr>
            </w:r>
            <w:r/>
          </w:p>
        </w:tc>
        <w:tc>
          <w:tcPr>
            <w:tcW w:w="6616" w:type="dxa"/>
            <w:vAlign w:val="top"/>
            <w:textDirection w:val="lrTb"/>
            <w:noWrap w:val="false"/>
          </w:tcPr>
          <w:p>
            <w:pPr>
              <w:pStyle w:val="745"/>
              <w:spacing w:line="360" w:lineRule="auto"/>
              <w:rPr>
                <w:color w:val="000000"/>
              </w:rPr>
            </w:pPr>
            <w:r>
              <w:rPr>
                <w:rFonts w:hint="eastAsia"/>
                <w:color w:val="000000"/>
              </w:rPr>
              <w:t xml:space="preserve">根据投标人提供的人员管理方案综合评分，包含：1.人员职责；2.人员培训；3.人员考核；4.人员奖惩措施。</w:t>
            </w:r>
            <w:r>
              <w:rPr>
                <w:color w:val="000000"/>
              </w:rPr>
              <w:t xml:space="preserve">以上每项内容逐条阐述。</w:t>
            </w:r>
            <w:r>
              <w:rPr>
                <w:color w:val="000000"/>
              </w:rPr>
            </w:r>
            <w:r/>
          </w:p>
          <w:p>
            <w:pPr>
              <w:pStyle w:val="745"/>
              <w:spacing w:line="360" w:lineRule="auto"/>
              <w:rPr>
                <w:color w:val="000000"/>
              </w:rPr>
            </w:pPr>
            <w:r>
              <w:rPr>
                <w:color w:val="000000"/>
              </w:rPr>
              <w:t xml:space="preserve">（1）上述每项内容完备健全、针对性强、可操作性强的，得</w:t>
            </w:r>
            <w:r>
              <w:rPr>
                <w:rFonts w:hint="eastAsia"/>
                <w:color w:val="000000"/>
              </w:rPr>
              <w:t xml:space="preserve">1</w:t>
            </w:r>
            <w:r>
              <w:rPr>
                <w:color w:val="000000"/>
              </w:rPr>
              <w:t xml:space="preserve">分；</w:t>
            </w:r>
            <w:r>
              <w:rPr>
                <w:color w:val="000000"/>
              </w:rPr>
            </w:r>
            <w:r/>
          </w:p>
          <w:p>
            <w:pPr>
              <w:pStyle w:val="745"/>
              <w:spacing w:line="360" w:lineRule="auto"/>
              <w:rPr>
                <w:color w:val="000000"/>
              </w:rPr>
            </w:pPr>
            <w:r>
              <w:rPr>
                <w:color w:val="000000"/>
              </w:rPr>
              <w:t xml:space="preserve">（2）上述每项内容较完备健全、针对性较强、可操作性较强的，得</w:t>
            </w:r>
            <w:r>
              <w:rPr>
                <w:rFonts w:hint="eastAsia"/>
                <w:color w:val="000000"/>
              </w:rPr>
              <w:t xml:space="preserve">0.5</w:t>
            </w:r>
            <w:r>
              <w:rPr>
                <w:color w:val="000000"/>
              </w:rPr>
              <w:t xml:space="preserve">分； </w:t>
            </w:r>
            <w:r>
              <w:rPr>
                <w:color w:val="000000"/>
              </w:rPr>
            </w:r>
            <w:r/>
          </w:p>
          <w:p>
            <w:pPr>
              <w:pStyle w:val="745"/>
              <w:spacing w:line="360" w:lineRule="auto"/>
              <w:rPr>
                <w:rFonts w:hint="eastAsia"/>
                <w:color w:val="000000"/>
              </w:rPr>
            </w:pPr>
            <w:r>
              <w:rPr>
                <w:color w:val="000000"/>
              </w:rPr>
              <w:t xml:space="preserve">（3）上述每项内容不可行或未提供预案的不得分。</w:t>
            </w:r>
            <w:r>
              <w:rPr>
                <w:rFonts w:hint="eastAsia"/>
                <w:color w:val="000000"/>
              </w:rPr>
            </w:r>
            <w:r/>
          </w:p>
        </w:tc>
        <w:tc>
          <w:tcPr>
            <w:tcW w:w="573" w:type="dxa"/>
            <w:vAlign w:val="center"/>
            <w:textDirection w:val="lrTb"/>
            <w:noWrap w:val="false"/>
          </w:tcPr>
          <w:p>
            <w:pPr>
              <w:pStyle w:val="745"/>
              <w:jc w:val="center"/>
              <w:spacing w:before="69"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783" w:type="dxa"/>
            <w:vAlign w:val="center"/>
            <w:textDirection w:val="lrTb"/>
            <w:noWrap w:val="false"/>
          </w:tcPr>
          <w:p>
            <w:pPr>
              <w:pStyle w:val="745"/>
              <w:jc w:val="center"/>
              <w:spacing w:before="68" w:line="360"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gridSpan w:val="5"/>
            <w:tcW w:w="9670" w:type="dxa"/>
            <w:vAlign w:val="center"/>
            <w:textDirection w:val="lrTb"/>
            <w:noWrap w:val="false"/>
          </w:tcPr>
          <w:p>
            <w:pPr>
              <w:pStyle w:val="745"/>
              <w:ind w:firstLine="205"/>
              <w:spacing w:line="360"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745"/>
              <w:jc w:val="center"/>
              <w:spacing w:before="68" w:line="360"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745"/>
              <w:spacing w:before="69" w:line="360" w:lineRule="auto"/>
              <w:rPr>
                <w:rFonts w:hint="eastAsia" w:ascii="宋体" w:hAnsi="宋体" w:cs="宋体"/>
                <w:color w:val="000000"/>
                <w:spacing w:val="-1"/>
              </w:rPr>
            </w:pPr>
            <w:r>
              <w:rPr>
                <w:rFonts w:ascii="宋体" w:hAnsi="宋体" w:cs="宋体"/>
                <w:color w:val="000000"/>
                <w:spacing w:val="-2"/>
                <w:szCs w:val="22"/>
              </w:rPr>
              <w:t xml:space="preserve">投标人业绩</w:t>
            </w:r>
            <w:r>
              <w:rPr>
                <w:rFonts w:hint="eastAsia" w:ascii="宋体" w:hAnsi="宋体" w:cs="宋体"/>
                <w:color w:val="000000"/>
                <w:spacing w:val="-1"/>
              </w:rPr>
            </w:r>
            <w:r/>
          </w:p>
        </w:tc>
        <w:tc>
          <w:tcPr>
            <w:tcW w:w="6616" w:type="dxa"/>
            <w:vAlign w:val="center"/>
            <w:textDirection w:val="lrTb"/>
            <w:noWrap w:val="false"/>
          </w:tcPr>
          <w:p>
            <w:pPr>
              <w:pStyle w:val="745"/>
              <w:jc w:val="left"/>
              <w:spacing w:line="360" w:lineRule="auto"/>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color w:val="000000"/>
                <w:spacing w:val="-2"/>
                <w:szCs w:val="22"/>
              </w:rPr>
              <w:t xml:space="preserve">2023年1月1日</w:t>
            </w:r>
            <w:r>
              <w:rPr>
                <w:rFonts w:hint="eastAsia" w:ascii="宋体" w:hAnsi="宋体" w:cs="宋体"/>
                <w:color w:val="000000"/>
              </w:rPr>
              <w:t xml:space="preserve">（含）以来，承接的医院物业项目业绩，并提供业主单位出具的履约优秀（或好评或满意或最高档次）评价材料。每提供一个业绩得3分，最多得9分，未提供不得分。</w:t>
            </w:r>
            <w:r>
              <w:rPr>
                <w:rFonts w:hint="eastAsia" w:ascii="宋体" w:hAnsi="宋体" w:cs="宋体"/>
                <w:color w:val="000000"/>
              </w:rPr>
            </w:r>
            <w:r/>
          </w:p>
          <w:p>
            <w:pPr>
              <w:pStyle w:val="745"/>
              <w:jc w:val="left"/>
              <w:spacing w:line="360" w:lineRule="auto"/>
              <w:rPr>
                <w:rFonts w:hint="eastAsia" w:ascii="宋体" w:hAnsi="宋体" w:cs="宋体"/>
                <w:color w:val="000000"/>
              </w:rPr>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rPr>
            </w:r>
            <w:r/>
          </w:p>
          <w:p>
            <w:pPr>
              <w:pStyle w:val="745"/>
              <w:jc w:val="left"/>
              <w:spacing w:line="360" w:lineRule="auto"/>
              <w:rPr>
                <w:rFonts w:hint="eastAsia" w:ascii="宋体" w:hAnsi="宋体" w:cs="宋体"/>
                <w:color w:val="000000"/>
              </w:rPr>
            </w:pPr>
            <w:r>
              <w:rPr>
                <w:rFonts w:hint="eastAsia" w:ascii="宋体" w:hAnsi="宋体" w:cs="宋体"/>
                <w:color w:val="000000"/>
              </w:rPr>
              <w:t xml:space="preserve">（2）同一业主单位的多个业绩仅作为一个业绩，不累计得分。</w:t>
            </w:r>
            <w:r>
              <w:rPr>
                <w:rFonts w:hint="eastAsia" w:ascii="宋体" w:hAnsi="宋体" w:cs="宋体"/>
                <w:color w:val="000000"/>
              </w:rPr>
            </w:r>
            <w:r/>
          </w:p>
        </w:tc>
        <w:tc>
          <w:tcPr>
            <w:tcW w:w="573" w:type="dxa"/>
            <w:vAlign w:val="center"/>
            <w:textDirection w:val="lrTb"/>
            <w:noWrap w:val="false"/>
          </w:tcPr>
          <w:p>
            <w:pPr>
              <w:pStyle w:val="745"/>
              <w:jc w:val="center"/>
              <w:spacing w:before="68" w:line="360"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783" w:type="dxa"/>
            <w:vAlign w:val="center"/>
            <w:textDirection w:val="lrTb"/>
            <w:noWrap w:val="false"/>
          </w:tcPr>
          <w:p>
            <w:pPr>
              <w:pStyle w:val="745"/>
              <w:jc w:val="center"/>
              <w:spacing w:before="68" w:line="360"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c>
          <w:tcPr>
            <w:gridSpan w:val="5"/>
            <w:tcW w:w="9670" w:type="dxa"/>
            <w:vAlign w:val="top"/>
            <w:textDirection w:val="lrTb"/>
            <w:noWrap w:val="false"/>
          </w:tcPr>
          <w:p>
            <w:pPr>
              <w:pStyle w:val="745"/>
              <w:ind w:firstLine="205"/>
              <w:spacing w:before="123" w:line="360"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745"/>
              <w:jc w:val="center"/>
              <w:spacing w:before="68" w:line="360"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45"/>
              <w:spacing w:before="69" w:line="360" w:lineRule="auto"/>
              <w:rPr>
                <w:rFonts w:hint="eastAsia" w:ascii="宋体" w:hAnsi="宋体" w:cs="宋体"/>
                <w:color w:val="000000"/>
                <w:spacing w:val="-2"/>
                <w:szCs w:val="22"/>
              </w:rPr>
            </w:pPr>
            <w:r>
              <w:rPr>
                <w:rFonts w:ascii="宋体" w:hAnsi="宋体" w:cs="宋体"/>
                <w:color w:val="000000"/>
                <w:spacing w:val="-2"/>
                <w:szCs w:val="22"/>
              </w:rPr>
              <w:t xml:space="preserve">履约能力1</w:t>
            </w:r>
            <w:r>
              <w:rPr>
                <w:rFonts w:hint="eastAsia" w:ascii="宋体" w:hAnsi="宋体" w:cs="宋体"/>
                <w:color w:val="000000"/>
                <w:spacing w:val="-2"/>
                <w:szCs w:val="22"/>
              </w:rPr>
            </w:r>
            <w:r/>
          </w:p>
        </w:tc>
        <w:tc>
          <w:tcPr>
            <w:tcW w:w="6616" w:type="dxa"/>
            <w:vAlign w:val="center"/>
            <w:textDirection w:val="lrTb"/>
            <w:noWrap w:val="false"/>
          </w:tcPr>
          <w:p>
            <w:pPr>
              <w:pStyle w:val="745"/>
              <w:spacing w:line="360" w:lineRule="auto"/>
              <w:rPr>
                <w:rFonts w:hint="eastAsia" w:ascii="宋体" w:hAnsi="宋体" w:eastAsia="宋体" w:cs="宋体"/>
                <w:b w:val="0"/>
                <w:bCs w:val="0"/>
                <w:color w:val="000000"/>
                <w:sz w:val="21"/>
                <w:szCs w:val="21"/>
                <w:lang w:eastAsia="zh-CN"/>
              </w:rPr>
            </w:pPr>
            <w:r>
              <w:rPr>
                <w:rFonts w:hint="eastAsia" w:ascii="宋体" w:hAnsi="宋体" w:cs="宋体"/>
                <w:color w:val="000000"/>
              </w:rPr>
              <w:t xml:space="preserve">投标人拟在提供物业服务的27人中选派一人同时兼任物业管理者得5分。选派之人需有医院物业管理及从业经验2年。</w:t>
            </w:r>
            <w:r>
              <w:rPr>
                <w:rFonts w:hint="eastAsia" w:ascii="宋体" w:hAnsi="宋体" w:cs="宋体"/>
                <w:b w:val="0"/>
                <w:bCs w:val="0"/>
                <w:color w:val="000000"/>
                <w:sz w:val="21"/>
                <w:szCs w:val="21"/>
                <w:lang w:eastAsia="zh-CN"/>
              </w:rPr>
              <w:t xml:space="preserve">须为</w:t>
            </w:r>
            <w:r>
              <w:rPr>
                <w:rFonts w:hint="eastAsia" w:ascii="宋体" w:hAnsi="宋体" w:cs="宋体"/>
                <w:b w:val="0"/>
                <w:bCs w:val="0"/>
                <w:color w:val="000000"/>
                <w:sz w:val="21"/>
                <w:szCs w:val="21"/>
              </w:rPr>
              <w:t xml:space="preserve">本项目服务缴纳社保和公积金的人</w:t>
            </w:r>
            <w:r>
              <w:rPr>
                <w:rFonts w:hint="eastAsia" w:ascii="宋体" w:hAnsi="宋体" w:cs="宋体"/>
                <w:b w:val="0"/>
                <w:bCs w:val="0"/>
                <w:color w:val="000000"/>
                <w:sz w:val="21"/>
                <w:szCs w:val="21"/>
                <w:lang w:eastAsia="zh-CN"/>
              </w:rPr>
              <w:t xml:space="preserve">员。</w:t>
            </w:r>
            <w:r>
              <w:rPr>
                <w:rFonts w:hint="eastAsia" w:ascii="宋体" w:hAnsi="宋体" w:eastAsia="宋体" w:cs="宋体"/>
                <w:b w:val="0"/>
                <w:bCs w:val="0"/>
                <w:color w:val="000000"/>
                <w:sz w:val="21"/>
                <w:szCs w:val="21"/>
                <w:lang w:eastAsia="zh-CN"/>
              </w:rPr>
            </w:r>
            <w:r/>
          </w:p>
          <w:p>
            <w:pPr>
              <w:pStyle w:val="745"/>
              <w:spacing w:line="360" w:lineRule="auto"/>
              <w:rPr>
                <w:rFonts w:hint="eastAsia" w:ascii="宋体" w:hAnsi="宋体" w:cs="宋体"/>
                <w:color w:val="000000"/>
              </w:rPr>
            </w:pPr>
            <w:r>
              <w:rPr>
                <w:rFonts w:hint="eastAsia" w:ascii="宋体" w:hAnsi="宋体" w:cs="宋体"/>
                <w:color w:val="000000"/>
              </w:rPr>
              <w:t xml:space="preserve">注：提供加盖业主单位公章的工作经验证明材料（需体现人员姓名、工作岗位及工作年限），证明材料缺项或未提供的不得分。</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5"/>
              <w:jc w:val="center"/>
              <w:spacing w:before="68" w:line="360"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745"/>
              <w:spacing w:before="69" w:line="360" w:lineRule="auto"/>
              <w:rPr>
                <w:rFonts w:ascii="宋体" w:hAnsi="宋体" w:cs="宋体"/>
                <w:color w:val="000000"/>
                <w:spacing w:val="-2"/>
                <w:szCs w:val="22"/>
              </w:rPr>
            </w:pPr>
            <w:r>
              <w:rPr>
                <w:rFonts w:ascii="宋体" w:hAnsi="宋体" w:cs="宋体"/>
                <w:color w:val="000000"/>
                <w:spacing w:val="-2"/>
                <w:szCs w:val="22"/>
              </w:rPr>
              <w:t xml:space="preserve">履约能力2</w:t>
            </w:r>
            <w:r>
              <w:rPr>
                <w:rFonts w:ascii="宋体" w:hAnsi="宋体" w:cs="宋体"/>
                <w:color w:val="000000"/>
                <w:spacing w:val="-2"/>
                <w:szCs w:val="22"/>
              </w:rPr>
            </w:r>
            <w:r/>
          </w:p>
        </w:tc>
        <w:tc>
          <w:tcPr>
            <w:tcW w:w="6616" w:type="dxa"/>
            <w:vAlign w:val="center"/>
            <w:textDirection w:val="lrTb"/>
            <w:noWrap w:val="false"/>
          </w:tcPr>
          <w:p>
            <w:pPr>
              <w:pStyle w:val="745"/>
              <w:spacing w:line="360" w:lineRule="auto"/>
              <w:rPr>
                <w:rFonts w:hint="eastAsia" w:ascii="宋体" w:hAnsi="宋体" w:cs="宋体"/>
                <w:color w:val="000000"/>
              </w:rPr>
            </w:pPr>
            <w:r>
              <w:rPr>
                <w:rFonts w:hint="eastAsia" w:ascii="宋体" w:hAnsi="宋体" w:cs="宋体"/>
                <w:color w:val="000000"/>
              </w:rPr>
              <w:t xml:space="preserve">投标人拟派的4名安保人员中</w:t>
            </w:r>
            <w:r>
              <w:rPr>
                <w:rFonts w:hint="eastAsia" w:ascii="宋体" w:hAnsi="宋体" w:cs="宋体"/>
                <w:color w:val="000000"/>
                <w:lang w:eastAsia="zh-CN"/>
              </w:rPr>
              <w:t xml:space="preserve">每有</w:t>
            </w:r>
            <w:r>
              <w:rPr>
                <w:rFonts w:hint="eastAsia" w:ascii="宋体" w:hAnsi="宋体" w:cs="宋体"/>
                <w:color w:val="000000"/>
              </w:rPr>
              <w:t xml:space="preserve">1人具有3年及以上医院工作经验的加1分，最多4分。</w:t>
            </w:r>
            <w:r>
              <w:rPr>
                <w:rFonts w:hint="eastAsia" w:ascii="宋体" w:hAnsi="宋体" w:cs="宋体"/>
                <w:color w:val="000000"/>
              </w:rPr>
            </w:r>
            <w:r/>
          </w:p>
          <w:p>
            <w:pPr>
              <w:pStyle w:val="745"/>
              <w:jc w:val="left"/>
              <w:spacing w:line="360"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备注：提供加盖业主单位公章的工作经验证明材料（需体现人员姓名、工作岗位及工作年限），证明材料缺项或未提供的不得分。</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5"/>
              <w:jc w:val="center"/>
              <w:spacing w:before="68" w:line="360" w:lineRule="auto"/>
              <w:rPr>
                <w:rFonts w:hint="eastAsia" w:ascii="宋体" w:hAnsi="宋体" w:cs="宋体"/>
                <w:color w:val="000000"/>
                <w:spacing w:val="-2"/>
              </w:rPr>
            </w:pPr>
            <w:r>
              <w:rPr>
                <w:rFonts w:hint="eastAsia" w:ascii="宋体" w:hAnsi="宋体" w:cs="宋体"/>
                <w:color w:val="000000"/>
                <w:spacing w:val="-2"/>
              </w:rPr>
              <w:t xml:space="preserve">4.3</w:t>
            </w:r>
            <w:r>
              <w:rPr>
                <w:rFonts w:hint="eastAsia" w:ascii="宋体" w:hAnsi="宋体" w:cs="宋体"/>
                <w:color w:val="000000"/>
                <w:spacing w:val="-2"/>
              </w:rPr>
            </w:r>
            <w:r/>
          </w:p>
        </w:tc>
        <w:tc>
          <w:tcPr>
            <w:tcW w:w="1179" w:type="dxa"/>
            <w:vAlign w:val="center"/>
            <w:textDirection w:val="lrTb"/>
            <w:noWrap w:val="false"/>
          </w:tcPr>
          <w:p>
            <w:pPr>
              <w:pStyle w:val="745"/>
              <w:spacing w:before="69" w:line="360" w:lineRule="auto"/>
              <w:rPr>
                <w:rFonts w:ascii="宋体" w:hAnsi="宋体" w:cs="宋体"/>
                <w:color w:val="000000"/>
                <w:spacing w:val="-2"/>
                <w:szCs w:val="22"/>
              </w:rPr>
            </w:pPr>
            <w:r>
              <w:rPr>
                <w:rFonts w:ascii="宋体" w:hAnsi="宋体" w:cs="宋体"/>
                <w:color w:val="000000"/>
                <w:spacing w:val="-2"/>
                <w:szCs w:val="22"/>
              </w:rPr>
              <w:t xml:space="preserve">履约能力3</w:t>
            </w:r>
            <w:r>
              <w:rPr>
                <w:rFonts w:ascii="宋体" w:hAnsi="宋体" w:cs="宋体"/>
                <w:color w:val="000000"/>
                <w:spacing w:val="-2"/>
                <w:szCs w:val="22"/>
              </w:rPr>
            </w:r>
            <w:r/>
          </w:p>
        </w:tc>
        <w:tc>
          <w:tcPr>
            <w:tcW w:w="6616" w:type="dxa"/>
            <w:vAlign w:val="center"/>
            <w:textDirection w:val="lrTb"/>
            <w:noWrap w:val="false"/>
          </w:tcPr>
          <w:p>
            <w:pPr>
              <w:pStyle w:val="745"/>
              <w:spacing w:line="360" w:lineRule="auto"/>
              <w:rPr>
                <w:rFonts w:hint="eastAsia" w:ascii="宋体" w:hAnsi="宋体" w:cs="宋体"/>
                <w:color w:val="000000"/>
              </w:rPr>
            </w:pPr>
            <w:r>
              <w:rPr>
                <w:rFonts w:hint="eastAsia" w:ascii="宋体" w:hAnsi="宋体" w:cs="宋体"/>
                <w:color w:val="000000"/>
              </w:rPr>
              <w:t xml:space="preserve">2名电工人员中，每一人具有3年及以上工作经验的加1分，最多2分；</w:t>
            </w:r>
            <w:r>
              <w:rPr>
                <w:rFonts w:hint="eastAsia" w:ascii="宋体" w:hAnsi="宋体" w:cs="宋体"/>
                <w:color w:val="000000"/>
                <w:lang w:eastAsia="zh-CN"/>
              </w:rPr>
              <w:t xml:space="preserve">另</w:t>
            </w:r>
            <w:r>
              <w:rPr>
                <w:rFonts w:hint="eastAsia" w:ascii="宋体" w:hAnsi="宋体" w:cs="宋体"/>
                <w:color w:val="000000"/>
              </w:rPr>
              <w:t xml:space="preserve">有高压操作证者</w:t>
            </w:r>
            <w:r>
              <w:rPr>
                <w:rFonts w:hint="eastAsia" w:ascii="宋体" w:hAnsi="宋体" w:cs="宋体"/>
                <w:color w:val="000000"/>
                <w:lang w:eastAsia="zh-CN"/>
              </w:rPr>
              <w:t xml:space="preserve">另</w:t>
            </w:r>
            <w:r>
              <w:rPr>
                <w:rFonts w:hint="eastAsia" w:ascii="宋体" w:hAnsi="宋体" w:cs="宋体"/>
                <w:color w:val="000000"/>
              </w:rPr>
              <w:t xml:space="preserve">加1分，最多加1分。</w:t>
            </w:r>
            <w:r>
              <w:rPr>
                <w:rFonts w:hint="eastAsia" w:ascii="宋体" w:hAnsi="宋体" w:cs="宋体"/>
                <w:color w:val="000000"/>
              </w:rPr>
            </w:r>
            <w:r/>
          </w:p>
          <w:p>
            <w:pPr>
              <w:pStyle w:val="745"/>
              <w:jc w:val="left"/>
              <w:spacing w:line="360"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备注：提供加盖业主单位公章的工作经验证明材料（需体现人员姓名、工作岗位及工作年限），高压操作证扫描件，证明材料缺项或未提供的不得分。</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5"/>
              <w:jc w:val="center"/>
              <w:spacing w:before="68" w:line="360"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745"/>
              <w:spacing w:before="69" w:line="360" w:lineRule="auto"/>
              <w:rPr>
                <w:rFonts w:ascii="宋体" w:hAnsi="宋体" w:cs="宋体"/>
                <w:color w:val="000000"/>
                <w:spacing w:val="-2"/>
                <w:szCs w:val="22"/>
              </w:rPr>
            </w:pPr>
            <w:r>
              <w:rPr>
                <w:rFonts w:ascii="宋体" w:hAnsi="宋体" w:cs="宋体"/>
                <w:color w:val="000000"/>
                <w:spacing w:val="-2"/>
                <w:szCs w:val="22"/>
              </w:rPr>
              <w:t xml:space="preserve">履约能力4</w:t>
            </w:r>
            <w:r>
              <w:rPr>
                <w:rFonts w:ascii="宋体" w:hAnsi="宋体" w:cs="宋体"/>
                <w:color w:val="000000"/>
                <w:spacing w:val="-2"/>
                <w:szCs w:val="22"/>
              </w:rPr>
            </w:r>
            <w:r/>
          </w:p>
        </w:tc>
        <w:tc>
          <w:tcPr>
            <w:tcW w:w="6616" w:type="dxa"/>
            <w:vAlign w:val="center"/>
            <w:textDirection w:val="lrTb"/>
            <w:noWrap w:val="false"/>
          </w:tcPr>
          <w:p>
            <w:pPr>
              <w:pStyle w:val="771"/>
              <w:ind w:left="0"/>
              <w:spacing w:line="360" w:lineRule="auto"/>
              <w:rPr>
                <w:rFonts w:hint="eastAsia" w:ascii="宋体" w:hAnsi="宋体" w:cs="宋体"/>
                <w:color w:val="000000"/>
              </w:rPr>
            </w:pPr>
            <w:r>
              <w:rPr>
                <w:rFonts w:hint="eastAsia" w:ascii="宋体" w:hAnsi="宋体" w:cs="宋体"/>
                <w:color w:val="000000"/>
              </w:rPr>
              <w:t xml:space="preserve">投标人拟派的3名消控室人员中，有1名持有一级消防工程师证者加1分，最多3分。</w:t>
            </w:r>
            <w:r>
              <w:rPr>
                <w:rFonts w:hint="eastAsia" w:ascii="宋体" w:hAnsi="宋体" w:cs="宋体"/>
                <w:color w:val="000000"/>
              </w:rPr>
            </w:r>
            <w:r/>
          </w:p>
          <w:p>
            <w:pPr>
              <w:pStyle w:val="745"/>
              <w:jc w:val="left"/>
              <w:spacing w:line="360" w:lineRule="auto"/>
              <w:rPr>
                <w:rFonts w:hint="eastAsia" w:ascii="宋体" w:hAnsi="宋体" w:cs="宋体"/>
                <w:color w:val="000000"/>
              </w:rPr>
            </w:pPr>
            <w:r>
              <w:rPr>
                <w:rFonts w:hint="eastAsia" w:ascii="宋体" w:hAnsi="宋体" w:cs="宋体"/>
                <w:color w:val="000000"/>
              </w:rPr>
              <w:t xml:space="preserve">注：需上传人员资质证书</w:t>
            </w:r>
            <w:r>
              <w:rPr>
                <w:rFonts w:hint="eastAsia" w:ascii="宋体" w:hAnsi="宋体" w:cs="宋体"/>
                <w:color w:val="000000"/>
                <w:spacing w:val="-2"/>
                <w:szCs w:val="22"/>
              </w:rPr>
              <w:t xml:space="preserve">扫描件，</w:t>
            </w:r>
            <w:r>
              <w:rPr>
                <w:rFonts w:hint="eastAsia" w:ascii="宋体" w:hAnsi="宋体" w:cs="宋体"/>
                <w:color w:val="000000"/>
              </w:rPr>
              <w:t xml:space="preserve">证明材料缺项或未提供的不得分。</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5"/>
              <w:jc w:val="center"/>
              <w:spacing w:before="68" w:line="360" w:lineRule="auto"/>
              <w:rPr>
                <w:rFonts w:hint="eastAsia" w:ascii="宋体" w:hAnsi="宋体" w:cs="宋体"/>
                <w:color w:val="000000"/>
                <w:spacing w:val="-2"/>
              </w:rPr>
            </w:pPr>
            <w:r>
              <w:rPr>
                <w:rFonts w:hint="eastAsia" w:ascii="宋体" w:hAnsi="宋体" w:cs="宋体"/>
                <w:color w:val="000000"/>
                <w:spacing w:val="-2"/>
              </w:rPr>
              <w:t xml:space="preserve">4.5</w:t>
            </w:r>
            <w:r>
              <w:rPr>
                <w:rFonts w:hint="eastAsia" w:ascii="宋体" w:hAnsi="宋体" w:cs="宋体"/>
                <w:color w:val="000000"/>
                <w:spacing w:val="-2"/>
              </w:rPr>
            </w:r>
            <w:r/>
          </w:p>
        </w:tc>
        <w:tc>
          <w:tcPr>
            <w:tcW w:w="1179" w:type="dxa"/>
            <w:vAlign w:val="center"/>
            <w:textDirection w:val="lrTb"/>
            <w:noWrap w:val="false"/>
          </w:tcPr>
          <w:p>
            <w:pPr>
              <w:pStyle w:val="745"/>
              <w:spacing w:before="69" w:line="360" w:lineRule="auto"/>
              <w:rPr>
                <w:rFonts w:ascii="宋体" w:hAnsi="宋体" w:cs="宋体"/>
                <w:color w:val="000000"/>
                <w:spacing w:val="-2"/>
                <w:szCs w:val="22"/>
              </w:rPr>
            </w:pPr>
            <w:r>
              <w:rPr>
                <w:rFonts w:ascii="宋体" w:hAnsi="宋体" w:cs="宋体"/>
                <w:color w:val="000000"/>
                <w:spacing w:val="-2"/>
                <w:szCs w:val="22"/>
              </w:rPr>
              <w:t xml:space="preserve">履约能力5</w:t>
            </w:r>
            <w:r>
              <w:rPr>
                <w:rFonts w:ascii="宋体" w:hAnsi="宋体" w:cs="宋体"/>
                <w:color w:val="000000"/>
                <w:spacing w:val="-2"/>
                <w:szCs w:val="22"/>
              </w:rPr>
            </w:r>
            <w:r/>
          </w:p>
        </w:tc>
        <w:tc>
          <w:tcPr>
            <w:tcW w:w="6616" w:type="dxa"/>
            <w:vAlign w:val="center"/>
            <w:textDirection w:val="lrTb"/>
            <w:noWrap w:val="false"/>
          </w:tcPr>
          <w:p>
            <w:pPr>
              <w:pStyle w:val="745"/>
              <w:jc w:val="left"/>
              <w:spacing w:line="360" w:lineRule="auto"/>
              <w:rPr>
                <w:rFonts w:hint="eastAsia" w:ascii="宋体" w:hAnsi="宋体" w:cs="宋体"/>
                <w:color w:val="000000"/>
              </w:rPr>
            </w:pPr>
            <w:r/>
            <w:bookmarkStart w:id="193" w:name="OLE_LINK14"/>
            <w:r>
              <w:rPr>
                <w:rFonts w:hint="eastAsia" w:ascii="宋体" w:hAnsi="宋体" w:cs="宋体"/>
                <w:color w:val="000000"/>
              </w:rPr>
              <w:t xml:space="preserve">投标人</w:t>
            </w:r>
            <w:bookmarkEnd w:id="193"/>
            <w:r>
              <w:rPr>
                <w:rFonts w:hint="eastAsia" w:ascii="宋体" w:hAnsi="宋体" w:cs="宋体"/>
                <w:color w:val="000000"/>
              </w:rPr>
              <w:t xml:space="preserve">承诺中标后购买雇主责任险和公众责任险、工伤险等商业险，保险条款中明确投标人在从事物业服务过程中，造成第三方人身伤亡或财产损失或其他安全事故，投标人负责处理及赔偿事宜，提供书面承诺书的得3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rHeight w:val="90"/>
        </w:trPr>
        <w:tc>
          <w:tcPr>
            <w:tcW w:w="519" w:type="dxa"/>
            <w:vAlign w:val="center"/>
            <w:textDirection w:val="lrTb"/>
            <w:noWrap w:val="false"/>
          </w:tcPr>
          <w:p>
            <w:pPr>
              <w:pStyle w:val="745"/>
              <w:jc w:val="center"/>
              <w:spacing w:before="68" w:line="360" w:lineRule="auto"/>
              <w:rPr>
                <w:rFonts w:ascii="宋体" w:hAnsi="宋体" w:cs="宋体"/>
                <w:color w:val="000000"/>
                <w:spacing w:val="-2"/>
              </w:rPr>
            </w:pPr>
            <w:r>
              <w:rPr>
                <w:rFonts w:hint="eastAsia" w:ascii="宋体" w:hAnsi="宋体" w:cs="宋体"/>
                <w:color w:val="000000"/>
                <w:spacing w:val="-2"/>
              </w:rPr>
              <w:t xml:space="preserve">4.6</w:t>
            </w:r>
            <w:r>
              <w:rPr>
                <w:rFonts w:ascii="宋体" w:hAnsi="宋体" w:cs="宋体"/>
                <w:color w:val="000000"/>
                <w:spacing w:val="-2"/>
              </w:rPr>
            </w:r>
            <w:r/>
          </w:p>
        </w:tc>
        <w:tc>
          <w:tcPr>
            <w:tcW w:w="1179" w:type="dxa"/>
            <w:vAlign w:val="center"/>
            <w:textDirection w:val="lrTb"/>
            <w:noWrap w:val="false"/>
          </w:tcPr>
          <w:p>
            <w:pPr>
              <w:pStyle w:val="745"/>
              <w:spacing w:before="69" w:line="360" w:lineRule="auto"/>
              <w:rPr>
                <w:rFonts w:ascii="宋体" w:hAnsi="宋体" w:cs="宋体"/>
                <w:color w:val="000000"/>
                <w:spacing w:val="-2"/>
                <w:szCs w:val="22"/>
              </w:rPr>
            </w:pPr>
            <w:r>
              <w:rPr>
                <w:rFonts w:ascii="宋体" w:hAnsi="宋体" w:cs="宋体"/>
                <w:color w:val="000000"/>
                <w:spacing w:val="-2"/>
                <w:szCs w:val="22"/>
              </w:rPr>
              <w:t xml:space="preserve">履约能力6</w:t>
            </w:r>
            <w:r>
              <w:rPr>
                <w:rFonts w:ascii="宋体" w:hAnsi="宋体" w:cs="宋体"/>
                <w:color w:val="000000"/>
                <w:spacing w:val="-2"/>
                <w:szCs w:val="22"/>
              </w:rPr>
            </w:r>
            <w:r/>
          </w:p>
        </w:tc>
        <w:tc>
          <w:tcPr>
            <w:tcW w:w="6616" w:type="dxa"/>
            <w:vAlign w:val="center"/>
            <w:textDirection w:val="lrTb"/>
            <w:noWrap w:val="false"/>
          </w:tcPr>
          <w:p>
            <w:pPr>
              <w:pStyle w:val="745"/>
              <w:jc w:val="left"/>
              <w:spacing w:line="360" w:lineRule="auto"/>
              <w:rPr>
                <w:rFonts w:hint="eastAsia"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管理软件具有</w:t>
            </w:r>
            <w:r>
              <w:rPr>
                <w:rFonts w:hint="eastAsia" w:ascii="宋体" w:hAnsi="宋体" w:cs="宋体"/>
                <w:color w:val="000000"/>
              </w:rPr>
              <w:t xml:space="preserve">医院</w:t>
            </w:r>
            <w:r>
              <w:rPr>
                <w:rFonts w:hint="eastAsia" w:ascii="宋体" w:hAnsi="宋体" w:cs="宋体"/>
                <w:color w:val="000000"/>
                <w:spacing w:val="-2"/>
                <w:szCs w:val="22"/>
              </w:rPr>
              <w:t xml:space="preserve">人员考勤管理、考核细则管理、培训管理、保洁服务质量管理、巡检管理</w:t>
            </w:r>
            <w:r>
              <w:rPr>
                <w:rFonts w:ascii="宋体" w:hAnsi="宋体" w:cs="宋体"/>
                <w:color w:val="000000"/>
              </w:rPr>
              <w:t xml:space="preserve">等功能，具有</w:t>
            </w:r>
            <w:r>
              <w:rPr>
                <w:rFonts w:hint="eastAsia" w:ascii="宋体" w:hAnsi="宋体" w:cs="宋体"/>
                <w:color w:val="000000"/>
              </w:rPr>
              <w:t xml:space="preserve">1</w:t>
            </w:r>
            <w:r>
              <w:rPr>
                <w:rFonts w:ascii="宋体" w:hAnsi="宋体" w:cs="宋体"/>
                <w:color w:val="000000"/>
              </w:rPr>
              <w:t xml:space="preserve">项功能得1分，最多得3分</w:t>
            </w:r>
            <w:r>
              <w:rPr>
                <w:rFonts w:hint="eastAsia" w:ascii="宋体" w:hAnsi="宋体" w:cs="宋体"/>
                <w:color w:val="000000"/>
              </w:rPr>
              <w:t xml:space="preserve">。（</w:t>
            </w:r>
            <w:r>
              <w:rPr>
                <w:rFonts w:ascii="宋体" w:hAnsi="宋体" w:cs="宋体"/>
                <w:color w:val="000000"/>
              </w:rPr>
              <w:t xml:space="preserve">提供承诺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745"/>
              <w:jc w:val="center"/>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783" w:type="dxa"/>
            <w:vAlign w:val="center"/>
            <w:textDirection w:val="lrTb"/>
            <w:noWrap w:val="false"/>
          </w:tcPr>
          <w:p>
            <w:pPr>
              <w:pStyle w:val="745"/>
              <w:jc w:val="center"/>
              <w:spacing w:line="360" w:lineRule="auto"/>
              <w:rPr>
                <w:rFonts w:hint="eastAsia" w:ascii="宋体" w:hAnsi="宋体" w:cs="宋体"/>
                <w:color w:val="000000"/>
              </w:rPr>
            </w:pPr>
            <w:r>
              <w:rPr>
                <w:rFonts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5"/>
              <w:jc w:val="center"/>
              <w:spacing w:line="360"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745"/>
              <w:ind w:left="172"/>
              <w:jc w:val="center"/>
              <w:spacing w:before="123" w:line="360"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745"/>
              <w:jc w:val="center"/>
              <w:spacing w:line="360" w:lineRule="auto"/>
              <w:rPr>
                <w:color w:val="000000"/>
              </w:rPr>
            </w:pPr>
            <w:r>
              <w:rPr>
                <w:rFonts w:ascii="宋体" w:hAnsi="宋体" w:cs="宋体"/>
                <w:color w:val="000000"/>
                <w:spacing w:val="-11"/>
              </w:rPr>
              <w:t xml:space="preserve">100分</w:t>
            </w:r>
            <w:r>
              <w:rPr>
                <w:color w:val="000000"/>
              </w:rPr>
            </w:r>
            <w:r/>
          </w:p>
        </w:tc>
      </w:tr>
    </w:tbl>
    <w:p>
      <w:pPr>
        <w:pStyle w:val="745"/>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4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78"/>
        <w:jc w:val="center"/>
        <w:spacing w:before="120" w:after="120" w:line="36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5"/>
        <w:jc w:val="center"/>
        <w:spacing w:line="360" w:lineRule="auto"/>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color w:val="000000"/>
          <w:sz w:val="72"/>
        </w:rPr>
      </w:r>
      <w:r/>
    </w:p>
    <w:p>
      <w:pPr>
        <w:pStyle w:val="745"/>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5"/>
        <w:jc w:val="center"/>
        <w:spacing w:line="360" w:lineRule="auto"/>
        <w:rPr>
          <w:rFonts w:hint="eastAsia" w:ascii="宋体" w:hAnsi="宋体"/>
          <w:b/>
          <w:color w:val="000000"/>
          <w:sz w:val="72"/>
        </w:rPr>
      </w:pPr>
      <w:r>
        <w:rPr>
          <w:rFonts w:hint="eastAsia" w:ascii="宋体" w:hAnsi="宋体"/>
          <w:b/>
          <w:color w:val="000000"/>
          <w:sz w:val="72"/>
        </w:rPr>
      </w:r>
      <w:r/>
    </w:p>
    <w:p>
      <w:pPr>
        <w:pStyle w:val="745"/>
        <w:jc w:val="center"/>
        <w:spacing w:line="360" w:lineRule="auto"/>
        <w:rPr>
          <w:rFonts w:hint="eastAsia" w:ascii="宋体" w:hAnsi="宋体"/>
          <w:b/>
          <w:color w:val="000000"/>
          <w:sz w:val="72"/>
        </w:rPr>
      </w:pPr>
      <w:r>
        <w:rPr>
          <w:rFonts w:hint="eastAsia" w:ascii="宋体" w:hAnsi="宋体"/>
          <w:b/>
          <w:color w:val="000000"/>
          <w:sz w:val="72"/>
        </w:rPr>
      </w:r>
      <w:r/>
    </w:p>
    <w:p>
      <w:pPr>
        <w:pStyle w:val="745"/>
        <w:jc w:val="center"/>
        <w:spacing w:line="360" w:lineRule="auto"/>
        <w:rPr>
          <w:rFonts w:hint="eastAsia" w:ascii="宋体" w:hAnsi="宋体"/>
          <w:b/>
          <w:color w:val="000000"/>
          <w:sz w:val="36"/>
        </w:rPr>
      </w:pPr>
      <w:r>
        <w:rPr>
          <w:rFonts w:hint="eastAsia" w:ascii="宋体" w:hAnsi="宋体"/>
          <w:b/>
          <w:color w:val="000000"/>
          <w:sz w:val="36"/>
        </w:rPr>
      </w:r>
      <w:r/>
    </w:p>
    <w:p>
      <w:pPr>
        <w:pStyle w:val="745"/>
        <w:jc w:val="center"/>
        <w:spacing w:line="360" w:lineRule="auto"/>
        <w:rPr>
          <w:rFonts w:hint="eastAsia" w:ascii="宋体" w:hAnsi="宋体"/>
          <w:b/>
          <w:color w:val="000000"/>
          <w:sz w:val="36"/>
        </w:rPr>
      </w:pPr>
      <w:r>
        <w:rPr>
          <w:rFonts w:hint="eastAsia" w:ascii="宋体" w:hAnsi="宋体"/>
          <w:b/>
          <w:color w:val="000000"/>
          <w:sz w:val="36"/>
        </w:rPr>
      </w:r>
      <w:r/>
    </w:p>
    <w:p>
      <w:pPr>
        <w:pStyle w:val="745"/>
        <w:jc w:val="center"/>
        <w:spacing w:line="360" w:lineRule="auto"/>
        <w:rPr>
          <w:rFonts w:hint="eastAsia" w:ascii="宋体" w:hAnsi="宋体"/>
          <w:b/>
          <w:color w:val="000000"/>
          <w:sz w:val="36"/>
        </w:rPr>
      </w:pPr>
      <w:r>
        <w:rPr>
          <w:rFonts w:hint="eastAsia" w:ascii="宋体" w:hAnsi="宋体"/>
          <w:b/>
          <w:color w:val="000000"/>
          <w:sz w:val="36"/>
        </w:rPr>
      </w:r>
      <w:r/>
    </w:p>
    <w:p>
      <w:pPr>
        <w:pStyle w:val="745"/>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5"/>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5"/>
        <w:spacing w:line="360" w:lineRule="auto"/>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45"/>
        <w:spacing w:line="360" w:lineRule="auto"/>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45"/>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745"/>
        <w:spacing w:line="360" w:lineRule="auto"/>
        <w:rPr>
          <w:rFonts w:ascii="宋体" w:hAnsi="宋体"/>
          <w:color w:val="000000"/>
        </w:rPr>
      </w:pPr>
      <w:r>
        <w:rPr>
          <w:rFonts w:ascii="宋体" w:hAnsi="宋体"/>
          <w:color w:val="000000"/>
        </w:rPr>
      </w:r>
      <w:r/>
    </w:p>
    <w:p>
      <w:pPr>
        <w:pStyle w:val="745"/>
        <w:jc w:val="center"/>
        <w:spacing w:line="360" w:lineRule="auto"/>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一、信用承诺函</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二、法定代表人授权委托书</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三、投标函</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四、开标一览表</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五、投标分项报价表（含人工成本报价明细表）</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六、技术要求响应及偏离表</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七、商务要求响应及偏离表</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八、中小企业声明函（如有）</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九、残疾人福利性单位声明函（如有）</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十、联合体协议（如有）</w:t>
      </w:r>
      <w:r>
        <w:rPr>
          <w:rFonts w:hint="eastAsia" w:ascii="宋体" w:hAnsi="宋体" w:cs="宋体"/>
          <w:color w:val="000000"/>
          <w:sz w:val="28"/>
          <w:szCs w:val="28"/>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十一、分包情况说明及分包意向协议（如有）</w:t>
      </w:r>
      <w:r>
        <w:rPr>
          <w:rFonts w:hint="eastAsia" w:ascii="宋体" w:hAnsi="宋体" w:cs="宋体"/>
          <w:color w:val="000000"/>
          <w:sz w:val="28"/>
          <w:szCs w:val="28"/>
        </w:rPr>
      </w:r>
      <w:r/>
    </w:p>
    <w:p>
      <w:pPr>
        <w:pStyle w:val="796"/>
        <w:rPr>
          <w:rFonts w:hint="eastAsia"/>
          <w:color w:val="000000"/>
        </w:rPr>
      </w:pPr>
      <w:r>
        <w:rPr>
          <w:rFonts w:hint="eastAsia"/>
          <w:color w:val="000000"/>
        </w:rPr>
      </w:r>
      <w:r/>
    </w:p>
    <w:p>
      <w:pPr>
        <w:pStyle w:val="74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45"/>
        <w:ind w:firstLine="480"/>
        <w:spacing w:line="360" w:lineRule="auto"/>
        <w:rPr>
          <w:rFonts w:ascii="宋体" w:hAnsi="宋体"/>
          <w:color w:val="000000"/>
          <w:sz w:val="24"/>
        </w:rPr>
      </w:pP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r>
      <w:r/>
    </w:p>
    <w:p>
      <w:pPr>
        <w:pStyle w:val="745"/>
        <w:ind w:firstLine="480"/>
        <w:spacing w:line="360" w:lineRule="auto"/>
        <w:rPr>
          <w:rFonts w:ascii="宋体" w:hAnsi="宋体"/>
          <w:color w:val="000000"/>
          <w:sz w:val="24"/>
          <w:szCs w:val="24"/>
        </w:rPr>
      </w:pPr>
      <w:r>
        <w:rPr>
          <w:rFonts w:ascii="宋体" w:hAnsi="宋体"/>
          <w:color w:val="000000"/>
          <w:sz w:val="24"/>
          <w:szCs w:val="24"/>
        </w:rPr>
      </w:r>
      <w:r/>
    </w:p>
    <w:p>
      <w:pPr>
        <w:pStyle w:val="745"/>
        <w:ind w:firstLine="480"/>
        <w:spacing w:line="360" w:lineRule="auto"/>
        <w:rPr>
          <w:rFonts w:ascii="宋体" w:hAnsi="宋体"/>
          <w:color w:val="000000"/>
          <w:sz w:val="24"/>
          <w:szCs w:val="24"/>
        </w:rPr>
      </w:pPr>
      <w:r>
        <w:rPr>
          <w:rFonts w:ascii="宋体" w:hAnsi="宋体"/>
          <w:color w:val="000000"/>
          <w:sz w:val="24"/>
          <w:szCs w:val="24"/>
        </w:rPr>
      </w:r>
      <w:r/>
    </w:p>
    <w:p>
      <w:pPr>
        <w:pStyle w:val="745"/>
        <w:jc w:val="left"/>
        <w:spacing w:line="360" w:lineRule="auto"/>
        <w:rPr>
          <w:rFonts w:hint="eastAsia" w:ascii="黑体" w:hAnsi="黑体" w:eastAsia="黑体"/>
          <w:color w:val="000000"/>
          <w:sz w:val="32"/>
          <w:szCs w:val="32"/>
        </w:rPr>
      </w:pPr>
      <w:r>
        <w:rPr>
          <w:rFonts w:ascii="宋体" w:hAnsi="宋体"/>
          <w:color w:val="000000"/>
          <w:sz w:val="24"/>
          <w:szCs w:val="24"/>
        </w:rPr>
        <w:br w:type="page" w:clear="all"/>
      </w:r>
      <w:bookmarkEnd w:id="181"/>
      <w:r/>
      <w:bookmarkEnd w:id="182"/>
      <w:r/>
      <w:bookmarkEnd w:id="196"/>
      <w:r/>
      <w:bookmarkEnd w:id="197"/>
      <w:r/>
      <w:bookmarkEnd w:id="198"/>
      <w:r>
        <w:rPr>
          <w:rFonts w:hint="eastAsia" w:ascii="黑体" w:hAnsi="黑体" w:eastAsia="黑体"/>
          <w:color w:val="000000"/>
          <w:sz w:val="32"/>
          <w:szCs w:val="32"/>
        </w:rPr>
        <w:t xml:space="preserve">一、信用承诺函</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5"/>
        <w:ind w:firstLine="492"/>
        <w:spacing w:line="360" w:lineRule="auto"/>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745"/>
        <w:ind w:firstLine="492"/>
        <w:spacing w:line="360" w:lineRule="auto"/>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5"/>
        <w:ind w:firstLine="492"/>
        <w:spacing w:line="360" w:lineRule="auto"/>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5"/>
        <w:ind w:firstLine="492"/>
        <w:spacing w:line="360" w:lineRule="auto"/>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745"/>
        <w:ind w:firstLine="492"/>
        <w:spacing w:line="360" w:lineRule="auto"/>
        <w:rPr>
          <w:color w:val="000000"/>
          <w:sz w:val="24"/>
          <w:szCs w:val="24"/>
        </w:rPr>
      </w:pPr>
      <w:r>
        <w:rPr>
          <w:color w:val="000000"/>
          <w:sz w:val="24"/>
          <w:szCs w:val="24"/>
        </w:rPr>
      </w:r>
      <w:r/>
    </w:p>
    <w:p>
      <w:pPr>
        <w:pStyle w:val="1054"/>
        <w:spacing w:line="360" w:lineRule="auto"/>
        <w:rPr>
          <w:color w:val="000000"/>
          <w:sz w:val="24"/>
          <w:szCs w:val="24"/>
        </w:rPr>
      </w:pPr>
      <w:r>
        <w:rPr>
          <w:color w:val="000000"/>
          <w:sz w:val="24"/>
          <w:szCs w:val="24"/>
        </w:rPr>
      </w:r>
      <w:r/>
    </w:p>
    <w:p>
      <w:pPr>
        <w:pStyle w:val="745"/>
        <w:ind w:right="180" w:firstLine="360"/>
        <w:jc w:val="right"/>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ind w:firstLine="624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5"/>
        <w:spacing w:line="360" w:lineRule="auto"/>
        <w:rPr>
          <w:color w:val="000000"/>
          <w:sz w:val="24"/>
          <w:szCs w:val="24"/>
        </w:rPr>
      </w:pPr>
      <w:r>
        <w:rPr>
          <w:color w:val="000000"/>
          <w:sz w:val="24"/>
          <w:szCs w:val="24"/>
        </w:rPr>
      </w:r>
      <w:r/>
    </w:p>
    <w:p>
      <w:pPr>
        <w:pStyle w:val="745"/>
        <w:jc w:val="left"/>
        <w:spacing w:line="360" w:lineRule="auto"/>
        <w:rPr>
          <w:rFonts w:hint="eastAsia" w:ascii="黑体" w:hAnsi="黑体" w:eastAsia="黑体"/>
          <w:color w:val="000000"/>
          <w:sz w:val="32"/>
          <w:szCs w:val="32"/>
        </w:rPr>
      </w:pPr>
      <w:r>
        <w:rPr>
          <w:rFonts w:hint="eastAsia"/>
          <w:color w:val="000000"/>
        </w:rPr>
        <w:br w:type="page" w:clear="all"/>
      </w:r>
      <w:r>
        <w:rPr>
          <w:rFonts w:hint="eastAsia" w:ascii="黑体" w:hAnsi="黑体" w:eastAsia="黑体"/>
          <w:color w:val="000000"/>
          <w:sz w:val="32"/>
          <w:szCs w:val="32"/>
        </w:rPr>
        <w:t xml:space="preserve">二、法定代表人授权委托书</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26"/>
        <w:ind w:firstLine="480"/>
        <w:spacing w:line="360" w:lineRule="auto"/>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26"/>
        <w:ind w:firstLine="480"/>
        <w:spacing w:line="360" w:lineRule="auto"/>
        <w:tabs>
          <w:tab w:val="left" w:pos="360" w:leader="none"/>
        </w:tabs>
        <w:rPr>
          <w:color w:val="000000"/>
          <w:sz w:val="24"/>
          <w:szCs w:val="24"/>
        </w:rPr>
      </w:pPr>
      <w:r>
        <w:rPr>
          <w:rFonts w:hint="eastAsia"/>
          <w:color w:val="000000"/>
          <w:sz w:val="24"/>
          <w:szCs w:val="24"/>
        </w:rPr>
        <w:t xml:space="preserve">附：法定代表人（单位负责人）及代理人有效身份证明文件</w:t>
      </w:r>
      <w:r>
        <w:rPr>
          <w:color w:val="000000"/>
          <w:sz w:val="24"/>
          <w:szCs w:val="24"/>
        </w:rPr>
      </w:r>
      <w:r/>
    </w:p>
    <w:p>
      <w:pPr>
        <w:pStyle w:val="760"/>
        <w:ind w:firstLine="0"/>
        <w:spacing w:line="360" w:lineRule="auto"/>
        <w:rPr>
          <w:rFonts w:hint="eastAsia"/>
          <w:color w:val="000000"/>
        </w:rPr>
      </w:pPr>
      <w:r>
        <w:rPr>
          <w:rFonts w:hint="eastAsia"/>
          <w:color w:val="000000"/>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26"/>
        <w:ind w:firstLine="480"/>
        <w:spacing w:line="360" w:lineRule="auto"/>
        <w:tabs>
          <w:tab w:val="left" w:pos="360" w:leader="none"/>
        </w:tabs>
        <w:rPr>
          <w:rFonts w:hint="eastAsia"/>
          <w:color w:val="000000"/>
          <w:sz w:val="24"/>
          <w:szCs w:val="24"/>
        </w:rPr>
      </w:pPr>
      <w:r>
        <w:rPr>
          <w:rFonts w:hint="eastAsia"/>
          <w:color w:val="000000"/>
          <w:sz w:val="24"/>
          <w:szCs w:val="24"/>
        </w:rPr>
        <w:t xml:space="preserve">4.投标人应同时提供法定代表人（单位负责人）及代理人的身份证或护照等有效身份证明文件（彩色复印件或者彩色扫描件）。</w:t>
      </w:r>
      <w:r>
        <w:rPr>
          <w:rFonts w:hint="eastAsia"/>
          <w:b/>
          <w:bCs/>
          <w:color w:val="000000"/>
          <w:sz w:val="24"/>
          <w:szCs w:val="24"/>
        </w:rPr>
        <w:t xml:space="preserve">提供身份证的，应同时提供身份证双面</w:t>
      </w:r>
      <w:r>
        <w:rPr>
          <w:rFonts w:hint="eastAsia"/>
          <w:color w:val="000000"/>
          <w:sz w:val="24"/>
          <w:szCs w:val="24"/>
        </w:rPr>
        <w:t xml:space="preserve">。</w:t>
      </w:r>
      <w:r>
        <w:rPr>
          <w:rFonts w:hint="eastAsia"/>
          <w:color w:val="000000"/>
          <w:sz w:val="24"/>
          <w:szCs w:val="24"/>
        </w:rPr>
      </w:r>
      <w:r/>
    </w:p>
    <w:p>
      <w:pPr>
        <w:pStyle w:val="1026"/>
        <w:ind w:firstLine="480"/>
        <w:spacing w:line="360" w:lineRule="auto"/>
        <w:tabs>
          <w:tab w:val="left" w:pos="360" w:leader="none"/>
        </w:tabs>
        <w:rPr>
          <w:rFonts w:hint="eastAsia" w:ascii="黑体" w:hAnsi="黑体" w:eastAsia="黑体"/>
          <w:color w:val="000000"/>
          <w:sz w:val="32"/>
          <w:szCs w:val="32"/>
        </w:rPr>
      </w:pPr>
      <w:r>
        <w:rPr>
          <w:rFonts w:hint="eastAsia"/>
          <w:b/>
          <w:bCs/>
          <w:color w:val="000000"/>
          <w:sz w:val="24"/>
          <w:szCs w:val="24"/>
        </w:rPr>
        <w:t xml:space="preserve">5.未按招标文件要求和格式提供《法定代表人授权委托书》的，将作为无效投标处理。</w:t>
      </w:r>
      <w:r>
        <w:rPr>
          <w:rFonts w:hint="eastAsia" w:ascii="楷体" w:hAnsi="楷体" w:eastAsia="楷体"/>
          <w:bCs/>
          <w:color w:val="000000"/>
          <w:sz w:val="24"/>
          <w:szCs w:val="24"/>
        </w:rPr>
        <w:br w:type="page" w:clear="all"/>
      </w:r>
      <w:r>
        <w:rPr>
          <w:rFonts w:hint="eastAsia" w:ascii="黑体" w:hAnsi="黑体" w:eastAsia="黑体"/>
          <w:color w:val="000000"/>
          <w:sz w:val="32"/>
          <w:szCs w:val="32"/>
        </w:rPr>
        <w:t xml:space="preserve">三、投标函</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ind w:firstLine="0"/>
        <w:spacing w:before="0" w:after="0"/>
        <w:rPr>
          <w:rFonts w:hint="eastAsia"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1.按招标文件规定的各项要求，向贵</w:t>
      </w:r>
      <w:r>
        <w:rPr>
          <w:rFonts w:ascii="宋体" w:hAnsi="宋体"/>
          <w:color w:val="000000"/>
          <w:szCs w:val="21"/>
        </w:rPr>
        <w:t xml:space="preserve">方</w:t>
      </w:r>
      <w:r>
        <w:rPr>
          <w:rFonts w:hint="eastAsia" w:ascii="宋体" w:hAnsi="宋体"/>
          <w:color w:val="000000"/>
          <w:szCs w:val="21"/>
        </w:rPr>
        <w:t xml:space="preserve">提供所需服务（包含与服务相关的货物）。</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28"/>
        <w:spacing w:before="0" w:after="0"/>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28"/>
        <w:spacing w:before="0" w:after="0"/>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7.我方为：</w:t>
      </w:r>
      <w:r>
        <w:rPr>
          <w:rFonts w:ascii="Wingdings" w:hAnsi="Wingdings" w:eastAsia="Wingdings" w:cs="Wingdings"/>
          <w:color w:val="000000"/>
          <w:szCs w:val="21"/>
        </w:rPr>
        <w:t xml:space="preserve">¨</w:t>
      </w:r>
      <w:r>
        <w:rPr>
          <w:rFonts w:hint="eastAsia" w:ascii="宋体" w:hAnsi="宋体"/>
          <w:color w:val="000000"/>
          <w:szCs w:val="21"/>
        </w:rPr>
        <w:t xml:space="preserve">大型企业 </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w:t>
      </w:r>
      <w:r>
        <w:rPr>
          <w:rFonts w:hint="eastAsia" w:ascii="宋体" w:hAnsi="宋体"/>
          <w:color w:val="000000"/>
          <w:szCs w:val="21"/>
        </w:rPr>
      </w:r>
      <w:r/>
    </w:p>
    <w:p>
      <w:pPr>
        <w:pStyle w:val="1028"/>
        <w:spacing w:before="0" w:after="0"/>
        <w:rPr>
          <w:rFonts w:ascii="宋体" w:hAnsi="宋体"/>
          <w:color w:val="000000"/>
          <w:szCs w:val="21"/>
        </w:rPr>
      </w:pPr>
      <w:r>
        <w:rPr>
          <w:rFonts w:hint="eastAsia" w:ascii="宋体" w:hAnsi="宋体"/>
          <w:color w:val="000000"/>
          <w:szCs w:val="21"/>
        </w:rPr>
        <w:t xml:space="preserve">8.我方为：</w:t>
      </w:r>
      <w:r>
        <w:rPr>
          <w:rFonts w:ascii="Wingdings" w:hAnsi="Wingdings" w:eastAsia="Wingdings" w:cs="Wingdings"/>
          <w:color w:val="000000"/>
          <w:szCs w:val="21"/>
        </w:rPr>
        <w:t xml:space="preserve">¨</w:t>
      </w:r>
      <w:r>
        <w:rPr>
          <w:rFonts w:hint="eastAsia" w:ascii="宋体" w:hAnsi="宋体"/>
          <w:color w:val="000000"/>
          <w:szCs w:val="21"/>
        </w:rPr>
        <w:t xml:space="preserve">民营企业 </w:t>
      </w:r>
      <w:r>
        <w:rPr>
          <w:rFonts w:ascii="Wingdings" w:hAnsi="Wingdings" w:eastAsia="Wingdings" w:cs="Wingdings"/>
          <w:color w:val="000000"/>
          <w:szCs w:val="21"/>
        </w:rPr>
        <w:t xml:space="preserve">¨</w:t>
      </w:r>
      <w:r>
        <w:rPr>
          <w:rFonts w:hint="eastAsia" w:ascii="宋体" w:hAnsi="宋体"/>
          <w:color w:val="000000"/>
          <w:szCs w:val="21"/>
        </w:rPr>
        <w:t xml:space="preserve">非民营企业 </w:t>
      </w:r>
      <w:r>
        <w:rPr>
          <w:rFonts w:ascii="Wingdings" w:hAnsi="Wingdings" w:eastAsia="Wingdings" w:cs="Wingdings"/>
          <w:color w:val="000000"/>
          <w:szCs w:val="21"/>
        </w:rPr>
        <w:t xml:space="preserve">¨</w:t>
      </w:r>
      <w:r>
        <w:rPr>
          <w:rFonts w:hint="eastAsia" w:ascii="宋体" w:hAnsi="宋体"/>
          <w:color w:val="000000"/>
          <w:szCs w:val="21"/>
        </w:rPr>
        <w:t xml:space="preserve">事业单位或其他组织（在对应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               </w:t>
      </w:r>
      <w:r>
        <w:rPr>
          <w:rFonts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开户行：</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投标人名称：（加盖电子公章）</w:t>
      </w:r>
      <w:r>
        <w:rPr>
          <w:rFonts w:hint="eastAsia" w:ascii="宋体" w:hAnsi="宋体"/>
          <w:color w:val="000000"/>
          <w:szCs w:val="21"/>
        </w:rPr>
      </w:r>
      <w:r/>
    </w:p>
    <w:p>
      <w:pPr>
        <w:pStyle w:val="1028"/>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28"/>
        <w:ind w:left="420"/>
        <w:spacing w:before="0" w:after="0"/>
        <w:rPr>
          <w:rFonts w:hint="eastAsia" w:ascii="宋体" w:hAnsi="宋体"/>
          <w:color w:val="000000"/>
          <w:szCs w:val="21"/>
        </w:rPr>
      </w:pPr>
      <w:r>
        <w:rPr>
          <w:rFonts w:hint="eastAsia" w:ascii="宋体" w:hAnsi="宋体"/>
          <w:color w:val="000000"/>
          <w:szCs w:val="21"/>
        </w:rPr>
      </w:r>
      <w:r/>
    </w:p>
    <w:p>
      <w:pPr>
        <w:pStyle w:val="745"/>
        <w:ind w:firstLine="240"/>
        <w:jc w:val="center"/>
        <w:spacing w:line="360" w:lineRule="auto"/>
        <w:rPr>
          <w:rFonts w:hint="eastAsia" w:ascii="宋体" w:hAnsi="宋体"/>
          <w:bCs/>
          <w:color w:val="000000"/>
          <w:sz w:val="24"/>
        </w:rPr>
      </w:pPr>
      <w:r>
        <w:rPr>
          <w:rFonts w:hint="eastAsia" w:ascii="宋体" w:hAnsi="宋体"/>
          <w:bCs/>
          <w:color w:val="000000"/>
          <w:sz w:val="24"/>
        </w:rPr>
      </w:r>
      <w:r/>
    </w:p>
    <w:p>
      <w:pPr>
        <w:pStyle w:val="745"/>
        <w:ind w:firstLine="240"/>
        <w:jc w:val="center"/>
        <w:spacing w:line="360" w:lineRule="auto"/>
        <w:rPr>
          <w:rFonts w:hint="eastAsia" w:ascii="宋体" w:hAnsi="宋体"/>
          <w:bCs/>
          <w:color w:val="000000"/>
          <w:sz w:val="24"/>
        </w:rPr>
      </w:pPr>
      <w:r>
        <w:rPr>
          <w:rFonts w:hint="eastAsia" w:ascii="宋体" w:hAnsi="宋体"/>
          <w:bCs/>
          <w:color w:val="000000"/>
          <w:sz w:val="24"/>
        </w:rPr>
      </w:r>
      <w:r/>
    </w:p>
    <w:p>
      <w:pPr>
        <w:pStyle w:val="745"/>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5"/>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spacing w:line="36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5"/>
        <w:spacing w:line="36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5"/>
              <w:jc w:val="center"/>
              <w:spacing w:line="360" w:lineRule="auto"/>
              <w:rPr>
                <w:rFonts w:ascii="宋体" w:hAnsi="宋体"/>
                <w:color w:val="000000"/>
                <w:sz w:val="24"/>
                <w:szCs w:val="24"/>
              </w:rPr>
            </w:pP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780"/>
        </w:trPr>
        <w:tc>
          <w:tcPr>
            <w:tcW w:w="9311" w:type="dxa"/>
            <w:vAlign w:val="center"/>
            <w:textDirection w:val="lrTb"/>
            <w:noWrap w:val="false"/>
          </w:tcPr>
          <w:p>
            <w:pPr>
              <w:pStyle w:val="1028"/>
              <w:ind w:firstLine="0"/>
              <w:spacing w:before="0" w:after="0"/>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745"/>
        <w:spacing w:line="360" w:lineRule="auto"/>
        <w:rPr>
          <w:rFonts w:ascii="宋体" w:hAnsi="宋体"/>
          <w:color w:val="000000"/>
          <w:sz w:val="24"/>
          <w:szCs w:val="24"/>
        </w:rPr>
      </w:pPr>
      <w:r>
        <w:rPr>
          <w:rFonts w:ascii="宋体" w:hAnsi="宋体"/>
          <w:color w:val="000000"/>
          <w:sz w:val="24"/>
          <w:szCs w:val="24"/>
        </w:rPr>
      </w:r>
      <w:r/>
    </w:p>
    <w:p>
      <w:pPr>
        <w:pStyle w:val="745"/>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807"/>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96"/>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96"/>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96"/>
        <w:rPr>
          <w:rFonts w:hint="eastAsia"/>
          <w:color w:val="000000"/>
        </w:rPr>
      </w:pPr>
      <w:r>
        <w:rPr>
          <w:rFonts w:hint="eastAsia"/>
          <w:color w:val="000000"/>
        </w:rPr>
      </w:r>
      <w:r/>
    </w:p>
    <w:p>
      <w:pPr>
        <w:pStyle w:val="745"/>
        <w:spacing w:line="360" w:lineRule="auto"/>
        <w:rPr>
          <w:rFonts w:hint="eastAsia"/>
          <w:color w:val="000000"/>
        </w:rPr>
      </w:pPr>
      <w:r>
        <w:rPr>
          <w:rFonts w:hint="eastAsia"/>
          <w:color w:val="000000"/>
        </w:rPr>
      </w:r>
      <w:r/>
    </w:p>
    <w:p>
      <w:pPr>
        <w:pStyle w:val="796"/>
        <w:rPr>
          <w:rFonts w:hint="eastAsia"/>
          <w:color w:val="000000"/>
        </w:rPr>
      </w:pPr>
      <w:r>
        <w:rPr>
          <w:rFonts w:hint="eastAsia"/>
          <w:color w:val="000000"/>
        </w:rPr>
      </w:r>
      <w:r/>
    </w:p>
    <w:p>
      <w:pPr>
        <w:pStyle w:val="807"/>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807"/>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807"/>
        <w:spacing w:line="360" w:lineRule="auto"/>
        <w:rPr>
          <w:rFonts w:hint="eastAsia"/>
          <w:color w:val="000000"/>
        </w:rPr>
      </w:pPr>
      <w:r>
        <w:rPr>
          <w:rFonts w:hint="eastAsia"/>
          <w:color w:val="000000"/>
        </w:rPr>
      </w:r>
      <w:r/>
    </w:p>
    <w:p>
      <w:pPr>
        <w:pStyle w:val="745"/>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五、投标分项报价表（含人工成本报价明细表）</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45"/>
        <w:ind w:right="180" w:firstLine="480"/>
        <w:spacing w:line="360" w:lineRule="auto"/>
        <w:rPr>
          <w:rFonts w:hint="eastAsia" w:ascii="宋体" w:hAnsi="宋体"/>
          <w:color w:val="000000"/>
          <w:sz w:val="24"/>
          <w:szCs w:val="24"/>
        </w:rPr>
      </w:pPr>
      <w:r/>
      <w:bookmarkStart w:id="199"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bookmarkEnd w:id="199"/>
      <w:r>
        <w:rPr>
          <w:rFonts w:ascii="宋体" w:hAnsi="宋体"/>
          <w:color w:val="000000"/>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59"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01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9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980" w:type="dxa"/>
            <w:vAlign w:val="center"/>
            <w:textDirection w:val="lrTb"/>
            <w:noWrap w:val="false"/>
          </w:tcPr>
          <w:p>
            <w:pPr>
              <w:pStyle w:val="745"/>
              <w:jc w:val="center"/>
              <w:spacing w:line="360" w:lineRule="auto"/>
              <w:rPr>
                <w:color w:val="000000"/>
              </w:rPr>
            </w:pPr>
            <w:r>
              <w:rPr>
                <w:rFonts w:hint="eastAsia" w:ascii="宋体" w:hAnsi="宋体"/>
                <w:color w:val="000000"/>
                <w:sz w:val="24"/>
                <w:szCs w:val="24"/>
              </w:rPr>
              <w:t xml:space="preserve">单价（元）</w:t>
            </w:r>
            <w:r>
              <w:rPr>
                <w:color w:val="000000"/>
              </w:rPr>
            </w:r>
            <w:r/>
          </w:p>
        </w:tc>
        <w:tc>
          <w:tcPr>
            <w:tcW w:w="241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合计（元）</w:t>
            </w: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559" w:type="dxa"/>
            <w:vAlign w:val="center"/>
            <w:textDirection w:val="lrTb"/>
            <w:noWrap w:val="false"/>
          </w:tcPr>
          <w:p>
            <w:pPr>
              <w:pStyle w:val="745"/>
              <w:jc w:val="center"/>
              <w:spacing w:line="360" w:lineRule="auto"/>
              <w:rPr>
                <w:rFonts w:ascii="宋体" w:hAnsi="宋体"/>
                <w:color w:val="000000"/>
                <w:sz w:val="24"/>
                <w:szCs w:val="24"/>
              </w:rPr>
            </w:pPr>
            <w:r>
              <w:rPr>
                <w:rFonts w:hint="eastAsia" w:ascii="宋体" w:hAnsi="宋体"/>
                <w:color w:val="000000"/>
                <w:sz w:val="24"/>
                <w:szCs w:val="24"/>
              </w:rPr>
              <w:t xml:space="preserve">人工成本</w:t>
            </w:r>
            <w:r>
              <w:rPr>
                <w:rFonts w:ascii="宋体" w:hAnsi="宋体"/>
                <w:color w:val="000000"/>
                <w:sz w:val="24"/>
                <w:szCs w:val="24"/>
              </w:rPr>
            </w:r>
            <w:r/>
          </w:p>
        </w:tc>
        <w:tc>
          <w:tcPr>
            <w:tcW w:w="1010" w:type="dxa"/>
            <w:vAlign w:val="center"/>
            <w:textDirection w:val="lrTb"/>
            <w:noWrap w:val="false"/>
          </w:tcPr>
          <w:p>
            <w:pPr>
              <w:pStyle w:val="745"/>
              <w:jc w:val="center"/>
              <w:spacing w:line="360" w:lineRule="auto"/>
              <w:rPr>
                <w:rFonts w:ascii="宋体" w:hAnsi="宋体"/>
                <w:color w:val="000000"/>
                <w:sz w:val="24"/>
                <w:szCs w:val="24"/>
              </w:rPr>
            </w:pPr>
            <w:r>
              <w:rPr>
                <w:rFonts w:ascii="宋体" w:hAnsi="宋体"/>
                <w:color w:val="000000"/>
                <w:sz w:val="24"/>
                <w:szCs w:val="24"/>
              </w:rPr>
            </w:r>
            <w:r/>
          </w:p>
        </w:tc>
        <w:tc>
          <w:tcPr>
            <w:tcW w:w="99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559"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服装费</w:t>
            </w:r>
            <w:r>
              <w:rPr>
                <w:rFonts w:hint="eastAsia" w:ascii="宋体" w:hAnsi="宋体"/>
                <w:color w:val="000000"/>
                <w:sz w:val="24"/>
                <w:szCs w:val="24"/>
              </w:rPr>
            </w:r>
            <w:r/>
          </w:p>
        </w:tc>
        <w:tc>
          <w:tcPr>
            <w:tcW w:w="101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559"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01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92"/>
        </w:trPr>
        <w:tc>
          <w:tcPr>
            <w:tcW w:w="707"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559" w:type="dxa"/>
            <w:vAlign w:val="center"/>
            <w:textDirection w:val="lrTb"/>
            <w:noWrap w:val="false"/>
          </w:tcPr>
          <w:p>
            <w:pPr>
              <w:pStyle w:val="745"/>
              <w:jc w:val="center"/>
              <w:spacing w:line="360" w:lineRule="auto"/>
              <w:rPr>
                <w:rFonts w:ascii="宋体" w:hAnsi="宋体"/>
                <w:color w:val="000000"/>
                <w:sz w:val="24"/>
                <w:szCs w:val="24"/>
              </w:rPr>
            </w:pPr>
            <w:r>
              <w:rPr>
                <w:rFonts w:hint="eastAsia" w:ascii="宋体" w:hAnsi="宋体"/>
                <w:color w:val="000000"/>
                <w:sz w:val="24"/>
                <w:szCs w:val="24"/>
              </w:rPr>
              <w:t xml:space="preserve">投标总价（元）</w:t>
            </w:r>
            <w:r>
              <w:rPr>
                <w:rFonts w:ascii="宋体" w:hAnsi="宋体"/>
                <w:color w:val="000000"/>
                <w:sz w:val="24"/>
                <w:szCs w:val="24"/>
              </w:rPr>
            </w:r>
            <w:r/>
          </w:p>
        </w:tc>
        <w:tc>
          <w:tcPr>
            <w:gridSpan w:val="4"/>
            <w:tcW w:w="639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45"/>
        <w:spacing w:line="360" w:lineRule="auto"/>
        <w:rPr>
          <w:rFonts w:ascii="宋体" w:hAnsi="宋体"/>
          <w:color w:val="000000"/>
          <w:sz w:val="24"/>
        </w:rPr>
      </w:pPr>
      <w:r>
        <w:rPr>
          <w:rFonts w:ascii="宋体" w:hAnsi="宋体"/>
          <w:color w:val="000000"/>
          <w:sz w:val="24"/>
        </w:rPr>
      </w:r>
      <w:r/>
    </w:p>
    <w:p>
      <w:pPr>
        <w:pStyle w:val="793"/>
        <w:ind w:firstLine="480"/>
        <w:jc w:val="both"/>
        <w:spacing w:before="0" w:beforeAutospacing="0" w:after="0" w:afterAutospacing="0" w:line="360" w:lineRule="auto"/>
        <w:rPr>
          <w:color w:val="000000"/>
        </w:rPr>
      </w:pPr>
      <w:r>
        <w:rPr>
          <w:color w:val="000000"/>
        </w:rPr>
        <w:t xml:space="preserve">备注： </w:t>
      </w:r>
      <w:r>
        <w:rPr>
          <w:color w:val="000000"/>
        </w:rPr>
      </w:r>
      <w:r/>
    </w:p>
    <w:p>
      <w:pPr>
        <w:pStyle w:val="793"/>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rPr>
          <w:rFonts w:hint="eastAsia"/>
          <w:color w:val="000000"/>
        </w:rPr>
      </w:r>
      <w:r/>
    </w:p>
    <w:p>
      <w:pPr>
        <w:pStyle w:val="793"/>
        <w:ind w:firstLine="482"/>
        <w:jc w:val="both"/>
        <w:spacing w:before="0" w:beforeAutospacing="0" w:after="0" w:afterAutospacing="0" w:line="360" w:lineRule="auto"/>
        <w:rPr>
          <w:rFonts w:hint="eastAsia"/>
          <w:b/>
          <w:bCs/>
          <w:color w:val="000000"/>
        </w:rPr>
      </w:pPr>
      <w:r>
        <w:rPr>
          <w:rFonts w:hint="eastAsia"/>
          <w:b/>
          <w:bCs/>
          <w:color w:val="000000"/>
        </w:rPr>
        <w:t xml:space="preserve">2.《投标分项报价表》中“投标总价”应当与《开标一览表》中“投标总报价”一致。</w:t>
      </w:r>
      <w:r>
        <w:rPr>
          <w:rFonts w:hint="eastAsia"/>
          <w:b/>
          <w:bCs/>
          <w:color w:val="000000"/>
        </w:rPr>
      </w:r>
      <w:r/>
    </w:p>
    <w:p>
      <w:pPr>
        <w:pStyle w:val="793"/>
        <w:ind w:firstLine="482"/>
        <w:jc w:val="both"/>
        <w:spacing w:before="0" w:beforeAutospacing="0" w:after="0" w:afterAutospacing="0" w:line="360" w:lineRule="auto"/>
        <w:rPr>
          <w:b/>
          <w:bCs/>
          <w:color w:val="000000"/>
        </w:rPr>
      </w:pPr>
      <w:r>
        <w:rPr>
          <w:rFonts w:hint="eastAsia"/>
          <w:b/>
          <w:bCs/>
          <w:color w:val="000000"/>
        </w:rPr>
        <w:t xml:space="preserve">3.</w:t>
      </w:r>
      <w:bookmarkStart w:id="200"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r>
        <w:rPr>
          <w:b/>
          <w:bCs/>
          <w:color w:val="000000"/>
        </w:rPr>
      </w:r>
      <w:r/>
    </w:p>
    <w:p>
      <w:pPr>
        <w:pStyle w:val="793"/>
        <w:ind w:firstLine="480"/>
        <w:jc w:val="both"/>
        <w:spacing w:before="0" w:beforeAutospacing="0" w:after="0" w:afterAutospacing="0" w:line="360" w:lineRule="auto"/>
        <w:rPr>
          <w:color w:val="000000"/>
        </w:rPr>
      </w:pPr>
      <w:r/>
      <w:bookmarkEnd w:id="200"/>
      <w:r>
        <w:rPr>
          <w:rFonts w:hint="eastAsia"/>
          <w:color w:val="000000"/>
        </w:rPr>
        <w:t xml:space="preserve">4.人工成本以外的分项名称及费用由投标人根据本项目采购需求和自身实际填报。行数不够，可自行添加。</w:t>
      </w:r>
      <w:r>
        <w:rPr>
          <w:color w:val="000000"/>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745"/>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52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2"/>
      </w:tblGrid>
      <w:tr>
        <w:trPr>
          <w:trHeight w:val="452"/>
        </w:trPr>
        <w:tc>
          <w:tcPr>
            <w:tcW w:w="901" w:type="dxa"/>
            <w:vAlign w:val="center"/>
            <w:vMerge w:val="restart"/>
            <w:textDirection w:val="lrTb"/>
            <w:noWrap w:val="false"/>
          </w:tcPr>
          <w:p>
            <w:pPr>
              <w:pStyle w:val="745"/>
              <w:jc w:val="center"/>
              <w:widowControl/>
              <w:rPr>
                <w:rStyle w:val="805"/>
                <w:rFonts w:hint="eastAsia" w:ascii="宋体" w:hAnsi="宋体" w:cs="宋体"/>
                <w:b/>
                <w:bCs/>
                <w:color w:val="000000"/>
                <w:sz w:val="18"/>
                <w:szCs w:val="18"/>
              </w:rPr>
            </w:pPr>
            <w:r/>
            <w:bookmarkStart w:id="201" w:name="OLE_LINK10"/>
            <w:r>
              <w:rPr>
                <w:rFonts w:hint="eastAsia" w:ascii="宋体" w:hAnsi="宋体" w:cs="宋体"/>
                <w:b/>
                <w:bCs/>
                <w:color w:val="000000"/>
                <w:sz w:val="18"/>
                <w:szCs w:val="18"/>
              </w:rPr>
              <w:t xml:space="preserve">1</w:t>
            </w:r>
            <w:r>
              <w:rPr>
                <w:rStyle w:val="805"/>
                <w:rFonts w:hint="eastAsia" w:ascii="宋体" w:hAnsi="宋体" w:cs="宋体"/>
                <w:b/>
                <w:bCs/>
                <w:color w:val="000000"/>
                <w:sz w:val="18"/>
                <w:szCs w:val="18"/>
              </w:rPr>
            </w:r>
            <w:r/>
          </w:p>
        </w:tc>
        <w:tc>
          <w:tcPr>
            <w:gridSpan w:val="6"/>
            <w:tcW w:w="9554" w:type="dxa"/>
            <w:vAlign w:val="center"/>
            <w:textDirection w:val="lrTb"/>
            <w:noWrap w:val="false"/>
          </w:tcPr>
          <w:p>
            <w:pPr>
              <w:pStyle w:val="745"/>
              <w:jc w:val="left"/>
              <w:widowControl/>
              <w:rPr>
                <w:rStyle w:val="805"/>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Style w:val="805"/>
                <w:rFonts w:hint="eastAsia" w:ascii="宋体" w:hAnsi="宋体" w:cs="宋体"/>
                <w:b/>
                <w:bCs/>
                <w:color w:val="000000"/>
                <w:sz w:val="18"/>
                <w:szCs w:val="18"/>
              </w:rPr>
            </w:r>
            <w:r/>
          </w:p>
        </w:tc>
      </w:tr>
      <w:tr>
        <w:trPr>
          <w:trHeight w:val="737"/>
        </w:trPr>
        <w:tc>
          <w:tcPr>
            <w:tcW w:w="901" w:type="dxa"/>
            <w:vAlign w:val="center"/>
            <w:vMerge w:val="continue"/>
            <w:textDirection w:val="lrTb"/>
            <w:noWrap w:val="false"/>
          </w:tcPr>
          <w:p>
            <w:pPr>
              <w:pStyle w:val="745"/>
              <w:jc w:val="center"/>
              <w:widowControl/>
              <w:rPr>
                <w:rFonts w:ascii="宋体" w:hAnsi="宋体" w:cs="宋体"/>
                <w:b/>
                <w:bCs/>
                <w:color w:val="000000"/>
                <w:sz w:val="18"/>
                <w:szCs w:val="18"/>
              </w:rPr>
            </w:pPr>
            <w:r/>
            <w:bookmarkEnd w:id="201"/>
            <w:r>
              <w:rPr>
                <w:rFonts w:ascii="宋体" w:hAnsi="宋体" w:cs="宋体"/>
                <w:b/>
                <w:bCs/>
                <w:color w:val="000000"/>
                <w:sz w:val="18"/>
                <w:szCs w:val="18"/>
              </w:rPr>
            </w:r>
            <w:r/>
          </w:p>
        </w:tc>
        <w:tc>
          <w:tcPr>
            <w:tcW w:w="1680" w:type="dxa"/>
            <w:vAlign w:val="center"/>
            <w:textDirection w:val="lrTb"/>
            <w:noWrap w:val="false"/>
          </w:tcPr>
          <w:p>
            <w:pPr>
              <w:pStyle w:val="74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W w:w="1161"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W w:w="1417"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W w:w="1065" w:type="dxa"/>
            <w:vAlign w:val="center"/>
            <w:textDirection w:val="lrTb"/>
            <w:noWrap w:val="false"/>
          </w:tcPr>
          <w:p>
            <w:pPr>
              <w:pStyle w:val="745"/>
              <w:jc w:val="center"/>
              <w:widowControl/>
              <w:rPr>
                <w:rFonts w:hint="eastAsia"/>
                <w:color w:val="000000"/>
              </w:rPr>
            </w:pPr>
            <w:r>
              <w:rPr>
                <w:rFonts w:hint="eastAsia" w:ascii="宋体" w:hAnsi="宋体" w:cs="宋体"/>
                <w:b/>
                <w:bCs/>
                <w:color w:val="000000"/>
                <w:sz w:val="18"/>
                <w:szCs w:val="18"/>
              </w:rPr>
              <w:t xml:space="preserve">月数</w:t>
            </w:r>
            <w:r>
              <w:rPr>
                <w:rFonts w:hint="eastAsia"/>
                <w:color w:val="000000"/>
              </w:rPr>
            </w:r>
            <w:r/>
          </w:p>
        </w:tc>
        <w:tc>
          <w:tcPr>
            <w:tcW w:w="1489"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W w:w="2742"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W w:w="901" w:type="dxa"/>
            <w:vAlign w:val="center"/>
            <w:textDirection w:val="lrTb"/>
            <w:noWrap w:val="false"/>
          </w:tcPr>
          <w:p>
            <w:pPr>
              <w:pStyle w:val="745"/>
              <w:jc w:val="center"/>
              <w:widowControl/>
              <w:rPr>
                <w:rStyle w:val="805"/>
                <w:rFonts w:hint="eastAsia" w:ascii="宋体" w:hAnsi="宋体" w:cs="宋体"/>
                <w:color w:val="000000"/>
                <w:sz w:val="18"/>
                <w:szCs w:val="18"/>
              </w:rPr>
            </w:pPr>
            <w:r>
              <w:rPr>
                <w:rFonts w:hint="eastAsia" w:ascii="宋体" w:hAnsi="宋体" w:cs="宋体"/>
                <w:color w:val="000000"/>
                <w:sz w:val="18"/>
                <w:szCs w:val="18"/>
              </w:rPr>
              <w:t xml:space="preserve">（1）</w:t>
            </w:r>
            <w:r>
              <w:rPr>
                <w:rStyle w:val="805"/>
                <w:rFonts w:hint="eastAsia" w:ascii="宋体" w:hAnsi="宋体" w:cs="宋体"/>
                <w:color w:val="000000"/>
                <w:sz w:val="18"/>
                <w:szCs w:val="18"/>
              </w:rPr>
            </w:r>
            <w:r/>
          </w:p>
        </w:tc>
        <w:tc>
          <w:tcPr>
            <w:tcW w:w="1680" w:type="dxa"/>
            <w:vAlign w:val="center"/>
            <w:textDirection w:val="lrTb"/>
            <w:noWrap w:val="false"/>
          </w:tcPr>
          <w:p>
            <w:pPr>
              <w:pStyle w:val="745"/>
              <w:jc w:val="center"/>
              <w:widowControl/>
              <w:rPr>
                <w:rStyle w:val="805"/>
                <w:rFonts w:ascii="宋体" w:hAnsi="宋体" w:cs="宋体"/>
                <w:color w:val="000000"/>
                <w:sz w:val="18"/>
                <w:szCs w:val="18"/>
              </w:rPr>
            </w:pPr>
            <w:r>
              <w:rPr>
                <w:rStyle w:val="805"/>
                <w:rFonts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528"/>
        </w:trPr>
        <w:tc>
          <w:tcPr>
            <w:tcW w:w="901" w:type="dxa"/>
            <w:vAlign w:val="center"/>
            <w:textDirection w:val="lrTb"/>
            <w:noWrap w:val="false"/>
          </w:tcPr>
          <w:p>
            <w:pPr>
              <w:pStyle w:val="745"/>
              <w:jc w:val="center"/>
              <w:widowControl/>
              <w:rPr>
                <w:rStyle w:val="805"/>
                <w:rFonts w:hint="eastAsia" w:ascii="宋体" w:hAnsi="宋体" w:cs="宋体"/>
                <w:color w:val="000000"/>
                <w:sz w:val="18"/>
                <w:szCs w:val="18"/>
              </w:rPr>
            </w:pPr>
            <w:r>
              <w:rPr>
                <w:rFonts w:hint="eastAsia" w:ascii="宋体" w:hAnsi="宋体" w:cs="宋体"/>
                <w:color w:val="000000"/>
                <w:sz w:val="18"/>
                <w:szCs w:val="18"/>
              </w:rPr>
              <w:t xml:space="preserve">（2）</w:t>
            </w:r>
            <w:r>
              <w:rPr>
                <w:rStyle w:val="805"/>
                <w:rFonts w:hint="eastAsia" w:ascii="宋体" w:hAnsi="宋体" w:cs="宋体"/>
                <w:color w:val="000000"/>
                <w:sz w:val="18"/>
                <w:szCs w:val="18"/>
              </w:rPr>
            </w:r>
            <w:r/>
          </w:p>
        </w:tc>
        <w:tc>
          <w:tcPr>
            <w:tcW w:w="1680"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widowControl/>
              <w:rPr>
                <w:rStyle w:val="805"/>
                <w:rFonts w:ascii="宋体" w:hAnsi="宋体" w:cs="宋体"/>
                <w:color w:val="000000"/>
                <w:sz w:val="18"/>
                <w:szCs w:val="18"/>
              </w:rPr>
            </w:pPr>
            <w:r>
              <w:rPr>
                <w:rFonts w:hint="eastAsia" w:ascii="宋体" w:hAnsi="宋体" w:cs="宋体"/>
                <w:color w:val="000000"/>
                <w:sz w:val="18"/>
                <w:szCs w:val="18"/>
              </w:rPr>
              <w:t xml:space="preserve">...</w:t>
            </w:r>
            <w:r>
              <w:rPr>
                <w:rStyle w:val="805"/>
                <w:rFonts w:ascii="宋体" w:hAnsi="宋体" w:cs="宋体"/>
                <w:color w:val="000000"/>
                <w:sz w:val="18"/>
                <w:szCs w:val="18"/>
              </w:rPr>
            </w:r>
            <w:r/>
          </w:p>
        </w:tc>
        <w:tc>
          <w:tcPr>
            <w:tcW w:w="1680"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W w:w="9554"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vMerge w:val="restart"/>
            <w:textDirection w:val="lrTb"/>
            <w:noWrap w:val="false"/>
          </w:tcPr>
          <w:p>
            <w:pPr>
              <w:pStyle w:val="745"/>
              <w:jc w:val="center"/>
              <w:widowControl/>
              <w:rPr>
                <w:rFonts w:ascii="宋体" w:hAnsi="宋体" w:cs="宋体"/>
                <w:color w:val="000000"/>
                <w:sz w:val="18"/>
                <w:szCs w:val="18"/>
              </w:rPr>
            </w:pPr>
            <w:r/>
            <w:bookmarkStart w:id="202" w:name="OLE_LINK11"/>
            <w:r>
              <w:rPr>
                <w:rFonts w:hint="eastAsia" w:ascii="宋体" w:hAnsi="宋体" w:cs="宋体"/>
                <w:b/>
                <w:bCs/>
                <w:color w:val="000000"/>
                <w:sz w:val="18"/>
                <w:szCs w:val="18"/>
              </w:rPr>
              <w:t xml:space="preserve">2</w:t>
            </w:r>
            <w:r>
              <w:rPr>
                <w:rFonts w:ascii="宋体" w:hAnsi="宋体" w:cs="宋体"/>
                <w:color w:val="000000"/>
                <w:sz w:val="18"/>
                <w:szCs w:val="18"/>
              </w:rPr>
            </w:r>
            <w:r/>
          </w:p>
        </w:tc>
        <w:tc>
          <w:tcPr>
            <w:gridSpan w:val="6"/>
            <w:tcW w:w="9554" w:type="dxa"/>
            <w:vAlign w:val="center"/>
            <w:textDirection w:val="lrTb"/>
            <w:noWrap w:val="false"/>
          </w:tcPr>
          <w:p>
            <w:pPr>
              <w:pStyle w:val="745"/>
              <w:jc w:val="left"/>
              <w:widowControl/>
              <w:rPr>
                <w:rStyle w:val="805"/>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Style w:val="805"/>
                <w:rFonts w:hint="eastAsia" w:ascii="宋体" w:hAnsi="宋体" w:cs="宋体"/>
                <w:b/>
                <w:bCs/>
                <w:color w:val="000000"/>
                <w:sz w:val="18"/>
                <w:szCs w:val="18"/>
              </w:rPr>
            </w:r>
            <w:r/>
          </w:p>
        </w:tc>
      </w:tr>
      <w:tr>
        <w:trPr>
          <w:trHeight w:val="1464"/>
        </w:trPr>
        <w:tc>
          <w:tcPr>
            <w:tcW w:w="901" w:type="dxa"/>
            <w:vAlign w:val="center"/>
            <w:vMerge w:val="continue"/>
            <w:textDirection w:val="lrTb"/>
            <w:noWrap w:val="false"/>
          </w:tcPr>
          <w:p>
            <w:pPr>
              <w:pStyle w:val="745"/>
              <w:jc w:val="center"/>
              <w:widowControl/>
              <w:rPr>
                <w:rFonts w:hint="eastAsia" w:ascii="宋体" w:hAnsi="宋体" w:cs="宋体"/>
                <w:b/>
                <w:bCs/>
                <w:color w:val="000000"/>
                <w:sz w:val="18"/>
                <w:szCs w:val="18"/>
              </w:rPr>
            </w:pPr>
            <w:r/>
            <w:bookmarkEnd w:id="202"/>
            <w:r>
              <w:rPr>
                <w:rFonts w:hint="eastAsia" w:ascii="宋体" w:hAnsi="宋体" w:cs="宋体"/>
                <w:b/>
                <w:bCs/>
                <w:color w:val="000000"/>
                <w:sz w:val="18"/>
                <w:szCs w:val="18"/>
              </w:rPr>
            </w:r>
            <w:r/>
          </w:p>
        </w:tc>
        <w:tc>
          <w:tcPr>
            <w:tcW w:w="1680" w:type="dxa"/>
            <w:vAlign w:val="center"/>
            <w:textDirection w:val="lrTb"/>
            <w:noWrap w:val="false"/>
          </w:tcPr>
          <w:p>
            <w:pPr>
              <w:pStyle w:val="74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W w:w="1161"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W w:w="1417"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W w:w="2742"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Style w:val="805"/>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417"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left"/>
              <w:rPr>
                <w:rStyle w:val="805"/>
                <w:rFonts w:ascii="宋体" w:hAnsi="宋体" w:cs="宋体"/>
                <w:color w:val="000000"/>
                <w:sz w:val="18"/>
                <w:szCs w:val="18"/>
              </w:rPr>
            </w:pPr>
            <w:r>
              <w:rPr>
                <w:rStyle w:val="805"/>
                <w:rFonts w:hint="eastAsia" w:ascii="宋体" w:hAnsi="宋体" w:cs="宋体"/>
                <w:color w:val="000000"/>
                <w:sz w:val="18"/>
                <w:szCs w:val="18"/>
              </w:rPr>
              <w:t xml:space="preserve">合计</w:t>
            </w:r>
            <w:r>
              <w:rPr>
                <w:rStyle w:val="805"/>
                <w:rFonts w:ascii="宋体" w:hAnsi="宋体" w:cs="宋体"/>
                <w:color w:val="000000"/>
                <w:sz w:val="18"/>
                <w:szCs w:val="18"/>
              </w:rPr>
            </w:r>
            <w:r/>
          </w:p>
        </w:tc>
        <w:tc>
          <w:tcPr>
            <w:gridSpan w:val="6"/>
            <w:tcW w:w="9554"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vMerge w:val="restart"/>
            <w:textDirection w:val="lrTb"/>
            <w:noWrap w:val="false"/>
          </w:tcPr>
          <w:p>
            <w:pPr>
              <w:pStyle w:val="745"/>
              <w:jc w:val="center"/>
              <w:rPr>
                <w:rStyle w:val="805"/>
                <w:rFonts w:ascii="宋体" w:hAnsi="宋体" w:cs="宋体"/>
                <w:color w:val="000000"/>
                <w:sz w:val="18"/>
                <w:szCs w:val="18"/>
              </w:rPr>
            </w:pPr>
            <w:r>
              <w:rPr>
                <w:rFonts w:hint="eastAsia" w:ascii="宋体" w:hAnsi="宋体" w:cs="宋体"/>
                <w:b/>
                <w:bCs/>
                <w:color w:val="000000"/>
                <w:sz w:val="18"/>
                <w:szCs w:val="18"/>
              </w:rPr>
              <w:t xml:space="preserve">3</w:t>
            </w:r>
            <w:r>
              <w:rPr>
                <w:rStyle w:val="805"/>
                <w:rFonts w:ascii="宋体" w:hAnsi="宋体" w:cs="宋体"/>
                <w:color w:val="000000"/>
                <w:sz w:val="18"/>
                <w:szCs w:val="18"/>
              </w:rPr>
            </w:r>
            <w:r/>
          </w:p>
        </w:tc>
        <w:tc>
          <w:tcPr>
            <w:gridSpan w:val="6"/>
            <w:tcW w:w="9554" w:type="dxa"/>
            <w:vAlign w:val="center"/>
            <w:textDirection w:val="lrTb"/>
            <w:noWrap w:val="false"/>
          </w:tcPr>
          <w:p>
            <w:pPr>
              <w:pStyle w:val="745"/>
              <w:jc w:val="left"/>
              <w:rPr>
                <w:rStyle w:val="805"/>
                <w:rFonts w:ascii="宋体" w:hAnsi="宋体" w:cs="宋体"/>
                <w:color w:val="000000"/>
                <w:sz w:val="18"/>
                <w:szCs w:val="18"/>
              </w:rPr>
            </w:pPr>
            <w:r>
              <w:rPr>
                <w:rFonts w:hint="eastAsia" w:ascii="宋体" w:hAnsi="宋体" w:cs="宋体"/>
                <w:b/>
                <w:bCs/>
                <w:color w:val="000000"/>
                <w:sz w:val="18"/>
                <w:szCs w:val="18"/>
              </w:rPr>
              <w:t xml:space="preserve">周末加班工资</w:t>
            </w:r>
            <w:r>
              <w:rPr>
                <w:rStyle w:val="805"/>
                <w:rFonts w:ascii="宋体" w:hAnsi="宋体" w:cs="宋体"/>
                <w:color w:val="000000"/>
                <w:sz w:val="18"/>
                <w:szCs w:val="18"/>
              </w:rPr>
            </w:r>
            <w:r/>
          </w:p>
        </w:tc>
      </w:tr>
      <w:tr>
        <w:trPr>
          <w:trHeight w:val="450"/>
        </w:trPr>
        <w:tc>
          <w:tcPr>
            <w:tcW w:w="901" w:type="dxa"/>
            <w:vAlign w:val="center"/>
            <w:vMerge w:val="continue"/>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680"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rPr>
            </w:r>
            <w:r/>
          </w:p>
        </w:tc>
        <w:tc>
          <w:tcPr>
            <w:tcW w:w="1161"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W w:w="1417"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W w:w="2742"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Style w:val="805"/>
                <w:rFonts w:hint="eastAsia" w:ascii="宋体" w:hAnsi="宋体" w:cs="宋体"/>
                <w:color w:val="000000"/>
                <w:sz w:val="18"/>
                <w:szCs w:val="18"/>
              </w:rPr>
              <w:t xml:space="preserve">参考计算公式：人员工资÷21.75天（平均月计薪天数）×2×人数×周末加班天数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W w:w="901" w:type="dxa"/>
            <w:vAlign w:val="center"/>
            <w:textDirection w:val="lrTb"/>
            <w:noWrap w:val="false"/>
          </w:tcPr>
          <w:p>
            <w:pPr>
              <w:pStyle w:val="745"/>
              <w:jc w:val="center"/>
              <w:rPr>
                <w:rStyle w:val="805"/>
                <w:rFonts w:hint="eastAsia" w:ascii="宋体" w:hAnsi="宋体" w:cs="宋体"/>
                <w:color w:val="000000"/>
                <w:sz w:val="18"/>
                <w:szCs w:val="18"/>
              </w:rPr>
            </w:pPr>
            <w:r>
              <w:rPr>
                <w:rStyle w:val="805"/>
                <w:rFonts w:hint="eastAsia" w:ascii="宋体" w:hAnsi="宋体" w:cs="宋体"/>
                <w:color w:val="000000"/>
                <w:sz w:val="18"/>
                <w:szCs w:val="18"/>
              </w:rPr>
              <w:t xml:space="preserve">（1）</w:t>
            </w:r>
            <w:r>
              <w:rPr>
                <w:rStyle w:val="805"/>
                <w:rFonts w:hint="eastAsia" w:ascii="宋体" w:hAnsi="宋体" w:cs="宋体"/>
                <w:color w:val="000000"/>
                <w:sz w:val="18"/>
                <w:szCs w:val="18"/>
              </w:rPr>
            </w:r>
            <w:r/>
          </w:p>
        </w:tc>
        <w:tc>
          <w:tcPr>
            <w:tcW w:w="1680"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rPr>
                <w:rStyle w:val="805"/>
                <w:rFonts w:hint="eastAsia" w:ascii="宋体" w:hAnsi="宋体" w:cs="宋体"/>
                <w:color w:val="000000"/>
                <w:sz w:val="18"/>
                <w:szCs w:val="18"/>
              </w:rPr>
            </w:pPr>
            <w:r>
              <w:rPr>
                <w:rStyle w:val="805"/>
                <w:rFonts w:hint="eastAsia" w:ascii="宋体" w:hAnsi="宋体" w:cs="宋体"/>
                <w:color w:val="000000"/>
                <w:sz w:val="18"/>
                <w:szCs w:val="18"/>
              </w:rPr>
              <w:t xml:space="preserve">（2）</w:t>
            </w:r>
            <w:r>
              <w:rPr>
                <w:rStyle w:val="805"/>
                <w:rFonts w:hint="eastAsia" w:ascii="宋体" w:hAnsi="宋体" w:cs="宋体"/>
                <w:color w:val="000000"/>
                <w:sz w:val="18"/>
                <w:szCs w:val="18"/>
              </w:rPr>
            </w:r>
            <w:r/>
          </w:p>
        </w:tc>
        <w:tc>
          <w:tcPr>
            <w:tcW w:w="1680"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450"/>
        </w:trPr>
        <w:tc>
          <w:tcPr>
            <w:tcW w:w="901" w:type="dxa"/>
            <w:vAlign w:val="center"/>
            <w:textDirection w:val="lrTb"/>
            <w:noWrap w:val="false"/>
          </w:tcPr>
          <w:p>
            <w:pPr>
              <w:pStyle w:val="745"/>
              <w:jc w:val="center"/>
              <w:rPr>
                <w:rStyle w:val="805"/>
                <w:rFonts w:hint="eastAsia" w:ascii="宋体" w:hAnsi="宋体" w:cs="宋体"/>
                <w:color w:val="000000"/>
                <w:sz w:val="18"/>
                <w:szCs w:val="18"/>
              </w:rPr>
            </w:pPr>
            <w:r>
              <w:rPr>
                <w:rStyle w:val="805"/>
                <w:rFonts w:hint="eastAsia" w:ascii="宋体" w:hAnsi="宋体" w:cs="宋体"/>
                <w:color w:val="000000"/>
                <w:sz w:val="18"/>
                <w:szCs w:val="18"/>
              </w:rPr>
              <w:t xml:space="preserve">...</w:t>
            </w:r>
            <w:r>
              <w:rPr>
                <w:rStyle w:val="805"/>
                <w:rFonts w:hint="eastAsia" w:ascii="宋体" w:hAnsi="宋体" w:cs="宋体"/>
                <w:color w:val="000000"/>
                <w:sz w:val="18"/>
                <w:szCs w:val="18"/>
              </w:rPr>
            </w:r>
            <w:r/>
          </w:p>
        </w:tc>
        <w:tc>
          <w:tcPr>
            <w:tcW w:w="1680"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161"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rPr>
                <w:rStyle w:val="805"/>
                <w:rFonts w:ascii="宋体" w:hAnsi="宋体" w:cs="宋体"/>
                <w:b/>
                <w:bCs/>
                <w:color w:val="000000"/>
                <w:sz w:val="18"/>
                <w:szCs w:val="18"/>
              </w:rPr>
            </w:pPr>
            <w:r>
              <w:rPr>
                <w:rStyle w:val="805"/>
                <w:rFonts w:ascii="宋体" w:hAnsi="宋体" w:cs="宋体"/>
                <w:b/>
                <w:bCs/>
                <w:color w:val="000000"/>
                <w:sz w:val="18"/>
                <w:szCs w:val="18"/>
              </w:rPr>
            </w:r>
            <w:r/>
          </w:p>
        </w:tc>
        <w:tc>
          <w:tcPr>
            <w:tcW w:w="1489"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rPr>
                <w:rStyle w:val="805"/>
                <w:rFonts w:hint="eastAsia" w:ascii="宋体" w:hAnsi="宋体" w:cs="宋体"/>
                <w:color w:val="000000"/>
                <w:sz w:val="18"/>
                <w:szCs w:val="18"/>
              </w:rPr>
            </w:pPr>
            <w:r>
              <w:rPr>
                <w:rStyle w:val="805"/>
                <w:rFonts w:hint="eastAsia" w:ascii="宋体" w:hAnsi="宋体" w:cs="宋体"/>
                <w:color w:val="000000"/>
                <w:sz w:val="18"/>
                <w:szCs w:val="18"/>
              </w:rPr>
            </w:r>
            <w:r/>
          </w:p>
        </w:tc>
      </w:tr>
      <w:tr>
        <w:trPr>
          <w:trHeight w:val="512"/>
        </w:trPr>
        <w:tc>
          <w:tcPr>
            <w:tcW w:w="901" w:type="dxa"/>
            <w:vAlign w:val="center"/>
            <w:vMerge w:val="restart"/>
            <w:textDirection w:val="lrTb"/>
            <w:noWrap w:val="false"/>
          </w:tcPr>
          <w:p>
            <w:pPr>
              <w:pStyle w:val="745"/>
              <w:jc w:val="center"/>
              <w:widowControl/>
              <w:rPr>
                <w:rStyle w:val="805"/>
                <w:rFonts w:hint="eastAsia" w:ascii="宋体" w:hAnsi="宋体" w:cs="宋体"/>
                <w:b/>
                <w:bCs/>
                <w:color w:val="000000"/>
                <w:sz w:val="18"/>
                <w:szCs w:val="18"/>
              </w:rPr>
            </w:pPr>
            <w:r/>
            <w:bookmarkStart w:id="203" w:name="OLE_LINK12"/>
            <w:r>
              <w:rPr>
                <w:rFonts w:hint="eastAsia" w:ascii="宋体" w:hAnsi="宋体" w:cs="宋体"/>
                <w:b/>
                <w:bCs/>
                <w:color w:val="000000"/>
                <w:sz w:val="18"/>
                <w:szCs w:val="18"/>
              </w:rPr>
              <w:t xml:space="preserve">4</w:t>
            </w:r>
            <w:r>
              <w:rPr>
                <w:rStyle w:val="805"/>
                <w:rFonts w:hint="eastAsia" w:ascii="宋体" w:hAnsi="宋体" w:cs="宋体"/>
                <w:b/>
                <w:bCs/>
                <w:color w:val="000000"/>
                <w:sz w:val="18"/>
                <w:szCs w:val="18"/>
              </w:rPr>
            </w:r>
            <w:r/>
          </w:p>
        </w:tc>
        <w:tc>
          <w:tcPr>
            <w:gridSpan w:val="6"/>
            <w:tcW w:w="9554" w:type="dxa"/>
            <w:vAlign w:val="center"/>
            <w:textDirection w:val="lrTb"/>
            <w:noWrap w:val="false"/>
          </w:tcPr>
          <w:p>
            <w:pPr>
              <w:pStyle w:val="745"/>
              <w:rPr>
                <w:rFonts w:ascii="宋体" w:hAnsi="宋体" w:cs="宋体"/>
                <w:b/>
                <w:bCs/>
                <w:color w:val="000000"/>
                <w:sz w:val="18"/>
                <w:szCs w:val="18"/>
              </w:rPr>
            </w:pPr>
            <w:r>
              <w:rPr>
                <w:rFonts w:hint="eastAsia" w:ascii="宋体" w:hAnsi="宋体" w:cs="宋体"/>
                <w:b/>
                <w:bCs/>
                <w:color w:val="000000"/>
                <w:sz w:val="18"/>
                <w:szCs w:val="18"/>
              </w:rPr>
              <w:t xml:space="preserve">社会保险</w:t>
            </w:r>
            <w:r>
              <w:rPr>
                <w:rFonts w:ascii="宋体" w:hAnsi="宋体" w:cs="宋体"/>
                <w:b/>
                <w:bCs/>
                <w:color w:val="000000"/>
                <w:sz w:val="18"/>
                <w:szCs w:val="18"/>
              </w:rPr>
            </w:r>
            <w:r/>
          </w:p>
        </w:tc>
      </w:tr>
      <w:tr>
        <w:trPr>
          <w:trHeight w:val="1149"/>
        </w:trPr>
        <w:tc>
          <w:tcPr>
            <w:tcW w:w="901" w:type="dxa"/>
            <w:vAlign w:val="center"/>
            <w:vMerge w:val="continue"/>
            <w:textDirection w:val="lrTb"/>
            <w:noWrap w:val="false"/>
          </w:tcPr>
          <w:p>
            <w:pPr>
              <w:pStyle w:val="745"/>
              <w:jc w:val="center"/>
              <w:widowControl/>
              <w:rPr>
                <w:rFonts w:hint="eastAsia" w:ascii="宋体" w:hAnsi="宋体" w:cs="宋体"/>
                <w:b/>
                <w:bCs/>
                <w:color w:val="000000"/>
                <w:sz w:val="18"/>
                <w:szCs w:val="18"/>
              </w:rPr>
            </w:pPr>
            <w:r/>
            <w:bookmarkEnd w:id="203"/>
            <w:r/>
            <w:bookmarkStart w:id="204" w:name="OLE_LINK13"/>
            <w:r>
              <w:rPr>
                <w:rFonts w:hint="eastAsia" w:ascii="宋体" w:hAnsi="宋体" w:cs="宋体"/>
                <w:b/>
                <w:bCs/>
                <w:color w:val="000000"/>
                <w:sz w:val="18"/>
                <w:szCs w:val="18"/>
              </w:rPr>
            </w:r>
            <w:r/>
          </w:p>
        </w:tc>
        <w:tc>
          <w:tcPr>
            <w:tcW w:w="1680" w:type="dxa"/>
            <w:vAlign w:val="center"/>
            <w:textDirection w:val="lrTb"/>
            <w:noWrap w:val="false"/>
          </w:tcPr>
          <w:p>
            <w:pPr>
              <w:pStyle w:val="745"/>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W w:w="1161"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W w:w="1417"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W w:w="1065"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W w:w="1489" w:type="dxa"/>
            <w:vAlign w:val="center"/>
            <w:textDirection w:val="lrTb"/>
            <w:noWrap w:val="false"/>
          </w:tcPr>
          <w:p>
            <w:pPr>
              <w:pStyle w:val="745"/>
              <w:jc w:val="center"/>
              <w:rPr>
                <w:rFonts w:hint="eastAsia" w:ascii="宋体" w:hAnsi="宋体" w:cs="宋体"/>
                <w:b/>
                <w:bCs/>
                <w:color w:val="000000"/>
                <w:sz w:val="18"/>
                <w:szCs w:val="18"/>
              </w:rPr>
            </w:pPr>
            <w:r>
              <w:rPr>
                <w:rStyle w:val="805"/>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W w:w="2742"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W w:w="901" w:type="dxa"/>
            <w:vAlign w:val="center"/>
            <w:textDirection w:val="lrTb"/>
            <w:noWrap w:val="false"/>
          </w:tcPr>
          <w:p>
            <w:pPr>
              <w:pStyle w:val="745"/>
              <w:jc w:val="center"/>
              <w:widowControl/>
              <w:rPr>
                <w:rFonts w:hint="eastAsia" w:ascii="宋体" w:hAnsi="宋体" w:cs="宋体"/>
                <w:color w:val="000000"/>
                <w:sz w:val="18"/>
                <w:szCs w:val="18"/>
              </w:rPr>
            </w:pPr>
            <w:r/>
            <w:bookmarkEnd w:id="204"/>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W w:w="901" w:type="dxa"/>
            <w:vAlign w:val="center"/>
            <w:textDirection w:val="lrTb"/>
            <w:noWrap w:val="false"/>
          </w:tcPr>
          <w:p>
            <w:pPr>
              <w:pStyle w:val="745"/>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W w:w="9554"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01"/>
        </w:trPr>
        <w:tc>
          <w:tcPr>
            <w:tcW w:w="901" w:type="dxa"/>
            <w:vAlign w:val="center"/>
            <w:vMerge w:val="restart"/>
            <w:textDirection w:val="lrTb"/>
            <w:noWrap w:val="false"/>
          </w:tcPr>
          <w:p>
            <w:pPr>
              <w:pStyle w:val="745"/>
              <w:jc w:val="center"/>
              <w:widowControl/>
              <w:rPr>
                <w:rStyle w:val="805"/>
                <w:rFonts w:hint="eastAsia" w:ascii="宋体" w:hAnsi="宋体" w:cs="宋体"/>
                <w:b/>
                <w:bCs/>
                <w:color w:val="000000"/>
                <w:sz w:val="18"/>
                <w:szCs w:val="18"/>
              </w:rPr>
            </w:pPr>
            <w:r>
              <w:rPr>
                <w:rStyle w:val="805"/>
                <w:rFonts w:hint="eastAsia" w:ascii="宋体" w:hAnsi="宋体" w:cs="宋体"/>
                <w:b/>
                <w:bCs/>
                <w:color w:val="000000"/>
                <w:sz w:val="18"/>
                <w:szCs w:val="18"/>
              </w:rPr>
              <w:t xml:space="preserve">5</w:t>
            </w:r>
            <w:r>
              <w:rPr>
                <w:rStyle w:val="805"/>
                <w:rFonts w:hint="eastAsia" w:ascii="宋体" w:hAnsi="宋体" w:cs="宋体"/>
                <w:b/>
                <w:bCs/>
                <w:color w:val="000000"/>
                <w:sz w:val="18"/>
                <w:szCs w:val="18"/>
              </w:rPr>
            </w:r>
            <w:r/>
          </w:p>
        </w:tc>
        <w:tc>
          <w:tcPr>
            <w:gridSpan w:val="6"/>
            <w:tcW w:w="9554"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rPr>
                <w:rFonts w:hint="eastAsia" w:ascii="宋体" w:hAnsi="宋体" w:cs="宋体"/>
                <w:color w:val="000000"/>
                <w:sz w:val="18"/>
                <w:szCs w:val="18"/>
              </w:rPr>
            </w:r>
            <w:r/>
          </w:p>
        </w:tc>
      </w:tr>
      <w:tr>
        <w:trPr>
          <w:trHeight w:val="737"/>
        </w:trPr>
        <w:tc>
          <w:tcPr>
            <w:tcW w:w="901" w:type="dxa"/>
            <w:vAlign w:val="center"/>
            <w:vMerge w:val="continue"/>
            <w:textDirection w:val="lrTb"/>
            <w:noWrap w:val="false"/>
          </w:tcPr>
          <w:p>
            <w:pPr>
              <w:pStyle w:val="745"/>
              <w:jc w:val="center"/>
              <w:widowControl/>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c>
          <w:tcPr>
            <w:tcW w:w="1680" w:type="dxa"/>
            <w:vAlign w:val="center"/>
            <w:textDirection w:val="lrTb"/>
            <w:noWrap w:val="false"/>
          </w:tcPr>
          <w:p>
            <w:pPr>
              <w:pStyle w:val="74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rPr>
            </w:r>
            <w:r/>
          </w:p>
        </w:tc>
        <w:tc>
          <w:tcPr>
            <w:tcW w:w="1161" w:type="dxa"/>
            <w:vAlign w:val="center"/>
            <w:textDirection w:val="lrTb"/>
            <w:noWrap w:val="false"/>
          </w:tcPr>
          <w:p>
            <w:pPr>
              <w:pStyle w:val="745"/>
              <w:jc w:val="center"/>
              <w:rPr>
                <w:rStyle w:val="805"/>
                <w:rFonts w:hint="eastAsia" w:ascii="宋体" w:hAnsi="宋体" w:cs="宋体"/>
                <w:color w:val="000000"/>
                <w:sz w:val="18"/>
                <w:szCs w:val="18"/>
              </w:rPr>
            </w:pPr>
            <w:r>
              <w:rPr>
                <w:rStyle w:val="805"/>
                <w:rFonts w:hint="eastAsia" w:ascii="宋体" w:hAnsi="宋体" w:cs="宋体"/>
                <w:b/>
                <w:bCs/>
                <w:color w:val="000000"/>
                <w:sz w:val="18"/>
                <w:szCs w:val="18"/>
              </w:rPr>
              <w:t xml:space="preserve">人数</w:t>
            </w: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rPr>
                <w:rStyle w:val="805"/>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rPr>
                <w:rStyle w:val="805"/>
                <w:rFonts w:hint="eastAsia" w:ascii="宋体" w:hAnsi="宋体" w:cs="宋体"/>
                <w:color w:val="000000"/>
                <w:sz w:val="18"/>
                <w:szCs w:val="18"/>
              </w:rPr>
            </w:pPr>
            <w:r>
              <w:rPr>
                <w:rFonts w:hint="eastAsia" w:ascii="宋体" w:hAnsi="宋体" w:cs="宋体"/>
                <w:b/>
                <w:bCs/>
                <w:color w:val="000000"/>
                <w:sz w:val="18"/>
                <w:szCs w:val="18"/>
              </w:rPr>
              <w:t xml:space="preserve">月数</w:t>
            </w: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rPr>
                <w:rStyle w:val="805"/>
                <w:rFonts w:hint="eastAsia" w:ascii="宋体" w:hAnsi="宋体" w:cs="宋体"/>
                <w:color w:val="000000"/>
                <w:sz w:val="18"/>
                <w:szCs w:val="18"/>
              </w:rPr>
            </w:pPr>
            <w:r>
              <w:rPr>
                <w:rStyle w:val="805"/>
                <w:rFonts w:hint="eastAsia" w:ascii="宋体" w:hAnsi="宋体" w:cs="宋体"/>
                <w:b/>
                <w:bCs/>
                <w:color w:val="000000"/>
                <w:sz w:val="18"/>
                <w:szCs w:val="18"/>
              </w:rPr>
              <w:t xml:space="preserve">分项小计（元）</w:t>
            </w:r>
            <w:r>
              <w:rPr>
                <w:rStyle w:val="805"/>
                <w:rFonts w:hint="eastAsia" w:ascii="宋体" w:hAnsi="宋体" w:cs="宋体"/>
                <w:color w:val="000000"/>
                <w:sz w:val="18"/>
                <w:szCs w:val="18"/>
              </w:rPr>
            </w:r>
            <w:r/>
          </w:p>
        </w:tc>
        <w:tc>
          <w:tcPr>
            <w:tcW w:w="2742" w:type="dxa"/>
            <w:vAlign w:val="center"/>
            <w:textDirection w:val="lrTb"/>
            <w:noWrap w:val="false"/>
          </w:tcPr>
          <w:p>
            <w:pPr>
              <w:pStyle w:val="745"/>
              <w:jc w:val="center"/>
              <w:rPr>
                <w:rFonts w:hint="eastAsia" w:ascii="宋体" w:hAnsi="宋体" w:cs="宋体"/>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rPr>
            </w:r>
            <w:r/>
          </w:p>
        </w:tc>
      </w:tr>
      <w:tr>
        <w:trPr>
          <w:trHeight w:val="528"/>
        </w:trPr>
        <w:tc>
          <w:tcPr>
            <w:tcW w:w="901" w:type="dxa"/>
            <w:vAlign w:val="center"/>
            <w:textDirection w:val="lrTb"/>
            <w:noWrap w:val="false"/>
          </w:tcPr>
          <w:p>
            <w:pPr>
              <w:pStyle w:val="745"/>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1680"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W w:w="901" w:type="dxa"/>
            <w:vAlign w:val="center"/>
            <w:textDirection w:val="lrTb"/>
            <w:noWrap w:val="false"/>
          </w:tcPr>
          <w:p>
            <w:pPr>
              <w:pStyle w:val="745"/>
              <w:jc w:val="center"/>
              <w:widowControl/>
              <w:rPr>
                <w:rStyle w:val="805"/>
                <w:rFonts w:hint="eastAsia" w:ascii="宋体" w:hAnsi="宋体" w:cs="宋体"/>
                <w:b/>
                <w:bCs/>
                <w:color w:val="000000"/>
                <w:sz w:val="18"/>
                <w:szCs w:val="18"/>
              </w:rPr>
            </w:pPr>
            <w:r>
              <w:rPr>
                <w:rFonts w:hint="eastAsia" w:ascii="宋体" w:hAnsi="宋体" w:cs="宋体"/>
                <w:color w:val="000000"/>
                <w:sz w:val="18"/>
                <w:szCs w:val="18"/>
              </w:rPr>
              <w:t xml:space="preserve">（2）</w:t>
            </w:r>
            <w:r>
              <w:rPr>
                <w:rStyle w:val="805"/>
                <w:rFonts w:hint="eastAsia" w:ascii="宋体" w:hAnsi="宋体" w:cs="宋体"/>
                <w:b/>
                <w:bCs/>
                <w:color w:val="000000"/>
                <w:sz w:val="18"/>
                <w:szCs w:val="18"/>
              </w:rPr>
            </w:r>
            <w:r/>
          </w:p>
        </w:tc>
        <w:tc>
          <w:tcPr>
            <w:tcW w:w="1680"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W w:w="901" w:type="dxa"/>
            <w:vAlign w:val="center"/>
            <w:textDirection w:val="lrTb"/>
            <w:noWrap w:val="false"/>
          </w:tcPr>
          <w:p>
            <w:pPr>
              <w:pStyle w:val="745"/>
              <w:jc w:val="center"/>
              <w:widowControl/>
              <w:rPr>
                <w:rStyle w:val="805"/>
                <w:rFonts w:hint="eastAsia" w:ascii="宋体" w:hAnsi="宋体" w:cs="宋体"/>
                <w:b/>
                <w:bCs/>
                <w:color w:val="000000"/>
                <w:sz w:val="18"/>
                <w:szCs w:val="18"/>
              </w:rPr>
            </w:pPr>
            <w:r>
              <w:rPr>
                <w:rFonts w:hint="eastAsia" w:ascii="宋体" w:hAnsi="宋体" w:cs="宋体"/>
                <w:color w:val="000000"/>
                <w:sz w:val="18"/>
                <w:szCs w:val="18"/>
              </w:rPr>
              <w:t xml:space="preserve">...</w:t>
            </w:r>
            <w:r>
              <w:rPr>
                <w:rStyle w:val="805"/>
                <w:rFonts w:hint="eastAsia" w:ascii="宋体" w:hAnsi="宋体" w:cs="宋体"/>
                <w:b/>
                <w:bCs/>
                <w:color w:val="000000"/>
                <w:sz w:val="18"/>
                <w:szCs w:val="18"/>
              </w:rPr>
            </w:r>
            <w:r/>
          </w:p>
        </w:tc>
        <w:tc>
          <w:tcPr>
            <w:tcW w:w="1680" w:type="dxa"/>
            <w:vAlign w:val="center"/>
            <w:textDirection w:val="lrTb"/>
            <w:noWrap w:val="false"/>
          </w:tcPr>
          <w:p>
            <w:pPr>
              <w:pStyle w:val="745"/>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161"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17"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065"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1489" w:type="dxa"/>
            <w:vAlign w:val="center"/>
            <w:textDirection w:val="lrTb"/>
            <w:noWrap w:val="false"/>
          </w:tcPr>
          <w:p>
            <w:pPr>
              <w:pStyle w:val="745"/>
              <w:jc w:val="center"/>
              <w:widowControl/>
              <w:rPr>
                <w:rStyle w:val="805"/>
                <w:rFonts w:hint="eastAsia" w:ascii="宋体" w:hAnsi="宋体" w:cs="宋体"/>
                <w:color w:val="000000"/>
                <w:sz w:val="18"/>
                <w:szCs w:val="18"/>
              </w:rPr>
            </w:pPr>
            <w:r>
              <w:rPr>
                <w:rStyle w:val="805"/>
                <w:rFonts w:hint="eastAsia" w:ascii="宋体" w:hAnsi="宋体" w:cs="宋体"/>
                <w:color w:val="000000"/>
                <w:sz w:val="18"/>
                <w:szCs w:val="18"/>
              </w:rPr>
            </w:r>
            <w:r/>
          </w:p>
        </w:tc>
        <w:tc>
          <w:tcPr>
            <w:tcW w:w="2742" w:type="dxa"/>
            <w:vAlign w:val="center"/>
            <w:textDirection w:val="lrTb"/>
            <w:noWrap w:val="false"/>
          </w:tcPr>
          <w:p>
            <w:pPr>
              <w:pStyle w:val="74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47"/>
        </w:trPr>
        <w:tc>
          <w:tcPr>
            <w:tcW w:w="901" w:type="dxa"/>
            <w:vAlign w:val="center"/>
            <w:textDirection w:val="lrTb"/>
            <w:noWrap w:val="false"/>
          </w:tcPr>
          <w:p>
            <w:pPr>
              <w:pStyle w:val="745"/>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W w:w="9554" w:type="dxa"/>
            <w:vAlign w:val="center"/>
            <w:textDirection w:val="lrTb"/>
            <w:noWrap w:val="false"/>
          </w:tcPr>
          <w:p>
            <w:pPr>
              <w:pStyle w:val="745"/>
              <w:jc w:val="center"/>
              <w:rPr>
                <w:rStyle w:val="805"/>
                <w:rFonts w:hint="eastAsia" w:ascii="宋体" w:hAnsi="宋体" w:cs="宋体"/>
                <w:b/>
                <w:bCs/>
                <w:color w:val="000000"/>
                <w:sz w:val="18"/>
                <w:szCs w:val="18"/>
              </w:rPr>
            </w:pPr>
            <w:r>
              <w:rPr>
                <w:rStyle w:val="805"/>
                <w:rFonts w:hint="eastAsia" w:ascii="宋体" w:hAnsi="宋体" w:cs="宋体"/>
                <w:b/>
                <w:bCs/>
                <w:color w:val="000000"/>
                <w:sz w:val="18"/>
                <w:szCs w:val="18"/>
              </w:rPr>
            </w:r>
            <w:r/>
          </w:p>
        </w:tc>
      </w:tr>
      <w:tr>
        <w:trPr>
          <w:trHeight w:val="1205"/>
        </w:trPr>
        <w:tc>
          <w:tcPr>
            <w:gridSpan w:val="7"/>
            <w:tcW w:w="10455" w:type="dxa"/>
            <w:vAlign w:val="center"/>
            <w:textDirection w:val="lrTb"/>
            <w:noWrap w:val="false"/>
          </w:tcPr>
          <w:p>
            <w:pPr>
              <w:pStyle w:val="745"/>
              <w:jc w:val="left"/>
              <w:rPr>
                <w:rStyle w:val="805"/>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Style w:val="805"/>
                <w:rFonts w:ascii="宋体" w:hAnsi="宋体" w:cs="宋体"/>
                <w:b/>
                <w:bCs/>
                <w:color w:val="000000"/>
                <w:sz w:val="18"/>
                <w:szCs w:val="18"/>
              </w:rPr>
            </w:r>
            <w:r/>
          </w:p>
        </w:tc>
      </w:tr>
    </w:tbl>
    <w:p>
      <w:pPr>
        <w:pStyle w:val="745"/>
        <w:jc w:val="left"/>
        <w:spacing w:line="360" w:lineRule="auto"/>
        <w:rPr>
          <w:rFonts w:hint="eastAsia" w:ascii="宋体" w:hAnsi="宋体" w:cs="宋体"/>
          <w:b/>
          <w:bCs/>
          <w:color w:val="000000"/>
        </w:rPr>
      </w:pPr>
      <w:r>
        <w:rPr>
          <w:rFonts w:hint="eastAsia" w:ascii="宋体" w:hAnsi="宋体" w:cs="宋体"/>
          <w:b/>
          <w:bCs/>
          <w:color w:val="000000"/>
        </w:rPr>
      </w:r>
      <w:r/>
    </w:p>
    <w:p>
      <w:pPr>
        <w:pStyle w:val="745"/>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745"/>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w:t>
      </w:r>
      <w:r>
        <w:rPr>
          <w:rFonts w:hint="eastAsia" w:ascii="宋体" w:hAnsi="宋体" w:cs="宋体"/>
          <w:color w:val="000000"/>
        </w:rPr>
      </w:r>
      <w:r/>
    </w:p>
    <w:p>
      <w:pPr>
        <w:pStyle w:val="74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5"/>
              <w:jc w:val="center"/>
              <w:spacing w:line="360" w:lineRule="auto"/>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45"/>
              <w:jc w:val="center"/>
              <w:spacing w:line="360" w:lineRule="auto"/>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45"/>
              <w:jc w:val="center"/>
              <w:spacing w:line="360" w:lineRule="auto"/>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45"/>
              <w:jc w:val="center"/>
              <w:spacing w:line="360" w:lineRule="auto"/>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745"/>
              <w:jc w:val="center"/>
              <w:spacing w:line="360" w:lineRule="auto"/>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745"/>
              <w:jc w:val="center"/>
              <w:spacing w:line="360" w:lineRule="auto"/>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745"/>
              <w:jc w:val="center"/>
              <w:spacing w:line="360" w:lineRule="auto"/>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745"/>
              <w:jc w:val="left"/>
              <w:spacing w:line="360" w:lineRule="auto"/>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745"/>
              <w:jc w:val="left"/>
              <w:spacing w:line="360" w:lineRule="auto"/>
              <w:rPr>
                <w:rFonts w:ascii="宋体" w:hAnsi="宋体" w:cs="宋体"/>
                <w:color w:val="000000"/>
              </w:rPr>
            </w:pPr>
            <w:r>
              <w:rPr>
                <w:rFonts w:hint="eastAsia" w:ascii="宋体" w:hAnsi="宋体" w:cs="宋体"/>
                <w:b/>
                <w:bCs/>
                <w:color w:val="000000"/>
              </w:rPr>
              <w:t xml:space="preserve">金额≥1223.15</w:t>
            </w:r>
            <w:r>
              <w:rPr>
                <w:rFonts w:ascii="宋体" w:hAnsi="宋体" w:cs="宋体"/>
                <w:color w:val="000000"/>
              </w:rPr>
            </w:r>
            <w:r/>
          </w:p>
        </w:tc>
      </w:tr>
      <w:tr>
        <w:trPr>
          <w:trHeight w:val="732" w:hRule="exact"/>
        </w:trPr>
        <w:tc>
          <w:tcPr>
            <w:tcW w:w="736"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5"/>
              <w:jc w:val="center"/>
              <w:spacing w:line="360" w:lineRule="auto"/>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745"/>
              <w:jc w:val="center"/>
              <w:spacing w:line="360" w:lineRule="auto"/>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745"/>
              <w:jc w:val="center"/>
              <w:spacing w:line="360" w:lineRule="auto"/>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5"/>
              <w:jc w:val="center"/>
              <w:spacing w:line="360" w:lineRule="auto"/>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745"/>
              <w:jc w:val="left"/>
              <w:spacing w:line="360" w:lineRule="auto"/>
              <w:rPr>
                <w:rFonts w:hint="eastAsia" w:ascii="宋体" w:hAnsi="宋体" w:cs="宋体"/>
                <w:color w:val="000000"/>
              </w:rPr>
            </w:pPr>
            <w:r>
              <w:rPr>
                <w:rFonts w:hint="eastAsia" w:ascii="宋体" w:hAnsi="宋体" w:cs="宋体"/>
                <w:color w:val="000000"/>
              </w:rPr>
            </w:r>
            <w:r/>
          </w:p>
        </w:tc>
      </w:tr>
    </w:tbl>
    <w:p>
      <w:pPr>
        <w:pStyle w:val="745"/>
        <w:ind w:firstLine="420"/>
        <w:jc w:val="left"/>
        <w:spacing w:line="360" w:lineRule="auto"/>
        <w:rPr>
          <w:rFonts w:hint="eastAsia" w:ascii="宋体" w:hAnsi="宋体" w:cs="宋体"/>
          <w:color w:val="000000"/>
        </w:rPr>
      </w:pPr>
      <w:r>
        <w:rPr>
          <w:rFonts w:hint="eastAsia" w:ascii="宋体" w:hAnsi="宋体" w:cs="宋体"/>
          <w:color w:val="000000"/>
        </w:rPr>
      </w:r>
      <w:r/>
    </w:p>
    <w:p>
      <w:pPr>
        <w:pStyle w:val="807"/>
        <w:spacing w:line="360" w:lineRule="auto"/>
        <w:rPr>
          <w:color w:val="000000"/>
          <w:lang w:val="en-US"/>
        </w:rPr>
      </w:pPr>
      <w:r>
        <w:rPr>
          <w:color w:val="000000"/>
          <w:lang w:val="en-US"/>
        </w:rPr>
      </w:r>
      <w:r/>
    </w:p>
    <w:p>
      <w:pPr>
        <w:pStyle w:val="745"/>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六、技术要求响应及偏离表</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745"/>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96"/>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93"/>
        <w:jc w:val="both"/>
        <w:spacing w:before="0" w:beforeAutospacing="0" w:after="0" w:afterAutospacing="0" w:line="360" w:lineRule="auto"/>
        <w:rPr>
          <w:color w:val="000000"/>
        </w:rPr>
      </w:pPr>
      <w:r>
        <w:rPr>
          <w:color w:val="000000"/>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93"/>
        <w:ind w:firstLine="480"/>
        <w:jc w:val="both"/>
        <w:spacing w:before="0" w:beforeAutospacing="0" w:after="0" w:afterAutospacing="0" w:line="360" w:lineRule="auto"/>
        <w:rPr>
          <w:color w:val="000000"/>
        </w:rPr>
      </w:pPr>
      <w:r>
        <w:rPr>
          <w:color w:val="000000"/>
        </w:rPr>
        <w:t xml:space="preserve">备注： </w:t>
      </w:r>
      <w:r>
        <w:rPr>
          <w:color w:val="000000"/>
        </w:rPr>
      </w:r>
      <w:r/>
    </w:p>
    <w:p>
      <w:pPr>
        <w:pStyle w:val="793"/>
        <w:ind w:firstLine="482"/>
        <w:jc w:val="both"/>
        <w:spacing w:before="0" w:beforeAutospacing="0" w:after="0" w:afterAutospacing="0" w:line="360" w:lineRule="auto"/>
        <w:rPr>
          <w:rFonts w:hint="eastAsia"/>
          <w:b/>
          <w:bCs/>
          <w:color w:val="000000"/>
        </w:rPr>
      </w:pPr>
      <w:r>
        <w:rPr>
          <w:rFonts w:hint="eastAsia"/>
          <w:b/>
          <w:bCs/>
          <w:color w:val="000000"/>
        </w:rPr>
        <w:t xml:space="preserve">1.投标人须对招标文件技术要求中的实质性要求（打“★”内容）作出明确响应，否则视为无效投标。</w:t>
      </w:r>
      <w:r>
        <w:rPr>
          <w:rFonts w:hint="eastAsia"/>
          <w:b/>
          <w:bCs/>
          <w:color w:val="000000"/>
        </w:rPr>
      </w:r>
      <w:r/>
    </w:p>
    <w:p>
      <w:pPr>
        <w:pStyle w:val="793"/>
        <w:ind w:firstLine="482"/>
        <w:jc w:val="both"/>
        <w:spacing w:before="0" w:beforeAutospacing="0" w:after="0" w:afterAutospacing="0" w:line="360" w:lineRule="auto"/>
        <w:rPr>
          <w:rFonts w:hint="eastAsia"/>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b/>
          <w:bCs/>
          <w:color w:val="000000"/>
        </w:rPr>
      </w:r>
      <w:r/>
    </w:p>
    <w:p>
      <w:pPr>
        <w:pStyle w:val="793"/>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745"/>
        <w:jc w:val="center"/>
        <w:spacing w:line="360" w:lineRule="auto"/>
        <w:rPr>
          <w:rFonts w:hint="eastAsia" w:ascii="黑体" w:hAnsi="Arial" w:eastAsia="黑体"/>
          <w:b/>
          <w:color w:val="000000"/>
          <w:sz w:val="36"/>
        </w:rPr>
      </w:pPr>
      <w:r>
        <w:rPr>
          <w:rFonts w:hint="eastAsia" w:ascii="黑体" w:hAnsi="Arial" w:eastAsia="黑体"/>
          <w:b/>
          <w:color w:val="000000"/>
          <w:sz w:val="36"/>
        </w:rPr>
      </w:r>
      <w:r/>
    </w:p>
    <w:p>
      <w:pPr>
        <w:pStyle w:val="745"/>
        <w:spacing w:line="360" w:lineRule="auto"/>
        <w:rPr>
          <w:rFonts w:hint="eastAsia" w:ascii="黑体" w:hAnsi="黑体" w:eastAsia="黑体"/>
          <w:iCs/>
          <w:color w:val="000000"/>
          <w:sz w:val="32"/>
          <w:szCs w:val="32"/>
        </w:rPr>
      </w:pPr>
      <w:r/>
      <w:bookmarkStart w:id="205" w:name="_Hlt26955054"/>
      <w:r/>
      <w:bookmarkEnd w:id="205"/>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七、商务要求响应及偏离表</w:t>
      </w:r>
      <w:r>
        <w:rPr>
          <w:rFonts w:hint="eastAsia" w:ascii="黑体" w:hAnsi="黑体" w:eastAsia="黑体"/>
          <w:iCs/>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745"/>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5"/>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96"/>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5"/>
              <w:jc w:val="center"/>
              <w:spacing w:line="360" w:lineRule="auto"/>
              <w:rPr>
                <w:rFonts w:hint="eastAsia" w:ascii="宋体" w:hAnsi="宋体"/>
                <w:color w:val="000000"/>
                <w:sz w:val="24"/>
                <w:szCs w:val="24"/>
              </w:rPr>
            </w:pPr>
            <w:r/>
            <w:bookmarkStart w:id="206" w:name="_Hlt26782999"/>
            <w:r/>
            <w:bookmarkEnd w:id="206"/>
            <w:r/>
            <w:bookmarkStart w:id="207" w:name="_Hlt24879081"/>
            <w:r/>
            <w:bookmarkEnd w:id="207"/>
            <w:r/>
            <w:bookmarkStart w:id="208" w:name="_Hlt26955056"/>
            <w:r/>
            <w:bookmarkEnd w:id="208"/>
            <w:r/>
            <w:bookmarkStart w:id="209" w:name="_Hlt26580838"/>
            <w:r/>
            <w:bookmarkEnd w:id="209"/>
            <w:r/>
            <w:bookmarkStart w:id="210" w:name="_Hlt26955064"/>
            <w:r/>
            <w:bookmarkEnd w:id="210"/>
            <w:r/>
            <w:bookmarkStart w:id="211" w:name="_Hlt26671343"/>
            <w:r/>
            <w:bookmarkEnd w:id="211"/>
            <w:r/>
            <w:bookmarkStart w:id="212" w:name="_Hlt26609391"/>
            <w:r/>
            <w:bookmarkEnd w:id="212"/>
            <w:r/>
            <w:bookmarkStart w:id="213" w:name="_Hlt26671372"/>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5"/>
              <w:jc w:val="center"/>
              <w:spacing w:line="360" w:lineRule="auto"/>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5"/>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93"/>
        <w:jc w:val="both"/>
        <w:spacing w:before="0" w:beforeAutospacing="0" w:after="0" w:afterAutospacing="0" w:line="360" w:lineRule="auto"/>
        <w:rPr>
          <w:color w:val="000000"/>
        </w:rPr>
      </w:pPr>
      <w:r>
        <w:rPr>
          <w:color w:val="000000"/>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93"/>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793"/>
        <w:ind w:firstLine="480"/>
        <w:jc w:val="both"/>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rPr>
          <w:color w:val="000000"/>
        </w:rPr>
      </w:r>
      <w:r/>
    </w:p>
    <w:p>
      <w:pPr>
        <w:pStyle w:val="793"/>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45"/>
        <w:spacing w:line="360" w:lineRule="auto"/>
        <w:rPr>
          <w:color w:val="000000"/>
        </w:rPr>
      </w:pPr>
      <w:r>
        <w:rPr>
          <w:color w:val="000000"/>
        </w:rPr>
      </w:r>
      <w:r/>
    </w:p>
    <w:p>
      <w:pPr>
        <w:pStyle w:val="745"/>
        <w:jc w:val="center"/>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807"/>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45"/>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45"/>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5"/>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5"/>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5"/>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八、中小企业声明函</w:t>
      </w:r>
      <w:r>
        <w:rPr>
          <w:rFonts w:hint="eastAsia" w:ascii="黑体" w:hAnsi="黑体" w:eastAsia="黑体"/>
          <w:iCs/>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服务全部由符合政策的中小企业承接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45"/>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45"/>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45"/>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45"/>
        <w:spacing w:line="360" w:lineRule="auto"/>
        <w:rPr>
          <w:rFonts w:hint="eastAsia"/>
          <w:color w:val="000000"/>
        </w:rPr>
      </w:pPr>
      <w:r>
        <w:rPr>
          <w:rFonts w:hint="eastAsia"/>
          <w:color w:val="000000"/>
        </w:rPr>
      </w:r>
      <w:r/>
    </w:p>
    <w:p>
      <w:pPr>
        <w:pStyle w:val="745"/>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5"/>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74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745"/>
        <w:ind w:firstLine="480"/>
        <w:jc w:val="left"/>
        <w:spacing w:line="360" w:lineRule="auto"/>
        <w:rPr>
          <w:rFonts w:hint="eastAsia"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清单”中的“服务”产品需在此声明函中的“标的名称”中全部列明，并填写承接企业的具体情况。</w:t>
      </w:r>
      <w:r>
        <w:rPr>
          <w:rFonts w:hint="eastAsia" w:ascii="宋体" w:hAnsi="宋体"/>
          <w:b/>
          <w:bCs/>
          <w:color w:val="000000"/>
          <w:sz w:val="24"/>
          <w:szCs w:val="24"/>
        </w:rPr>
      </w:r>
      <w:r/>
    </w:p>
    <w:p>
      <w:pPr>
        <w:pStyle w:val="745"/>
        <w:ind w:firstLine="48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九</w:t>
      </w:r>
      <w:r>
        <w:rPr>
          <w:rFonts w:hint="eastAsia" w:ascii="黑体" w:hAnsi="黑体" w:eastAsia="黑体"/>
          <w:iCs/>
          <w:color w:val="000000"/>
          <w:sz w:val="32"/>
          <w:szCs w:val="32"/>
        </w:rPr>
        <w:t xml:space="preserve">、</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07"/>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hint="eastAsia"/>
          <w:color w:val="000000"/>
        </w:rPr>
      </w:pPr>
      <w:r>
        <w:rPr>
          <w:rFonts w:hint="eastAsia"/>
          <w:color w:val="000000"/>
        </w:rPr>
      </w:r>
      <w:r/>
    </w:p>
    <w:p>
      <w:pPr>
        <w:pStyle w:val="745"/>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5"/>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cente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45"/>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5"/>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十、联合体协议</w:t>
      </w:r>
      <w:r>
        <w:rPr>
          <w:rFonts w:hint="eastAsia" w:ascii="黑体" w:hAnsi="黑体" w:eastAsia="黑体"/>
          <w:iCs/>
          <w:color w:val="000000"/>
          <w:sz w:val="32"/>
          <w:szCs w:val="32"/>
        </w:rPr>
      </w:r>
      <w:r/>
    </w:p>
    <w:p>
      <w:pPr>
        <w:pStyle w:val="74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45"/>
        <w:spacing w:line="360" w:lineRule="auto"/>
        <w:rPr>
          <w:rFonts w:ascii="宋体" w:hAnsi="宋体"/>
          <w:color w:val="000000"/>
          <w:sz w:val="24"/>
        </w:rPr>
      </w:pPr>
      <w:r>
        <w:rPr>
          <w:rFonts w:hint="eastAsia" w:ascii="宋体" w:hAnsi="宋体"/>
          <w:color w:val="000000"/>
          <w:sz w:val="24"/>
        </w:rPr>
        <w:t xml:space="preserve">（联合体中各投标人全称）在此达成以下协议：</w:t>
      </w: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（投标人1），（投标人2）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（投标人名称）为牵头单位。</w:t>
      </w:r>
      <w:r>
        <w:rPr>
          <w:rFonts w:ascii="宋体" w:hAnsi="宋体"/>
          <w:color w:val="000000"/>
          <w:sz w:val="24"/>
        </w:rPr>
      </w:r>
      <w:r/>
    </w:p>
    <w:p>
      <w:pPr>
        <w:pStyle w:val="745"/>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（投标人名称）实施项目中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（投标人名称）实施项目中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（工作内容）部分工作，并承担相应的责任；……。（注：需明确联合体中各投标人所承担的工作和相应的责任）。</w:t>
      </w:r>
      <w:r>
        <w:rPr>
          <w:rFonts w:ascii="宋体" w:hAnsi="宋体"/>
          <w:color w:val="000000"/>
          <w:sz w:val="24"/>
        </w:rPr>
      </w:r>
      <w:r/>
    </w:p>
    <w:p>
      <w:pPr>
        <w:pStyle w:val="745"/>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45"/>
        <w:ind w:firstLine="645"/>
        <w:spacing w:line="360" w:lineRule="auto"/>
        <w:rPr>
          <w:rFonts w:hint="eastAsia" w:ascii="宋体" w:hAnsi="宋体"/>
          <w:color w:val="000000"/>
          <w:sz w:val="24"/>
        </w:rPr>
      </w:pPr>
      <w:r>
        <w:rPr>
          <w:rFonts w:hint="eastAsia" w:ascii="宋体" w:hAnsi="宋体"/>
          <w:color w:val="000000"/>
          <w:sz w:val="24"/>
        </w:rPr>
      </w:r>
      <w:r/>
    </w:p>
    <w:p>
      <w:pPr>
        <w:pStyle w:val="745"/>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45"/>
        <w:ind w:firstLine="645"/>
        <w:jc w:val="right"/>
        <w:spacing w:line="360" w:lineRule="auto"/>
        <w:rPr>
          <w:rFonts w:ascii="宋体" w:hAnsi="宋体"/>
          <w:color w:val="000000"/>
          <w:sz w:val="24"/>
        </w:rPr>
      </w:pPr>
      <w:r>
        <w:rPr>
          <w:rFonts w:hint="eastAsia" w:ascii="宋体" w:hAnsi="宋体"/>
          <w:color w:val="000000"/>
          <w:sz w:val="24"/>
        </w:rPr>
        <w:t xml:space="preserve">联合体中各投标人全称：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45"/>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5"/>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45"/>
        <w:ind w:firstLine="480"/>
        <w:spacing w:line="360" w:lineRule="auto"/>
        <w:rPr>
          <w:rFonts w:hint="eastAsia" w:ascii="宋体" w:hAnsi="宋体"/>
          <w:b/>
          <w:bCs/>
          <w:color w:val="000000"/>
          <w:sz w:val="24"/>
        </w:rPr>
      </w:pPr>
      <w:r>
        <w:rPr>
          <w:rFonts w:hint="eastAsia" w:ascii="宋体" w:hAnsi="宋体"/>
          <w:color w:val="000000"/>
          <w:sz w:val="24"/>
          <w:szCs w:val="24"/>
        </w:rPr>
        <w:t xml:space="preserve">2</w:t>
      </w:r>
      <w:r>
        <w:rPr>
          <w:rFonts w:hint="eastAsia" w:ascii="宋体" w:hAnsi="宋体"/>
          <w:b/>
          <w:bCs/>
          <w:color w:val="000000"/>
          <w:sz w:val="24"/>
        </w:rPr>
        <w:t xml:space="preserve">.除另有说明外，本招标文件要求加盖电子公章之处，加盖牵头单位的电子公章即可。</w:t>
      </w:r>
      <w:r>
        <w:rPr>
          <w:rFonts w:hint="eastAsia" w:ascii="宋体" w:hAnsi="宋体"/>
          <w:b/>
          <w:bCs/>
          <w:color w:val="000000"/>
          <w:sz w:val="24"/>
        </w:rPr>
      </w:r>
      <w:r/>
    </w:p>
    <w:p>
      <w:pPr>
        <w:pStyle w:val="796"/>
        <w:ind w:firstLine="480"/>
        <w:rPr>
          <w:rFonts w:hint="eastAsia"/>
          <w:color w:val="000000"/>
          <w:sz w:val="24"/>
        </w:rPr>
      </w:pPr>
      <w:r>
        <w:rPr>
          <w:rFonts w:hint="eastAsia"/>
          <w:color w:val="000000"/>
          <w:sz w:val="24"/>
        </w:rPr>
      </w:r>
      <w:r/>
    </w:p>
    <w:p>
      <w:pPr>
        <w:pStyle w:val="745"/>
        <w:spacing w:line="360" w:lineRule="auto"/>
        <w:rPr>
          <w:rFonts w:hint="eastAsia"/>
          <w:color w:val="000000"/>
        </w:rPr>
      </w:pPr>
      <w:r>
        <w:rPr>
          <w:rFonts w:hint="eastAsia"/>
          <w:color w:val="000000"/>
        </w:rPr>
      </w:r>
      <w:r/>
    </w:p>
    <w:p>
      <w:pPr>
        <w:pStyle w:val="745"/>
        <w:ind w:firstLine="645"/>
        <w:spacing w:line="360" w:lineRule="auto"/>
        <w:rPr>
          <w:rFonts w:ascii="宋体" w:hAnsi="宋体"/>
          <w:color w:val="000000"/>
          <w:sz w:val="24"/>
        </w:rPr>
      </w:pPr>
      <w:r>
        <w:rPr>
          <w:rFonts w:ascii="宋体" w:hAnsi="宋体"/>
          <w:color w:val="000000"/>
          <w:sz w:val="24"/>
        </w:rPr>
      </w:r>
      <w:r/>
    </w:p>
    <w:p>
      <w:pPr>
        <w:pStyle w:val="745"/>
        <w:ind w:firstLine="645"/>
        <w:spacing w:line="360" w:lineRule="auto"/>
        <w:rPr>
          <w:rFonts w:hint="eastAsia" w:ascii="宋体" w:hAnsi="宋体"/>
          <w:color w:val="000000"/>
          <w:sz w:val="24"/>
        </w:rPr>
      </w:pPr>
      <w:r>
        <w:rPr>
          <w:rFonts w:hint="eastAsia" w:ascii="宋体" w:hAnsi="宋体"/>
          <w:color w:val="000000"/>
          <w:sz w:val="24"/>
        </w:rPr>
      </w:r>
      <w:r/>
    </w:p>
    <w:p>
      <w:pPr>
        <w:pStyle w:val="807"/>
        <w:spacing w:line="360" w:lineRule="auto"/>
        <w:rPr>
          <w:rFonts w:hint="eastAsia" w:ascii="宋体" w:hAnsi="宋体"/>
          <w:color w:val="000000"/>
          <w:sz w:val="24"/>
        </w:rPr>
      </w:pPr>
      <w:r>
        <w:rPr>
          <w:rFonts w:hint="eastAsia" w:ascii="宋体" w:hAnsi="宋体"/>
          <w:color w:val="000000"/>
          <w:sz w:val="24"/>
        </w:rPr>
      </w:r>
      <w:r/>
    </w:p>
    <w:p>
      <w:pPr>
        <w:pStyle w:val="745"/>
        <w:spacing w:line="360" w:lineRule="auto"/>
        <w:rPr>
          <w:rFonts w:hint="eastAsia" w:ascii="宋体" w:hAnsi="宋体"/>
          <w:color w:val="000000"/>
          <w:sz w:val="24"/>
        </w:rPr>
      </w:pPr>
      <w:r>
        <w:rPr>
          <w:rFonts w:hint="eastAsia" w:ascii="宋体" w:hAnsi="宋体"/>
          <w:color w:val="000000"/>
          <w:sz w:val="24"/>
        </w:rPr>
      </w:r>
      <w:r/>
    </w:p>
    <w:p>
      <w:pPr>
        <w:pStyle w:val="745"/>
        <w:jc w:val="left"/>
        <w:spacing w:line="360" w:lineRule="auto"/>
        <w:widowControl/>
        <w:rPr>
          <w:color w:val="000000"/>
        </w:rPr>
      </w:pPr>
      <w:r>
        <w:rPr>
          <w:rFonts w:hint="eastAsia"/>
          <w:color w:val="000000"/>
        </w:rPr>
        <w:br w:type="page" w:clear="all"/>
      </w:r>
      <w:r>
        <w:rPr>
          <w:rFonts w:hint="eastAsia" w:ascii="黑体" w:hAnsi="黑体" w:eastAsia="黑体"/>
          <w:iCs/>
          <w:color w:val="000000"/>
          <w:sz w:val="32"/>
          <w:szCs w:val="32"/>
        </w:rPr>
        <w:t xml:space="preserve">十一、分包情况说明及分包意向协议</w:t>
      </w:r>
      <w:r>
        <w:rPr>
          <w:color w:val="000000"/>
        </w:rPr>
      </w:r>
      <w:r/>
    </w:p>
    <w:p>
      <w:pPr>
        <w:pStyle w:val="745"/>
        <w:jc w:val="center"/>
        <w:spacing w:line="360" w:lineRule="auto"/>
        <w:widowControl/>
        <w:rPr>
          <w:color w:val="000000"/>
        </w:rPr>
      </w:pPr>
      <w:r>
        <w:rPr>
          <w:rFonts w:ascii="宋体" w:hAnsi="宋体" w:cs="宋体"/>
          <w:b/>
          <w:bCs/>
          <w:color w:val="000000"/>
          <w:sz w:val="36"/>
          <w:szCs w:val="36"/>
          <w:lang w:bidi="ar"/>
        </w:rPr>
        <w:t xml:space="preserve">分包情况说明</w:t>
      </w:r>
      <w:r>
        <w:rPr>
          <w:color w:val="000000"/>
        </w:rPr>
      </w:r>
      <w:r/>
    </w:p>
    <w:p>
      <w:pPr>
        <w:pStyle w:val="745"/>
        <w:jc w:val="left"/>
        <w:spacing w:line="360" w:lineRule="auto"/>
        <w:widowControl/>
        <w:rPr>
          <w:color w:val="000000"/>
        </w:rPr>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45"/>
              <w:jc w:val="center"/>
              <w:spacing w:line="360" w:lineRule="auto"/>
              <w:widowControl/>
              <w:rPr>
                <w:rFonts w:hint="eastAsia"/>
                <w:color w:val="000000"/>
              </w:rPr>
            </w:pPr>
            <w:r>
              <w:rPr>
                <w:rFonts w:hint="eastAsia"/>
                <w:color w:val="000000"/>
              </w:rPr>
              <w:t xml:space="preserve">序号</w:t>
            </w:r>
            <w:r>
              <w:rPr>
                <w:rFonts w:hint="eastAsia"/>
                <w:color w:val="000000"/>
              </w:rPr>
            </w:r>
            <w:r/>
          </w:p>
        </w:tc>
        <w:tc>
          <w:tcPr>
            <w:tcW w:w="1543" w:type="dxa"/>
            <w:vAlign w:val="center"/>
            <w:textDirection w:val="lrTb"/>
            <w:noWrap w:val="false"/>
          </w:tcPr>
          <w:p>
            <w:pPr>
              <w:pStyle w:val="745"/>
              <w:jc w:val="center"/>
              <w:spacing w:line="360" w:lineRule="auto"/>
              <w:widowControl/>
              <w:rPr>
                <w:color w:val="000000"/>
              </w:rPr>
            </w:pPr>
            <w:r>
              <w:rPr>
                <w:rFonts w:hint="eastAsia"/>
                <w:color w:val="000000"/>
              </w:rPr>
              <w:t xml:space="preserve">分包承担主体名称</w:t>
            </w:r>
            <w:r>
              <w:rPr>
                <w:color w:val="000000"/>
              </w:rPr>
            </w:r>
            <w:r/>
          </w:p>
        </w:tc>
        <w:tc>
          <w:tcPr>
            <w:tcW w:w="1543" w:type="dxa"/>
            <w:vAlign w:val="center"/>
            <w:textDirection w:val="lrTb"/>
            <w:noWrap w:val="false"/>
          </w:tcPr>
          <w:p>
            <w:pPr>
              <w:pStyle w:val="745"/>
              <w:jc w:val="center"/>
              <w:spacing w:line="360" w:lineRule="auto"/>
              <w:widowControl/>
              <w:rPr>
                <w:color w:val="000000"/>
              </w:rPr>
            </w:pPr>
            <w:r>
              <w:rPr>
                <w:rFonts w:hint="eastAsia"/>
                <w:color w:val="000000"/>
              </w:rPr>
              <w:t xml:space="preserve">分包承担主体类型（大型、中型、小型、微型）</w:t>
            </w:r>
            <w:r>
              <w:rPr>
                <w:color w:val="000000"/>
              </w:rPr>
            </w:r>
            <w:r/>
          </w:p>
        </w:tc>
        <w:tc>
          <w:tcPr>
            <w:tcW w:w="1596" w:type="dxa"/>
            <w:vAlign w:val="center"/>
            <w:textDirection w:val="lrTb"/>
            <w:noWrap w:val="false"/>
          </w:tcPr>
          <w:p>
            <w:pPr>
              <w:pStyle w:val="745"/>
              <w:jc w:val="center"/>
              <w:spacing w:line="360" w:lineRule="auto"/>
              <w:widowControl/>
              <w:rPr>
                <w:color w:val="000000"/>
              </w:rPr>
            </w:pPr>
            <w:r>
              <w:rPr>
                <w:rFonts w:hint="eastAsia"/>
                <w:color w:val="000000"/>
              </w:rPr>
              <w:t xml:space="preserve">分包承担主体资质</w:t>
            </w:r>
            <w:r>
              <w:rPr>
                <w:color w:val="000000"/>
              </w:rPr>
            </w:r>
            <w:r/>
          </w:p>
        </w:tc>
        <w:tc>
          <w:tcPr>
            <w:tcW w:w="1811" w:type="dxa"/>
            <w:vAlign w:val="center"/>
            <w:textDirection w:val="lrTb"/>
            <w:noWrap w:val="false"/>
          </w:tcPr>
          <w:p>
            <w:pPr>
              <w:pStyle w:val="745"/>
              <w:jc w:val="center"/>
              <w:spacing w:line="360" w:lineRule="auto"/>
              <w:widowControl/>
              <w:rPr>
                <w:color w:val="000000"/>
              </w:rPr>
            </w:pPr>
            <w:r>
              <w:rPr>
                <w:rFonts w:hint="eastAsia"/>
                <w:color w:val="000000"/>
              </w:rPr>
              <w:t xml:space="preserve">分包标的内容</w:t>
            </w:r>
            <w:r>
              <w:rPr>
                <w:color w:val="000000"/>
              </w:rPr>
            </w:r>
            <w:r/>
          </w:p>
        </w:tc>
        <w:tc>
          <w:tcPr>
            <w:tcW w:w="1586" w:type="dxa"/>
            <w:vAlign w:val="center"/>
            <w:textDirection w:val="lrTb"/>
            <w:noWrap w:val="false"/>
          </w:tcPr>
          <w:p>
            <w:pPr>
              <w:pStyle w:val="745"/>
              <w:jc w:val="center"/>
              <w:spacing w:line="360" w:lineRule="auto"/>
              <w:widowControl/>
              <w:rPr>
                <w:color w:val="000000"/>
              </w:rPr>
            </w:pPr>
            <w:r>
              <w:rPr>
                <w:rFonts w:hint="eastAsia"/>
                <w:color w:val="000000"/>
              </w:rPr>
              <w:t xml:space="preserve">分包合同金额（元）</w:t>
            </w:r>
            <w:r>
              <w:rPr>
                <w:color w:val="000000"/>
              </w:rPr>
            </w:r>
            <w:r/>
          </w:p>
        </w:tc>
        <w:tc>
          <w:tcPr>
            <w:tcW w:w="1287" w:type="dxa"/>
            <w:vAlign w:val="center"/>
            <w:textDirection w:val="lrTb"/>
            <w:noWrap w:val="false"/>
          </w:tcPr>
          <w:p>
            <w:pPr>
              <w:pStyle w:val="745"/>
              <w:jc w:val="center"/>
              <w:spacing w:line="360" w:lineRule="auto"/>
              <w:widowControl/>
              <w:rPr>
                <w:color w:val="000000"/>
              </w:rPr>
            </w:pPr>
            <w:r>
              <w:rPr>
                <w:rFonts w:hint="eastAsia"/>
                <w:color w:val="000000"/>
              </w:rPr>
              <w:t xml:space="preserve">占合同总额的比例（%）</w:t>
            </w:r>
            <w:r>
              <w:rPr>
                <w:color w:val="000000"/>
              </w:rPr>
            </w:r>
            <w:r/>
          </w:p>
        </w:tc>
      </w:tr>
      <w:tr>
        <w:trPr>
          <w:trHeight w:val="488"/>
        </w:trPr>
        <w:tc>
          <w:tcPr>
            <w:tcW w:w="596" w:type="dxa"/>
            <w:vAlign w:val="center"/>
            <w:textDirection w:val="lrTb"/>
            <w:noWrap w:val="false"/>
          </w:tcPr>
          <w:p>
            <w:pPr>
              <w:pStyle w:val="745"/>
              <w:jc w:val="center"/>
              <w:spacing w:line="360" w:lineRule="auto"/>
              <w:widowControl/>
              <w:rPr>
                <w:rFonts w:hint="eastAsia"/>
                <w:color w:val="000000"/>
              </w:rPr>
            </w:pPr>
            <w:r>
              <w:rPr>
                <w:rFonts w:hint="eastAsia"/>
                <w:color w:val="000000"/>
              </w:rPr>
              <w:t xml:space="preserve">1</w:t>
            </w:r>
            <w:r>
              <w:rPr>
                <w:rFonts w:hint="eastAsia"/>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96" w:type="dxa"/>
            <w:vAlign w:val="center"/>
            <w:textDirection w:val="lrTb"/>
            <w:noWrap w:val="false"/>
          </w:tcPr>
          <w:p>
            <w:pPr>
              <w:pStyle w:val="745"/>
              <w:jc w:val="center"/>
              <w:spacing w:line="360" w:lineRule="auto"/>
              <w:widowControl/>
              <w:rPr>
                <w:color w:val="000000"/>
              </w:rPr>
            </w:pPr>
            <w:r>
              <w:rPr>
                <w:color w:val="000000"/>
              </w:rPr>
            </w:r>
            <w:r/>
          </w:p>
        </w:tc>
        <w:tc>
          <w:tcPr>
            <w:tcW w:w="1811" w:type="dxa"/>
            <w:vAlign w:val="center"/>
            <w:textDirection w:val="lrTb"/>
            <w:noWrap w:val="false"/>
          </w:tcPr>
          <w:p>
            <w:pPr>
              <w:pStyle w:val="745"/>
              <w:jc w:val="center"/>
              <w:spacing w:line="360" w:lineRule="auto"/>
              <w:widowControl/>
              <w:rPr>
                <w:color w:val="000000"/>
              </w:rPr>
            </w:pPr>
            <w:r>
              <w:rPr>
                <w:color w:val="000000"/>
              </w:rPr>
            </w:r>
            <w:r/>
          </w:p>
        </w:tc>
        <w:tc>
          <w:tcPr>
            <w:tcW w:w="1586" w:type="dxa"/>
            <w:vAlign w:val="center"/>
            <w:textDirection w:val="lrTb"/>
            <w:noWrap w:val="false"/>
          </w:tcPr>
          <w:p>
            <w:pPr>
              <w:pStyle w:val="745"/>
              <w:jc w:val="center"/>
              <w:spacing w:line="360" w:lineRule="auto"/>
              <w:widowControl/>
              <w:rPr>
                <w:color w:val="000000"/>
              </w:rPr>
            </w:pPr>
            <w:r>
              <w:rPr>
                <w:color w:val="000000"/>
              </w:rPr>
            </w:r>
            <w:r/>
          </w:p>
        </w:tc>
        <w:tc>
          <w:tcPr>
            <w:tcW w:w="1287" w:type="dxa"/>
            <w:vAlign w:val="center"/>
            <w:textDirection w:val="lrTb"/>
            <w:noWrap w:val="false"/>
          </w:tcPr>
          <w:p>
            <w:pPr>
              <w:pStyle w:val="745"/>
              <w:jc w:val="center"/>
              <w:spacing w:line="360" w:lineRule="auto"/>
              <w:widowControl/>
              <w:rPr>
                <w:color w:val="000000"/>
              </w:rPr>
            </w:pPr>
            <w:r>
              <w:rPr>
                <w:color w:val="000000"/>
              </w:rPr>
            </w:r>
            <w:r/>
          </w:p>
        </w:tc>
      </w:tr>
      <w:tr>
        <w:trPr>
          <w:trHeight w:val="488"/>
        </w:trPr>
        <w:tc>
          <w:tcPr>
            <w:tcW w:w="596" w:type="dxa"/>
            <w:vAlign w:val="center"/>
            <w:textDirection w:val="lrTb"/>
            <w:noWrap w:val="false"/>
          </w:tcPr>
          <w:p>
            <w:pPr>
              <w:pStyle w:val="745"/>
              <w:jc w:val="center"/>
              <w:spacing w:line="360" w:lineRule="auto"/>
              <w:widowControl/>
              <w:rPr>
                <w:rFonts w:hint="eastAsia"/>
                <w:color w:val="000000"/>
              </w:rPr>
            </w:pPr>
            <w:r>
              <w:rPr>
                <w:rFonts w:hint="eastAsia"/>
                <w:color w:val="000000"/>
              </w:rPr>
              <w:t xml:space="preserve">2</w:t>
            </w:r>
            <w:r>
              <w:rPr>
                <w:rFonts w:hint="eastAsia"/>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96" w:type="dxa"/>
            <w:vAlign w:val="center"/>
            <w:textDirection w:val="lrTb"/>
            <w:noWrap w:val="false"/>
          </w:tcPr>
          <w:p>
            <w:pPr>
              <w:pStyle w:val="745"/>
              <w:jc w:val="center"/>
              <w:spacing w:line="360" w:lineRule="auto"/>
              <w:widowControl/>
              <w:rPr>
                <w:color w:val="000000"/>
              </w:rPr>
            </w:pPr>
            <w:r>
              <w:rPr>
                <w:color w:val="000000"/>
              </w:rPr>
            </w:r>
            <w:r/>
          </w:p>
        </w:tc>
        <w:tc>
          <w:tcPr>
            <w:tcW w:w="1811" w:type="dxa"/>
            <w:vAlign w:val="center"/>
            <w:textDirection w:val="lrTb"/>
            <w:noWrap w:val="false"/>
          </w:tcPr>
          <w:p>
            <w:pPr>
              <w:pStyle w:val="745"/>
              <w:jc w:val="center"/>
              <w:spacing w:line="360" w:lineRule="auto"/>
              <w:widowControl/>
              <w:rPr>
                <w:color w:val="000000"/>
              </w:rPr>
            </w:pPr>
            <w:r>
              <w:rPr>
                <w:color w:val="000000"/>
              </w:rPr>
            </w:r>
            <w:r/>
          </w:p>
        </w:tc>
        <w:tc>
          <w:tcPr>
            <w:tcW w:w="1586" w:type="dxa"/>
            <w:vAlign w:val="center"/>
            <w:textDirection w:val="lrTb"/>
            <w:noWrap w:val="false"/>
          </w:tcPr>
          <w:p>
            <w:pPr>
              <w:pStyle w:val="745"/>
              <w:jc w:val="center"/>
              <w:spacing w:line="360" w:lineRule="auto"/>
              <w:widowControl/>
              <w:rPr>
                <w:color w:val="000000"/>
              </w:rPr>
            </w:pPr>
            <w:r>
              <w:rPr>
                <w:color w:val="000000"/>
              </w:rPr>
            </w:r>
            <w:r/>
          </w:p>
        </w:tc>
        <w:tc>
          <w:tcPr>
            <w:tcW w:w="1287" w:type="dxa"/>
            <w:vAlign w:val="center"/>
            <w:textDirection w:val="lrTb"/>
            <w:noWrap w:val="false"/>
          </w:tcPr>
          <w:p>
            <w:pPr>
              <w:pStyle w:val="745"/>
              <w:jc w:val="center"/>
              <w:spacing w:line="360" w:lineRule="auto"/>
              <w:widowControl/>
              <w:rPr>
                <w:color w:val="000000"/>
              </w:rPr>
            </w:pPr>
            <w:r>
              <w:rPr>
                <w:color w:val="000000"/>
              </w:rPr>
            </w:r>
            <w:r/>
          </w:p>
        </w:tc>
      </w:tr>
      <w:tr>
        <w:trPr>
          <w:trHeight w:val="456"/>
        </w:trPr>
        <w:tc>
          <w:tcPr>
            <w:tcW w:w="596" w:type="dxa"/>
            <w:vAlign w:val="center"/>
            <w:textDirection w:val="lrTb"/>
            <w:noWrap w:val="false"/>
          </w:tcPr>
          <w:p>
            <w:pPr>
              <w:pStyle w:val="745"/>
              <w:jc w:val="center"/>
              <w:spacing w:line="360" w:lineRule="auto"/>
              <w:widowControl/>
              <w:rPr>
                <w:color w:val="000000"/>
              </w:rPr>
            </w:pPr>
            <w:r>
              <w:rPr>
                <w:rFonts w:hint="eastAsia"/>
                <w:color w:val="000000"/>
              </w:rPr>
              <w:t xml:space="preserve">...</w:t>
            </w:r>
            <w:r>
              <w:rPr>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43" w:type="dxa"/>
            <w:vAlign w:val="center"/>
            <w:textDirection w:val="lrTb"/>
            <w:noWrap w:val="false"/>
          </w:tcPr>
          <w:p>
            <w:pPr>
              <w:pStyle w:val="745"/>
              <w:jc w:val="center"/>
              <w:spacing w:line="360" w:lineRule="auto"/>
              <w:widowControl/>
              <w:rPr>
                <w:color w:val="000000"/>
              </w:rPr>
            </w:pPr>
            <w:r>
              <w:rPr>
                <w:color w:val="000000"/>
              </w:rPr>
            </w:r>
            <w:r/>
          </w:p>
        </w:tc>
        <w:tc>
          <w:tcPr>
            <w:tcW w:w="1596" w:type="dxa"/>
            <w:vAlign w:val="center"/>
            <w:textDirection w:val="lrTb"/>
            <w:noWrap w:val="false"/>
          </w:tcPr>
          <w:p>
            <w:pPr>
              <w:pStyle w:val="745"/>
              <w:jc w:val="center"/>
              <w:spacing w:line="360" w:lineRule="auto"/>
              <w:widowControl/>
              <w:rPr>
                <w:color w:val="000000"/>
              </w:rPr>
            </w:pPr>
            <w:r>
              <w:rPr>
                <w:color w:val="000000"/>
              </w:rPr>
            </w:r>
            <w:r/>
          </w:p>
        </w:tc>
        <w:tc>
          <w:tcPr>
            <w:tcW w:w="1811" w:type="dxa"/>
            <w:vAlign w:val="center"/>
            <w:textDirection w:val="lrTb"/>
            <w:noWrap w:val="false"/>
          </w:tcPr>
          <w:p>
            <w:pPr>
              <w:pStyle w:val="745"/>
              <w:jc w:val="center"/>
              <w:spacing w:line="360" w:lineRule="auto"/>
              <w:widowControl/>
              <w:rPr>
                <w:color w:val="000000"/>
              </w:rPr>
            </w:pPr>
            <w:r>
              <w:rPr>
                <w:color w:val="000000"/>
              </w:rPr>
            </w:r>
            <w:r/>
          </w:p>
        </w:tc>
        <w:tc>
          <w:tcPr>
            <w:tcW w:w="1586" w:type="dxa"/>
            <w:vAlign w:val="center"/>
            <w:textDirection w:val="lrTb"/>
            <w:noWrap w:val="false"/>
          </w:tcPr>
          <w:p>
            <w:pPr>
              <w:pStyle w:val="745"/>
              <w:jc w:val="center"/>
              <w:spacing w:line="360" w:lineRule="auto"/>
              <w:widowControl/>
              <w:rPr>
                <w:color w:val="000000"/>
              </w:rPr>
            </w:pPr>
            <w:r>
              <w:rPr>
                <w:color w:val="000000"/>
              </w:rPr>
            </w:r>
            <w:r/>
          </w:p>
        </w:tc>
        <w:tc>
          <w:tcPr>
            <w:tcW w:w="1287" w:type="dxa"/>
            <w:vAlign w:val="center"/>
            <w:textDirection w:val="lrTb"/>
            <w:noWrap w:val="false"/>
          </w:tcPr>
          <w:p>
            <w:pPr>
              <w:pStyle w:val="745"/>
              <w:jc w:val="center"/>
              <w:spacing w:line="360" w:lineRule="auto"/>
              <w:widowControl/>
              <w:rPr>
                <w:color w:val="000000"/>
              </w:rPr>
            </w:pPr>
            <w:r>
              <w:rPr>
                <w:color w:val="000000"/>
              </w:rPr>
            </w:r>
            <w:r/>
          </w:p>
        </w:tc>
      </w:tr>
      <w:tr>
        <w:trPr>
          <w:trHeight w:val="475"/>
        </w:trPr>
        <w:tc>
          <w:tcPr>
            <w:gridSpan w:val="5"/>
            <w:tcW w:w="7089" w:type="dxa"/>
            <w:vAlign w:val="center"/>
            <w:textDirection w:val="lrTb"/>
            <w:noWrap w:val="false"/>
          </w:tcPr>
          <w:p>
            <w:pPr>
              <w:pStyle w:val="745"/>
              <w:jc w:val="center"/>
              <w:spacing w:line="360" w:lineRule="auto"/>
              <w:widowControl/>
              <w:rPr>
                <w:rFonts w:hint="eastAsia"/>
                <w:color w:val="000000"/>
              </w:rPr>
            </w:pPr>
            <w:r>
              <w:rPr>
                <w:rFonts w:hint="eastAsia"/>
                <w:color w:val="000000"/>
              </w:rPr>
              <w:t xml:space="preserve">合计</w:t>
            </w:r>
            <w:r>
              <w:rPr>
                <w:rFonts w:hint="eastAsia"/>
                <w:color w:val="000000"/>
              </w:rPr>
            </w:r>
            <w:r/>
          </w:p>
        </w:tc>
        <w:tc>
          <w:tcPr>
            <w:tcW w:w="1586" w:type="dxa"/>
            <w:vAlign w:val="center"/>
            <w:textDirection w:val="lrTb"/>
            <w:noWrap w:val="false"/>
          </w:tcPr>
          <w:p>
            <w:pPr>
              <w:pStyle w:val="745"/>
              <w:jc w:val="center"/>
              <w:spacing w:line="360" w:lineRule="auto"/>
              <w:widowControl/>
              <w:rPr>
                <w:color w:val="000000"/>
              </w:rPr>
            </w:pPr>
            <w:r>
              <w:rPr>
                <w:color w:val="000000"/>
              </w:rPr>
            </w:r>
            <w:r/>
          </w:p>
        </w:tc>
        <w:tc>
          <w:tcPr>
            <w:tcW w:w="1287" w:type="dxa"/>
            <w:vAlign w:val="center"/>
            <w:textDirection w:val="lrTb"/>
            <w:noWrap w:val="false"/>
          </w:tcPr>
          <w:p>
            <w:pPr>
              <w:pStyle w:val="745"/>
              <w:jc w:val="center"/>
              <w:spacing w:line="360" w:lineRule="auto"/>
              <w:widowControl/>
              <w:rPr>
                <w:color w:val="000000"/>
              </w:rPr>
            </w:pPr>
            <w:r>
              <w:rPr>
                <w:color w:val="000000"/>
              </w:rPr>
            </w:r>
            <w:r/>
          </w:p>
        </w:tc>
      </w:tr>
    </w:tbl>
    <w:p>
      <w:pPr>
        <w:pStyle w:val="745"/>
        <w:ind w:firstLine="480"/>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right"/>
        <w:spacing w:line="360" w:lineRule="auto"/>
        <w:widowControl/>
        <w:rPr>
          <w:color w:val="000000"/>
        </w:rPr>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rPr>
          <w:color w:val="000000"/>
        </w:rPr>
      </w:r>
      <w:r/>
    </w:p>
    <w:p>
      <w:pPr>
        <w:pStyle w:val="745"/>
        <w:ind w:firstLine="480"/>
        <w:jc w:val="right"/>
        <w:spacing w:line="360" w:lineRule="auto"/>
        <w:widowControl/>
        <w:rPr>
          <w:color w:val="000000"/>
        </w:rPr>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rPr>
      </w:r>
      <w:r/>
    </w:p>
    <w:p>
      <w:pPr>
        <w:pStyle w:val="74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注： </w:t>
      </w:r>
      <w:r>
        <w:rPr>
          <w:color w:val="000000"/>
        </w:rPr>
      </w:r>
      <w:r/>
    </w:p>
    <w:p>
      <w:pPr>
        <w:pStyle w:val="745"/>
        <w:ind w:firstLine="480"/>
        <w:jc w:val="left"/>
        <w:spacing w:line="360" w:lineRule="auto"/>
        <w:widowControl/>
        <w:rPr>
          <w:color w:val="000000"/>
        </w:rPr>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rPr>
          <w:color w:val="000000"/>
        </w:rPr>
      </w:r>
      <w:r/>
    </w:p>
    <w:p>
      <w:pPr>
        <w:pStyle w:val="745"/>
        <w:ind w:firstLine="480"/>
        <w:jc w:val="left"/>
        <w:spacing w:line="360" w:lineRule="auto"/>
        <w:widowControl/>
        <w:rPr>
          <w:rFonts w:hint="eastAsia"/>
          <w:color w:val="000000"/>
        </w:rPr>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rPr>
          <w:rFonts w:hint="eastAsia"/>
          <w:color w:val="000000"/>
        </w:rPr>
      </w:r>
      <w:r/>
    </w:p>
    <w:p>
      <w:pPr>
        <w:pStyle w:val="745"/>
        <w:jc w:val="center"/>
        <w:spacing w:line="360" w:lineRule="auto"/>
        <w:widowControl/>
        <w:rPr>
          <w:color w:val="000000"/>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分包意向协议</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rPr>
          <w:color w:val="000000"/>
        </w:rPr>
      </w:r>
      <w:r/>
    </w:p>
    <w:p>
      <w:pPr>
        <w:pStyle w:val="745"/>
        <w:ind w:firstLine="480"/>
        <w:jc w:val="left"/>
        <w:spacing w:line="360" w:lineRule="auto"/>
        <w:widowControl/>
        <w:rPr>
          <w:color w:val="000000"/>
        </w:rPr>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rPr>
          <w:color w:val="000000"/>
        </w:rPr>
      </w:r>
      <w:r/>
    </w:p>
    <w:p>
      <w:pPr>
        <w:pStyle w:val="745"/>
        <w:ind w:firstLine="480"/>
        <w:jc w:val="left"/>
        <w:spacing w:line="360" w:lineRule="auto"/>
        <w:widowControl/>
        <w:rPr>
          <w:color w:val="000000"/>
        </w:rPr>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乙方承诺将在上述情况下与甲方签订分包合同。 </w:t>
      </w:r>
      <w:r>
        <w:rPr>
          <w:color w:val="000000"/>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本协议自各方盖章之日起生效，如甲方未在该项目（采购包）中标，本协议自动终止。 </w:t>
      </w:r>
      <w:r>
        <w:rPr>
          <w:color w:val="000000"/>
        </w:rPr>
      </w:r>
      <w:r/>
    </w:p>
    <w:p>
      <w:pPr>
        <w:pStyle w:val="745"/>
        <w:ind w:firstLine="480"/>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right"/>
        <w:spacing w:line="360" w:lineRule="auto"/>
        <w:widowControl/>
        <w:rPr>
          <w:color w:val="000000"/>
        </w:rPr>
      </w:pPr>
      <w:r>
        <w:rPr>
          <w:rFonts w:hint="eastAsia" w:ascii="宋体" w:hAnsi="宋体" w:cs="宋体"/>
          <w:color w:val="000000"/>
          <w:sz w:val="24"/>
          <w:szCs w:val="24"/>
          <w:lang w:bidi="ar"/>
        </w:rPr>
        <w:t xml:space="preserve">甲方（盖章）：</w:t>
      </w:r>
      <w:r>
        <w:rPr>
          <w:color w:val="000000"/>
          <w:sz w:val="24"/>
          <w:szCs w:val="24"/>
          <w:lang w:bidi="ar"/>
        </w:rPr>
        <w:t xml:space="preserve">_________ </w:t>
      </w:r>
      <w:r>
        <w:rPr>
          <w:color w:val="000000"/>
        </w:rPr>
      </w:r>
      <w:r/>
    </w:p>
    <w:p>
      <w:pPr>
        <w:pStyle w:val="745"/>
        <w:ind w:firstLine="480"/>
        <w:jc w:val="right"/>
        <w:spacing w:line="360" w:lineRule="auto"/>
        <w:widowControl/>
        <w:rPr>
          <w:color w:val="000000"/>
        </w:rPr>
      </w:pPr>
      <w:r>
        <w:rPr>
          <w:rFonts w:hint="eastAsia" w:ascii="宋体" w:hAnsi="宋体" w:cs="宋体"/>
          <w:color w:val="000000"/>
          <w:sz w:val="24"/>
          <w:szCs w:val="24"/>
          <w:lang w:bidi="ar"/>
        </w:rPr>
        <w:t xml:space="preserve">乙方（盖章）：</w:t>
      </w:r>
      <w:r>
        <w:rPr>
          <w:color w:val="000000"/>
          <w:sz w:val="24"/>
          <w:szCs w:val="24"/>
          <w:lang w:bidi="ar"/>
        </w:rPr>
        <w:t xml:space="preserve">_________ </w:t>
      </w:r>
      <w:r>
        <w:rPr>
          <w:color w:val="000000"/>
        </w:rPr>
      </w:r>
      <w:r/>
    </w:p>
    <w:p>
      <w:pPr>
        <w:pStyle w:val="745"/>
        <w:ind w:firstLine="480"/>
        <w:jc w:val="right"/>
        <w:spacing w:line="360" w:lineRule="auto"/>
        <w:widowControl/>
        <w:rPr>
          <w:color w:val="000000"/>
        </w:rPr>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rPr>
          <w:color w:val="000000"/>
        </w:rPr>
      </w:r>
      <w:r/>
    </w:p>
    <w:p>
      <w:pPr>
        <w:pStyle w:val="745"/>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45"/>
        <w:ind w:firstLine="480"/>
        <w:jc w:val="left"/>
        <w:spacing w:line="360" w:lineRule="auto"/>
        <w:widowControl/>
        <w:rPr>
          <w:color w:val="000000"/>
        </w:rPr>
      </w:pPr>
      <w:r>
        <w:rPr>
          <w:rFonts w:hint="eastAsia" w:ascii="宋体" w:hAnsi="宋体" w:cs="宋体"/>
          <w:color w:val="000000"/>
          <w:sz w:val="24"/>
          <w:szCs w:val="24"/>
          <w:lang w:bidi="ar"/>
        </w:rPr>
        <w:t xml:space="preserve">注： </w:t>
      </w:r>
      <w:r>
        <w:rPr>
          <w:color w:val="000000"/>
        </w:rPr>
      </w:r>
      <w:r/>
    </w:p>
    <w:p>
      <w:pPr>
        <w:pStyle w:val="745"/>
        <w:ind w:firstLine="480"/>
        <w:jc w:val="left"/>
        <w:spacing w:line="360" w:lineRule="auto"/>
        <w:widowControl/>
        <w:rPr>
          <w:color w:val="000000"/>
        </w:rPr>
      </w:pPr>
      <w:r>
        <w:rPr>
          <w:color w:val="000000"/>
          <w:sz w:val="24"/>
          <w:szCs w:val="24"/>
          <w:lang w:bidi="ar"/>
        </w:rPr>
        <w:t xml:space="preserve">1.如本项目（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rPr>
          <w:color w:val="000000"/>
        </w:rPr>
      </w:r>
      <w:r/>
    </w:p>
    <w:p>
      <w:pPr>
        <w:pStyle w:val="745"/>
        <w:ind w:firstLine="480"/>
        <w:jc w:val="left"/>
        <w:spacing w:line="360" w:lineRule="auto"/>
        <w:widowControl/>
        <w:rPr>
          <w:color w:val="000000"/>
        </w:rPr>
      </w:pPr>
      <w:r>
        <w:rPr>
          <w:color w:val="000000"/>
          <w:sz w:val="24"/>
          <w:szCs w:val="24"/>
          <w:lang w:bidi="ar"/>
        </w:rPr>
        <w:t xml:space="preserve">2.</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rPr>
          <w:color w:val="000000"/>
        </w:rPr>
      </w:r>
      <w:r/>
    </w:p>
    <w:p>
      <w:pPr>
        <w:pStyle w:val="745"/>
        <w:jc w:val="left"/>
        <w:spacing w:line="360" w:lineRule="auto"/>
        <w:widowControl/>
        <w:rPr>
          <w:color w:val="000000"/>
        </w:rPr>
      </w:pPr>
      <w:r>
        <w:rPr>
          <w:rFonts w:hint="eastAsia" w:ascii="宋体" w:hAnsi="宋体" w:cs="宋体"/>
          <w:color w:val="000000"/>
          <w:sz w:val="24"/>
          <w:szCs w:val="24"/>
          <w:lang w:bidi="ar"/>
        </w:rPr>
        <w:t xml:space="preserve">有关规定，拟享受中小企业政策优惠措施的，仍需提供本协议，否则不予认可； </w:t>
      </w:r>
      <w:r>
        <w:rPr>
          <w:color w:val="000000"/>
        </w:rPr>
      </w:r>
      <w:r/>
    </w:p>
    <w:p>
      <w:pPr>
        <w:pStyle w:val="745"/>
        <w:ind w:firstLine="480"/>
        <w:jc w:val="left"/>
        <w:spacing w:line="360" w:lineRule="auto"/>
        <w:widowControl/>
        <w:rPr>
          <w:color w:val="000000"/>
        </w:rPr>
      </w:pPr>
      <w:r>
        <w:rPr>
          <w:color w:val="000000"/>
          <w:sz w:val="24"/>
          <w:szCs w:val="24"/>
          <w:lang w:bidi="ar"/>
        </w:rPr>
        <w:t xml:space="preserve">3.</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rPr>
          <w:color w:val="000000"/>
        </w:rPr>
      </w:r>
      <w:r/>
    </w:p>
    <w:p>
      <w:pPr>
        <w:pStyle w:val="745"/>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4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45"/>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5"/>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r>
      <w:r/>
    </w:p>
    <w:p>
      <w:pPr>
        <w:pStyle w:val="745"/>
        <w:spacing w:line="360" w:lineRule="auto"/>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45"/>
        <w:spacing w:line="360" w:lineRule="auto"/>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45"/>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5"/>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5"/>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5"/>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5"/>
        <w:ind w:firstLine="480"/>
        <w:spacing w:line="360" w:lineRule="auto"/>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45"/>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Fonts w:ascii="宋体" w:hAnsi="宋体"/>
      </w:rPr>
      <w:framePr w:wrap="around" w:vAnchor="text" w:hAnchor="margin" w:xAlign="center" w:y="1"/>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３５</w:t>
    </w:r>
    <w:r>
      <w:rPr>
        <w:rFonts w:ascii="宋体" w:hAnsi="宋体"/>
      </w:rPr>
      <w:fldChar w:fldCharType="end"/>
    </w:r>
    <w:r>
      <w:rPr>
        <w:rStyle w:val="1012"/>
        <w:rFonts w:ascii="宋体" w:hAnsi="宋体"/>
      </w:rPr>
    </w:r>
    <w:r/>
  </w:p>
  <w:p>
    <w:pPr>
      <w:pStyle w:val="98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745"/>
        <w:ind w:left="907" w:hanging="907"/>
        <w:tabs>
          <w:tab w:val="num" w:pos="907" w:leader="none"/>
        </w:tabs>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5"/>
        <w:ind w:left="0" w:firstLine="0"/>
      </w:pPr>
      <w:rPr>
        <w:rFonts w:hint="eastAsia"/>
      </w:rPr>
    </w:lvl>
    <w:lvl w:ilvl="1">
      <w:start w:val="1"/>
      <w:numFmt w:val="decimal"/>
      <w:isLgl w:val="false"/>
      <w:suff w:val="nothing"/>
      <w:lvlText w:val="%2、"/>
      <w:lvlJc w:val="left"/>
      <w:pPr>
        <w:pStyle w:val="745"/>
        <w:ind w:left="0" w:firstLine="0"/>
      </w:pPr>
      <w:rPr>
        <w:rFonts w:hint="eastAsia"/>
      </w:rPr>
    </w:lvl>
    <w:lvl w:ilvl="2">
      <w:start w:val="1"/>
      <w:numFmt w:val="decimal"/>
      <w:isLgl w:val="false"/>
      <w:suff w:val="nothing"/>
      <w:lvlText w:val="%2.%3 "/>
      <w:lvlJc w:val="left"/>
      <w:pPr>
        <w:pStyle w:val="745"/>
        <w:ind w:left="0" w:firstLine="0"/>
      </w:pPr>
      <w:rPr>
        <w:rFonts w:hint="eastAsia"/>
      </w:rPr>
    </w:lvl>
    <w:lvl w:ilvl="3">
      <w:start w:val="1"/>
      <w:numFmt w:val="decimal"/>
      <w:isLgl w:val="false"/>
      <w:suff w:val="nothing"/>
      <w:lvlText w:val="%2.%3.%4 "/>
      <w:lvlJc w:val="left"/>
      <w:pPr>
        <w:pStyle w:val="745"/>
        <w:ind w:left="0" w:firstLine="0"/>
      </w:pPr>
      <w:rPr>
        <w:rFonts w:hint="eastAsia"/>
      </w:rPr>
    </w:lvl>
    <w:lvl w:ilvl="4">
      <w:start w:val="1"/>
      <w:numFmt w:val="decimal"/>
      <w:isLgl w:val="false"/>
      <w:suff w:val="nothing"/>
      <w:lvlText w:val="%2.%3.%4.%5 "/>
      <w:lvlJc w:val="left"/>
      <w:pPr>
        <w:pStyle w:val="745"/>
        <w:ind w:left="0" w:firstLine="0"/>
      </w:pPr>
      <w:rPr>
        <w:rFonts w:hint="eastAsia"/>
      </w:rPr>
    </w:lvl>
    <w:lvl w:ilvl="5">
      <w:start w:val="1"/>
      <w:numFmt w:val="decimal"/>
      <w:pStyle w:val="953"/>
      <w:isLgl w:val="false"/>
      <w:suff w:val="nothing"/>
      <w:lvlText w:val=""/>
      <w:lvlJc w:val="left"/>
      <w:pPr>
        <w:pStyle w:val="745"/>
        <w:ind w:left="0" w:firstLine="0"/>
      </w:pPr>
      <w:rPr>
        <w:rFonts w:hint="eastAsia"/>
      </w:rPr>
    </w:lvl>
    <w:lvl w:ilvl="6">
      <w:start w:val="1"/>
      <w:numFmt w:val="decimal"/>
      <w:pStyle w:val="955"/>
      <w:isLgl w:val="false"/>
      <w:suff w:val="nothing"/>
      <w:lvlText w:val=""/>
      <w:lvlJc w:val="left"/>
      <w:pPr>
        <w:pStyle w:val="745"/>
        <w:ind w:left="0" w:firstLine="0"/>
      </w:pPr>
      <w:rPr>
        <w:rFonts w:hint="eastAsia"/>
      </w:rPr>
    </w:lvl>
    <w:lvl w:ilvl="7">
      <w:start w:val="1"/>
      <w:numFmt w:val="decimal"/>
      <w:pStyle w:val="957"/>
      <w:isLgl w:val="false"/>
      <w:suff w:val="nothing"/>
      <w:lvlText w:val=""/>
      <w:lvlJc w:val="left"/>
      <w:pPr>
        <w:pStyle w:val="745"/>
        <w:ind w:left="0" w:firstLine="0"/>
      </w:pPr>
      <w:rPr>
        <w:rFonts w:hint="eastAsia"/>
      </w:rPr>
    </w:lvl>
    <w:lvl w:ilvl="8">
      <w:start w:val="1"/>
      <w:numFmt w:val="decimal"/>
      <w:pStyle w:val="959"/>
      <w:isLgl w:val="false"/>
      <w:suff w:val="nothing"/>
      <w:lvlText w:val=""/>
      <w:lvlJc w:val="left"/>
      <w:pPr>
        <w:pStyle w:val="745"/>
        <w:ind w:left="0" w:firstLine="0"/>
      </w:pPr>
      <w:rPr>
        <w:rFonts w:hint="eastAsia"/>
      </w:rPr>
    </w:lvl>
  </w:abstractNum>
  <w:abstractNum w:abstractNumId="3">
    <w:multiLevelType w:val="hybridMultilevel"/>
    <w:lvl w:ilvl="0">
      <w:start w:val="2"/>
      <w:numFmt w:val="decimal"/>
      <w:isLgl w:val="false"/>
      <w:suff w:val="tab"/>
      <w:lvlText w:val="%1."/>
      <w:lvlJc w:val="left"/>
      <w:pPr>
        <w:pStyle w:val="7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7"/>
      <w:isLgl w:val="false"/>
      <w:suff w:val="tab"/>
      <w:lvlText w:val="%1."/>
      <w:lvlJc w:val="left"/>
      <w:pPr>
        <w:pStyle w:val="745"/>
        <w:ind w:left="709" w:hanging="709"/>
        <w:tabs>
          <w:tab w:val="num" w:pos="709" w:leader="none"/>
        </w:tabs>
      </w:pPr>
      <w:rPr>
        <w:rFonts w:hint="eastAsia"/>
      </w:rPr>
    </w:lvl>
    <w:lvl w:ilvl="1">
      <w:start w:val="1"/>
      <w:numFmt w:val="decimal"/>
      <w:isLgl w:val="false"/>
      <w:suff w:val="tab"/>
      <w:lvlText w:val="%1.%2"/>
      <w:lvlJc w:val="left"/>
      <w:pPr>
        <w:pStyle w:val="745"/>
        <w:ind w:left="709" w:hanging="709"/>
        <w:tabs>
          <w:tab w:val="num" w:pos="709" w:leader="none"/>
        </w:tabs>
      </w:pPr>
      <w:rPr>
        <w:rFonts w:hint="eastAsia"/>
      </w:rPr>
    </w:lvl>
    <w:lvl w:ilvl="2">
      <w:start w:val="1"/>
      <w:numFmt w:val="decimal"/>
      <w:isLgl w:val="false"/>
      <w:suff w:val="tab"/>
      <w:lvlText w:val="%1.%2.%3."/>
      <w:lvlJc w:val="left"/>
      <w:pPr>
        <w:pStyle w:val="745"/>
        <w:ind w:left="425" w:hanging="425"/>
        <w:tabs>
          <w:tab w:val="num" w:pos="425" w:leader="none"/>
        </w:tabs>
      </w:pPr>
      <w:rPr>
        <w:rFonts w:hint="eastAsia"/>
      </w:rPr>
    </w:lvl>
    <w:lvl w:ilvl="3">
      <w:start w:val="1"/>
      <w:numFmt w:val="decimal"/>
      <w:isLgl w:val="false"/>
      <w:suff w:val="tab"/>
      <w:lvlText w:val="%1.%2.%3.%4."/>
      <w:lvlJc w:val="left"/>
      <w:pPr>
        <w:pStyle w:val="745"/>
        <w:ind w:left="851" w:hanging="851"/>
        <w:tabs>
          <w:tab w:val="num" w:pos="851" w:leader="none"/>
        </w:tabs>
      </w:pPr>
      <w:rPr>
        <w:rFonts w:hint="eastAsia"/>
      </w:rPr>
    </w:lvl>
    <w:lvl w:ilvl="4">
      <w:start w:val="1"/>
      <w:numFmt w:val="decimal"/>
      <w:isLgl w:val="false"/>
      <w:suff w:val="tab"/>
      <w:lvlText w:val="%1.%2.%3.%4.%5."/>
      <w:lvlJc w:val="left"/>
      <w:pPr>
        <w:pStyle w:val="745"/>
        <w:ind w:left="992" w:hanging="992"/>
        <w:tabs>
          <w:tab w:val="num" w:pos="992" w:leader="none"/>
        </w:tabs>
      </w:pPr>
      <w:rPr>
        <w:rFonts w:hint="eastAsia"/>
      </w:rPr>
    </w:lvl>
    <w:lvl w:ilvl="5">
      <w:start w:val="1"/>
      <w:numFmt w:val="decimal"/>
      <w:isLgl w:val="false"/>
      <w:suff w:val="tab"/>
      <w:lvlText w:val="%1.%2.%3.%4.%5.%6."/>
      <w:lvlJc w:val="left"/>
      <w:pPr>
        <w:pStyle w:val="745"/>
        <w:ind w:left="1134" w:hanging="1134"/>
        <w:tabs>
          <w:tab w:val="num" w:pos="1134" w:leader="none"/>
        </w:tabs>
      </w:pPr>
      <w:rPr>
        <w:rFonts w:hint="eastAsia"/>
      </w:rPr>
    </w:lvl>
    <w:lvl w:ilvl="6">
      <w:start w:val="1"/>
      <w:numFmt w:val="decimal"/>
      <w:isLgl w:val="false"/>
      <w:suff w:val="tab"/>
      <w:lvlText w:val="%1.%2.%3.%4.%5.%6.%7."/>
      <w:lvlJc w:val="left"/>
      <w:pPr>
        <w:pStyle w:val="745"/>
        <w:ind w:left="1276" w:hanging="1276"/>
        <w:tabs>
          <w:tab w:val="num" w:pos="1276" w:leader="none"/>
        </w:tabs>
      </w:pPr>
      <w:rPr>
        <w:rFonts w:hint="eastAsia"/>
      </w:rPr>
    </w:lvl>
    <w:lvl w:ilvl="7">
      <w:start w:val="1"/>
      <w:numFmt w:val="decimal"/>
      <w:isLgl w:val="false"/>
      <w:suff w:val="tab"/>
      <w:lvlText w:val="%1.%2.%3.%4.%5.%6.%7.%8."/>
      <w:lvlJc w:val="left"/>
      <w:pPr>
        <w:pStyle w:val="745"/>
        <w:ind w:left="1418" w:hanging="1418"/>
        <w:tabs>
          <w:tab w:val="num" w:pos="1418" w:leader="none"/>
        </w:tabs>
      </w:pPr>
      <w:rPr>
        <w:rFonts w:hint="eastAsia"/>
      </w:rPr>
    </w:lvl>
    <w:lvl w:ilvl="8">
      <w:start w:val="1"/>
      <w:numFmt w:val="decimal"/>
      <w:isLgl w:val="false"/>
      <w:suff w:val="tab"/>
      <w:lvlText w:val="%1.%2.%3.%4.%5.%6.%7.%8.%9."/>
      <w:lvlJc w:val="left"/>
      <w:pPr>
        <w:pStyle w:val="745"/>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5"/>
    <w:next w:val="745"/>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5"/>
    <w:next w:val="745"/>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5"/>
    <w:next w:val="745"/>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5"/>
    <w:next w:val="745"/>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5"/>
    <w:next w:val="745"/>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5"/>
    <w:next w:val="745"/>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5"/>
    <w:next w:val="745"/>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5"/>
    <w:next w:val="745"/>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5"/>
    <w:next w:val="745"/>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5"/>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5"/>
    <w:next w:val="745"/>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5"/>
    <w:next w:val="745"/>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5"/>
    <w:next w:val="745"/>
    <w:link w:val="718"/>
    <w:uiPriority w:val="29"/>
    <w:qFormat/>
    <w:pPr>
      <w:ind w:left="720" w:right="720"/>
    </w:pPr>
    <w:rPr>
      <w:i/>
    </w:rPr>
  </w:style>
  <w:style w:type="character" w:styleId="718">
    <w:name w:val="Quote Char"/>
    <w:link w:val="717"/>
    <w:uiPriority w:val="29"/>
    <w:rPr>
      <w:i/>
    </w:rPr>
  </w:style>
  <w:style w:type="paragraph" w:styleId="719">
    <w:name w:val="Intense Quote"/>
    <w:basedOn w:val="745"/>
    <w:next w:val="74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5"/>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5"/>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45"/>
    <w:next w:val="745"/>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45"/>
    <w:link w:val="730"/>
    <w:uiPriority w:val="99"/>
    <w:semiHidden/>
    <w:unhideWhenUsed/>
    <w:pPr>
      <w:spacing w:after="40" w:line="240" w:lineRule="auto"/>
    </w:pPr>
    <w:rPr>
      <w:sz w:val="18"/>
    </w:rPr>
  </w:style>
  <w:style w:type="character" w:styleId="730">
    <w:name w:val="Footnote Text Char"/>
    <w:link w:val="729"/>
    <w:uiPriority w:val="99"/>
    <w:rPr>
      <w:sz w:val="18"/>
    </w:rPr>
  </w:style>
  <w:style w:type="character" w:styleId="731">
    <w:name w:val="footnote reference"/>
    <w:uiPriority w:val="99"/>
    <w:unhideWhenUsed/>
    <w:rPr>
      <w:vertAlign w:val="superscript"/>
    </w:rPr>
  </w:style>
  <w:style w:type="paragraph" w:styleId="732">
    <w:name w:val="endnote text"/>
    <w:basedOn w:val="745"/>
    <w:link w:val="733"/>
    <w:uiPriority w:val="99"/>
    <w:semiHidden/>
    <w:unhideWhenUsed/>
    <w:pPr>
      <w:spacing w:after="0" w:line="240" w:lineRule="auto"/>
    </w:pPr>
    <w:rPr>
      <w:sz w:val="20"/>
    </w:rPr>
  </w:style>
  <w:style w:type="character" w:styleId="733">
    <w:name w:val="Endnote Text Char"/>
    <w:link w:val="732"/>
    <w:uiPriority w:val="99"/>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sz w:val="21"/>
      <w:szCs w:val="21"/>
      <w:lang w:val="en-US" w:eastAsia="zh-CN" w:bidi="ar-SA"/>
    </w:rPr>
  </w:style>
  <w:style w:type="paragraph" w:styleId="746">
    <w:name w:val="标题 1"/>
    <w:basedOn w:val="745"/>
    <w:next w:val="745"/>
    <w:link w:val="757"/>
    <w:uiPriority w:val="9"/>
    <w:qFormat/>
    <w:pPr>
      <w:keepLines/>
      <w:keepNext/>
      <w:spacing w:before="480" w:after="200"/>
      <w:outlineLvl w:val="0"/>
    </w:pPr>
    <w:rPr>
      <w:rFonts w:ascii="Arial" w:hAnsi="Arial" w:eastAsia="Arial" w:cs="Arial"/>
      <w:sz w:val="40"/>
      <w:szCs w:val="40"/>
    </w:rPr>
  </w:style>
  <w:style w:type="paragraph" w:styleId="747">
    <w:name w:val="标题 2"/>
    <w:basedOn w:val="745"/>
    <w:next w:val="745"/>
    <w:link w:val="758"/>
    <w:uiPriority w:val="9"/>
    <w:qFormat/>
    <w:pPr>
      <w:keepLines/>
      <w:keepNext/>
      <w:spacing w:before="360" w:after="200"/>
      <w:outlineLvl w:val="1"/>
    </w:pPr>
    <w:rPr>
      <w:rFonts w:ascii="Arial" w:hAnsi="Arial" w:eastAsia="Arial" w:cs="Arial"/>
      <w:sz w:val="34"/>
    </w:rPr>
  </w:style>
  <w:style w:type="paragraph" w:styleId="748">
    <w:name w:val="标题 3"/>
    <w:basedOn w:val="745"/>
    <w:next w:val="760"/>
    <w:link w:val="759"/>
    <w:uiPriority w:val="9"/>
    <w:qFormat/>
    <w:pPr>
      <w:keepLines/>
      <w:keepNext/>
      <w:spacing w:before="320" w:after="200"/>
      <w:outlineLvl w:val="2"/>
    </w:pPr>
    <w:rPr>
      <w:rFonts w:ascii="Arial" w:hAnsi="Arial" w:eastAsia="Arial" w:cs="Arial"/>
      <w:sz w:val="30"/>
      <w:szCs w:val="30"/>
    </w:rPr>
  </w:style>
  <w:style w:type="paragraph" w:styleId="749">
    <w:name w:val="标题 4"/>
    <w:basedOn w:val="745"/>
    <w:next w:val="760"/>
    <w:link w:val="761"/>
    <w:uiPriority w:val="9"/>
    <w:qFormat/>
    <w:pPr>
      <w:keepLines/>
      <w:keepNext/>
      <w:spacing w:before="320" w:after="200"/>
      <w:outlineLvl w:val="3"/>
    </w:pPr>
    <w:rPr>
      <w:rFonts w:ascii="Arial" w:hAnsi="Arial" w:eastAsia="Arial" w:cs="Arial"/>
      <w:b/>
      <w:bCs/>
      <w:sz w:val="26"/>
      <w:szCs w:val="26"/>
    </w:rPr>
  </w:style>
  <w:style w:type="paragraph" w:styleId="750">
    <w:name w:val="标题 5"/>
    <w:basedOn w:val="745"/>
    <w:next w:val="745"/>
    <w:link w:val="762"/>
    <w:uiPriority w:val="9"/>
    <w:qFormat/>
    <w:pPr>
      <w:keepLines/>
      <w:keepNext/>
      <w:spacing w:before="320" w:after="200"/>
      <w:outlineLvl w:val="4"/>
    </w:pPr>
    <w:rPr>
      <w:rFonts w:ascii="Arial" w:hAnsi="Arial" w:eastAsia="Arial" w:cs="Arial"/>
      <w:b/>
      <w:bCs/>
      <w:sz w:val="24"/>
      <w:szCs w:val="24"/>
    </w:rPr>
  </w:style>
  <w:style w:type="paragraph" w:styleId="751">
    <w:name w:val="标题 6"/>
    <w:basedOn w:val="745"/>
    <w:next w:val="745"/>
    <w:link w:val="763"/>
    <w:uiPriority w:val="9"/>
    <w:qFormat/>
    <w:pPr>
      <w:keepLines/>
      <w:keepNext/>
      <w:spacing w:before="320" w:after="200"/>
      <w:outlineLvl w:val="5"/>
    </w:pPr>
    <w:rPr>
      <w:rFonts w:ascii="Arial" w:hAnsi="Arial" w:eastAsia="Arial" w:cs="Arial"/>
      <w:b/>
      <w:bCs/>
      <w:sz w:val="22"/>
      <w:szCs w:val="22"/>
    </w:rPr>
  </w:style>
  <w:style w:type="paragraph" w:styleId="752">
    <w:name w:val="标题 7"/>
    <w:basedOn w:val="745"/>
    <w:next w:val="745"/>
    <w:link w:val="764"/>
    <w:uiPriority w:val="9"/>
    <w:qFormat/>
    <w:pPr>
      <w:keepLines/>
      <w:keepNext/>
      <w:spacing w:before="320" w:after="200"/>
      <w:outlineLvl w:val="6"/>
    </w:pPr>
    <w:rPr>
      <w:rFonts w:ascii="Arial" w:hAnsi="Arial" w:eastAsia="Arial" w:cs="Arial"/>
      <w:b/>
      <w:bCs/>
      <w:i/>
      <w:iCs/>
      <w:sz w:val="22"/>
      <w:szCs w:val="22"/>
    </w:rPr>
  </w:style>
  <w:style w:type="paragraph" w:styleId="753">
    <w:name w:val="标题 8"/>
    <w:basedOn w:val="745"/>
    <w:next w:val="745"/>
    <w:link w:val="765"/>
    <w:uiPriority w:val="9"/>
    <w:qFormat/>
    <w:pPr>
      <w:keepLines/>
      <w:keepNext/>
      <w:spacing w:before="320" w:after="200"/>
      <w:outlineLvl w:val="7"/>
    </w:pPr>
    <w:rPr>
      <w:rFonts w:ascii="Arial" w:hAnsi="Arial" w:eastAsia="Arial" w:cs="Arial"/>
      <w:i/>
      <w:iCs/>
      <w:sz w:val="22"/>
      <w:szCs w:val="22"/>
    </w:rPr>
  </w:style>
  <w:style w:type="paragraph" w:styleId="754">
    <w:name w:val="标题 9"/>
    <w:basedOn w:val="745"/>
    <w:next w:val="745"/>
    <w:link w:val="766"/>
    <w:uiPriority w:val="9"/>
    <w:qFormat/>
    <w:pPr>
      <w:keepLines/>
      <w:keepNext/>
      <w:spacing w:before="320" w:after="200"/>
      <w:outlineLvl w:val="8"/>
    </w:pPr>
    <w:rPr>
      <w:rFonts w:ascii="Arial" w:hAnsi="Arial" w:eastAsia="Arial" w:cs="Arial"/>
      <w:i/>
      <w:iCs/>
      <w:sz w:val="21"/>
      <w:szCs w:val="21"/>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标题 1 字符"/>
    <w:next w:val="757"/>
    <w:link w:val="746"/>
    <w:uiPriority w:val="9"/>
    <w:qFormat/>
    <w:rPr>
      <w:rFonts w:ascii="Arial" w:hAnsi="Arial" w:eastAsia="Arial" w:cs="Arial"/>
      <w:sz w:val="40"/>
      <w:szCs w:val="40"/>
    </w:rPr>
  </w:style>
  <w:style w:type="character" w:styleId="758">
    <w:name w:val="标题 2 字符"/>
    <w:next w:val="758"/>
    <w:link w:val="747"/>
    <w:uiPriority w:val="9"/>
    <w:qFormat/>
    <w:rPr>
      <w:rFonts w:ascii="Arial" w:hAnsi="Arial" w:eastAsia="Arial" w:cs="Arial"/>
      <w:sz w:val="34"/>
    </w:rPr>
  </w:style>
  <w:style w:type="character" w:styleId="759">
    <w:name w:val="标题 3 字符"/>
    <w:next w:val="759"/>
    <w:link w:val="748"/>
    <w:uiPriority w:val="9"/>
    <w:qFormat/>
    <w:rPr>
      <w:rFonts w:ascii="Arial" w:hAnsi="Arial" w:eastAsia="Arial" w:cs="Arial"/>
      <w:sz w:val="30"/>
      <w:szCs w:val="30"/>
    </w:rPr>
  </w:style>
  <w:style w:type="paragraph" w:styleId="760">
    <w:name w:val="正文缩进"/>
    <w:basedOn w:val="745"/>
    <w:next w:val="760"/>
    <w:link w:val="745"/>
    <w:qFormat/>
    <w:pPr>
      <w:ind w:firstLine="420"/>
    </w:pPr>
  </w:style>
  <w:style w:type="character" w:styleId="761">
    <w:name w:val="标题 4 字符"/>
    <w:next w:val="761"/>
    <w:link w:val="749"/>
    <w:uiPriority w:val="9"/>
    <w:qFormat/>
    <w:rPr>
      <w:rFonts w:ascii="Arial" w:hAnsi="Arial" w:eastAsia="Arial" w:cs="Arial"/>
      <w:b/>
      <w:bCs/>
      <w:sz w:val="26"/>
      <w:szCs w:val="26"/>
    </w:rPr>
  </w:style>
  <w:style w:type="character" w:styleId="762">
    <w:name w:val="标题 5 字符"/>
    <w:next w:val="762"/>
    <w:link w:val="750"/>
    <w:uiPriority w:val="9"/>
    <w:qFormat/>
    <w:rPr>
      <w:rFonts w:ascii="Arial" w:hAnsi="Arial" w:eastAsia="Arial" w:cs="Arial"/>
      <w:b/>
      <w:bCs/>
      <w:sz w:val="24"/>
      <w:szCs w:val="24"/>
    </w:rPr>
  </w:style>
  <w:style w:type="character" w:styleId="763">
    <w:name w:val="标题 6 字符"/>
    <w:next w:val="763"/>
    <w:link w:val="751"/>
    <w:uiPriority w:val="9"/>
    <w:qFormat/>
    <w:rPr>
      <w:rFonts w:ascii="Arial" w:hAnsi="Arial" w:eastAsia="Arial" w:cs="Arial"/>
      <w:b/>
      <w:bCs/>
      <w:sz w:val="22"/>
      <w:szCs w:val="22"/>
    </w:rPr>
  </w:style>
  <w:style w:type="character" w:styleId="764">
    <w:name w:val="标题 7 字符"/>
    <w:next w:val="764"/>
    <w:link w:val="752"/>
    <w:uiPriority w:val="9"/>
    <w:qFormat/>
    <w:rPr>
      <w:rFonts w:ascii="Arial" w:hAnsi="Arial" w:eastAsia="Arial" w:cs="Arial"/>
      <w:b/>
      <w:bCs/>
      <w:i/>
      <w:iCs/>
      <w:sz w:val="22"/>
      <w:szCs w:val="22"/>
    </w:rPr>
  </w:style>
  <w:style w:type="character" w:styleId="765">
    <w:name w:val="标题 8 字符"/>
    <w:next w:val="765"/>
    <w:link w:val="753"/>
    <w:uiPriority w:val="9"/>
    <w:qFormat/>
    <w:rPr>
      <w:rFonts w:ascii="Arial" w:hAnsi="Arial" w:eastAsia="Arial" w:cs="Arial"/>
      <w:i/>
      <w:iCs/>
      <w:sz w:val="22"/>
      <w:szCs w:val="22"/>
    </w:rPr>
  </w:style>
  <w:style w:type="character" w:styleId="766">
    <w:name w:val="标题 9 字符"/>
    <w:next w:val="766"/>
    <w:link w:val="754"/>
    <w:uiPriority w:val="9"/>
    <w:qFormat/>
    <w:rPr>
      <w:rFonts w:ascii="Arial" w:hAnsi="Arial" w:eastAsia="Arial" w:cs="Arial"/>
      <w:i/>
      <w:iCs/>
      <w:sz w:val="21"/>
      <w:szCs w:val="21"/>
    </w:rPr>
  </w:style>
  <w:style w:type="paragraph" w:styleId="767">
    <w:name w:val="目录 7"/>
    <w:basedOn w:val="745"/>
    <w:next w:val="745"/>
    <w:link w:val="745"/>
    <w:uiPriority w:val="39"/>
    <w:unhideWhenUsed/>
    <w:qFormat/>
    <w:pPr>
      <w:ind w:left="1701" w:right="0" w:firstLine="0"/>
      <w:spacing w:after="57"/>
    </w:pPr>
  </w:style>
  <w:style w:type="paragraph" w:styleId="768">
    <w:name w:val="题注"/>
    <w:basedOn w:val="745"/>
    <w:next w:val="745"/>
    <w:link w:val="745"/>
    <w:uiPriority w:val="35"/>
    <w:qFormat/>
    <w:pPr>
      <w:spacing w:line="276" w:lineRule="auto"/>
    </w:pPr>
    <w:rPr>
      <w:b/>
      <w:bCs/>
      <w:color w:val="4f81bd"/>
      <w:sz w:val="18"/>
      <w:szCs w:val="18"/>
    </w:rPr>
  </w:style>
  <w:style w:type="paragraph" w:styleId="769">
    <w:name w:val="批注文字"/>
    <w:basedOn w:val="745"/>
    <w:next w:val="769"/>
    <w:link w:val="745"/>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70">
    <w:name w:val="正文文本"/>
    <w:basedOn w:val="745"/>
    <w:next w:val="770"/>
    <w:link w:val="745"/>
    <w:uiPriority w:val="1"/>
    <w:qFormat/>
    <w:pPr>
      <w:ind w:left="120"/>
    </w:pPr>
    <w:rPr>
      <w:rFonts w:ascii="宋体" w:hAnsi="宋体" w:eastAsia="宋体" w:cs="宋体"/>
      <w:sz w:val="21"/>
      <w:szCs w:val="21"/>
      <w:lang w:val="zh-CN" w:eastAsia="zh-CN" w:bidi="zh-CN"/>
    </w:rPr>
  </w:style>
  <w:style w:type="paragraph" w:styleId="771">
    <w:name w:val="正文文本缩进"/>
    <w:basedOn w:val="745"/>
    <w:next w:val="772"/>
    <w:link w:val="745"/>
    <w:unhideWhenUsed/>
    <w:qFormat/>
    <w:pPr>
      <w:ind w:left="420"/>
      <w:spacing w:after="120"/>
    </w:pPr>
  </w:style>
  <w:style w:type="paragraph" w:styleId="772">
    <w:name w:val="寄信人地址"/>
    <w:basedOn w:val="745"/>
    <w:next w:val="772"/>
    <w:link w:val="745"/>
    <w:qFormat/>
    <w:rPr>
      <w:rFonts w:ascii="Arial" w:hAnsi="Arial" w:eastAsia="宋体" w:cs="宋体"/>
    </w:rPr>
  </w:style>
  <w:style w:type="paragraph" w:styleId="773">
    <w:name w:val="目录 5"/>
    <w:basedOn w:val="745"/>
    <w:next w:val="745"/>
    <w:link w:val="745"/>
    <w:uiPriority w:val="39"/>
    <w:unhideWhenUsed/>
    <w:qFormat/>
    <w:pPr>
      <w:ind w:left="1134" w:right="0" w:firstLine="0"/>
      <w:spacing w:after="57"/>
    </w:pPr>
  </w:style>
  <w:style w:type="paragraph" w:styleId="774">
    <w:name w:val="目录 3"/>
    <w:basedOn w:val="745"/>
    <w:next w:val="745"/>
    <w:link w:val="745"/>
    <w:uiPriority w:val="39"/>
    <w:unhideWhenUsed/>
    <w:qFormat/>
    <w:pPr>
      <w:ind w:left="567" w:right="0" w:firstLine="0"/>
      <w:spacing w:after="57"/>
    </w:pPr>
  </w:style>
  <w:style w:type="paragraph" w:styleId="775">
    <w:name w:val="纯文本"/>
    <w:basedOn w:val="745"/>
    <w:next w:val="775"/>
    <w:link w:val="745"/>
    <w:qFormat/>
    <w:rPr>
      <w:rFonts w:ascii="宋体" w:hAnsi="Courier New" w:cs="Courier New"/>
    </w:rPr>
  </w:style>
  <w:style w:type="paragraph" w:styleId="776">
    <w:name w:val="目录 8"/>
    <w:basedOn w:val="745"/>
    <w:next w:val="745"/>
    <w:link w:val="745"/>
    <w:uiPriority w:val="39"/>
    <w:unhideWhenUsed/>
    <w:qFormat/>
    <w:pPr>
      <w:ind w:left="1984" w:right="0" w:firstLine="0"/>
      <w:spacing w:after="57"/>
    </w:pPr>
  </w:style>
  <w:style w:type="paragraph" w:styleId="777">
    <w:name w:val="尾注文本"/>
    <w:basedOn w:val="745"/>
    <w:next w:val="777"/>
    <w:link w:val="778"/>
    <w:uiPriority w:val="99"/>
    <w:unhideWhenUsed/>
    <w:qFormat/>
    <w:pPr>
      <w:spacing w:after="0" w:line="240" w:lineRule="auto"/>
    </w:pPr>
    <w:rPr>
      <w:sz w:val="20"/>
    </w:rPr>
  </w:style>
  <w:style w:type="character" w:styleId="778">
    <w:name w:val="尾注文本 字符"/>
    <w:next w:val="778"/>
    <w:link w:val="777"/>
    <w:uiPriority w:val="99"/>
    <w:qFormat/>
    <w:rPr>
      <w:sz w:val="20"/>
    </w:rPr>
  </w:style>
  <w:style w:type="paragraph" w:styleId="779">
    <w:name w:val="页脚"/>
    <w:basedOn w:val="745"/>
    <w:next w:val="779"/>
    <w:link w:val="780"/>
    <w:uiPriority w:val="99"/>
    <w:unhideWhenUsed/>
    <w:qFormat/>
    <w:pPr>
      <w:spacing w:after="0" w:line="240" w:lineRule="auto"/>
      <w:tabs>
        <w:tab w:val="center" w:pos="7143" w:leader="none"/>
        <w:tab w:val="right" w:pos="14287" w:leader="none"/>
      </w:tabs>
    </w:pPr>
  </w:style>
  <w:style w:type="character" w:styleId="780">
    <w:name w:val="页脚 字符1"/>
    <w:next w:val="780"/>
    <w:link w:val="779"/>
    <w:uiPriority w:val="99"/>
    <w:qFormat/>
  </w:style>
  <w:style w:type="paragraph" w:styleId="781">
    <w:name w:val="页眉"/>
    <w:basedOn w:val="745"/>
    <w:next w:val="781"/>
    <w:link w:val="782"/>
    <w:uiPriority w:val="99"/>
    <w:unhideWhenUsed/>
    <w:qFormat/>
    <w:pPr>
      <w:spacing w:after="0" w:line="240" w:lineRule="auto"/>
      <w:tabs>
        <w:tab w:val="center" w:pos="7143" w:leader="none"/>
        <w:tab w:val="right" w:pos="14287" w:leader="none"/>
      </w:tabs>
    </w:pPr>
  </w:style>
  <w:style w:type="character" w:styleId="782">
    <w:name w:val="页眉 字符"/>
    <w:next w:val="782"/>
    <w:link w:val="781"/>
    <w:uiPriority w:val="99"/>
    <w:qFormat/>
  </w:style>
  <w:style w:type="paragraph" w:styleId="783">
    <w:name w:val="目录 1"/>
    <w:basedOn w:val="745"/>
    <w:next w:val="745"/>
    <w:link w:val="745"/>
    <w:uiPriority w:val="39"/>
    <w:unhideWhenUsed/>
    <w:qFormat/>
    <w:pPr>
      <w:ind w:left="0" w:right="0" w:firstLine="0"/>
      <w:spacing w:after="57"/>
    </w:pPr>
  </w:style>
  <w:style w:type="paragraph" w:styleId="784">
    <w:name w:val="目录 4"/>
    <w:basedOn w:val="745"/>
    <w:next w:val="745"/>
    <w:link w:val="745"/>
    <w:uiPriority w:val="39"/>
    <w:unhideWhenUsed/>
    <w:qFormat/>
    <w:pPr>
      <w:ind w:left="850" w:right="0" w:firstLine="0"/>
      <w:spacing w:after="57"/>
    </w:pPr>
  </w:style>
  <w:style w:type="paragraph" w:styleId="785">
    <w:name w:val="副标题"/>
    <w:basedOn w:val="745"/>
    <w:next w:val="745"/>
    <w:link w:val="786"/>
    <w:uiPriority w:val="11"/>
    <w:qFormat/>
    <w:pPr>
      <w:spacing w:before="200" w:after="200"/>
    </w:pPr>
    <w:rPr>
      <w:sz w:val="24"/>
      <w:szCs w:val="24"/>
    </w:rPr>
  </w:style>
  <w:style w:type="character" w:styleId="786">
    <w:name w:val="副标题 字符"/>
    <w:next w:val="786"/>
    <w:link w:val="785"/>
    <w:uiPriority w:val="11"/>
    <w:qFormat/>
    <w:rPr>
      <w:sz w:val="24"/>
      <w:szCs w:val="24"/>
    </w:rPr>
  </w:style>
  <w:style w:type="paragraph" w:styleId="787">
    <w:name w:val="脚注文本"/>
    <w:basedOn w:val="745"/>
    <w:next w:val="787"/>
    <w:link w:val="788"/>
    <w:uiPriority w:val="99"/>
    <w:unhideWhenUsed/>
    <w:qFormat/>
    <w:pPr>
      <w:spacing w:after="40" w:line="240" w:lineRule="auto"/>
    </w:pPr>
    <w:rPr>
      <w:sz w:val="18"/>
    </w:rPr>
  </w:style>
  <w:style w:type="character" w:styleId="788">
    <w:name w:val="脚注文本 字符"/>
    <w:next w:val="788"/>
    <w:link w:val="787"/>
    <w:uiPriority w:val="99"/>
    <w:qFormat/>
    <w:rPr>
      <w:sz w:val="18"/>
    </w:rPr>
  </w:style>
  <w:style w:type="paragraph" w:styleId="789">
    <w:name w:val="目录 6"/>
    <w:basedOn w:val="745"/>
    <w:next w:val="745"/>
    <w:link w:val="745"/>
    <w:uiPriority w:val="39"/>
    <w:unhideWhenUsed/>
    <w:qFormat/>
    <w:pPr>
      <w:ind w:left="1417" w:right="0" w:firstLine="0"/>
      <w:spacing w:after="57"/>
    </w:pPr>
  </w:style>
  <w:style w:type="paragraph" w:styleId="790">
    <w:name w:val="图表目录"/>
    <w:basedOn w:val="745"/>
    <w:next w:val="745"/>
    <w:link w:val="745"/>
    <w:uiPriority w:val="99"/>
    <w:unhideWhenUsed/>
    <w:qFormat/>
    <w:pPr>
      <w:spacing w:after="0" w:afterAutospacing="0"/>
    </w:pPr>
  </w:style>
  <w:style w:type="paragraph" w:styleId="791">
    <w:name w:val="目录 2"/>
    <w:basedOn w:val="745"/>
    <w:next w:val="745"/>
    <w:link w:val="745"/>
    <w:uiPriority w:val="39"/>
    <w:unhideWhenUsed/>
    <w:qFormat/>
    <w:pPr>
      <w:ind w:left="283" w:right="0" w:firstLine="0"/>
      <w:spacing w:after="57"/>
    </w:pPr>
  </w:style>
  <w:style w:type="paragraph" w:styleId="792">
    <w:name w:val="目录 9"/>
    <w:basedOn w:val="745"/>
    <w:next w:val="745"/>
    <w:link w:val="745"/>
    <w:uiPriority w:val="39"/>
    <w:unhideWhenUsed/>
    <w:qFormat/>
    <w:pPr>
      <w:ind w:left="2268" w:right="0" w:firstLine="0"/>
      <w:spacing w:after="57"/>
    </w:pPr>
  </w:style>
  <w:style w:type="paragraph" w:styleId="793">
    <w:name w:val="普通(网站)"/>
    <w:basedOn w:val="745"/>
    <w:next w:val="793"/>
    <w:link w:val="745"/>
    <w:uiPriority w:val="99"/>
    <w:qFormat/>
    <w:pPr>
      <w:jc w:val="left"/>
      <w:spacing w:before="100" w:beforeAutospacing="1" w:after="100" w:afterAutospacing="1"/>
      <w:widowControl/>
    </w:pPr>
    <w:rPr>
      <w:rFonts w:ascii="宋体" w:hAnsi="宋体" w:cs="宋体"/>
      <w:sz w:val="24"/>
      <w:szCs w:val="24"/>
    </w:rPr>
  </w:style>
  <w:style w:type="paragraph" w:styleId="794">
    <w:name w:val="标题"/>
    <w:basedOn w:val="745"/>
    <w:next w:val="745"/>
    <w:link w:val="795"/>
    <w:uiPriority w:val="10"/>
    <w:qFormat/>
    <w:pPr>
      <w:contextualSpacing/>
      <w:spacing w:before="300" w:after="200"/>
    </w:pPr>
    <w:rPr>
      <w:sz w:val="48"/>
      <w:szCs w:val="48"/>
    </w:rPr>
  </w:style>
  <w:style w:type="character" w:styleId="795">
    <w:name w:val="标题 字符"/>
    <w:next w:val="795"/>
    <w:link w:val="794"/>
    <w:uiPriority w:val="10"/>
    <w:qFormat/>
    <w:rPr>
      <w:sz w:val="48"/>
      <w:szCs w:val="48"/>
    </w:rPr>
  </w:style>
  <w:style w:type="paragraph" w:styleId="796">
    <w:name w:val="正文首行缩进 2"/>
    <w:basedOn w:val="771"/>
    <w:next w:val="745"/>
    <w:link w:val="745"/>
    <w:qFormat/>
    <w:pPr>
      <w:ind w:left="0" w:firstLine="420"/>
      <w:spacing w:after="0" w:line="360" w:lineRule="auto"/>
    </w:pPr>
    <w:rPr>
      <w:rFonts w:ascii="宋体" w:hAnsi="宋体" w:eastAsia="宋体" w:cs="Times New Roman"/>
      <w:szCs w:val="20"/>
    </w:rPr>
  </w:style>
  <w:style w:type="table" w:styleId="797">
    <w:name w:val="网格型"/>
    <w:next w:val="797"/>
    <w:link w:val="745"/>
    <w:uiPriority w:val="39"/>
    <w:qFormat/>
    <w:rPr>
      <w:lang w:val="en-US" w:eastAsia="zh-CN" w:bidi="ar-SA"/>
    </w:rPr>
    <w:tblPr/>
  </w:style>
  <w:style w:type="character" w:styleId="798">
    <w:name w:val="尾注引用"/>
    <w:next w:val="798"/>
    <w:link w:val="745"/>
    <w:uiPriority w:val="99"/>
    <w:unhideWhenUsed/>
    <w:qFormat/>
    <w:rPr>
      <w:vertAlign w:val="superscript"/>
    </w:rPr>
  </w:style>
  <w:style w:type="character" w:styleId="799">
    <w:name w:val="页码"/>
    <w:next w:val="799"/>
    <w:link w:val="745"/>
    <w:qFormat/>
  </w:style>
  <w:style w:type="character" w:styleId="800">
    <w:name w:val="已访问的超链接"/>
    <w:next w:val="800"/>
    <w:link w:val="745"/>
    <w:qFormat/>
    <w:rPr>
      <w:color w:val="800080"/>
      <w:u w:val="single"/>
    </w:rPr>
  </w:style>
  <w:style w:type="character" w:styleId="801">
    <w:name w:val="超链接"/>
    <w:next w:val="801"/>
    <w:link w:val="745"/>
    <w:uiPriority w:val="99"/>
    <w:unhideWhenUsed/>
    <w:qFormat/>
    <w:rPr>
      <w:color w:val="0000ff"/>
      <w:u w:val="single"/>
    </w:rPr>
  </w:style>
  <w:style w:type="character" w:styleId="802">
    <w:name w:val="批注引用"/>
    <w:next w:val="802"/>
    <w:link w:val="745"/>
    <w:uiPriority w:val="99"/>
    <w:unhideWhenUsed/>
    <w:rPr>
      <w:sz w:val="21"/>
      <w:szCs w:val="21"/>
    </w:rPr>
  </w:style>
  <w:style w:type="character" w:styleId="803">
    <w:name w:val="脚注引用"/>
    <w:next w:val="803"/>
    <w:link w:val="745"/>
    <w:uiPriority w:val="99"/>
    <w:unhideWhenUsed/>
    <w:qFormat/>
    <w:rPr>
      <w:vertAlign w:val="superscript"/>
    </w:rPr>
  </w:style>
  <w:style w:type="character" w:styleId="804">
    <w:name w:val="页脚 字符"/>
    <w:next w:val="804"/>
    <w:link w:val="779"/>
    <w:uiPriority w:val="99"/>
    <w:qFormat/>
  </w:style>
  <w:style w:type="character" w:styleId="805">
    <w:name w:val="默认段落字体11"/>
    <w:next w:val="805"/>
    <w:link w:val="745"/>
    <w:uiPriority w:val="1"/>
    <w:unhideWhenUsed/>
    <w:qFormat/>
    <w:rPr>
      <w:sz w:val="21"/>
      <w:szCs w:val="21"/>
      <w:lang w:val="en-US" w:eastAsia="zh-CN" w:bidi="ar-SA"/>
    </w:rPr>
  </w:style>
  <w:style w:type="paragraph" w:styleId="806">
    <w:name w:val="正文1"/>
    <w:basedOn w:val="745"/>
    <w:next w:val="806"/>
    <w:link w:val="745"/>
    <w:qFormat/>
    <w:pPr>
      <w:ind w:left="350" w:firstLine="0"/>
    </w:pPr>
    <w:rPr>
      <w:rFonts w:cs="Times New Roman"/>
      <w:sz w:val="20"/>
      <w:szCs w:val="24"/>
    </w:rPr>
  </w:style>
  <w:style w:type="paragraph" w:styleId="807">
    <w:name w:val="索引 41"/>
    <w:basedOn w:val="745"/>
    <w:next w:val="745"/>
    <w:link w:val="745"/>
    <w:semiHidden/>
    <w:qFormat/>
    <w:pPr>
      <w:ind w:left="1260"/>
    </w:pPr>
    <w:rPr>
      <w:rFonts w:ascii="Calibri" w:hAnsi="Calibri" w:eastAsia="Calibri" w:cs="宋体"/>
      <w:sz w:val="20"/>
      <w:lang w:val="zh-CN"/>
    </w:rPr>
  </w:style>
  <w:style w:type="paragraph" w:styleId="808">
    <w:name w:val="正文文本121"/>
    <w:basedOn w:val="745"/>
    <w:next w:val="808"/>
    <w:link w:val="745"/>
    <w:qFormat/>
    <w:pPr>
      <w:ind w:left="120"/>
    </w:pPr>
    <w:rPr>
      <w:rFonts w:ascii="宋体" w:eastAsia="宋体" w:cs="宋体"/>
      <w:sz w:val="21"/>
      <w:szCs w:val="21"/>
      <w:lang w:val="zh-CN" w:eastAsia="zh-CN" w:bidi="zh-CN"/>
    </w:rPr>
  </w:style>
  <w:style w:type="paragraph" w:styleId="809">
    <w:name w:val="列表段落"/>
    <w:basedOn w:val="745"/>
    <w:next w:val="809"/>
    <w:link w:val="745"/>
    <w:uiPriority w:val="34"/>
    <w:qFormat/>
    <w:pPr>
      <w:contextualSpacing/>
      <w:ind w:left="720"/>
    </w:pPr>
  </w:style>
  <w:style w:type="paragraph" w:styleId="810">
    <w:name w:val="无间隔"/>
    <w:next w:val="810"/>
    <w:link w:val="745"/>
    <w:uiPriority w:val="1"/>
    <w:qFormat/>
    <w:rPr>
      <w:lang w:val="en-US" w:eastAsia="zh-CN" w:bidi="ar-SA"/>
    </w:rPr>
  </w:style>
  <w:style w:type="paragraph" w:styleId="811">
    <w:name w:val="引用"/>
    <w:basedOn w:val="745"/>
    <w:next w:val="745"/>
    <w:link w:val="812"/>
    <w:uiPriority w:val="29"/>
    <w:qFormat/>
    <w:pPr>
      <w:ind w:left="720" w:right="720"/>
    </w:pPr>
    <w:rPr>
      <w:i/>
    </w:rPr>
  </w:style>
  <w:style w:type="character" w:styleId="812">
    <w:name w:val="引用 字符"/>
    <w:next w:val="812"/>
    <w:link w:val="811"/>
    <w:uiPriority w:val="29"/>
    <w:qFormat/>
    <w:rPr>
      <w:i/>
    </w:rPr>
  </w:style>
  <w:style w:type="paragraph" w:styleId="813">
    <w:name w:val="明显引用"/>
    <w:basedOn w:val="745"/>
    <w:next w:val="745"/>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明显引用 字符"/>
    <w:next w:val="814"/>
    <w:link w:val="813"/>
    <w:uiPriority w:val="30"/>
    <w:qFormat/>
    <w:rPr>
      <w:i/>
    </w:rPr>
  </w:style>
  <w:style w:type="table" w:styleId="815">
    <w:name w:val="Table Grid Light"/>
    <w:next w:val="815"/>
    <w:link w:val="745"/>
    <w:uiPriority w:val="59"/>
    <w:qFormat/>
    <w:rPr>
      <w:lang w:val="en-US" w:eastAsia="zh-CN" w:bidi="ar-SA"/>
    </w:rPr>
    <w:tblPr/>
  </w:style>
  <w:style w:type="table" w:styleId="816">
    <w:name w:val="Plain Table 1"/>
    <w:next w:val="816"/>
    <w:link w:val="745"/>
    <w:uiPriority w:val="59"/>
    <w:qFormat/>
    <w:rPr>
      <w:lang w:val="en-US" w:eastAsia="zh-CN" w:bidi="ar-SA"/>
    </w:rPr>
    <w:tblPr/>
  </w:style>
  <w:style w:type="table" w:styleId="817">
    <w:name w:val="Plain Table 2"/>
    <w:next w:val="817"/>
    <w:link w:val="745"/>
    <w:uiPriority w:val="59"/>
    <w:qFormat/>
    <w:rPr>
      <w:lang w:val="en-US" w:eastAsia="zh-CN" w:bidi="ar-SA"/>
    </w:rPr>
    <w:tblPr/>
  </w:style>
  <w:style w:type="table" w:styleId="818">
    <w:name w:val="Plain Table 3"/>
    <w:next w:val="818"/>
    <w:link w:val="745"/>
    <w:uiPriority w:val="99"/>
    <w:qFormat/>
    <w:rPr>
      <w:lang w:val="en-US" w:eastAsia="zh-CN" w:bidi="ar-SA"/>
    </w:rPr>
    <w:tblPr/>
  </w:style>
  <w:style w:type="table" w:styleId="819">
    <w:name w:val="Plain Table 4"/>
    <w:next w:val="819"/>
    <w:link w:val="745"/>
    <w:uiPriority w:val="99"/>
    <w:qFormat/>
    <w:rPr>
      <w:lang w:val="en-US" w:eastAsia="zh-CN" w:bidi="ar-SA"/>
    </w:rPr>
    <w:tblPr/>
  </w:style>
  <w:style w:type="table" w:styleId="820">
    <w:name w:val="Plain Table 5"/>
    <w:next w:val="820"/>
    <w:link w:val="745"/>
    <w:uiPriority w:val="99"/>
    <w:qFormat/>
    <w:rPr>
      <w:lang w:val="en-US" w:eastAsia="zh-CN" w:bidi="ar-SA"/>
    </w:rPr>
    <w:tblPr/>
  </w:style>
  <w:style w:type="table" w:styleId="821">
    <w:name w:val="Grid Table 1 Light"/>
    <w:next w:val="821"/>
    <w:link w:val="745"/>
    <w:uiPriority w:val="99"/>
    <w:qFormat/>
    <w:rPr>
      <w:lang w:val="en-US" w:eastAsia="zh-CN" w:bidi="ar-SA"/>
    </w:rPr>
    <w:tblPr/>
  </w:style>
  <w:style w:type="table" w:styleId="822">
    <w:name w:val="Grid Table 1 Light - Accent 1"/>
    <w:next w:val="822"/>
    <w:link w:val="745"/>
    <w:uiPriority w:val="99"/>
    <w:qFormat/>
    <w:rPr>
      <w:lang w:val="en-US" w:eastAsia="zh-CN" w:bidi="ar-SA"/>
    </w:rPr>
    <w:tblPr/>
  </w:style>
  <w:style w:type="table" w:styleId="823">
    <w:name w:val="Grid Table 1 Light - Accent 2"/>
    <w:next w:val="823"/>
    <w:link w:val="745"/>
    <w:uiPriority w:val="99"/>
    <w:qFormat/>
    <w:rPr>
      <w:lang w:val="en-US" w:eastAsia="zh-CN" w:bidi="ar-SA"/>
    </w:rPr>
    <w:tblPr/>
  </w:style>
  <w:style w:type="table" w:styleId="824">
    <w:name w:val="Grid Table 1 Light - Accent 3"/>
    <w:next w:val="824"/>
    <w:link w:val="745"/>
    <w:uiPriority w:val="99"/>
    <w:qFormat/>
    <w:rPr>
      <w:lang w:val="en-US" w:eastAsia="zh-CN" w:bidi="ar-SA"/>
    </w:rPr>
    <w:tblPr/>
  </w:style>
  <w:style w:type="table" w:styleId="825">
    <w:name w:val="Grid Table 1 Light - Accent 4"/>
    <w:next w:val="825"/>
    <w:link w:val="745"/>
    <w:uiPriority w:val="99"/>
    <w:qFormat/>
    <w:rPr>
      <w:lang w:val="en-US" w:eastAsia="zh-CN" w:bidi="ar-SA"/>
    </w:rPr>
    <w:tblPr/>
  </w:style>
  <w:style w:type="table" w:styleId="826">
    <w:name w:val="Grid Table 1 Light - Accent 5"/>
    <w:next w:val="826"/>
    <w:link w:val="745"/>
    <w:uiPriority w:val="99"/>
    <w:qFormat/>
    <w:rPr>
      <w:lang w:val="en-US" w:eastAsia="zh-CN" w:bidi="ar-SA"/>
    </w:rPr>
    <w:tblPr/>
  </w:style>
  <w:style w:type="table" w:styleId="827">
    <w:name w:val="Grid Table 1 Light - Accent 6"/>
    <w:next w:val="827"/>
    <w:link w:val="745"/>
    <w:uiPriority w:val="99"/>
    <w:qFormat/>
    <w:rPr>
      <w:lang w:val="en-US" w:eastAsia="zh-CN" w:bidi="ar-SA"/>
    </w:rPr>
    <w:tblPr/>
  </w:style>
  <w:style w:type="table" w:styleId="828">
    <w:name w:val="Grid Table 2"/>
    <w:next w:val="828"/>
    <w:link w:val="745"/>
    <w:uiPriority w:val="99"/>
    <w:qFormat/>
    <w:rPr>
      <w:lang w:val="en-US" w:eastAsia="zh-CN" w:bidi="ar-SA"/>
    </w:rPr>
    <w:tblPr/>
  </w:style>
  <w:style w:type="table" w:styleId="829">
    <w:name w:val="Grid Table 2 - Accent 1"/>
    <w:next w:val="829"/>
    <w:link w:val="745"/>
    <w:uiPriority w:val="99"/>
    <w:qFormat/>
    <w:rPr>
      <w:lang w:val="en-US" w:eastAsia="zh-CN" w:bidi="ar-SA"/>
    </w:rPr>
    <w:tblPr/>
  </w:style>
  <w:style w:type="table" w:styleId="830">
    <w:name w:val="Grid Table 2 - Accent 2"/>
    <w:next w:val="830"/>
    <w:link w:val="745"/>
    <w:uiPriority w:val="99"/>
    <w:qFormat/>
    <w:rPr>
      <w:lang w:val="en-US" w:eastAsia="zh-CN" w:bidi="ar-SA"/>
    </w:rPr>
    <w:tblPr/>
  </w:style>
  <w:style w:type="table" w:styleId="831">
    <w:name w:val="Grid Table 2 - Accent 3"/>
    <w:next w:val="831"/>
    <w:link w:val="745"/>
    <w:uiPriority w:val="99"/>
    <w:qFormat/>
    <w:rPr>
      <w:lang w:val="en-US" w:eastAsia="zh-CN" w:bidi="ar-SA"/>
    </w:rPr>
    <w:tblPr/>
  </w:style>
  <w:style w:type="table" w:styleId="832">
    <w:name w:val="Grid Table 2 - Accent 4"/>
    <w:next w:val="832"/>
    <w:link w:val="745"/>
    <w:uiPriority w:val="99"/>
    <w:qFormat/>
    <w:rPr>
      <w:lang w:val="en-US" w:eastAsia="zh-CN" w:bidi="ar-SA"/>
    </w:rPr>
    <w:tblPr/>
  </w:style>
  <w:style w:type="table" w:styleId="833">
    <w:name w:val="Grid Table 2 - Accent 5"/>
    <w:next w:val="833"/>
    <w:link w:val="745"/>
    <w:uiPriority w:val="99"/>
    <w:qFormat/>
    <w:rPr>
      <w:lang w:val="en-US" w:eastAsia="zh-CN" w:bidi="ar-SA"/>
    </w:rPr>
    <w:tblPr/>
  </w:style>
  <w:style w:type="table" w:styleId="834">
    <w:name w:val="Grid Table 2 - Accent 6"/>
    <w:next w:val="834"/>
    <w:link w:val="745"/>
    <w:uiPriority w:val="99"/>
    <w:qFormat/>
    <w:rPr>
      <w:lang w:val="en-US" w:eastAsia="zh-CN" w:bidi="ar-SA"/>
    </w:rPr>
    <w:tblPr/>
  </w:style>
  <w:style w:type="table" w:styleId="835">
    <w:name w:val="Grid Table 3"/>
    <w:next w:val="835"/>
    <w:link w:val="745"/>
    <w:uiPriority w:val="99"/>
    <w:qFormat/>
    <w:rPr>
      <w:lang w:val="en-US" w:eastAsia="zh-CN" w:bidi="ar-SA"/>
    </w:rPr>
    <w:tblPr/>
  </w:style>
  <w:style w:type="table" w:styleId="836">
    <w:name w:val="Grid Table 3 - Accent 1"/>
    <w:next w:val="836"/>
    <w:link w:val="745"/>
    <w:uiPriority w:val="99"/>
    <w:qFormat/>
    <w:rPr>
      <w:lang w:val="en-US" w:eastAsia="zh-CN" w:bidi="ar-SA"/>
    </w:rPr>
    <w:tblPr/>
  </w:style>
  <w:style w:type="table" w:styleId="837">
    <w:name w:val="Grid Table 3 - Accent 2"/>
    <w:next w:val="837"/>
    <w:link w:val="745"/>
    <w:uiPriority w:val="99"/>
    <w:qFormat/>
    <w:rPr>
      <w:lang w:val="en-US" w:eastAsia="zh-CN" w:bidi="ar-SA"/>
    </w:rPr>
    <w:tblPr/>
  </w:style>
  <w:style w:type="table" w:styleId="838">
    <w:name w:val="Grid Table 3 - Accent 3"/>
    <w:next w:val="838"/>
    <w:link w:val="745"/>
    <w:uiPriority w:val="99"/>
    <w:qFormat/>
    <w:rPr>
      <w:lang w:val="en-US" w:eastAsia="zh-CN" w:bidi="ar-SA"/>
    </w:rPr>
    <w:tblPr/>
  </w:style>
  <w:style w:type="table" w:styleId="839">
    <w:name w:val="Grid Table 3 - Accent 4"/>
    <w:next w:val="839"/>
    <w:link w:val="745"/>
    <w:uiPriority w:val="99"/>
    <w:qFormat/>
    <w:rPr>
      <w:lang w:val="en-US" w:eastAsia="zh-CN" w:bidi="ar-SA"/>
    </w:rPr>
    <w:tblPr/>
  </w:style>
  <w:style w:type="table" w:styleId="840">
    <w:name w:val="Grid Table 3 - Accent 5"/>
    <w:next w:val="840"/>
    <w:link w:val="745"/>
    <w:uiPriority w:val="99"/>
    <w:qFormat/>
    <w:rPr>
      <w:lang w:val="en-US" w:eastAsia="zh-CN" w:bidi="ar-SA"/>
    </w:rPr>
    <w:tblPr/>
  </w:style>
  <w:style w:type="table" w:styleId="841">
    <w:name w:val="Grid Table 3 - Accent 6"/>
    <w:next w:val="841"/>
    <w:link w:val="745"/>
    <w:uiPriority w:val="99"/>
    <w:qFormat/>
    <w:rPr>
      <w:lang w:val="en-US" w:eastAsia="zh-CN" w:bidi="ar-SA"/>
    </w:rPr>
    <w:tblPr/>
  </w:style>
  <w:style w:type="table" w:styleId="842">
    <w:name w:val="Grid Table 4"/>
    <w:next w:val="842"/>
    <w:link w:val="745"/>
    <w:uiPriority w:val="59"/>
    <w:qFormat/>
    <w:rPr>
      <w:lang w:val="en-US" w:eastAsia="zh-CN" w:bidi="ar-SA"/>
    </w:rPr>
    <w:tblPr/>
  </w:style>
  <w:style w:type="table" w:styleId="843">
    <w:name w:val="Grid Table 4 - Accent 1"/>
    <w:next w:val="843"/>
    <w:link w:val="745"/>
    <w:uiPriority w:val="59"/>
    <w:qFormat/>
    <w:rPr>
      <w:lang w:val="en-US" w:eastAsia="zh-CN" w:bidi="ar-SA"/>
    </w:rPr>
    <w:tblPr/>
  </w:style>
  <w:style w:type="table" w:styleId="844">
    <w:name w:val="Grid Table 4 - Accent 2"/>
    <w:next w:val="844"/>
    <w:link w:val="745"/>
    <w:uiPriority w:val="59"/>
    <w:qFormat/>
    <w:rPr>
      <w:lang w:val="en-US" w:eastAsia="zh-CN" w:bidi="ar-SA"/>
    </w:rPr>
    <w:tblPr/>
  </w:style>
  <w:style w:type="table" w:styleId="845">
    <w:name w:val="Grid Table 4 - Accent 3"/>
    <w:next w:val="845"/>
    <w:link w:val="745"/>
    <w:uiPriority w:val="59"/>
    <w:qFormat/>
    <w:rPr>
      <w:lang w:val="en-US" w:eastAsia="zh-CN" w:bidi="ar-SA"/>
    </w:rPr>
    <w:tblPr/>
  </w:style>
  <w:style w:type="table" w:styleId="846">
    <w:name w:val="Grid Table 4 - Accent 4"/>
    <w:next w:val="846"/>
    <w:link w:val="745"/>
    <w:uiPriority w:val="59"/>
    <w:qFormat/>
    <w:rPr>
      <w:lang w:val="en-US" w:eastAsia="zh-CN" w:bidi="ar-SA"/>
    </w:rPr>
    <w:tblPr/>
  </w:style>
  <w:style w:type="table" w:styleId="847">
    <w:name w:val="Grid Table 4 - Accent 5"/>
    <w:next w:val="847"/>
    <w:link w:val="745"/>
    <w:uiPriority w:val="59"/>
    <w:qFormat/>
    <w:rPr>
      <w:lang w:val="en-US" w:eastAsia="zh-CN" w:bidi="ar-SA"/>
    </w:rPr>
    <w:tblPr/>
  </w:style>
  <w:style w:type="table" w:styleId="848">
    <w:name w:val="Grid Table 4 - Accent 6"/>
    <w:next w:val="848"/>
    <w:link w:val="745"/>
    <w:uiPriority w:val="59"/>
    <w:qFormat/>
    <w:rPr>
      <w:lang w:val="en-US" w:eastAsia="zh-CN" w:bidi="ar-SA"/>
    </w:rPr>
    <w:tblPr/>
  </w:style>
  <w:style w:type="table" w:styleId="849">
    <w:name w:val="Grid Table 5 Dark"/>
    <w:next w:val="849"/>
    <w:link w:val="745"/>
    <w:uiPriority w:val="99"/>
    <w:qFormat/>
    <w:rPr>
      <w:lang w:val="en-US" w:eastAsia="zh-CN" w:bidi="ar-SA"/>
    </w:rPr>
    <w:tblPr/>
  </w:style>
  <w:style w:type="table" w:styleId="850">
    <w:name w:val="Grid Table 5 Dark- Accent 1"/>
    <w:next w:val="850"/>
    <w:link w:val="745"/>
    <w:uiPriority w:val="99"/>
    <w:qFormat/>
    <w:rPr>
      <w:lang w:val="en-US" w:eastAsia="zh-CN" w:bidi="ar-SA"/>
    </w:rPr>
    <w:tblPr/>
  </w:style>
  <w:style w:type="table" w:styleId="851">
    <w:name w:val="Grid Table 5 Dark - Accent 2"/>
    <w:next w:val="851"/>
    <w:link w:val="745"/>
    <w:uiPriority w:val="99"/>
    <w:qFormat/>
    <w:rPr>
      <w:lang w:val="en-US" w:eastAsia="zh-CN" w:bidi="ar-SA"/>
    </w:rPr>
    <w:tblPr/>
  </w:style>
  <w:style w:type="table" w:styleId="852">
    <w:name w:val="Grid Table 5 Dark - Accent 3"/>
    <w:next w:val="852"/>
    <w:link w:val="745"/>
    <w:uiPriority w:val="99"/>
    <w:qFormat/>
    <w:rPr>
      <w:lang w:val="en-US" w:eastAsia="zh-CN" w:bidi="ar-SA"/>
    </w:rPr>
    <w:tblPr/>
  </w:style>
  <w:style w:type="table" w:styleId="853">
    <w:name w:val="Grid Table 5 Dark- Accent 4"/>
    <w:next w:val="853"/>
    <w:link w:val="745"/>
    <w:uiPriority w:val="99"/>
    <w:qFormat/>
    <w:rPr>
      <w:lang w:val="en-US" w:eastAsia="zh-CN" w:bidi="ar-SA"/>
    </w:rPr>
    <w:tblPr/>
  </w:style>
  <w:style w:type="table" w:styleId="854">
    <w:name w:val="Grid Table 5 Dark - Accent 5"/>
    <w:next w:val="854"/>
    <w:link w:val="745"/>
    <w:uiPriority w:val="99"/>
    <w:qFormat/>
    <w:rPr>
      <w:lang w:val="en-US" w:eastAsia="zh-CN" w:bidi="ar-SA"/>
    </w:rPr>
    <w:tblPr/>
  </w:style>
  <w:style w:type="table" w:styleId="855">
    <w:name w:val="Grid Table 5 Dark - Accent 6"/>
    <w:next w:val="855"/>
    <w:link w:val="745"/>
    <w:uiPriority w:val="99"/>
    <w:qFormat/>
    <w:rPr>
      <w:lang w:val="en-US" w:eastAsia="zh-CN" w:bidi="ar-SA"/>
    </w:rPr>
    <w:tblPr/>
  </w:style>
  <w:style w:type="table" w:styleId="856">
    <w:name w:val="Grid Table 6 Colorful"/>
    <w:next w:val="856"/>
    <w:link w:val="745"/>
    <w:uiPriority w:val="99"/>
    <w:qFormat/>
    <w:rPr>
      <w:lang w:val="en-US" w:eastAsia="zh-CN" w:bidi="ar-SA"/>
    </w:rPr>
    <w:tblPr/>
  </w:style>
  <w:style w:type="table" w:styleId="857">
    <w:name w:val="Grid Table 6 Colorful - Accent 1"/>
    <w:next w:val="857"/>
    <w:link w:val="745"/>
    <w:uiPriority w:val="99"/>
    <w:qFormat/>
    <w:rPr>
      <w:lang w:val="en-US" w:eastAsia="zh-CN" w:bidi="ar-SA"/>
    </w:rPr>
    <w:tblPr/>
  </w:style>
  <w:style w:type="table" w:styleId="858">
    <w:name w:val="Grid Table 6 Colorful - Accent 2"/>
    <w:next w:val="858"/>
    <w:link w:val="745"/>
    <w:uiPriority w:val="99"/>
    <w:qFormat/>
    <w:rPr>
      <w:lang w:val="en-US" w:eastAsia="zh-CN" w:bidi="ar-SA"/>
    </w:rPr>
    <w:tblPr/>
  </w:style>
  <w:style w:type="table" w:styleId="859">
    <w:name w:val="Grid Table 6 Colorful - Accent 3"/>
    <w:next w:val="859"/>
    <w:link w:val="745"/>
    <w:uiPriority w:val="99"/>
    <w:qFormat/>
    <w:rPr>
      <w:lang w:val="en-US" w:eastAsia="zh-CN" w:bidi="ar-SA"/>
    </w:rPr>
    <w:tblPr/>
  </w:style>
  <w:style w:type="table" w:styleId="860">
    <w:name w:val="Grid Table 6 Colorful - Accent 4"/>
    <w:next w:val="860"/>
    <w:link w:val="745"/>
    <w:uiPriority w:val="99"/>
    <w:qFormat/>
    <w:rPr>
      <w:lang w:val="en-US" w:eastAsia="zh-CN" w:bidi="ar-SA"/>
    </w:rPr>
    <w:tblPr/>
  </w:style>
  <w:style w:type="table" w:styleId="861">
    <w:name w:val="Grid Table 6 Colorful - Accent 5"/>
    <w:next w:val="861"/>
    <w:link w:val="745"/>
    <w:uiPriority w:val="99"/>
    <w:qFormat/>
    <w:rPr>
      <w:lang w:val="en-US" w:eastAsia="zh-CN" w:bidi="ar-SA"/>
    </w:rPr>
    <w:tblPr/>
  </w:style>
  <w:style w:type="table" w:styleId="862">
    <w:name w:val="Grid Table 6 Colorful - Accent 6"/>
    <w:next w:val="862"/>
    <w:link w:val="745"/>
    <w:uiPriority w:val="99"/>
    <w:qFormat/>
    <w:rPr>
      <w:lang w:val="en-US" w:eastAsia="zh-CN" w:bidi="ar-SA"/>
    </w:rPr>
    <w:tblPr/>
  </w:style>
  <w:style w:type="table" w:styleId="863">
    <w:name w:val="Grid Table 7 Colorful"/>
    <w:next w:val="863"/>
    <w:link w:val="745"/>
    <w:uiPriority w:val="99"/>
    <w:qFormat/>
    <w:rPr>
      <w:lang w:val="en-US" w:eastAsia="zh-CN" w:bidi="ar-SA"/>
    </w:rPr>
    <w:tblPr/>
  </w:style>
  <w:style w:type="table" w:styleId="864">
    <w:name w:val="Grid Table 7 Colorful - Accent 1"/>
    <w:next w:val="864"/>
    <w:link w:val="745"/>
    <w:uiPriority w:val="99"/>
    <w:qFormat/>
    <w:rPr>
      <w:lang w:val="en-US" w:eastAsia="zh-CN" w:bidi="ar-SA"/>
    </w:rPr>
    <w:tblPr/>
  </w:style>
  <w:style w:type="table" w:styleId="865">
    <w:name w:val="Grid Table 7 Colorful - Accent 2"/>
    <w:next w:val="865"/>
    <w:link w:val="745"/>
    <w:uiPriority w:val="99"/>
    <w:qFormat/>
    <w:rPr>
      <w:lang w:val="en-US" w:eastAsia="zh-CN" w:bidi="ar-SA"/>
    </w:rPr>
    <w:tblPr/>
  </w:style>
  <w:style w:type="table" w:styleId="866">
    <w:name w:val="Grid Table 7 Colorful - Accent 3"/>
    <w:next w:val="866"/>
    <w:link w:val="745"/>
    <w:uiPriority w:val="99"/>
    <w:qFormat/>
    <w:rPr>
      <w:lang w:val="en-US" w:eastAsia="zh-CN" w:bidi="ar-SA"/>
    </w:rPr>
    <w:tblPr/>
  </w:style>
  <w:style w:type="table" w:styleId="867">
    <w:name w:val="Grid Table 7 Colorful - Accent 4"/>
    <w:next w:val="867"/>
    <w:link w:val="745"/>
    <w:uiPriority w:val="99"/>
    <w:qFormat/>
    <w:rPr>
      <w:lang w:val="en-US" w:eastAsia="zh-CN" w:bidi="ar-SA"/>
    </w:rPr>
    <w:tblPr/>
  </w:style>
  <w:style w:type="table" w:styleId="868">
    <w:name w:val="Grid Table 7 Colorful - Accent 5"/>
    <w:next w:val="868"/>
    <w:link w:val="745"/>
    <w:uiPriority w:val="99"/>
    <w:qFormat/>
    <w:rPr>
      <w:lang w:val="en-US" w:eastAsia="zh-CN" w:bidi="ar-SA"/>
    </w:rPr>
    <w:tblPr/>
  </w:style>
  <w:style w:type="table" w:styleId="869">
    <w:name w:val="Grid Table 7 Colorful - Accent 6"/>
    <w:next w:val="869"/>
    <w:link w:val="745"/>
    <w:uiPriority w:val="99"/>
    <w:qFormat/>
    <w:rPr>
      <w:lang w:val="en-US" w:eastAsia="zh-CN" w:bidi="ar-SA"/>
    </w:rPr>
    <w:tblPr/>
  </w:style>
  <w:style w:type="table" w:styleId="870">
    <w:name w:val="List Table 1 Light"/>
    <w:next w:val="870"/>
    <w:link w:val="745"/>
    <w:uiPriority w:val="99"/>
    <w:qFormat/>
    <w:rPr>
      <w:lang w:val="en-US" w:eastAsia="zh-CN" w:bidi="ar-SA"/>
    </w:rPr>
    <w:tblPr/>
  </w:style>
  <w:style w:type="table" w:styleId="871">
    <w:name w:val="List Table 1 Light - Accent 1"/>
    <w:next w:val="871"/>
    <w:link w:val="745"/>
    <w:uiPriority w:val="99"/>
    <w:qFormat/>
    <w:rPr>
      <w:lang w:val="en-US" w:eastAsia="zh-CN" w:bidi="ar-SA"/>
    </w:rPr>
    <w:tblPr/>
  </w:style>
  <w:style w:type="table" w:styleId="872">
    <w:name w:val="List Table 1 Light - Accent 2"/>
    <w:next w:val="872"/>
    <w:link w:val="745"/>
    <w:uiPriority w:val="99"/>
    <w:qFormat/>
    <w:rPr>
      <w:lang w:val="en-US" w:eastAsia="zh-CN" w:bidi="ar-SA"/>
    </w:rPr>
    <w:tblPr/>
  </w:style>
  <w:style w:type="table" w:styleId="873">
    <w:name w:val="List Table 1 Light - Accent 3"/>
    <w:next w:val="873"/>
    <w:link w:val="745"/>
    <w:uiPriority w:val="99"/>
    <w:qFormat/>
    <w:rPr>
      <w:lang w:val="en-US" w:eastAsia="zh-CN" w:bidi="ar-SA"/>
    </w:rPr>
    <w:tblPr/>
  </w:style>
  <w:style w:type="table" w:styleId="874">
    <w:name w:val="List Table 1 Light - Accent 4"/>
    <w:next w:val="874"/>
    <w:link w:val="745"/>
    <w:uiPriority w:val="99"/>
    <w:qFormat/>
    <w:rPr>
      <w:lang w:val="en-US" w:eastAsia="zh-CN" w:bidi="ar-SA"/>
    </w:rPr>
    <w:tblPr/>
  </w:style>
  <w:style w:type="table" w:styleId="875">
    <w:name w:val="List Table 1 Light - Accent 5"/>
    <w:next w:val="875"/>
    <w:link w:val="745"/>
    <w:uiPriority w:val="99"/>
    <w:qFormat/>
    <w:rPr>
      <w:lang w:val="en-US" w:eastAsia="zh-CN" w:bidi="ar-SA"/>
    </w:rPr>
    <w:tblPr/>
  </w:style>
  <w:style w:type="table" w:styleId="876">
    <w:name w:val="List Table 1 Light - Accent 6"/>
    <w:next w:val="876"/>
    <w:link w:val="745"/>
    <w:uiPriority w:val="99"/>
    <w:qFormat/>
    <w:rPr>
      <w:lang w:val="en-US" w:eastAsia="zh-CN" w:bidi="ar-SA"/>
    </w:rPr>
    <w:tblPr/>
  </w:style>
  <w:style w:type="table" w:styleId="877">
    <w:name w:val="List Table 2"/>
    <w:next w:val="877"/>
    <w:link w:val="745"/>
    <w:uiPriority w:val="99"/>
    <w:qFormat/>
    <w:rPr>
      <w:lang w:val="en-US" w:eastAsia="zh-CN" w:bidi="ar-SA"/>
    </w:rPr>
    <w:tblPr/>
  </w:style>
  <w:style w:type="table" w:styleId="878">
    <w:name w:val="List Table 2 - Accent 1"/>
    <w:next w:val="878"/>
    <w:link w:val="745"/>
    <w:uiPriority w:val="99"/>
    <w:qFormat/>
    <w:rPr>
      <w:lang w:val="en-US" w:eastAsia="zh-CN" w:bidi="ar-SA"/>
    </w:rPr>
    <w:tblPr/>
  </w:style>
  <w:style w:type="table" w:styleId="879">
    <w:name w:val="List Table 2 - Accent 2"/>
    <w:next w:val="879"/>
    <w:link w:val="745"/>
    <w:uiPriority w:val="99"/>
    <w:qFormat/>
    <w:rPr>
      <w:lang w:val="en-US" w:eastAsia="zh-CN" w:bidi="ar-SA"/>
    </w:rPr>
    <w:tblPr/>
  </w:style>
  <w:style w:type="table" w:styleId="880">
    <w:name w:val="List Table 2 - Accent 3"/>
    <w:next w:val="880"/>
    <w:link w:val="745"/>
    <w:uiPriority w:val="99"/>
    <w:qFormat/>
    <w:rPr>
      <w:lang w:val="en-US" w:eastAsia="zh-CN" w:bidi="ar-SA"/>
    </w:rPr>
    <w:tblPr/>
  </w:style>
  <w:style w:type="table" w:styleId="881">
    <w:name w:val="List Table 2 - Accent 4"/>
    <w:next w:val="881"/>
    <w:link w:val="745"/>
    <w:uiPriority w:val="99"/>
    <w:qFormat/>
    <w:rPr>
      <w:lang w:val="en-US" w:eastAsia="zh-CN" w:bidi="ar-SA"/>
    </w:rPr>
    <w:tblPr/>
  </w:style>
  <w:style w:type="table" w:styleId="882">
    <w:name w:val="List Table 2 - Accent 5"/>
    <w:next w:val="882"/>
    <w:link w:val="745"/>
    <w:uiPriority w:val="99"/>
    <w:qFormat/>
    <w:rPr>
      <w:lang w:val="en-US" w:eastAsia="zh-CN" w:bidi="ar-SA"/>
    </w:rPr>
    <w:tblPr/>
  </w:style>
  <w:style w:type="table" w:styleId="883">
    <w:name w:val="List Table 2 - Accent 6"/>
    <w:next w:val="883"/>
    <w:link w:val="745"/>
    <w:uiPriority w:val="99"/>
    <w:qFormat/>
    <w:rPr>
      <w:lang w:val="en-US" w:eastAsia="zh-CN" w:bidi="ar-SA"/>
    </w:rPr>
    <w:tblPr/>
  </w:style>
  <w:style w:type="table" w:styleId="884">
    <w:name w:val="List Table 3"/>
    <w:next w:val="884"/>
    <w:link w:val="745"/>
    <w:uiPriority w:val="99"/>
    <w:qFormat/>
    <w:rPr>
      <w:lang w:val="en-US" w:eastAsia="zh-CN" w:bidi="ar-SA"/>
    </w:rPr>
    <w:tblPr/>
  </w:style>
  <w:style w:type="table" w:styleId="885">
    <w:name w:val="List Table 3 - Accent 1"/>
    <w:next w:val="885"/>
    <w:link w:val="745"/>
    <w:uiPriority w:val="99"/>
    <w:qFormat/>
    <w:rPr>
      <w:lang w:val="en-US" w:eastAsia="zh-CN" w:bidi="ar-SA"/>
    </w:rPr>
    <w:tblPr/>
  </w:style>
  <w:style w:type="table" w:styleId="886">
    <w:name w:val="List Table 3 - Accent 2"/>
    <w:next w:val="886"/>
    <w:link w:val="745"/>
    <w:uiPriority w:val="99"/>
    <w:qFormat/>
    <w:rPr>
      <w:lang w:val="en-US" w:eastAsia="zh-CN" w:bidi="ar-SA"/>
    </w:rPr>
    <w:tblPr/>
  </w:style>
  <w:style w:type="table" w:styleId="887">
    <w:name w:val="List Table 3 - Accent 3"/>
    <w:next w:val="887"/>
    <w:link w:val="745"/>
    <w:uiPriority w:val="99"/>
    <w:qFormat/>
    <w:rPr>
      <w:lang w:val="en-US" w:eastAsia="zh-CN" w:bidi="ar-SA"/>
    </w:rPr>
    <w:tblPr/>
  </w:style>
  <w:style w:type="table" w:styleId="888">
    <w:name w:val="List Table 3 - Accent 4"/>
    <w:next w:val="888"/>
    <w:link w:val="745"/>
    <w:uiPriority w:val="99"/>
    <w:qFormat/>
    <w:rPr>
      <w:lang w:val="en-US" w:eastAsia="zh-CN" w:bidi="ar-SA"/>
    </w:rPr>
    <w:tblPr/>
  </w:style>
  <w:style w:type="table" w:styleId="889">
    <w:name w:val="List Table 3 - Accent 5"/>
    <w:next w:val="889"/>
    <w:link w:val="745"/>
    <w:uiPriority w:val="99"/>
    <w:qFormat/>
    <w:rPr>
      <w:lang w:val="en-US" w:eastAsia="zh-CN" w:bidi="ar-SA"/>
    </w:rPr>
    <w:tblPr/>
  </w:style>
  <w:style w:type="table" w:styleId="890">
    <w:name w:val="List Table 3 - Accent 6"/>
    <w:next w:val="890"/>
    <w:link w:val="745"/>
    <w:uiPriority w:val="99"/>
    <w:qFormat/>
    <w:rPr>
      <w:lang w:val="en-US" w:eastAsia="zh-CN" w:bidi="ar-SA"/>
    </w:rPr>
    <w:tblPr/>
  </w:style>
  <w:style w:type="table" w:styleId="891">
    <w:name w:val="List Table 4"/>
    <w:next w:val="891"/>
    <w:link w:val="745"/>
    <w:uiPriority w:val="99"/>
    <w:qFormat/>
    <w:rPr>
      <w:lang w:val="en-US" w:eastAsia="zh-CN" w:bidi="ar-SA"/>
    </w:rPr>
    <w:tblPr/>
  </w:style>
  <w:style w:type="table" w:styleId="892">
    <w:name w:val="List Table 4 - Accent 1"/>
    <w:next w:val="892"/>
    <w:link w:val="745"/>
    <w:uiPriority w:val="99"/>
    <w:qFormat/>
    <w:rPr>
      <w:lang w:val="en-US" w:eastAsia="zh-CN" w:bidi="ar-SA"/>
    </w:rPr>
    <w:tblPr/>
  </w:style>
  <w:style w:type="table" w:styleId="893">
    <w:name w:val="List Table 4 - Accent 2"/>
    <w:next w:val="893"/>
    <w:link w:val="745"/>
    <w:uiPriority w:val="99"/>
    <w:qFormat/>
    <w:rPr>
      <w:lang w:val="en-US" w:eastAsia="zh-CN" w:bidi="ar-SA"/>
    </w:rPr>
    <w:tblPr/>
  </w:style>
  <w:style w:type="table" w:styleId="894">
    <w:name w:val="List Table 4 - Accent 3"/>
    <w:next w:val="894"/>
    <w:link w:val="745"/>
    <w:uiPriority w:val="99"/>
    <w:qFormat/>
    <w:rPr>
      <w:lang w:val="en-US" w:eastAsia="zh-CN" w:bidi="ar-SA"/>
    </w:rPr>
    <w:tblPr/>
  </w:style>
  <w:style w:type="table" w:styleId="895">
    <w:name w:val="List Table 4 - Accent 4"/>
    <w:next w:val="895"/>
    <w:link w:val="745"/>
    <w:uiPriority w:val="99"/>
    <w:qFormat/>
    <w:rPr>
      <w:lang w:val="en-US" w:eastAsia="zh-CN" w:bidi="ar-SA"/>
    </w:rPr>
    <w:tblPr/>
  </w:style>
  <w:style w:type="table" w:styleId="896">
    <w:name w:val="List Table 4 - Accent 5"/>
    <w:next w:val="896"/>
    <w:link w:val="745"/>
    <w:uiPriority w:val="99"/>
    <w:qFormat/>
    <w:rPr>
      <w:lang w:val="en-US" w:eastAsia="zh-CN" w:bidi="ar-SA"/>
    </w:rPr>
    <w:tblPr/>
  </w:style>
  <w:style w:type="table" w:styleId="897">
    <w:name w:val="List Table 4 - Accent 6"/>
    <w:next w:val="897"/>
    <w:link w:val="745"/>
    <w:uiPriority w:val="99"/>
    <w:qFormat/>
    <w:rPr>
      <w:lang w:val="en-US" w:eastAsia="zh-CN" w:bidi="ar-SA"/>
    </w:rPr>
    <w:tblPr/>
  </w:style>
  <w:style w:type="table" w:styleId="898">
    <w:name w:val="List Table 5 Dark"/>
    <w:next w:val="898"/>
    <w:link w:val="745"/>
    <w:uiPriority w:val="99"/>
    <w:qFormat/>
    <w:rPr>
      <w:lang w:val="en-US" w:eastAsia="zh-CN" w:bidi="ar-SA"/>
    </w:rPr>
    <w:tblPr/>
  </w:style>
  <w:style w:type="table" w:styleId="899">
    <w:name w:val="List Table 5 Dark - Accent 1"/>
    <w:next w:val="899"/>
    <w:link w:val="745"/>
    <w:uiPriority w:val="99"/>
    <w:qFormat/>
    <w:rPr>
      <w:lang w:val="en-US" w:eastAsia="zh-CN" w:bidi="ar-SA"/>
    </w:rPr>
    <w:tblPr/>
  </w:style>
  <w:style w:type="table" w:styleId="900">
    <w:name w:val="List Table 5 Dark - Accent 2"/>
    <w:next w:val="900"/>
    <w:link w:val="745"/>
    <w:uiPriority w:val="99"/>
    <w:qFormat/>
    <w:rPr>
      <w:lang w:val="en-US" w:eastAsia="zh-CN" w:bidi="ar-SA"/>
    </w:rPr>
    <w:tblPr/>
  </w:style>
  <w:style w:type="table" w:styleId="901">
    <w:name w:val="List Table 5 Dark - Accent 3"/>
    <w:next w:val="901"/>
    <w:link w:val="745"/>
    <w:uiPriority w:val="99"/>
    <w:qFormat/>
    <w:rPr>
      <w:lang w:val="en-US" w:eastAsia="zh-CN" w:bidi="ar-SA"/>
    </w:rPr>
    <w:tblPr/>
  </w:style>
  <w:style w:type="table" w:styleId="902">
    <w:name w:val="List Table 5 Dark - Accent 4"/>
    <w:next w:val="902"/>
    <w:link w:val="745"/>
    <w:uiPriority w:val="99"/>
    <w:qFormat/>
    <w:rPr>
      <w:lang w:val="en-US" w:eastAsia="zh-CN" w:bidi="ar-SA"/>
    </w:rPr>
    <w:tblPr/>
  </w:style>
  <w:style w:type="table" w:styleId="903">
    <w:name w:val="List Table 5 Dark - Accent 5"/>
    <w:next w:val="903"/>
    <w:link w:val="745"/>
    <w:uiPriority w:val="99"/>
    <w:qFormat/>
    <w:rPr>
      <w:lang w:val="en-US" w:eastAsia="zh-CN" w:bidi="ar-SA"/>
    </w:rPr>
    <w:tblPr/>
  </w:style>
  <w:style w:type="table" w:styleId="904">
    <w:name w:val="List Table 5 Dark - Accent 6"/>
    <w:next w:val="904"/>
    <w:link w:val="745"/>
    <w:uiPriority w:val="99"/>
    <w:qFormat/>
    <w:rPr>
      <w:lang w:val="en-US" w:eastAsia="zh-CN" w:bidi="ar-SA"/>
    </w:rPr>
    <w:tblPr/>
  </w:style>
  <w:style w:type="table" w:styleId="905">
    <w:name w:val="List Table 6 Colorful"/>
    <w:next w:val="905"/>
    <w:link w:val="745"/>
    <w:uiPriority w:val="99"/>
    <w:qFormat/>
    <w:rPr>
      <w:lang w:val="en-US" w:eastAsia="zh-CN" w:bidi="ar-SA"/>
    </w:rPr>
    <w:tblPr/>
  </w:style>
  <w:style w:type="table" w:styleId="906">
    <w:name w:val="List Table 6 Colorful - Accent 1"/>
    <w:next w:val="906"/>
    <w:link w:val="745"/>
    <w:uiPriority w:val="99"/>
    <w:qFormat/>
    <w:rPr>
      <w:lang w:val="en-US" w:eastAsia="zh-CN" w:bidi="ar-SA"/>
    </w:rPr>
    <w:tblPr/>
  </w:style>
  <w:style w:type="table" w:styleId="907">
    <w:name w:val="List Table 6 Colorful - Accent 2"/>
    <w:next w:val="907"/>
    <w:link w:val="745"/>
    <w:uiPriority w:val="99"/>
    <w:qFormat/>
    <w:rPr>
      <w:lang w:val="en-US" w:eastAsia="zh-CN" w:bidi="ar-SA"/>
    </w:rPr>
    <w:tblPr/>
  </w:style>
  <w:style w:type="table" w:styleId="908">
    <w:name w:val="List Table 6 Colorful - Accent 3"/>
    <w:next w:val="908"/>
    <w:link w:val="745"/>
    <w:uiPriority w:val="99"/>
    <w:qFormat/>
    <w:rPr>
      <w:lang w:val="en-US" w:eastAsia="zh-CN" w:bidi="ar-SA"/>
    </w:rPr>
    <w:tblPr/>
  </w:style>
  <w:style w:type="table" w:styleId="909">
    <w:name w:val="List Table 6 Colorful - Accent 4"/>
    <w:next w:val="909"/>
    <w:link w:val="745"/>
    <w:uiPriority w:val="99"/>
    <w:qFormat/>
    <w:rPr>
      <w:lang w:val="en-US" w:eastAsia="zh-CN" w:bidi="ar-SA"/>
    </w:rPr>
    <w:tblPr/>
  </w:style>
  <w:style w:type="table" w:styleId="910">
    <w:name w:val="List Table 6 Colorful - Accent 5"/>
    <w:next w:val="910"/>
    <w:link w:val="745"/>
    <w:uiPriority w:val="99"/>
    <w:qFormat/>
    <w:rPr>
      <w:lang w:val="en-US" w:eastAsia="zh-CN" w:bidi="ar-SA"/>
    </w:rPr>
    <w:tblPr/>
  </w:style>
  <w:style w:type="table" w:styleId="911">
    <w:name w:val="List Table 6 Colorful - Accent 6"/>
    <w:next w:val="911"/>
    <w:link w:val="745"/>
    <w:uiPriority w:val="99"/>
    <w:qFormat/>
    <w:rPr>
      <w:lang w:val="en-US" w:eastAsia="zh-CN" w:bidi="ar-SA"/>
    </w:rPr>
    <w:tblPr/>
  </w:style>
  <w:style w:type="table" w:styleId="912">
    <w:name w:val="List Table 7 Colorful"/>
    <w:next w:val="912"/>
    <w:link w:val="745"/>
    <w:uiPriority w:val="99"/>
    <w:qFormat/>
    <w:rPr>
      <w:lang w:val="en-US" w:eastAsia="zh-CN" w:bidi="ar-SA"/>
    </w:rPr>
    <w:tblPr/>
  </w:style>
  <w:style w:type="table" w:styleId="913">
    <w:name w:val="List Table 7 Colorful - Accent 1"/>
    <w:next w:val="913"/>
    <w:link w:val="745"/>
    <w:uiPriority w:val="99"/>
    <w:qFormat/>
    <w:rPr>
      <w:lang w:val="en-US" w:eastAsia="zh-CN" w:bidi="ar-SA"/>
    </w:rPr>
    <w:tblPr/>
  </w:style>
  <w:style w:type="table" w:styleId="914">
    <w:name w:val="List Table 7 Colorful - Accent 2"/>
    <w:next w:val="914"/>
    <w:link w:val="745"/>
    <w:uiPriority w:val="99"/>
    <w:qFormat/>
    <w:rPr>
      <w:lang w:val="en-US" w:eastAsia="zh-CN" w:bidi="ar-SA"/>
    </w:rPr>
    <w:tblPr/>
  </w:style>
  <w:style w:type="table" w:styleId="915">
    <w:name w:val="List Table 7 Colorful - Accent 3"/>
    <w:next w:val="915"/>
    <w:link w:val="745"/>
    <w:uiPriority w:val="99"/>
    <w:qFormat/>
    <w:rPr>
      <w:lang w:val="en-US" w:eastAsia="zh-CN" w:bidi="ar-SA"/>
    </w:rPr>
    <w:tblPr/>
  </w:style>
  <w:style w:type="table" w:styleId="916">
    <w:name w:val="List Table 7 Colorful - Accent 4"/>
    <w:next w:val="916"/>
    <w:link w:val="745"/>
    <w:uiPriority w:val="99"/>
    <w:qFormat/>
    <w:rPr>
      <w:lang w:val="en-US" w:eastAsia="zh-CN" w:bidi="ar-SA"/>
    </w:rPr>
    <w:tblPr/>
  </w:style>
  <w:style w:type="table" w:styleId="917">
    <w:name w:val="List Table 7 Colorful - Accent 5"/>
    <w:next w:val="917"/>
    <w:link w:val="745"/>
    <w:uiPriority w:val="99"/>
    <w:qFormat/>
    <w:rPr>
      <w:lang w:val="en-US" w:eastAsia="zh-CN" w:bidi="ar-SA"/>
    </w:rPr>
    <w:tblPr/>
  </w:style>
  <w:style w:type="table" w:styleId="918">
    <w:name w:val="List Table 7 Colorful - Accent 6"/>
    <w:next w:val="918"/>
    <w:link w:val="745"/>
    <w:uiPriority w:val="99"/>
    <w:qFormat/>
    <w:rPr>
      <w:lang w:val="en-US" w:eastAsia="zh-CN" w:bidi="ar-SA"/>
    </w:rPr>
    <w:tblPr/>
  </w:style>
  <w:style w:type="table" w:styleId="919">
    <w:name w:val="Lined - Accent"/>
    <w:next w:val="919"/>
    <w:link w:val="745"/>
    <w:uiPriority w:val="99"/>
    <w:qFormat/>
    <w:rPr>
      <w:color w:val="404040"/>
      <w:lang w:val="en-US" w:eastAsia="zh-CN" w:bidi="ar-SA"/>
    </w:rPr>
    <w:tblPr/>
  </w:style>
  <w:style w:type="table" w:styleId="920">
    <w:name w:val="Lined - Accent 1"/>
    <w:next w:val="920"/>
    <w:link w:val="745"/>
    <w:uiPriority w:val="99"/>
    <w:qFormat/>
    <w:rPr>
      <w:color w:val="404040"/>
      <w:lang w:val="en-US" w:eastAsia="zh-CN" w:bidi="ar-SA"/>
    </w:rPr>
    <w:tblPr/>
  </w:style>
  <w:style w:type="table" w:styleId="921">
    <w:name w:val="Lined - Accent 2"/>
    <w:next w:val="921"/>
    <w:link w:val="745"/>
    <w:uiPriority w:val="99"/>
    <w:qFormat/>
    <w:rPr>
      <w:color w:val="404040"/>
      <w:lang w:val="en-US" w:eastAsia="zh-CN" w:bidi="ar-SA"/>
    </w:rPr>
    <w:tblPr/>
  </w:style>
  <w:style w:type="table" w:styleId="922">
    <w:name w:val="Lined - Accent 3"/>
    <w:next w:val="922"/>
    <w:link w:val="745"/>
    <w:uiPriority w:val="99"/>
    <w:qFormat/>
    <w:rPr>
      <w:color w:val="404040"/>
      <w:lang w:val="en-US" w:eastAsia="zh-CN" w:bidi="ar-SA"/>
    </w:rPr>
    <w:tblPr/>
  </w:style>
  <w:style w:type="table" w:styleId="923">
    <w:name w:val="Lined - Accent 4"/>
    <w:next w:val="923"/>
    <w:link w:val="745"/>
    <w:uiPriority w:val="99"/>
    <w:qFormat/>
    <w:rPr>
      <w:color w:val="404040"/>
      <w:lang w:val="en-US" w:eastAsia="zh-CN" w:bidi="ar-SA"/>
    </w:rPr>
    <w:tblPr/>
  </w:style>
  <w:style w:type="table" w:styleId="924">
    <w:name w:val="Lined - Accent 5"/>
    <w:next w:val="924"/>
    <w:link w:val="745"/>
    <w:uiPriority w:val="99"/>
    <w:qFormat/>
    <w:rPr>
      <w:color w:val="404040"/>
      <w:lang w:val="en-US" w:eastAsia="zh-CN" w:bidi="ar-SA"/>
    </w:rPr>
    <w:tblPr/>
  </w:style>
  <w:style w:type="table" w:styleId="925">
    <w:name w:val="Lined - Accent 6"/>
    <w:next w:val="925"/>
    <w:link w:val="745"/>
    <w:uiPriority w:val="99"/>
    <w:qFormat/>
    <w:rPr>
      <w:color w:val="404040"/>
      <w:lang w:val="en-US" w:eastAsia="zh-CN" w:bidi="ar-SA"/>
    </w:rPr>
    <w:tblPr/>
  </w:style>
  <w:style w:type="table" w:styleId="926">
    <w:name w:val="Bordered &amp; Lined - Accent"/>
    <w:next w:val="926"/>
    <w:link w:val="745"/>
    <w:uiPriority w:val="99"/>
    <w:qFormat/>
    <w:rPr>
      <w:color w:val="404040"/>
      <w:lang w:val="en-US" w:eastAsia="zh-CN" w:bidi="ar-SA"/>
    </w:rPr>
    <w:tblPr/>
  </w:style>
  <w:style w:type="table" w:styleId="927">
    <w:name w:val="Bordered &amp; Lined - Accent 1"/>
    <w:next w:val="927"/>
    <w:link w:val="745"/>
    <w:uiPriority w:val="99"/>
    <w:qFormat/>
    <w:rPr>
      <w:color w:val="404040"/>
      <w:lang w:val="en-US" w:eastAsia="zh-CN" w:bidi="ar-SA"/>
    </w:rPr>
    <w:tblPr/>
  </w:style>
  <w:style w:type="table" w:styleId="928">
    <w:name w:val="Bordered &amp; Lined - Accent 2"/>
    <w:next w:val="928"/>
    <w:link w:val="745"/>
    <w:uiPriority w:val="99"/>
    <w:qFormat/>
    <w:rPr>
      <w:color w:val="404040"/>
      <w:lang w:val="en-US" w:eastAsia="zh-CN" w:bidi="ar-SA"/>
    </w:rPr>
    <w:tblPr/>
  </w:style>
  <w:style w:type="table" w:styleId="929">
    <w:name w:val="Bordered &amp; Lined - Accent 3"/>
    <w:next w:val="929"/>
    <w:link w:val="745"/>
    <w:uiPriority w:val="99"/>
    <w:qFormat/>
    <w:rPr>
      <w:color w:val="404040"/>
      <w:lang w:val="en-US" w:eastAsia="zh-CN" w:bidi="ar-SA"/>
    </w:rPr>
    <w:tblPr/>
  </w:style>
  <w:style w:type="table" w:styleId="930">
    <w:name w:val="Bordered &amp; Lined - Accent 4"/>
    <w:next w:val="930"/>
    <w:link w:val="745"/>
    <w:uiPriority w:val="99"/>
    <w:qFormat/>
    <w:rPr>
      <w:color w:val="404040"/>
      <w:lang w:val="en-US" w:eastAsia="zh-CN" w:bidi="ar-SA"/>
    </w:rPr>
    <w:tblPr/>
  </w:style>
  <w:style w:type="table" w:styleId="931">
    <w:name w:val="Bordered &amp; Lined - Accent 5"/>
    <w:next w:val="931"/>
    <w:link w:val="745"/>
    <w:uiPriority w:val="99"/>
    <w:qFormat/>
    <w:rPr>
      <w:color w:val="404040"/>
      <w:lang w:val="en-US" w:eastAsia="zh-CN" w:bidi="ar-SA"/>
    </w:rPr>
    <w:tblPr/>
  </w:style>
  <w:style w:type="table" w:styleId="932">
    <w:name w:val="Bordered &amp; Lined - Accent 6"/>
    <w:next w:val="932"/>
    <w:link w:val="745"/>
    <w:uiPriority w:val="99"/>
    <w:qFormat/>
    <w:rPr>
      <w:color w:val="404040"/>
      <w:lang w:val="en-US" w:eastAsia="zh-CN" w:bidi="ar-SA"/>
    </w:rPr>
    <w:tblPr/>
  </w:style>
  <w:style w:type="table" w:styleId="933">
    <w:name w:val="Bordered"/>
    <w:next w:val="933"/>
    <w:link w:val="745"/>
    <w:uiPriority w:val="99"/>
    <w:qFormat/>
    <w:rPr>
      <w:lang w:val="en-US" w:eastAsia="zh-CN" w:bidi="ar-SA"/>
    </w:rPr>
    <w:tblPr/>
  </w:style>
  <w:style w:type="table" w:styleId="934">
    <w:name w:val="Bordered - Accent 1"/>
    <w:next w:val="934"/>
    <w:link w:val="745"/>
    <w:uiPriority w:val="99"/>
    <w:qFormat/>
    <w:rPr>
      <w:lang w:val="en-US" w:eastAsia="zh-CN" w:bidi="ar-SA"/>
    </w:rPr>
    <w:tblPr/>
  </w:style>
  <w:style w:type="table" w:styleId="935">
    <w:name w:val="Bordered - Accent 2"/>
    <w:next w:val="935"/>
    <w:link w:val="745"/>
    <w:uiPriority w:val="99"/>
    <w:qFormat/>
    <w:rPr>
      <w:lang w:val="en-US" w:eastAsia="zh-CN" w:bidi="ar-SA"/>
    </w:rPr>
    <w:tblPr/>
  </w:style>
  <w:style w:type="table" w:styleId="936">
    <w:name w:val="Bordered - Accent 3"/>
    <w:next w:val="936"/>
    <w:link w:val="745"/>
    <w:uiPriority w:val="99"/>
    <w:qFormat/>
    <w:rPr>
      <w:lang w:val="en-US" w:eastAsia="zh-CN" w:bidi="ar-SA"/>
    </w:rPr>
    <w:tblPr/>
  </w:style>
  <w:style w:type="table" w:styleId="937">
    <w:name w:val="Bordered - Accent 4"/>
    <w:next w:val="937"/>
    <w:link w:val="745"/>
    <w:uiPriority w:val="99"/>
    <w:qFormat/>
    <w:rPr>
      <w:lang w:val="en-US" w:eastAsia="zh-CN" w:bidi="ar-SA"/>
    </w:rPr>
    <w:tblPr/>
  </w:style>
  <w:style w:type="table" w:styleId="938">
    <w:name w:val="Bordered - Accent 5"/>
    <w:next w:val="938"/>
    <w:link w:val="745"/>
    <w:uiPriority w:val="99"/>
    <w:qFormat/>
    <w:rPr>
      <w:lang w:val="en-US" w:eastAsia="zh-CN" w:bidi="ar-SA"/>
    </w:rPr>
    <w:tblPr/>
  </w:style>
  <w:style w:type="table" w:styleId="939">
    <w:name w:val="Bordered - Accent 6"/>
    <w:next w:val="939"/>
    <w:link w:val="745"/>
    <w:uiPriority w:val="99"/>
    <w:qFormat/>
    <w:rPr>
      <w:lang w:val="en-US" w:eastAsia="zh-CN" w:bidi="ar-SA"/>
    </w:rPr>
    <w:tblPr/>
  </w:style>
  <w:style w:type="paragraph" w:styleId="940">
    <w:name w:val="TOC Heading"/>
    <w:next w:val="940"/>
    <w:link w:val="745"/>
    <w:uiPriority w:val="39"/>
    <w:unhideWhenUsed/>
    <w:qFormat/>
    <w:rPr>
      <w:lang w:val="en-US" w:eastAsia="zh-CN" w:bidi="ar-SA"/>
    </w:rPr>
  </w:style>
  <w:style w:type="paragraph" w:styleId="941">
    <w:name w:val="标题 11"/>
    <w:basedOn w:val="745"/>
    <w:next w:val="745"/>
    <w:link w:val="942"/>
    <w:qFormat/>
    <w:pPr>
      <w:jc w:val="center"/>
      <w:keepNext/>
      <w:outlineLvl w:val="0"/>
    </w:pPr>
    <w:rPr>
      <w:rFonts w:ascii="楷体_GB2312" w:eastAsia="楷体_GB2312"/>
      <w:sz w:val="28"/>
      <w:szCs w:val="28"/>
    </w:rPr>
  </w:style>
  <w:style w:type="character" w:styleId="942">
    <w:name w:val="标题 1 Char"/>
    <w:next w:val="942"/>
    <w:link w:val="941"/>
    <w:qFormat/>
    <w:rPr>
      <w:rFonts w:ascii="楷体_GB2312" w:hAnsi="Times New Roman" w:eastAsia="楷体_GB2312" w:cs="Times New Roman"/>
      <w:sz w:val="28"/>
      <w:szCs w:val="28"/>
    </w:rPr>
  </w:style>
  <w:style w:type="paragraph" w:styleId="943">
    <w:name w:val="标题 21"/>
    <w:basedOn w:val="745"/>
    <w:next w:val="945"/>
    <w:link w:val="944"/>
    <w:qFormat/>
    <w:pPr>
      <w:jc w:val="center"/>
      <w:keepLines/>
      <w:keepNext/>
      <w:spacing w:before="260" w:after="260" w:line="416" w:lineRule="auto"/>
      <w:outlineLvl w:val="1"/>
    </w:pPr>
    <w:rPr>
      <w:rFonts w:ascii="Arial" w:hAnsi="Arial" w:eastAsia="幼圆" w:cs="Arial"/>
      <w:b/>
      <w:bCs/>
      <w:sz w:val="44"/>
      <w:szCs w:val="44"/>
    </w:rPr>
  </w:style>
  <w:style w:type="character" w:styleId="944">
    <w:name w:val="标题 2 Char"/>
    <w:next w:val="944"/>
    <w:link w:val="943"/>
    <w:qFormat/>
    <w:rPr>
      <w:rFonts w:ascii="Arial" w:hAnsi="Arial" w:eastAsia="幼圆" w:cs="Arial"/>
      <w:b/>
      <w:bCs/>
      <w:sz w:val="44"/>
      <w:szCs w:val="44"/>
    </w:rPr>
  </w:style>
  <w:style w:type="paragraph" w:styleId="945">
    <w:name w:val="正文缩进11"/>
    <w:basedOn w:val="745"/>
    <w:next w:val="945"/>
    <w:link w:val="946"/>
    <w:qFormat/>
    <w:pPr>
      <w:ind w:firstLine="420"/>
    </w:pPr>
  </w:style>
  <w:style w:type="character" w:styleId="946">
    <w:name w:val="正文缩进 Char"/>
    <w:next w:val="946"/>
    <w:link w:val="945"/>
    <w:qFormat/>
    <w:rPr>
      <w:rFonts w:ascii="Times New Roman" w:hAnsi="Times New Roman" w:eastAsia="宋体" w:cs="Times New Roman"/>
      <w:szCs w:val="21"/>
    </w:rPr>
  </w:style>
  <w:style w:type="paragraph" w:styleId="947">
    <w:name w:val="标题 311"/>
    <w:basedOn w:val="745"/>
    <w:next w:val="945"/>
    <w:link w:val="948"/>
    <w:qFormat/>
    <w:pPr>
      <w:keepLines/>
      <w:keepNext/>
      <w:spacing w:before="260" w:after="260" w:line="416" w:lineRule="auto"/>
      <w:outlineLvl w:val="2"/>
    </w:pPr>
    <w:rPr>
      <w:b/>
      <w:bCs/>
      <w:sz w:val="32"/>
      <w:szCs w:val="32"/>
    </w:rPr>
  </w:style>
  <w:style w:type="character" w:styleId="948">
    <w:name w:val="标题 3 Char"/>
    <w:next w:val="948"/>
    <w:link w:val="947"/>
    <w:qFormat/>
    <w:rPr>
      <w:rFonts w:ascii="Times New Roman" w:hAnsi="Times New Roman" w:eastAsia="宋体" w:cs="Times New Roman"/>
      <w:b/>
      <w:bCs/>
      <w:sz w:val="32"/>
      <w:szCs w:val="32"/>
    </w:rPr>
  </w:style>
  <w:style w:type="paragraph" w:styleId="949">
    <w:name w:val="标题 41"/>
    <w:basedOn w:val="745"/>
    <w:next w:val="945"/>
    <w:link w:val="950"/>
    <w:qFormat/>
    <w:pPr>
      <w:keepLines/>
      <w:keepNext/>
      <w:spacing w:before="280" w:after="290" w:line="376" w:lineRule="auto"/>
      <w:outlineLvl w:val="3"/>
    </w:pPr>
    <w:rPr>
      <w:rFonts w:ascii="Arial" w:hAnsi="Arial" w:eastAsia="黑体" w:cs="Arial"/>
      <w:b/>
      <w:bCs/>
      <w:sz w:val="28"/>
      <w:szCs w:val="28"/>
    </w:rPr>
  </w:style>
  <w:style w:type="character" w:styleId="950">
    <w:name w:val="标题 4 Char"/>
    <w:next w:val="950"/>
    <w:link w:val="949"/>
    <w:qFormat/>
    <w:rPr>
      <w:rFonts w:ascii="Arial" w:hAnsi="Arial" w:eastAsia="黑体" w:cs="Arial"/>
      <w:b/>
      <w:bCs/>
      <w:sz w:val="28"/>
      <w:szCs w:val="28"/>
    </w:rPr>
  </w:style>
  <w:style w:type="paragraph" w:styleId="951">
    <w:name w:val="标题 51"/>
    <w:basedOn w:val="745"/>
    <w:next w:val="945"/>
    <w:link w:val="952"/>
    <w:qFormat/>
    <w:pPr>
      <w:keepNext/>
      <w:outlineLvl w:val="4"/>
    </w:pPr>
    <w:rPr>
      <w:rFonts w:ascii="宋体"/>
      <w:color w:val="000000"/>
      <w:sz w:val="28"/>
      <w:szCs w:val="28"/>
    </w:rPr>
  </w:style>
  <w:style w:type="character" w:styleId="952">
    <w:name w:val="标题 5 Char"/>
    <w:next w:val="952"/>
    <w:link w:val="951"/>
    <w:qFormat/>
    <w:rPr>
      <w:rFonts w:ascii="宋体" w:hAnsi="Times New Roman" w:eastAsia="宋体" w:cs="Times New Roman"/>
      <w:color w:val="000000"/>
      <w:sz w:val="28"/>
      <w:szCs w:val="28"/>
    </w:rPr>
  </w:style>
  <w:style w:type="paragraph" w:styleId="953">
    <w:name w:val="标题 61"/>
    <w:basedOn w:val="745"/>
    <w:next w:val="745"/>
    <w:link w:val="954"/>
    <w:qFormat/>
    <w:pPr>
      <w:numPr>
        <w:ilvl w:val="5"/>
        <w:numId w:val="1"/>
      </w:numPr>
      <w:keepLines/>
      <w:keepNext/>
      <w:spacing w:before="240" w:after="64" w:line="320" w:lineRule="auto"/>
      <w:outlineLvl w:val="5"/>
    </w:pPr>
    <w:rPr>
      <w:rFonts w:ascii="Arial" w:hAnsi="Arial" w:eastAsia="黑体"/>
      <w:b/>
      <w:bCs/>
      <w:sz w:val="24"/>
      <w:szCs w:val="24"/>
    </w:rPr>
  </w:style>
  <w:style w:type="character" w:styleId="954">
    <w:name w:val="标题 6 Char"/>
    <w:next w:val="954"/>
    <w:link w:val="953"/>
    <w:qFormat/>
    <w:rPr>
      <w:rFonts w:ascii="Arial" w:hAnsi="Arial" w:eastAsia="黑体" w:cs="Times New Roman"/>
      <w:b/>
      <w:bCs/>
      <w:sz w:val="24"/>
      <w:szCs w:val="24"/>
    </w:rPr>
  </w:style>
  <w:style w:type="paragraph" w:styleId="955">
    <w:name w:val="标题 71"/>
    <w:basedOn w:val="745"/>
    <w:next w:val="745"/>
    <w:link w:val="956"/>
    <w:qFormat/>
    <w:pPr>
      <w:numPr>
        <w:ilvl w:val="6"/>
        <w:numId w:val="1"/>
      </w:numPr>
      <w:keepLines/>
      <w:keepNext/>
      <w:spacing w:before="240" w:after="64" w:line="320" w:lineRule="auto"/>
      <w:outlineLvl w:val="6"/>
    </w:pPr>
    <w:rPr>
      <w:b/>
      <w:bCs/>
      <w:sz w:val="24"/>
      <w:szCs w:val="24"/>
    </w:rPr>
  </w:style>
  <w:style w:type="character" w:styleId="956">
    <w:name w:val="标题 7 Char"/>
    <w:next w:val="956"/>
    <w:link w:val="955"/>
    <w:qFormat/>
    <w:rPr>
      <w:rFonts w:ascii="Times New Roman" w:hAnsi="Times New Roman" w:eastAsia="宋体" w:cs="Times New Roman"/>
      <w:b/>
      <w:bCs/>
      <w:sz w:val="24"/>
      <w:szCs w:val="24"/>
    </w:rPr>
  </w:style>
  <w:style w:type="paragraph" w:styleId="957">
    <w:name w:val="标题 81"/>
    <w:basedOn w:val="745"/>
    <w:next w:val="745"/>
    <w:link w:val="958"/>
    <w:qFormat/>
    <w:pPr>
      <w:numPr>
        <w:ilvl w:val="7"/>
        <w:numId w:val="1"/>
      </w:numPr>
      <w:keepLines/>
      <w:keepNext/>
      <w:spacing w:before="240" w:after="64" w:line="320" w:lineRule="auto"/>
      <w:outlineLvl w:val="7"/>
    </w:pPr>
    <w:rPr>
      <w:rFonts w:ascii="Arial" w:hAnsi="Arial" w:eastAsia="黑体"/>
      <w:sz w:val="24"/>
      <w:szCs w:val="24"/>
    </w:rPr>
  </w:style>
  <w:style w:type="character" w:styleId="958">
    <w:name w:val="标题 8 Char"/>
    <w:next w:val="958"/>
    <w:link w:val="957"/>
    <w:qFormat/>
    <w:rPr>
      <w:rFonts w:ascii="Arial" w:hAnsi="Arial" w:eastAsia="黑体" w:cs="Times New Roman"/>
      <w:sz w:val="24"/>
      <w:szCs w:val="24"/>
    </w:rPr>
  </w:style>
  <w:style w:type="paragraph" w:styleId="959">
    <w:name w:val="标题 91"/>
    <w:basedOn w:val="745"/>
    <w:next w:val="745"/>
    <w:link w:val="960"/>
    <w:qFormat/>
    <w:pPr>
      <w:numPr>
        <w:ilvl w:val="8"/>
        <w:numId w:val="1"/>
      </w:numPr>
      <w:keepLines/>
      <w:keepNext/>
      <w:spacing w:before="240" w:after="64" w:line="320" w:lineRule="auto"/>
      <w:outlineLvl w:val="8"/>
    </w:pPr>
    <w:rPr>
      <w:rFonts w:ascii="Arial" w:hAnsi="Arial" w:eastAsia="黑体"/>
    </w:rPr>
  </w:style>
  <w:style w:type="character" w:styleId="960">
    <w:name w:val="标题 9 Char"/>
    <w:next w:val="960"/>
    <w:link w:val="959"/>
    <w:qFormat/>
    <w:rPr>
      <w:rFonts w:ascii="Arial" w:hAnsi="Arial" w:eastAsia="黑体" w:cs="Times New Roman"/>
      <w:szCs w:val="21"/>
    </w:rPr>
  </w:style>
  <w:style w:type="character" w:styleId="961">
    <w:name w:val="默认段落字体1"/>
    <w:next w:val="961"/>
    <w:link w:val="745"/>
    <w:uiPriority w:val="1"/>
    <w:unhideWhenUsed/>
    <w:qFormat/>
  </w:style>
  <w:style w:type="table" w:styleId="962">
    <w:name w:val="普通表格11"/>
    <w:next w:val="962"/>
    <w:link w:val="745"/>
    <w:uiPriority w:val="99"/>
    <w:unhideWhenUsed/>
    <w:qFormat/>
    <w:rPr>
      <w:lang w:val="en-US" w:eastAsia="zh-CN" w:bidi="ar-SA"/>
    </w:rPr>
    <w:tblPr/>
  </w:style>
  <w:style w:type="paragraph" w:styleId="963">
    <w:name w:val="列表 31"/>
    <w:basedOn w:val="745"/>
    <w:next w:val="963"/>
    <w:link w:val="745"/>
    <w:qFormat/>
    <w:pPr>
      <w:ind w:left="100" w:hanging="200"/>
    </w:pPr>
  </w:style>
  <w:style w:type="paragraph" w:styleId="964">
    <w:name w:val="目录 71"/>
    <w:basedOn w:val="745"/>
    <w:next w:val="745"/>
    <w:link w:val="745"/>
    <w:semiHidden/>
    <w:qFormat/>
    <w:pPr>
      <w:ind w:left="1260"/>
      <w:jc w:val="left"/>
    </w:pPr>
  </w:style>
  <w:style w:type="paragraph" w:styleId="965">
    <w:name w:val="文档结构图1"/>
    <w:basedOn w:val="745"/>
    <w:next w:val="965"/>
    <w:link w:val="966"/>
    <w:semiHidden/>
    <w:qFormat/>
    <w:pPr>
      <w:shd w:val="clear" w:color="auto" w:fill="000080"/>
    </w:pPr>
  </w:style>
  <w:style w:type="character" w:styleId="966">
    <w:name w:val="文档结构图 Char"/>
    <w:next w:val="966"/>
    <w:link w:val="965"/>
    <w:semiHidden/>
    <w:qFormat/>
    <w:rPr>
      <w:rFonts w:ascii="Times New Roman" w:hAnsi="Times New Roman" w:eastAsia="宋体" w:cs="Times New Roman"/>
      <w:szCs w:val="21"/>
      <w:shd w:val="clear" w:color="auto" w:fill="000080"/>
    </w:rPr>
  </w:style>
  <w:style w:type="paragraph" w:styleId="967">
    <w:name w:val="批注文字1"/>
    <w:basedOn w:val="745"/>
    <w:next w:val="967"/>
    <w:link w:val="968"/>
    <w:semiHidden/>
    <w:qFormat/>
    <w:pPr>
      <w:jc w:val="left"/>
    </w:pPr>
  </w:style>
  <w:style w:type="character" w:styleId="968">
    <w:name w:val="批注文字 Char"/>
    <w:next w:val="968"/>
    <w:link w:val="967"/>
    <w:semiHidden/>
    <w:qFormat/>
    <w:rPr>
      <w:rFonts w:ascii="Times New Roman" w:hAnsi="Times New Roman" w:eastAsia="宋体" w:cs="Times New Roman"/>
      <w:szCs w:val="21"/>
    </w:rPr>
  </w:style>
  <w:style w:type="paragraph" w:styleId="969">
    <w:name w:val="正文文本 31"/>
    <w:basedOn w:val="745"/>
    <w:next w:val="969"/>
    <w:link w:val="970"/>
    <w:qFormat/>
    <w:rPr>
      <w:rFonts w:ascii="仿宋_GB2312" w:hAnsi="Arial" w:eastAsia="仿宋_GB2312"/>
      <w:sz w:val="32"/>
      <w:szCs w:val="32"/>
    </w:rPr>
  </w:style>
  <w:style w:type="character" w:styleId="970">
    <w:name w:val="正文文本 3 Char"/>
    <w:next w:val="970"/>
    <w:link w:val="969"/>
    <w:qFormat/>
    <w:rPr>
      <w:rFonts w:ascii="仿宋_GB2312" w:hAnsi="Arial" w:eastAsia="仿宋_GB2312" w:cs="Times New Roman"/>
      <w:sz w:val="32"/>
      <w:szCs w:val="32"/>
    </w:rPr>
  </w:style>
  <w:style w:type="paragraph" w:styleId="971">
    <w:name w:val="正文文本11"/>
    <w:basedOn w:val="745"/>
    <w:next w:val="971"/>
    <w:link w:val="972"/>
    <w:qFormat/>
    <w:rPr>
      <w:rFonts w:ascii="楷体_GB2312" w:hAnsi="Arial" w:eastAsia="楷体_GB2312"/>
      <w:sz w:val="28"/>
      <w:szCs w:val="28"/>
    </w:rPr>
  </w:style>
  <w:style w:type="character" w:styleId="972">
    <w:name w:val="正文文本 Char"/>
    <w:next w:val="972"/>
    <w:link w:val="971"/>
    <w:qFormat/>
    <w:rPr>
      <w:rFonts w:ascii="楷体_GB2312" w:hAnsi="Arial" w:eastAsia="楷体_GB2312" w:cs="Times New Roman"/>
      <w:sz w:val="28"/>
      <w:szCs w:val="28"/>
    </w:rPr>
  </w:style>
  <w:style w:type="paragraph" w:styleId="973">
    <w:name w:val="正文文本缩进1"/>
    <w:basedOn w:val="745"/>
    <w:next w:val="973"/>
    <w:link w:val="974"/>
    <w:qFormat/>
    <w:pPr>
      <w:ind w:firstLine="645"/>
    </w:pPr>
    <w:rPr>
      <w:rFonts w:ascii="楷体_GB2312" w:eastAsia="楷体_GB2312"/>
      <w:sz w:val="32"/>
      <w:szCs w:val="32"/>
    </w:rPr>
  </w:style>
  <w:style w:type="character" w:styleId="974">
    <w:name w:val="正文文本缩进 Char"/>
    <w:next w:val="974"/>
    <w:link w:val="973"/>
    <w:qFormat/>
    <w:rPr>
      <w:rFonts w:ascii="楷体_GB2312" w:hAnsi="Times New Roman" w:eastAsia="楷体_GB2312" w:cs="Times New Roman"/>
      <w:sz w:val="32"/>
      <w:szCs w:val="32"/>
    </w:rPr>
  </w:style>
  <w:style w:type="paragraph" w:styleId="975">
    <w:name w:val="列表 21"/>
    <w:basedOn w:val="745"/>
    <w:next w:val="975"/>
    <w:link w:val="745"/>
    <w:qFormat/>
    <w:pPr>
      <w:ind w:left="100" w:hanging="200"/>
    </w:pPr>
  </w:style>
  <w:style w:type="paragraph" w:styleId="976">
    <w:name w:val="目录 51"/>
    <w:basedOn w:val="745"/>
    <w:next w:val="745"/>
    <w:link w:val="745"/>
    <w:semiHidden/>
    <w:qFormat/>
    <w:pPr>
      <w:ind w:left="840"/>
      <w:jc w:val="left"/>
    </w:pPr>
  </w:style>
  <w:style w:type="paragraph" w:styleId="977">
    <w:name w:val="目录 31"/>
    <w:basedOn w:val="745"/>
    <w:next w:val="745"/>
    <w:link w:val="745"/>
    <w:semiHidden/>
    <w:qFormat/>
    <w:pPr>
      <w:ind w:left="420"/>
      <w:jc w:val="left"/>
    </w:pPr>
    <w:rPr>
      <w:i/>
      <w:iCs/>
      <w:szCs w:val="24"/>
    </w:rPr>
  </w:style>
  <w:style w:type="paragraph" w:styleId="978">
    <w:name w:val="纯文本1"/>
    <w:basedOn w:val="745"/>
    <w:next w:val="978"/>
    <w:link w:val="979"/>
    <w:qFormat/>
    <w:rPr>
      <w:rFonts w:ascii="宋体" w:hAnsi="Courier New" w:cs="Courier New"/>
    </w:rPr>
  </w:style>
  <w:style w:type="character" w:styleId="979">
    <w:name w:val="纯文本 Char"/>
    <w:next w:val="979"/>
    <w:link w:val="978"/>
    <w:qFormat/>
    <w:rPr>
      <w:rFonts w:ascii="宋体" w:hAnsi="Courier New" w:eastAsia="宋体" w:cs="Courier New"/>
      <w:szCs w:val="21"/>
    </w:rPr>
  </w:style>
  <w:style w:type="paragraph" w:styleId="980">
    <w:name w:val="目录 81"/>
    <w:basedOn w:val="745"/>
    <w:next w:val="745"/>
    <w:link w:val="745"/>
    <w:semiHidden/>
    <w:qFormat/>
    <w:pPr>
      <w:ind w:left="1470"/>
      <w:jc w:val="left"/>
    </w:pPr>
  </w:style>
  <w:style w:type="paragraph" w:styleId="981">
    <w:name w:val="日期1"/>
    <w:basedOn w:val="745"/>
    <w:next w:val="745"/>
    <w:link w:val="982"/>
    <w:qFormat/>
    <w:rPr>
      <w:sz w:val="24"/>
      <w:szCs w:val="24"/>
    </w:rPr>
  </w:style>
  <w:style w:type="character" w:styleId="982">
    <w:name w:val="日期 Char"/>
    <w:next w:val="982"/>
    <w:link w:val="981"/>
    <w:qFormat/>
    <w:rPr>
      <w:rFonts w:ascii="Times New Roman" w:hAnsi="Times New Roman" w:eastAsia="宋体" w:cs="Times New Roman"/>
      <w:sz w:val="24"/>
      <w:szCs w:val="24"/>
    </w:rPr>
  </w:style>
  <w:style w:type="paragraph" w:styleId="983">
    <w:name w:val="正文文本缩进 21"/>
    <w:basedOn w:val="745"/>
    <w:next w:val="983"/>
    <w:link w:val="984"/>
    <w:qFormat/>
    <w:pPr>
      <w:ind w:left="630" w:firstLine="645"/>
    </w:pPr>
    <w:rPr>
      <w:rFonts w:ascii="Arial" w:hAnsi="Arial" w:eastAsia="仿宋_GB2312" w:cs="Arial"/>
      <w:sz w:val="32"/>
      <w:szCs w:val="32"/>
    </w:rPr>
  </w:style>
  <w:style w:type="character" w:styleId="984">
    <w:name w:val="正文文本缩进 2 Char"/>
    <w:next w:val="984"/>
    <w:link w:val="983"/>
    <w:qFormat/>
    <w:rPr>
      <w:rFonts w:ascii="Arial" w:hAnsi="Arial" w:eastAsia="仿宋_GB2312" w:cs="Arial"/>
      <w:sz w:val="32"/>
      <w:szCs w:val="32"/>
    </w:rPr>
  </w:style>
  <w:style w:type="paragraph" w:styleId="985">
    <w:name w:val="批注框文本1"/>
    <w:basedOn w:val="745"/>
    <w:next w:val="985"/>
    <w:link w:val="986"/>
    <w:semiHidden/>
    <w:qFormat/>
    <w:rPr>
      <w:sz w:val="18"/>
      <w:szCs w:val="18"/>
    </w:rPr>
  </w:style>
  <w:style w:type="character" w:styleId="986">
    <w:name w:val="批注框文本 Char"/>
    <w:next w:val="986"/>
    <w:link w:val="985"/>
    <w:semiHidden/>
    <w:qFormat/>
    <w:rPr>
      <w:rFonts w:ascii="Times New Roman" w:hAnsi="Times New Roman" w:eastAsia="宋体" w:cs="Times New Roman"/>
      <w:sz w:val="18"/>
      <w:szCs w:val="18"/>
    </w:rPr>
  </w:style>
  <w:style w:type="paragraph" w:styleId="987">
    <w:name w:val="页脚1"/>
    <w:basedOn w:val="745"/>
    <w:next w:val="987"/>
    <w:link w:val="988"/>
    <w:qFormat/>
    <w:pPr>
      <w:jc w:val="left"/>
      <w:tabs>
        <w:tab w:val="center" w:pos="4153" w:leader="none"/>
        <w:tab w:val="right" w:pos="8306" w:leader="none"/>
      </w:tabs>
    </w:pPr>
    <w:rPr>
      <w:sz w:val="18"/>
      <w:szCs w:val="18"/>
    </w:rPr>
  </w:style>
  <w:style w:type="character" w:styleId="988">
    <w:name w:val="页脚 Char"/>
    <w:next w:val="988"/>
    <w:link w:val="987"/>
    <w:qFormat/>
    <w:rPr>
      <w:rFonts w:ascii="Times New Roman" w:hAnsi="Times New Roman" w:eastAsia="宋体" w:cs="Times New Roman"/>
      <w:sz w:val="18"/>
      <w:szCs w:val="18"/>
    </w:rPr>
  </w:style>
  <w:style w:type="paragraph" w:styleId="989">
    <w:name w:val="页眉1"/>
    <w:basedOn w:val="745"/>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qFormat/>
    <w:rPr>
      <w:rFonts w:ascii="Times New Roman" w:hAnsi="Times New Roman" w:eastAsia="宋体" w:cs="Times New Roman"/>
      <w:sz w:val="18"/>
      <w:szCs w:val="18"/>
    </w:rPr>
  </w:style>
  <w:style w:type="paragraph" w:styleId="991">
    <w:name w:val="目录 11"/>
    <w:basedOn w:val="745"/>
    <w:next w:val="745"/>
    <w:link w:val="745"/>
    <w:semiHidden/>
    <w:qFormat/>
    <w:pPr>
      <w:jc w:val="left"/>
      <w:spacing w:before="120" w:after="120" w:line="400" w:lineRule="exact"/>
      <w:tabs>
        <w:tab w:val="right" w:pos="8720" w:leader="dot"/>
      </w:tabs>
    </w:pPr>
    <w:rPr>
      <w:rFonts w:ascii="宋体" w:hAnsi="宋体"/>
      <w:caps/>
      <w:sz w:val="24"/>
      <w:szCs w:val="24"/>
    </w:rPr>
  </w:style>
  <w:style w:type="paragraph" w:styleId="992">
    <w:name w:val="目录 41"/>
    <w:basedOn w:val="745"/>
    <w:next w:val="745"/>
    <w:link w:val="745"/>
    <w:semiHidden/>
    <w:qFormat/>
    <w:pPr>
      <w:ind w:left="630"/>
      <w:jc w:val="left"/>
    </w:pPr>
  </w:style>
  <w:style w:type="paragraph" w:styleId="993">
    <w:name w:val="列表1"/>
    <w:basedOn w:val="745"/>
    <w:next w:val="993"/>
    <w:link w:val="745"/>
    <w:qFormat/>
    <w:pPr>
      <w:ind w:left="200" w:hanging="200"/>
    </w:pPr>
  </w:style>
  <w:style w:type="paragraph" w:styleId="994">
    <w:name w:val="目录 61"/>
    <w:basedOn w:val="745"/>
    <w:next w:val="745"/>
    <w:link w:val="745"/>
    <w:semiHidden/>
    <w:qFormat/>
    <w:pPr>
      <w:ind w:left="1050"/>
      <w:jc w:val="left"/>
    </w:pPr>
  </w:style>
  <w:style w:type="paragraph" w:styleId="995">
    <w:name w:val="正文文本缩进 31"/>
    <w:basedOn w:val="745"/>
    <w:next w:val="995"/>
    <w:link w:val="996"/>
    <w:qFormat/>
    <w:pPr>
      <w:ind w:left="645" w:firstLine="645"/>
    </w:pPr>
    <w:rPr>
      <w:rFonts w:ascii="Arial" w:hAnsi="Arial" w:eastAsia="仿宋_GB2312" w:cs="Arial"/>
      <w:color w:val="ffff00"/>
      <w:sz w:val="32"/>
      <w:szCs w:val="32"/>
    </w:rPr>
  </w:style>
  <w:style w:type="character" w:styleId="996">
    <w:name w:val="正文文本缩进 3 Char"/>
    <w:next w:val="996"/>
    <w:link w:val="995"/>
    <w:qFormat/>
    <w:rPr>
      <w:rFonts w:ascii="Arial" w:hAnsi="Arial" w:eastAsia="仿宋_GB2312" w:cs="Arial"/>
      <w:color w:val="ffff00"/>
      <w:sz w:val="32"/>
      <w:szCs w:val="32"/>
    </w:rPr>
  </w:style>
  <w:style w:type="paragraph" w:styleId="997">
    <w:name w:val="图表目录1"/>
    <w:basedOn w:val="745"/>
    <w:next w:val="745"/>
    <w:link w:val="745"/>
    <w:semiHidden/>
    <w:qFormat/>
    <w:pPr>
      <w:ind w:left="840" w:hanging="420"/>
    </w:pPr>
  </w:style>
  <w:style w:type="paragraph" w:styleId="998">
    <w:name w:val="目录 21"/>
    <w:basedOn w:val="745"/>
    <w:next w:val="745"/>
    <w:link w:val="745"/>
    <w:semiHidden/>
    <w:qFormat/>
    <w:pPr>
      <w:ind w:left="210"/>
      <w:jc w:val="left"/>
    </w:pPr>
    <w:rPr>
      <w:smallCaps/>
      <w:szCs w:val="24"/>
    </w:rPr>
  </w:style>
  <w:style w:type="paragraph" w:styleId="999">
    <w:name w:val="目录 91"/>
    <w:basedOn w:val="745"/>
    <w:next w:val="745"/>
    <w:link w:val="745"/>
    <w:semiHidden/>
    <w:qFormat/>
    <w:pPr>
      <w:ind w:left="1680"/>
      <w:jc w:val="left"/>
    </w:pPr>
  </w:style>
  <w:style w:type="paragraph" w:styleId="1000">
    <w:name w:val="正文文本 21"/>
    <w:basedOn w:val="745"/>
    <w:next w:val="1000"/>
    <w:link w:val="1001"/>
    <w:qFormat/>
    <w:pPr>
      <w:jc w:val="center"/>
      <w:widowControl/>
    </w:pPr>
    <w:rPr>
      <w:rFonts w:ascii="楷体_GB2312" w:eastAsia="楷体_GB2312"/>
      <w:sz w:val="28"/>
      <w:szCs w:val="28"/>
    </w:rPr>
  </w:style>
  <w:style w:type="character" w:styleId="1001">
    <w:name w:val="正文文本 2 Char"/>
    <w:next w:val="1001"/>
    <w:link w:val="1000"/>
    <w:qFormat/>
    <w:rPr>
      <w:rFonts w:ascii="楷体_GB2312" w:hAnsi="Times New Roman" w:eastAsia="楷体_GB2312" w:cs="Times New Roman"/>
      <w:sz w:val="28"/>
      <w:szCs w:val="28"/>
    </w:rPr>
  </w:style>
  <w:style w:type="paragraph" w:styleId="1002">
    <w:name w:val="普通(网站)1"/>
    <w:basedOn w:val="745"/>
    <w:next w:val="1002"/>
    <w:link w:val="745"/>
    <w:uiPriority w:val="99"/>
    <w:qFormat/>
    <w:pPr>
      <w:jc w:val="left"/>
      <w:spacing w:before="100" w:beforeAutospacing="1" w:after="100" w:afterAutospacing="1"/>
      <w:widowControl/>
    </w:pPr>
    <w:rPr>
      <w:rFonts w:ascii="宋体" w:hAnsi="宋体" w:cs="宋体"/>
      <w:sz w:val="24"/>
      <w:szCs w:val="24"/>
    </w:rPr>
  </w:style>
  <w:style w:type="paragraph" w:styleId="1003">
    <w:name w:val="索引 11"/>
    <w:basedOn w:val="745"/>
    <w:next w:val="745"/>
    <w:link w:val="745"/>
    <w:semiHidden/>
    <w:qFormat/>
    <w:pPr>
      <w:spacing w:line="240" w:lineRule="atLeast"/>
    </w:pPr>
    <w:rPr>
      <w:b/>
      <w:bCs/>
    </w:rPr>
  </w:style>
  <w:style w:type="paragraph" w:styleId="1004">
    <w:name w:val="批注主题1"/>
    <w:basedOn w:val="967"/>
    <w:next w:val="967"/>
    <w:link w:val="1005"/>
    <w:semiHidden/>
    <w:qFormat/>
    <w:rPr>
      <w:b/>
      <w:bCs/>
    </w:rPr>
  </w:style>
  <w:style w:type="character" w:styleId="1005">
    <w:name w:val="批注主题 Char"/>
    <w:next w:val="1005"/>
    <w:link w:val="1004"/>
    <w:semiHidden/>
    <w:qFormat/>
    <w:rPr>
      <w:rFonts w:ascii="Times New Roman" w:hAnsi="Times New Roman" w:eastAsia="宋体" w:cs="Times New Roman"/>
      <w:b/>
      <w:bCs/>
      <w:szCs w:val="21"/>
    </w:rPr>
  </w:style>
  <w:style w:type="paragraph" w:styleId="1006">
    <w:name w:val="正文首行缩进1"/>
    <w:basedOn w:val="745"/>
    <w:next w:val="1006"/>
    <w:link w:val="1007"/>
    <w:qFormat/>
    <w:pPr>
      <w:ind w:firstLine="200"/>
      <w:spacing w:line="360" w:lineRule="auto"/>
    </w:pPr>
    <w:rPr>
      <w:rFonts w:ascii="仿宋_GB2312" w:eastAsia="仿宋_GB2312"/>
      <w:sz w:val="30"/>
      <w:szCs w:val="30"/>
    </w:rPr>
  </w:style>
  <w:style w:type="character" w:styleId="1007">
    <w:name w:val="正文首行缩进 Char"/>
    <w:next w:val="1007"/>
    <w:link w:val="1006"/>
    <w:qFormat/>
    <w:rPr>
      <w:rFonts w:ascii="仿宋_GB2312" w:hAnsi="Times New Roman" w:eastAsia="仿宋_GB2312" w:cs="Times New Roman"/>
      <w:sz w:val="30"/>
      <w:szCs w:val="30"/>
    </w:rPr>
  </w:style>
  <w:style w:type="paragraph" w:styleId="1008">
    <w:name w:val="正文首行缩进 21"/>
    <w:basedOn w:val="973"/>
    <w:next w:val="1008"/>
    <w:link w:val="1009"/>
    <w:qFormat/>
    <w:pPr>
      <w:ind w:firstLine="420"/>
      <w:spacing w:line="360" w:lineRule="auto"/>
    </w:pPr>
    <w:rPr>
      <w:rFonts w:ascii="宋体" w:hAnsi="宋体" w:eastAsia="宋体"/>
      <w:sz w:val="21"/>
      <w:szCs w:val="20"/>
    </w:rPr>
  </w:style>
  <w:style w:type="character" w:styleId="1009">
    <w:name w:val="正文首行缩进 2 Char"/>
    <w:next w:val="1009"/>
    <w:link w:val="1008"/>
    <w:qFormat/>
    <w:rPr>
      <w:rFonts w:ascii="宋体" w:hAnsi="宋体" w:eastAsia="宋体" w:cs="Times New Roman"/>
      <w:sz w:val="32"/>
      <w:szCs w:val="20"/>
    </w:rPr>
  </w:style>
  <w:style w:type="table" w:styleId="1010">
    <w:name w:val="网格型11"/>
    <w:basedOn w:val="962"/>
    <w:next w:val="1010"/>
    <w:link w:val="745"/>
    <w:qFormat/>
    <w:pPr>
      <w:jc w:val="both"/>
      <w:widowControl w:val="off"/>
    </w:pPr>
    <w:rPr>
      <w:rFonts w:ascii="Times New Roman" w:hAnsi="Times New Roman" w:eastAsia="宋体" w:cs="Times New Roman"/>
      <w:sz w:val="20"/>
      <w:szCs w:val="20"/>
    </w:rPr>
    <w:tblPr/>
  </w:style>
  <w:style w:type="character" w:styleId="1011">
    <w:name w:val="要点1"/>
    <w:next w:val="1011"/>
    <w:link w:val="745"/>
    <w:qFormat/>
    <w:rPr>
      <w:b/>
      <w:bCs/>
    </w:rPr>
  </w:style>
  <w:style w:type="character" w:styleId="1012">
    <w:name w:val="页码1"/>
    <w:next w:val="1012"/>
    <w:link w:val="745"/>
    <w:qFormat/>
  </w:style>
  <w:style w:type="character" w:styleId="1013">
    <w:name w:val="已访问的超链接1"/>
    <w:next w:val="1013"/>
    <w:link w:val="745"/>
    <w:qFormat/>
    <w:rPr>
      <w:color w:val="800080"/>
      <w:u w:val="single"/>
    </w:rPr>
  </w:style>
  <w:style w:type="character" w:styleId="1014">
    <w:name w:val="超链接1"/>
    <w:next w:val="1014"/>
    <w:link w:val="745"/>
    <w:qFormat/>
    <w:rPr>
      <w:color w:val="0000ff"/>
      <w:u w:val="single"/>
    </w:rPr>
  </w:style>
  <w:style w:type="character" w:styleId="1015">
    <w:name w:val="批注引用1"/>
    <w:next w:val="1015"/>
    <w:link w:val="745"/>
    <w:semiHidden/>
    <w:qFormat/>
    <w:rPr>
      <w:sz w:val="21"/>
      <w:szCs w:val="21"/>
    </w:rPr>
  </w:style>
  <w:style w:type="paragraph" w:styleId="1016">
    <w:name w:val="正文文本1"/>
    <w:basedOn w:val="745"/>
    <w:next w:val="745"/>
    <w:link w:val="745"/>
    <w:semiHidden/>
    <w:qFormat/>
    <w:rPr>
      <w:rFonts w:ascii="Arial" w:hAnsi="Arial" w:eastAsia="Arial" w:cs="Arial"/>
      <w:sz w:val="21"/>
      <w:szCs w:val="21"/>
      <w:lang w:val="en-US" w:eastAsia="en-US" w:bidi="ar-SA"/>
    </w:rPr>
  </w:style>
  <w:style w:type="paragraph" w:styleId="1017">
    <w:name w:val="正文文本12"/>
    <w:basedOn w:val="745"/>
    <w:next w:val="1017"/>
    <w:link w:val="745"/>
    <w:uiPriority w:val="1"/>
    <w:qFormat/>
    <w:pPr>
      <w:ind w:left="120"/>
    </w:pPr>
    <w:rPr>
      <w:rFonts w:ascii="宋体" w:hAnsi="宋体" w:eastAsia="宋体" w:cs="宋体"/>
      <w:sz w:val="21"/>
      <w:szCs w:val="21"/>
      <w:lang w:val="zh-CN" w:eastAsia="zh-CN" w:bidi="zh-CN"/>
    </w:rPr>
  </w:style>
  <w:style w:type="character" w:styleId="1018">
    <w:name w:val="font5 Char"/>
    <w:next w:val="1018"/>
    <w:link w:val="745"/>
    <w:qFormat/>
    <w:rPr>
      <w:rFonts w:ascii="宋体" w:hAnsi="宋体" w:eastAsia="宋体"/>
      <w:sz w:val="28"/>
      <w:szCs w:val="28"/>
      <w:lang w:val="en-US" w:eastAsia="zh-CN" w:bidi="ar-SA"/>
    </w:rPr>
  </w:style>
  <w:style w:type="character" w:styleId="1019">
    <w:name w:val="二级目录 Char"/>
    <w:next w:val="1019"/>
    <w:link w:val="1020"/>
    <w:qFormat/>
    <w:rPr>
      <w:b/>
      <w:sz w:val="30"/>
      <w:szCs w:val="28"/>
    </w:rPr>
  </w:style>
  <w:style w:type="paragraph" w:styleId="1020">
    <w:name w:val="二级目录"/>
    <w:next w:val="745"/>
    <w:link w:val="1019"/>
    <w:qFormat/>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
    <w:next w:val="1021"/>
    <w:link w:val="1022"/>
    <w:qFormat/>
    <w:rPr>
      <w:rFonts w:ascii="Calibri" w:hAnsi="Calibri"/>
      <w:sz w:val="24"/>
      <w:szCs w:val="24"/>
      <w:lang w:eastAsia="en-US" w:bidi="en-US"/>
    </w:rPr>
  </w:style>
  <w:style w:type="paragraph" w:styleId="1022">
    <w:name w:val="列出段落1"/>
    <w:basedOn w:val="745"/>
    <w:next w:val="1022"/>
    <w:link w:val="1021"/>
    <w:qFormat/>
    <w:pPr>
      <w:contextualSpacing/>
      <w:ind w:left="720"/>
      <w:jc w:val="left"/>
      <w:widowControl/>
    </w:pPr>
    <w:rPr>
      <w:rFonts w:ascii="Calibri" w:hAnsi="Calibri" w:eastAsia="宋体" w:cs="Times New Roman"/>
      <w:sz w:val="24"/>
      <w:szCs w:val="24"/>
      <w:lang w:eastAsia="en-US" w:bidi="en-US"/>
    </w:rPr>
  </w:style>
  <w:style w:type="paragraph" w:styleId="1023">
    <w:name w:val="Body Text(ch)"/>
    <w:basedOn w:val="745"/>
    <w:next w:val="971"/>
    <w:link w:val="745"/>
    <w:qFormat/>
    <w:pPr>
      <w:spacing w:after="120"/>
    </w:pPr>
    <w:rPr>
      <w:rFonts w:ascii="宋体" w:hAnsi="Arial"/>
      <w:bCs/>
      <w:iCs/>
      <w:szCs w:val="24"/>
    </w:rPr>
  </w:style>
  <w:style w:type="paragraph" w:styleId="1024">
    <w:name w:val="xl27"/>
    <w:basedOn w:val="745"/>
    <w:next w:val="1024"/>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745"/>
    <w:next w:val="1025"/>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745"/>
    <w:next w:val="1026"/>
    <w:link w:val="745"/>
    <w:qFormat/>
    <w:pPr>
      <w:ind w:firstLine="200"/>
      <w:tabs>
        <w:tab w:val="left" w:pos="360" w:leader="none"/>
      </w:tabs>
    </w:pPr>
    <w:rPr>
      <w:sz w:val="28"/>
      <w:szCs w:val="30"/>
    </w:rPr>
  </w:style>
  <w:style w:type="paragraph" w:styleId="1027">
    <w:name w:val=" Char"/>
    <w:basedOn w:val="965"/>
    <w:next w:val="1027"/>
    <w:link w:val="745"/>
    <w:qFormat/>
    <w:rPr>
      <w:rFonts w:ascii="Tahoma" w:hAnsi="Tahoma"/>
      <w:sz w:val="24"/>
      <w:szCs w:val="24"/>
    </w:rPr>
  </w:style>
  <w:style w:type="paragraph" w:styleId="1028">
    <w:name w:val="普通正文"/>
    <w:basedOn w:val="745"/>
    <w:next w:val="1028"/>
    <w:link w:val="745"/>
    <w:qFormat/>
    <w:pPr>
      <w:ind w:firstLine="480"/>
      <w:jc w:val="left"/>
      <w:spacing w:before="120" w:after="120" w:line="360" w:lineRule="auto"/>
    </w:pPr>
    <w:rPr>
      <w:rFonts w:ascii="Arial" w:hAnsi="Arial"/>
      <w:sz w:val="24"/>
      <w:szCs w:val="24"/>
    </w:rPr>
  </w:style>
  <w:style w:type="paragraph" w:styleId="1029">
    <w:name w:val="table_lines"/>
    <w:basedOn w:val="745"/>
    <w:next w:val="1029"/>
    <w:link w:val="745"/>
    <w:qFormat/>
    <w:pPr>
      <w:jc w:val="left"/>
      <w:widowControl/>
    </w:pPr>
    <w:rPr>
      <w:sz w:val="20"/>
      <w:szCs w:val="20"/>
      <w:lang w:val="de-DE" w:eastAsia="de-DE"/>
    </w:rPr>
  </w:style>
  <w:style w:type="paragraph" w:styleId="1030">
    <w:name w:val="附录1"/>
    <w:next w:val="1030"/>
    <w:link w:val="745"/>
    <w:qFormat/>
    <w:pPr>
      <w:numPr>
        <w:ilvl w:val="0"/>
        <w:numId w:val="2"/>
      </w:numPr>
      <w:spacing w:before="240" w:line="600" w:lineRule="atLeast"/>
      <w:tabs>
        <w:tab w:val="left" w:pos="907" w:leader="none"/>
      </w:tabs>
    </w:pPr>
    <w:rPr>
      <w:b/>
      <w:i/>
      <w:sz w:val="28"/>
      <w:lang w:val="en-US" w:eastAsia="zh-CN" w:bidi="ar-SA"/>
    </w:rPr>
  </w:style>
  <w:style w:type="paragraph" w:styleId="1031">
    <w:name w:val="font7"/>
    <w:basedOn w:val="745"/>
    <w:next w:val="1031"/>
    <w:link w:val="745"/>
    <w:qFormat/>
    <w:pPr>
      <w:jc w:val="left"/>
      <w:spacing w:before="100" w:beforeAutospacing="1" w:after="100" w:afterAutospacing="1"/>
      <w:widowControl/>
    </w:pPr>
    <w:rPr>
      <w:rFonts w:hint="eastAsia" w:ascii="宋体" w:hAnsi="宋体"/>
      <w:sz w:val="18"/>
      <w:szCs w:val="18"/>
    </w:rPr>
  </w:style>
  <w:style w:type="paragraph" w:styleId="1032">
    <w:name w:val=" Char Char Char Char"/>
    <w:basedOn w:val="965"/>
    <w:next w:val="1032"/>
    <w:link w:val="745"/>
    <w:qFormat/>
    <w:pPr>
      <w:spacing w:line="360" w:lineRule="auto"/>
    </w:pPr>
    <w:rPr>
      <w:rFonts w:ascii="Tahoma" w:hAnsi="Tahoma"/>
      <w:sz w:val="24"/>
      <w:szCs w:val="24"/>
    </w:rPr>
  </w:style>
  <w:style w:type="paragraph" w:styleId="1033">
    <w:name w:val="列出段落"/>
    <w:basedOn w:val="745"/>
    <w:next w:val="1033"/>
    <w:link w:val="745"/>
    <w:qFormat/>
    <w:pPr>
      <w:contextualSpacing/>
      <w:ind w:left="720"/>
      <w:jc w:val="left"/>
      <w:widowControl/>
    </w:pPr>
    <w:rPr>
      <w:rFonts w:ascii="Calibri" w:hAnsi="Calibri"/>
      <w:sz w:val="24"/>
      <w:szCs w:val="24"/>
      <w:lang w:eastAsia="en-US" w:bidi="en-US"/>
    </w:rPr>
  </w:style>
  <w:style w:type="paragraph" w:styleId="1034">
    <w:name w:val="4"/>
    <w:basedOn w:val="745"/>
    <w:next w:val="995"/>
    <w:link w:val="745"/>
    <w:qFormat/>
    <w:pPr>
      <w:ind w:firstLine="420"/>
      <w:spacing w:line="360" w:lineRule="auto"/>
    </w:pPr>
    <w:rPr>
      <w:color w:val="ff0000"/>
      <w:sz w:val="24"/>
      <w:szCs w:val="24"/>
    </w:rPr>
  </w:style>
  <w:style w:type="paragraph" w:styleId="1035">
    <w:name w:val="普通 (Web)"/>
    <w:basedOn w:val="745"/>
    <w:next w:val="1035"/>
    <w:link w:val="745"/>
    <w:qFormat/>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745"/>
    <w:next w:val="1036"/>
    <w:link w:val="745"/>
    <w:qFormat/>
    <w:pPr>
      <w:spacing w:line="360" w:lineRule="auto"/>
    </w:pPr>
    <w:rPr>
      <w:sz w:val="24"/>
      <w:szCs w:val="20"/>
    </w:rPr>
  </w:style>
  <w:style w:type="paragraph" w:styleId="1037">
    <w:name w:val="样式1"/>
    <w:basedOn w:val="745"/>
    <w:next w:val="1037"/>
    <w:link w:val="745"/>
    <w:qFormat/>
    <w:pPr>
      <w:numPr>
        <w:ilvl w:val="0"/>
        <w:numId w:val="3"/>
      </w:numPr>
      <w:tabs>
        <w:tab w:val="left" w:pos="709" w:leader="none"/>
      </w:tabs>
    </w:pPr>
    <w:rPr>
      <w:rFonts w:ascii="宋体" w:hAnsi="宋体"/>
    </w:rPr>
  </w:style>
  <w:style w:type="paragraph" w:styleId="1038">
    <w:name w:val="font6"/>
    <w:basedOn w:val="745"/>
    <w:next w:val="1038"/>
    <w:link w:val="745"/>
    <w:qFormat/>
    <w:pPr>
      <w:jc w:val="left"/>
      <w:spacing w:before="100" w:beforeAutospacing="1" w:after="100" w:afterAutospacing="1"/>
      <w:widowControl/>
    </w:pPr>
    <w:rPr>
      <w:rFonts w:hint="eastAsia" w:ascii="宋体" w:hAnsi="宋体"/>
      <w:sz w:val="28"/>
      <w:szCs w:val="28"/>
      <w:u w:val="single"/>
    </w:rPr>
  </w:style>
  <w:style w:type="paragraph" w:styleId="1039">
    <w:name w:val="xl25"/>
    <w:basedOn w:val="745"/>
    <w:next w:val="1039"/>
    <w:link w:val="7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45"/>
    <w:next w:val="745"/>
    <w:link w:val="74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745"/>
    <w:next w:val="745"/>
    <w:link w:val="745"/>
    <w:qFormat/>
    <w:pPr>
      <w:ind w:firstLine="624"/>
      <w:spacing w:line="590" w:lineRule="atLeast"/>
    </w:pPr>
    <w:rPr>
      <w:rFonts w:ascii="方正黑体_GBK" w:eastAsia="方正黑体_GBK"/>
      <w:sz w:val="32"/>
      <w:szCs w:val="32"/>
    </w:rPr>
  </w:style>
  <w:style w:type="paragraph" w:styleId="1042">
    <w:name w:val="xl24"/>
    <w:basedOn w:val="745"/>
    <w:next w:val="1042"/>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745"/>
    <w:next w:val="1043"/>
    <w:link w:val="74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745"/>
    <w:next w:val="1044"/>
    <w:link w:val="745"/>
    <w:qFormat/>
    <w:pPr>
      <w:jc w:val="left"/>
      <w:spacing w:after="160" w:line="240" w:lineRule="exact"/>
      <w:widowControl/>
    </w:pPr>
    <w:rPr>
      <w:rFonts w:ascii="Verdana" w:hAnsi="Verdana"/>
      <w:sz w:val="20"/>
      <w:szCs w:val="20"/>
      <w:lang w:eastAsia="en-US"/>
    </w:rPr>
  </w:style>
  <w:style w:type="paragraph" w:styleId="1045">
    <w:name w:val="xl28"/>
    <w:basedOn w:val="745"/>
    <w:next w:val="1045"/>
    <w:link w:val="7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745"/>
    <w:next w:val="1046"/>
    <w:link w:val="745"/>
    <w:qFormat/>
    <w:pPr>
      <w:jc w:val="left"/>
      <w:spacing w:after="160" w:line="240" w:lineRule="exact"/>
      <w:widowControl/>
    </w:pPr>
    <w:rPr>
      <w:rFonts w:ascii="Verdana" w:hAnsi="Verdana"/>
      <w:sz w:val="20"/>
      <w:szCs w:val="20"/>
      <w:lang w:eastAsia="en-US"/>
    </w:rPr>
  </w:style>
  <w:style w:type="paragraph" w:styleId="1047">
    <w:name w:val="xl30"/>
    <w:basedOn w:val="745"/>
    <w:next w:val="1047"/>
    <w:link w:val="745"/>
    <w:qFormat/>
    <w:pPr>
      <w:jc w:val="center"/>
      <w:spacing w:before="100" w:beforeAutospacing="1" w:after="100" w:afterAutospacing="1"/>
      <w:widowControl/>
    </w:pPr>
    <w:rPr>
      <w:rFonts w:ascii="宋体" w:hAnsi="宋体"/>
      <w:b/>
      <w:bCs/>
      <w:sz w:val="36"/>
      <w:szCs w:val="36"/>
    </w:rPr>
  </w:style>
  <w:style w:type="paragraph" w:styleId="1048">
    <w:name w:val="Char Char Char Char"/>
    <w:basedOn w:val="965"/>
    <w:next w:val="1048"/>
    <w:link w:val="745"/>
    <w:qFormat/>
    <w:pPr>
      <w:spacing w:line="360" w:lineRule="auto"/>
    </w:pPr>
    <w:rPr>
      <w:rFonts w:ascii="Tahoma" w:hAnsi="Tahoma"/>
      <w:sz w:val="24"/>
      <w:szCs w:val="24"/>
    </w:rPr>
  </w:style>
  <w:style w:type="paragraph" w:styleId="1049">
    <w:name w:val="table_1stline"/>
    <w:basedOn w:val="745"/>
    <w:next w:val="1049"/>
    <w:link w:val="745"/>
    <w:qFormat/>
    <w:pPr>
      <w:jc w:val="left"/>
      <w:spacing w:before="120"/>
      <w:widowControl/>
    </w:pPr>
    <w:rPr>
      <w:bCs/>
      <w:sz w:val="20"/>
      <w:szCs w:val="20"/>
      <w:lang w:val="de-DE" w:eastAsia="de-DE"/>
    </w:rPr>
  </w:style>
  <w:style w:type="paragraph" w:styleId="1050">
    <w:name w:val="font5"/>
    <w:basedOn w:val="745"/>
    <w:next w:val="1050"/>
    <w:link w:val="745"/>
    <w:qFormat/>
    <w:pPr>
      <w:jc w:val="left"/>
      <w:spacing w:before="100" w:beforeAutospacing="1" w:after="100" w:afterAutospacing="1"/>
      <w:widowControl/>
    </w:pPr>
    <w:rPr>
      <w:rFonts w:hint="eastAsia" w:ascii="宋体" w:hAnsi="宋体"/>
      <w:sz w:val="28"/>
      <w:szCs w:val="28"/>
    </w:rPr>
  </w:style>
  <w:style w:type="paragraph" w:styleId="1051">
    <w:name w:val="标题1"/>
    <w:basedOn w:val="745"/>
    <w:next w:val="745"/>
    <w:link w:val="74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745"/>
    <w:uiPriority w:val="99"/>
    <w:semiHidden/>
    <w:qFormat/>
    <w:rPr>
      <w:sz w:val="21"/>
      <w:szCs w:val="21"/>
      <w:lang w:val="en-US" w:eastAsia="zh-CN" w:bidi="ar-SA"/>
    </w:rPr>
  </w:style>
  <w:style w:type="paragraph" w:styleId="1053">
    <w:name w:val="无间隔1"/>
    <w:next w:val="1053"/>
    <w:link w:val="745"/>
    <w:uiPriority w:val="99"/>
    <w:qFormat/>
    <w:pPr>
      <w:jc w:val="both"/>
      <w:widowControl w:val="off"/>
    </w:pPr>
    <w:rPr>
      <w:sz w:val="21"/>
      <w:szCs w:val="21"/>
      <w:lang w:val="en-US" w:eastAsia="zh-CN" w:bidi="ar-SA"/>
    </w:rPr>
  </w:style>
  <w:style w:type="paragraph" w:styleId="1054">
    <w:name w:val="正文文本 211"/>
    <w:basedOn w:val="745"/>
    <w:next w:val="1054"/>
    <w:link w:val="745"/>
    <w:uiPriority w:val="99"/>
    <w:qFormat/>
    <w:pPr>
      <w:jc w:val="center"/>
    </w:pPr>
    <w:rPr>
      <w:b/>
      <w:bCs/>
      <w:sz w:val="20"/>
      <w:szCs w:val="20"/>
    </w:rPr>
  </w:style>
  <w:style w:type="table" w:styleId="1055">
    <w:name w:val="Table Normal_0"/>
    <w:next w:val="1055"/>
    <w:link w:val="745"/>
    <w:qFormat/>
    <w:rPr>
      <w:lang w:val="en-US" w:eastAsia="zh-CN" w:bidi="ar-SA"/>
    </w:rPr>
    <w:tblPr/>
  </w:style>
  <w:style w:type="character" w:styleId="1056">
    <w:name w:val="font71"/>
    <w:next w:val="1056"/>
    <w:link w:val="745"/>
    <w:qFormat/>
    <w:rPr>
      <w:rFonts w:hint="eastAsia" w:ascii="仿宋" w:hAnsi="仿宋" w:eastAsia="仿宋" w:cs="仿宋"/>
      <w:color w:val="000000"/>
      <w:sz w:val="24"/>
      <w:szCs w:val="24"/>
      <w:u w:val="single"/>
    </w:rPr>
  </w:style>
  <w:style w:type="character" w:styleId="1057">
    <w:name w:val="font41"/>
    <w:next w:val="1057"/>
    <w:link w:val="745"/>
    <w:qFormat/>
    <w:rPr>
      <w:rFonts w:hint="eastAsia" w:ascii="仿宋" w:hAnsi="仿宋" w:eastAsia="仿宋" w:cs="仿宋"/>
      <w:color w:val="000000"/>
      <w:sz w:val="24"/>
      <w:szCs w:val="24"/>
      <w:u w:val="none"/>
    </w:rPr>
  </w:style>
  <w:style w:type="character" w:styleId="1058">
    <w:name w:val="font81"/>
    <w:next w:val="1058"/>
    <w:link w:val="745"/>
    <w:qFormat/>
    <w:rPr>
      <w:rFonts w:hint="eastAsia" w:ascii="宋体" w:hAnsi="宋体" w:eastAsia="宋体" w:cs="宋体"/>
      <w:color w:val="000000"/>
      <w:sz w:val="24"/>
      <w:szCs w:val="24"/>
      <w:u w:val="single"/>
    </w:rPr>
  </w:style>
  <w:style w:type="paragraph" w:styleId="1059">
    <w:name w:val="Table Paragraph"/>
    <w:basedOn w:val="745"/>
    <w:next w:val="1059"/>
    <w:link w:val="745"/>
    <w:uiPriority w:val="1"/>
    <w:qFormat/>
    <w:pPr>
      <w:jc w:val="left"/>
    </w:pPr>
    <w:rPr>
      <w:rFonts w:ascii="宋体" w:hAnsi="宋体" w:eastAsia="宋体" w:cs="宋体"/>
      <w:sz w:val="22"/>
      <w:szCs w:val="22"/>
      <w:lang w:val="zh-CN" w:bidi="zh-CN"/>
    </w:rPr>
  </w:style>
  <w:style w:type="table" w:styleId="1060">
    <w:name w:val="网格型1"/>
    <w:basedOn w:val="1061"/>
    <w:next w:val="1060"/>
    <w:link w:val="745"/>
    <w:qFormat/>
    <w:pPr>
      <w:jc w:val="both"/>
      <w:widowControl w:val="off"/>
    </w:pPr>
    <w:tblPr/>
  </w:style>
  <w:style w:type="table" w:styleId="1061">
    <w:name w:val="普通表格1"/>
    <w:next w:val="1061"/>
    <w:link w:val="745"/>
    <w:semiHidden/>
    <w:qFormat/>
    <w:rPr>
      <w:lang w:val="en-US" w:eastAsia="zh-CN" w:bidi="ar-SA"/>
    </w:rPr>
    <w:tblPr/>
  </w:style>
  <w:style w:type="paragraph" w:styleId="1062">
    <w:name w:val="首行缩进"/>
    <w:basedOn w:val="745"/>
    <w:next w:val="1062"/>
    <w:link w:val="745"/>
    <w:qFormat/>
    <w:pPr>
      <w:ind w:firstLine="480"/>
    </w:pPr>
    <w:rPr>
      <w:lang w:val="zh-CN"/>
    </w:rPr>
  </w:style>
  <w:style w:type="paragraph" w:styleId="1063">
    <w:name w:val="标题 31"/>
    <w:basedOn w:val="745"/>
    <w:next w:val="745"/>
    <w:link w:val="74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4">
    <w:name w:val="正文缩进1"/>
    <w:basedOn w:val="745"/>
    <w:next w:val="1064"/>
    <w:link w:val="745"/>
    <w:qFormat/>
    <w:pPr>
      <w:ind w:firstLine="420"/>
      <w:spacing w:line="360" w:lineRule="auto"/>
    </w:pPr>
    <w:rPr>
      <w:sz w:val="24"/>
    </w:rPr>
  </w:style>
  <w:style w:type="table" w:styleId="1065">
    <w:name w:val="Table Normal"/>
    <w:next w:val="1065"/>
    <w:link w:val="745"/>
    <w:qFormat/>
    <w:rPr>
      <w:lang w:val="en-US" w:eastAsia="zh-CN" w:bidi="ar-SA"/>
    </w:rPr>
    <w:tblPr/>
  </w:style>
  <w:style w:type="character" w:styleId="1066">
    <w:name w:val="15"/>
    <w:next w:val="1066"/>
    <w:link w:val="745"/>
    <w:rPr>
      <w:rFonts w:ascii="Times New Roman" w:hAnsi="Times New Roman" w:cs="Times New Roman"/>
    </w:rPr>
  </w:style>
  <w:style w:type="paragraph" w:styleId="1067">
    <w:name w:val="正文首行缩进 211"/>
    <w:basedOn w:val="1068"/>
    <w:next w:val="745"/>
    <w:link w:val="745"/>
    <w:qFormat/>
    <w:pPr>
      <w:ind w:left="0" w:firstLine="420"/>
      <w:spacing w:after="0" w:line="360" w:lineRule="auto"/>
    </w:pPr>
    <w:rPr>
      <w:rFonts w:ascii="宋体" w:hAnsi="宋体" w:eastAsia="宋体" w:cs="Times New Roman"/>
      <w:szCs w:val="20"/>
    </w:rPr>
  </w:style>
  <w:style w:type="paragraph" w:styleId="1068">
    <w:name w:val="正文文本缩进11"/>
    <w:basedOn w:val="745"/>
    <w:next w:val="1069"/>
    <w:link w:val="745"/>
    <w:unhideWhenUsed/>
    <w:qFormat/>
    <w:pPr>
      <w:ind w:left="420"/>
      <w:spacing w:after="120"/>
    </w:pPr>
  </w:style>
  <w:style w:type="paragraph" w:styleId="1069">
    <w:name w:val="寄信人地址1"/>
    <w:basedOn w:val="745"/>
    <w:next w:val="1069"/>
    <w:link w:val="745"/>
    <w:qFormat/>
    <w:rPr>
      <w:rFonts w:ascii="Arial" w:hAnsi="Arial" w:eastAsia="宋体" w:cs="宋体"/>
    </w:rPr>
  </w:style>
  <w:style w:type="character" w:styleId="1070">
    <w:name w:val="font21"/>
    <w:next w:val="1070"/>
    <w:link w:val="745"/>
    <w:qFormat/>
    <w:rPr>
      <w:rFonts w:ascii="Calibri" w:hAnsi="Calibri" w:cs="Calibri"/>
      <w:color w:val="000000"/>
      <w:sz w:val="24"/>
      <w:szCs w:val="24"/>
      <w:u w:val="none"/>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王涵</cp:lastModifiedBy>
  <cp:revision>7</cp:revision>
  <dcterms:created xsi:type="dcterms:W3CDTF">2023-03-16T02:16:00Z</dcterms:created>
  <dcterms:modified xsi:type="dcterms:W3CDTF">2026-08-21T06:18:36Z</dcterms:modified>
</cp:coreProperties>
</file>