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A9D43A">
      <w:pPr>
        <w:pStyle w:val="11"/>
        <w:spacing w:before="120" w:beforeAutospacing="0" w:after="120" w:afterAutospacing="0" w:line="360" w:lineRule="auto"/>
        <w:rPr>
          <w:color w:val="auto"/>
          <w:highlight w:val="none"/>
        </w:rPr>
      </w:pPr>
      <w:r>
        <w:rPr>
          <w:color w:val="auto"/>
          <w:highlight w:val="none"/>
        </w:rPr>
        <w:t> </w:t>
      </w:r>
    </w:p>
    <w:p w14:paraId="4ACB3DA4">
      <w:pPr>
        <w:pStyle w:val="11"/>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568EA975">
      <w:pPr>
        <w:pStyle w:val="11"/>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eastAsia="zh-CN"/>
        </w:rPr>
        <w:t>盐城市公安局盐南高新技术产业开发区分局智慧安防村居三期项目</w:t>
      </w:r>
    </w:p>
    <w:p w14:paraId="2DE7B564">
      <w:pPr>
        <w:pStyle w:val="11"/>
        <w:spacing w:before="120" w:beforeAutospacing="0" w:after="120" w:afterAutospacing="0" w:line="360" w:lineRule="auto"/>
        <w:jc w:val="both"/>
        <w:rPr>
          <w:color w:val="auto"/>
          <w:highlight w:val="none"/>
        </w:rPr>
      </w:pPr>
      <w:r>
        <w:rPr>
          <w:rFonts w:ascii="Arial" w:hAnsi="Arial" w:cs="Arial"/>
          <w:b/>
          <w:color w:val="auto"/>
          <w:sz w:val="32"/>
          <w:szCs w:val="32"/>
          <w:highlight w:val="none"/>
        </w:rPr>
        <w:t>项目编号：</w:t>
      </w:r>
      <w:r>
        <w:rPr>
          <w:rFonts w:hint="eastAsia" w:ascii="Arial" w:hAnsi="Arial" w:cs="Arial"/>
          <w:b/>
          <w:color w:val="auto"/>
          <w:sz w:val="32"/>
          <w:szCs w:val="32"/>
          <w:highlight w:val="none"/>
          <w:lang w:eastAsia="zh-CN"/>
        </w:rPr>
        <w:t>JSZC-320992-YCZH-G2026-0011</w:t>
      </w:r>
    </w:p>
    <w:p w14:paraId="2926E52A">
      <w:pPr>
        <w:pStyle w:val="11"/>
        <w:spacing w:beforeAutospacing="0" w:afterAutospacing="0" w:line="360" w:lineRule="auto"/>
        <w:rPr>
          <w:color w:val="auto"/>
          <w:highlight w:val="none"/>
        </w:rPr>
      </w:pPr>
      <w:r>
        <w:rPr>
          <w:color w:val="auto"/>
          <w:highlight w:val="none"/>
        </w:rPr>
        <w:t> </w:t>
      </w:r>
    </w:p>
    <w:p w14:paraId="37D5E739">
      <w:pPr>
        <w:pStyle w:val="11"/>
        <w:spacing w:beforeAutospacing="0" w:afterAutospacing="0" w:line="360" w:lineRule="auto"/>
        <w:rPr>
          <w:color w:val="auto"/>
          <w:highlight w:val="none"/>
        </w:rPr>
      </w:pPr>
      <w:r>
        <w:rPr>
          <w:color w:val="auto"/>
          <w:highlight w:val="none"/>
        </w:rPr>
        <w:t> </w:t>
      </w:r>
    </w:p>
    <w:p w14:paraId="381EBCF8">
      <w:pPr>
        <w:pStyle w:val="11"/>
        <w:spacing w:beforeAutospacing="0" w:afterAutospacing="0" w:line="360" w:lineRule="auto"/>
        <w:rPr>
          <w:color w:val="auto"/>
          <w:highlight w:val="none"/>
        </w:rPr>
      </w:pPr>
      <w:r>
        <w:rPr>
          <w:color w:val="auto"/>
          <w:highlight w:val="none"/>
        </w:rPr>
        <w:t> </w:t>
      </w:r>
    </w:p>
    <w:p w14:paraId="4C180711">
      <w:pPr>
        <w:pStyle w:val="11"/>
        <w:spacing w:beforeAutospacing="0" w:afterAutospacing="0" w:line="360" w:lineRule="auto"/>
        <w:rPr>
          <w:color w:val="auto"/>
          <w:highlight w:val="none"/>
        </w:rPr>
      </w:pPr>
      <w:r>
        <w:rPr>
          <w:color w:val="auto"/>
          <w:highlight w:val="none"/>
        </w:rPr>
        <w:t> </w:t>
      </w:r>
    </w:p>
    <w:p w14:paraId="3260F04D">
      <w:pPr>
        <w:pStyle w:val="11"/>
        <w:spacing w:beforeAutospacing="0" w:afterAutospacing="0" w:line="360" w:lineRule="auto"/>
        <w:rPr>
          <w:color w:val="auto"/>
          <w:highlight w:val="none"/>
        </w:rPr>
      </w:pPr>
      <w:r>
        <w:rPr>
          <w:color w:val="auto"/>
          <w:highlight w:val="none"/>
        </w:rPr>
        <w:t> </w:t>
      </w:r>
    </w:p>
    <w:p w14:paraId="7B85D1C1">
      <w:pPr>
        <w:pStyle w:val="11"/>
        <w:spacing w:beforeAutospacing="0" w:afterAutospacing="0" w:line="360" w:lineRule="auto"/>
        <w:rPr>
          <w:color w:val="auto"/>
          <w:highlight w:val="none"/>
        </w:rPr>
      </w:pPr>
      <w:r>
        <w:rPr>
          <w:color w:val="auto"/>
          <w:highlight w:val="none"/>
        </w:rPr>
        <w:t> </w:t>
      </w:r>
    </w:p>
    <w:p w14:paraId="3DF7E29F">
      <w:pPr>
        <w:pStyle w:val="11"/>
        <w:spacing w:beforeAutospacing="0" w:afterAutospacing="0" w:line="360" w:lineRule="auto"/>
        <w:rPr>
          <w:color w:val="auto"/>
          <w:highlight w:val="none"/>
        </w:rPr>
      </w:pPr>
      <w:r>
        <w:rPr>
          <w:color w:val="auto"/>
          <w:highlight w:val="none"/>
        </w:rPr>
        <w:t> </w:t>
      </w:r>
    </w:p>
    <w:p w14:paraId="10505119">
      <w:pPr>
        <w:pStyle w:val="11"/>
        <w:spacing w:before="120" w:beforeAutospacing="0" w:after="120" w:afterAutospacing="0" w:line="360" w:lineRule="auto"/>
        <w:jc w:val="center"/>
        <w:rPr>
          <w:rFonts w:ascii="Arial" w:hAnsi="Arial" w:cs="Arial"/>
          <w:b/>
          <w:color w:val="auto"/>
          <w:sz w:val="32"/>
          <w:szCs w:val="32"/>
          <w:highlight w:val="none"/>
        </w:rPr>
      </w:pPr>
      <w:r>
        <w:rPr>
          <w:rFonts w:hint="eastAsia" w:ascii="Arial" w:hAnsi="Arial" w:cs="Arial"/>
          <w:b/>
          <w:color w:val="auto"/>
          <w:sz w:val="32"/>
          <w:szCs w:val="32"/>
          <w:highlight w:val="none"/>
          <w:lang w:eastAsia="zh-CN"/>
        </w:rPr>
        <w:t>盐城市公安局盐南高新技术产业开发区分局</w:t>
      </w:r>
    </w:p>
    <w:p w14:paraId="10194C91">
      <w:pPr>
        <w:pStyle w:val="11"/>
        <w:spacing w:before="120" w:beforeAutospacing="0" w:after="120" w:afterAutospacing="0" w:line="360" w:lineRule="auto"/>
        <w:jc w:val="center"/>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盐城市智禾项目管理有限公司</w:t>
      </w:r>
    </w:p>
    <w:p w14:paraId="48DE62A8">
      <w:pPr>
        <w:pStyle w:val="11"/>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lang w:val="en-US" w:eastAsia="zh-CN"/>
        </w:rPr>
        <w:t>2026</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7</w:t>
      </w:r>
      <w:r>
        <w:rPr>
          <w:rFonts w:ascii="Arial" w:hAnsi="Arial" w:cs="Arial"/>
          <w:b/>
          <w:color w:val="auto"/>
          <w:sz w:val="32"/>
          <w:szCs w:val="32"/>
          <w:highlight w:val="none"/>
        </w:rPr>
        <w:t>月</w:t>
      </w:r>
    </w:p>
    <w:p w14:paraId="1A1FF07E">
      <w:pPr>
        <w:pStyle w:val="11"/>
        <w:spacing w:before="120" w:beforeAutospacing="0" w:after="120" w:afterAutospacing="0" w:line="360" w:lineRule="auto"/>
        <w:rPr>
          <w:color w:val="auto"/>
          <w:highlight w:val="none"/>
        </w:rPr>
      </w:pPr>
      <w:r>
        <w:rPr>
          <w:rFonts w:ascii="Arial" w:hAnsi="Arial" w:cs="Arial"/>
          <w:color w:val="auto"/>
          <w:highlight w:val="none"/>
        </w:rPr>
        <w:t xml:space="preserve">                        </w:t>
      </w:r>
    </w:p>
    <w:p w14:paraId="6D9B04D7">
      <w:pPr>
        <w:pStyle w:val="11"/>
        <w:spacing w:before="120" w:beforeAutospacing="0" w:after="120" w:afterAutospacing="0" w:line="360" w:lineRule="auto"/>
        <w:jc w:val="center"/>
        <w:rPr>
          <w:color w:val="auto"/>
          <w:highlight w:val="none"/>
        </w:rPr>
      </w:pPr>
      <w:r>
        <w:rPr>
          <w:color w:val="auto"/>
          <w:highlight w:val="none"/>
        </w:rPr>
        <w:t> </w:t>
      </w:r>
    </w:p>
    <w:p w14:paraId="1B0A0FCC">
      <w:pPr>
        <w:pStyle w:val="11"/>
        <w:spacing w:beforeAutospacing="0" w:afterAutospacing="0" w:line="480" w:lineRule="auto"/>
        <w:jc w:val="center"/>
        <w:rPr>
          <w:color w:val="auto"/>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513029200"/>
      <w:bookmarkStart w:id="1" w:name="_Toc523127445"/>
      <w:bookmarkStart w:id="2" w:name="_Toc20823272"/>
      <w:bookmarkStart w:id="3" w:name="_Toc16938516"/>
      <w:bookmarkStart w:id="4" w:name="_Toc479757206"/>
      <w:bookmarkStart w:id="5" w:name="_Toc120614210"/>
      <w:r>
        <w:rPr>
          <w:rFonts w:ascii="黑体" w:hAnsi="宋体" w:eastAsia="黑体" w:cs="黑体"/>
          <w:b/>
          <w:color w:val="auto"/>
          <w:sz w:val="44"/>
          <w:szCs w:val="44"/>
          <w:highlight w:val="none"/>
        </w:rPr>
        <w:t>总  目  录</w:t>
      </w:r>
      <w:bookmarkEnd w:id="0"/>
      <w:bookmarkEnd w:id="1"/>
      <w:bookmarkEnd w:id="2"/>
      <w:bookmarkEnd w:id="3"/>
      <w:bookmarkEnd w:id="4"/>
      <w:bookmarkEnd w:id="5"/>
    </w:p>
    <w:p w14:paraId="24BB874F">
      <w:pPr>
        <w:pStyle w:val="11"/>
        <w:spacing w:beforeAutospacing="0" w:afterAutospacing="0" w:line="480" w:lineRule="auto"/>
        <w:jc w:val="both"/>
        <w:rPr>
          <w:color w:val="auto"/>
          <w:highlight w:val="none"/>
        </w:rPr>
      </w:pPr>
      <w:r>
        <w:rPr>
          <w:color w:val="auto"/>
          <w:highlight w:val="none"/>
        </w:rPr>
        <w:t> </w:t>
      </w:r>
    </w:p>
    <w:p w14:paraId="0BE109DC">
      <w:pPr>
        <w:pStyle w:val="11"/>
        <w:tabs>
          <w:tab w:val="left" w:pos="1441"/>
        </w:tabs>
        <w:spacing w:beforeAutospacing="0" w:afterAutospacing="0" w:line="480" w:lineRule="auto"/>
        <w:ind w:left="2160" w:hanging="1440"/>
        <w:jc w:val="both"/>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招标公告</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 xml:space="preserve"> 3</w:t>
      </w:r>
    </w:p>
    <w:p w14:paraId="7C522B2E">
      <w:pPr>
        <w:pStyle w:val="11"/>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投标人须知…………………………………</w:t>
      </w:r>
      <w:r>
        <w:rPr>
          <w:rFonts w:hint="eastAsia" w:ascii="黑体" w:hAnsi="宋体" w:eastAsia="黑体" w:cs="黑体"/>
          <w:color w:val="auto"/>
          <w:sz w:val="36"/>
          <w:szCs w:val="36"/>
          <w:highlight w:val="none"/>
          <w:lang w:val="en-US" w:eastAsia="zh-CN"/>
        </w:rPr>
        <w:t xml:space="preserve"> 7</w:t>
      </w:r>
    </w:p>
    <w:p w14:paraId="357111A6">
      <w:pPr>
        <w:pStyle w:val="11"/>
        <w:tabs>
          <w:tab w:val="left" w:pos="1441"/>
        </w:tabs>
        <w:spacing w:beforeAutospacing="0" w:afterAutospacing="0" w:line="480" w:lineRule="auto"/>
        <w:ind w:left="2160" w:hanging="1440"/>
        <w:jc w:val="both"/>
        <w:rPr>
          <w:rFonts w:hint="eastAsia" w:eastAsia="黑体"/>
          <w:color w:val="auto"/>
          <w:highlight w:val="none"/>
          <w:lang w:val="en-US" w:eastAsia="zh-CN"/>
        </w:rPr>
      </w:pPr>
      <w:r>
        <w:rPr>
          <w:rFonts w:hint="eastAsia" w:ascii="黑体" w:hAnsi="宋体" w:eastAsia="黑体" w:cs="黑体"/>
          <w:color w:val="auto"/>
          <w:sz w:val="36"/>
          <w:szCs w:val="36"/>
          <w:highlight w:val="none"/>
        </w:rPr>
        <w:t>合同</w:t>
      </w:r>
      <w:r>
        <w:rPr>
          <w:rFonts w:hint="eastAsia" w:ascii="黑体" w:hAnsi="宋体" w:eastAsia="黑体" w:cs="黑体"/>
          <w:color w:val="auto"/>
          <w:sz w:val="36"/>
          <w:szCs w:val="36"/>
          <w:highlight w:val="none"/>
          <w:lang w:eastAsia="zh-CN"/>
        </w:rPr>
        <w:t>条款</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22</w:t>
      </w:r>
    </w:p>
    <w:p w14:paraId="35CAB5B5">
      <w:pPr>
        <w:pStyle w:val="11"/>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45</w:t>
      </w:r>
    </w:p>
    <w:p w14:paraId="12FD980E">
      <w:pPr>
        <w:pStyle w:val="11"/>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评标方法与评标标准………………………</w:t>
      </w:r>
      <w:r>
        <w:rPr>
          <w:rFonts w:hint="eastAsia" w:ascii="黑体" w:hAnsi="宋体" w:eastAsia="黑体" w:cs="黑体"/>
          <w:color w:val="auto"/>
          <w:sz w:val="36"/>
          <w:szCs w:val="36"/>
          <w:highlight w:val="none"/>
          <w:lang w:val="en-US" w:eastAsia="zh-CN"/>
        </w:rPr>
        <w:t>114</w:t>
      </w:r>
    </w:p>
    <w:p w14:paraId="15602893">
      <w:pPr>
        <w:pStyle w:val="11"/>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投标文件格式………………………………</w:t>
      </w:r>
      <w:r>
        <w:rPr>
          <w:rFonts w:hint="eastAsia" w:ascii="黑体" w:hAnsi="宋体" w:eastAsia="黑体" w:cs="黑体"/>
          <w:color w:val="auto"/>
          <w:sz w:val="36"/>
          <w:szCs w:val="36"/>
          <w:highlight w:val="none"/>
          <w:lang w:val="en-US" w:eastAsia="zh-CN"/>
        </w:rPr>
        <w:t>120</w:t>
      </w:r>
    </w:p>
    <w:p w14:paraId="534DE13F">
      <w:pPr>
        <w:pStyle w:val="11"/>
        <w:spacing w:beforeAutospacing="0" w:afterAutospacing="0"/>
        <w:jc w:val="both"/>
        <w:rPr>
          <w:color w:val="auto"/>
          <w:highlight w:val="none"/>
        </w:rPr>
      </w:pPr>
      <w:r>
        <w:rPr>
          <w:color w:val="auto"/>
          <w:highlight w:val="none"/>
        </w:rPr>
        <w:t> </w:t>
      </w:r>
    </w:p>
    <w:p w14:paraId="5B3C47C5">
      <w:pPr>
        <w:pStyle w:val="11"/>
        <w:spacing w:beforeAutospacing="0" w:afterAutospacing="0"/>
        <w:jc w:val="both"/>
        <w:rPr>
          <w:color w:val="auto"/>
          <w:highlight w:val="none"/>
        </w:rPr>
      </w:pPr>
      <w:r>
        <w:rPr>
          <w:color w:val="auto"/>
          <w:highlight w:val="none"/>
        </w:rPr>
        <w:t> </w:t>
      </w:r>
    </w:p>
    <w:p w14:paraId="1026E6EC">
      <w:pPr>
        <w:pStyle w:val="11"/>
        <w:spacing w:beforeAutospacing="0" w:afterAutospacing="0"/>
        <w:jc w:val="both"/>
        <w:rPr>
          <w:color w:val="auto"/>
          <w:highlight w:val="none"/>
        </w:rPr>
      </w:pPr>
      <w:r>
        <w:rPr>
          <w:color w:val="auto"/>
          <w:highlight w:val="none"/>
        </w:rPr>
        <w:t> </w:t>
      </w:r>
    </w:p>
    <w:p w14:paraId="77EDD784">
      <w:pPr>
        <w:pStyle w:val="11"/>
        <w:spacing w:beforeAutospacing="0" w:afterAutospacing="0"/>
        <w:jc w:val="both"/>
        <w:rPr>
          <w:color w:val="auto"/>
          <w:highlight w:val="none"/>
        </w:rPr>
      </w:pPr>
      <w:r>
        <w:rPr>
          <w:color w:val="auto"/>
          <w:highlight w:val="none"/>
        </w:rPr>
        <w:t> </w:t>
      </w:r>
    </w:p>
    <w:p w14:paraId="0CEF2CA3">
      <w:pPr>
        <w:pStyle w:val="11"/>
        <w:spacing w:beforeAutospacing="0" w:afterAutospacing="0"/>
        <w:jc w:val="both"/>
        <w:rPr>
          <w:color w:val="auto"/>
          <w:highlight w:val="none"/>
        </w:rPr>
      </w:pPr>
      <w:r>
        <w:rPr>
          <w:color w:val="auto"/>
          <w:highlight w:val="none"/>
        </w:rPr>
        <w:t> </w:t>
      </w:r>
    </w:p>
    <w:p w14:paraId="199834B7">
      <w:pPr>
        <w:pStyle w:val="11"/>
        <w:spacing w:beforeAutospacing="0" w:afterAutospacing="0"/>
        <w:jc w:val="both"/>
        <w:rPr>
          <w:color w:val="auto"/>
          <w:highlight w:val="none"/>
        </w:rPr>
      </w:pPr>
      <w:r>
        <w:rPr>
          <w:color w:val="auto"/>
          <w:highlight w:val="none"/>
        </w:rPr>
        <w:t> </w:t>
      </w:r>
    </w:p>
    <w:p w14:paraId="5973B429">
      <w:pPr>
        <w:pStyle w:val="11"/>
        <w:spacing w:beforeAutospacing="0" w:afterAutospacing="0"/>
        <w:jc w:val="both"/>
        <w:rPr>
          <w:color w:val="auto"/>
          <w:highlight w:val="none"/>
        </w:rPr>
      </w:pPr>
      <w:r>
        <w:rPr>
          <w:color w:val="auto"/>
          <w:highlight w:val="none"/>
        </w:rPr>
        <w:t> </w:t>
      </w:r>
    </w:p>
    <w:p w14:paraId="002C7EB7">
      <w:pPr>
        <w:pStyle w:val="11"/>
        <w:spacing w:beforeAutospacing="0" w:afterAutospacing="0"/>
        <w:jc w:val="both"/>
        <w:rPr>
          <w:color w:val="auto"/>
          <w:highlight w:val="none"/>
        </w:rPr>
      </w:pPr>
      <w:r>
        <w:rPr>
          <w:color w:val="auto"/>
          <w:highlight w:val="none"/>
        </w:rPr>
        <w:t> </w:t>
      </w:r>
    </w:p>
    <w:p w14:paraId="4F9CAB0B">
      <w:pPr>
        <w:pStyle w:val="11"/>
        <w:spacing w:beforeAutospacing="0" w:afterAutospacing="0"/>
        <w:jc w:val="both"/>
        <w:rPr>
          <w:color w:val="auto"/>
          <w:highlight w:val="none"/>
        </w:rPr>
      </w:pPr>
      <w:r>
        <w:rPr>
          <w:color w:val="auto"/>
          <w:highlight w:val="none"/>
        </w:rPr>
        <w:t> </w:t>
      </w:r>
    </w:p>
    <w:p w14:paraId="2E059227">
      <w:pPr>
        <w:pStyle w:val="11"/>
        <w:spacing w:beforeAutospacing="0" w:afterAutospacing="0"/>
        <w:jc w:val="both"/>
        <w:rPr>
          <w:color w:val="auto"/>
          <w:highlight w:val="none"/>
        </w:rPr>
      </w:pPr>
      <w:r>
        <w:rPr>
          <w:color w:val="auto"/>
          <w:highlight w:val="none"/>
        </w:rPr>
        <w:t> </w:t>
      </w:r>
    </w:p>
    <w:p w14:paraId="377E3A45">
      <w:pPr>
        <w:pStyle w:val="11"/>
        <w:spacing w:beforeAutospacing="0" w:afterAutospacing="0"/>
        <w:jc w:val="both"/>
        <w:rPr>
          <w:color w:val="auto"/>
          <w:highlight w:val="none"/>
        </w:rPr>
      </w:pPr>
      <w:r>
        <w:rPr>
          <w:color w:val="auto"/>
          <w:highlight w:val="none"/>
        </w:rPr>
        <w:t> </w:t>
      </w:r>
    </w:p>
    <w:p w14:paraId="0902FF10">
      <w:pPr>
        <w:pStyle w:val="11"/>
        <w:spacing w:beforeAutospacing="0" w:afterAutospacing="0"/>
        <w:jc w:val="both"/>
        <w:rPr>
          <w:color w:val="auto"/>
          <w:highlight w:val="none"/>
        </w:rPr>
      </w:pPr>
      <w:r>
        <w:rPr>
          <w:color w:val="auto"/>
          <w:highlight w:val="none"/>
        </w:rPr>
        <w:t> </w:t>
      </w:r>
    </w:p>
    <w:p w14:paraId="6551063F">
      <w:pPr>
        <w:pStyle w:val="11"/>
        <w:spacing w:beforeAutospacing="0" w:afterAutospacing="0"/>
        <w:jc w:val="both"/>
        <w:rPr>
          <w:color w:val="auto"/>
          <w:highlight w:val="none"/>
        </w:rPr>
      </w:pPr>
      <w:r>
        <w:rPr>
          <w:color w:val="auto"/>
          <w:highlight w:val="none"/>
        </w:rPr>
        <w:t> </w:t>
      </w:r>
    </w:p>
    <w:p w14:paraId="191BFA28">
      <w:pPr>
        <w:pStyle w:val="11"/>
        <w:spacing w:beforeAutospacing="0" w:afterAutospacing="0"/>
        <w:jc w:val="both"/>
        <w:rPr>
          <w:color w:val="auto"/>
          <w:highlight w:val="none"/>
        </w:rPr>
      </w:pPr>
      <w:r>
        <w:rPr>
          <w:color w:val="auto"/>
          <w:highlight w:val="none"/>
        </w:rPr>
        <w:t> </w:t>
      </w:r>
    </w:p>
    <w:p w14:paraId="2C46ADC8">
      <w:pPr>
        <w:pStyle w:val="11"/>
        <w:spacing w:beforeAutospacing="0" w:afterAutospacing="0"/>
        <w:jc w:val="both"/>
        <w:rPr>
          <w:color w:val="auto"/>
          <w:highlight w:val="none"/>
        </w:rPr>
      </w:pPr>
      <w:r>
        <w:rPr>
          <w:color w:val="auto"/>
          <w:highlight w:val="none"/>
        </w:rPr>
        <w:t> </w:t>
      </w:r>
    </w:p>
    <w:p w14:paraId="2900AB90">
      <w:pPr>
        <w:pStyle w:val="11"/>
        <w:spacing w:beforeAutospacing="0" w:afterAutospacing="0"/>
        <w:jc w:val="both"/>
        <w:rPr>
          <w:color w:val="auto"/>
          <w:highlight w:val="none"/>
        </w:rPr>
      </w:pPr>
      <w:r>
        <w:rPr>
          <w:color w:val="auto"/>
          <w:highlight w:val="none"/>
        </w:rPr>
        <w:t> </w:t>
      </w:r>
    </w:p>
    <w:p w14:paraId="60DE5FF6">
      <w:pPr>
        <w:pStyle w:val="11"/>
        <w:spacing w:beforeAutospacing="0" w:afterAutospacing="0"/>
        <w:jc w:val="both"/>
        <w:rPr>
          <w:color w:val="auto"/>
          <w:highlight w:val="none"/>
        </w:rPr>
      </w:pPr>
      <w:r>
        <w:rPr>
          <w:color w:val="auto"/>
          <w:highlight w:val="none"/>
        </w:rPr>
        <w:t> </w:t>
      </w:r>
    </w:p>
    <w:p w14:paraId="4B476BA0">
      <w:pPr>
        <w:pStyle w:val="11"/>
        <w:spacing w:beforeAutospacing="0" w:afterAutospacing="0"/>
        <w:jc w:val="both"/>
        <w:rPr>
          <w:color w:val="auto"/>
          <w:highlight w:val="none"/>
        </w:rPr>
      </w:pPr>
      <w:r>
        <w:rPr>
          <w:color w:val="auto"/>
          <w:highlight w:val="none"/>
        </w:rPr>
        <w:t> </w:t>
      </w:r>
    </w:p>
    <w:p w14:paraId="66234C8E">
      <w:pPr>
        <w:pStyle w:val="11"/>
        <w:spacing w:beforeAutospacing="0" w:afterAutospacing="0"/>
        <w:jc w:val="both"/>
        <w:rPr>
          <w:color w:val="auto"/>
          <w:highlight w:val="none"/>
        </w:rPr>
      </w:pPr>
      <w:r>
        <w:rPr>
          <w:color w:val="auto"/>
          <w:highlight w:val="none"/>
        </w:rPr>
        <w:t> </w:t>
      </w:r>
    </w:p>
    <w:p w14:paraId="43F4AD00">
      <w:pPr>
        <w:pStyle w:val="11"/>
        <w:spacing w:beforeAutospacing="0" w:afterAutospacing="0"/>
        <w:jc w:val="both"/>
        <w:rPr>
          <w:color w:val="auto"/>
          <w:highlight w:val="none"/>
        </w:rPr>
      </w:pPr>
      <w:r>
        <w:rPr>
          <w:color w:val="auto"/>
          <w:highlight w:val="none"/>
        </w:rPr>
        <w:t> </w:t>
      </w:r>
    </w:p>
    <w:p w14:paraId="19406DE9">
      <w:pPr>
        <w:pStyle w:val="11"/>
        <w:spacing w:beforeAutospacing="0" w:afterAutospacing="0"/>
        <w:jc w:val="both"/>
        <w:rPr>
          <w:color w:val="auto"/>
          <w:highlight w:val="none"/>
        </w:rPr>
      </w:pPr>
      <w:r>
        <w:rPr>
          <w:color w:val="auto"/>
          <w:highlight w:val="none"/>
        </w:rPr>
        <w:t> </w:t>
      </w:r>
    </w:p>
    <w:p w14:paraId="7B213257">
      <w:pPr>
        <w:pStyle w:val="11"/>
        <w:spacing w:beforeAutospacing="0" w:afterAutospacing="0"/>
        <w:jc w:val="both"/>
        <w:rPr>
          <w:color w:val="auto"/>
          <w:highlight w:val="none"/>
        </w:rPr>
      </w:pPr>
      <w:r>
        <w:rPr>
          <w:color w:val="auto"/>
          <w:highlight w:val="none"/>
        </w:rPr>
        <w:t> </w:t>
      </w:r>
    </w:p>
    <w:p w14:paraId="272BCB71">
      <w:pPr>
        <w:pStyle w:val="11"/>
        <w:spacing w:beforeAutospacing="0" w:afterAutospacing="0"/>
        <w:jc w:val="both"/>
        <w:rPr>
          <w:color w:val="auto"/>
          <w:highlight w:val="none"/>
        </w:rPr>
      </w:pPr>
      <w:r>
        <w:rPr>
          <w:color w:val="auto"/>
          <w:highlight w:val="none"/>
        </w:rPr>
        <w:t> </w:t>
      </w:r>
    </w:p>
    <w:p w14:paraId="4D4CBD8E">
      <w:pPr>
        <w:pStyle w:val="11"/>
        <w:spacing w:beforeAutospacing="0" w:afterAutospacing="0"/>
        <w:jc w:val="both"/>
        <w:rPr>
          <w:color w:val="auto"/>
          <w:highlight w:val="none"/>
        </w:rPr>
      </w:pPr>
      <w:r>
        <w:rPr>
          <w:color w:val="auto"/>
          <w:highlight w:val="none"/>
        </w:rPr>
        <w:t> </w:t>
      </w:r>
    </w:p>
    <w:p w14:paraId="0DBBC786">
      <w:pPr>
        <w:pStyle w:val="11"/>
        <w:spacing w:beforeAutospacing="0" w:afterAutospacing="0"/>
        <w:jc w:val="both"/>
        <w:rPr>
          <w:color w:val="auto"/>
          <w:highlight w:val="none"/>
        </w:rPr>
      </w:pPr>
      <w:r>
        <w:rPr>
          <w:color w:val="auto"/>
          <w:highlight w:val="none"/>
        </w:rPr>
        <w:t> </w:t>
      </w:r>
    </w:p>
    <w:p w14:paraId="6BB3D440">
      <w:pPr>
        <w:pStyle w:val="11"/>
        <w:spacing w:beforeAutospacing="0" w:afterAutospacing="0"/>
        <w:jc w:val="both"/>
        <w:rPr>
          <w:color w:val="auto"/>
          <w:highlight w:val="none"/>
        </w:rPr>
      </w:pPr>
      <w:r>
        <w:rPr>
          <w:color w:val="auto"/>
          <w:highlight w:val="none"/>
        </w:rPr>
        <w:t> </w:t>
      </w:r>
    </w:p>
    <w:p w14:paraId="4DAB1D66">
      <w:pPr>
        <w:pStyle w:val="11"/>
        <w:spacing w:beforeAutospacing="0" w:afterAutospacing="0"/>
        <w:jc w:val="both"/>
        <w:rPr>
          <w:color w:val="auto"/>
          <w:highlight w:val="none"/>
        </w:rPr>
      </w:pPr>
      <w:r>
        <w:rPr>
          <w:color w:val="auto"/>
          <w:highlight w:val="none"/>
        </w:rPr>
        <w:t> </w:t>
      </w:r>
    </w:p>
    <w:p w14:paraId="4224810C">
      <w:pPr>
        <w:pStyle w:val="11"/>
        <w:spacing w:beforeAutospacing="0" w:afterAutospacing="0"/>
        <w:jc w:val="both"/>
        <w:rPr>
          <w:color w:val="auto"/>
          <w:highlight w:val="none"/>
        </w:rPr>
      </w:pPr>
      <w:r>
        <w:rPr>
          <w:color w:val="auto"/>
          <w:highlight w:val="none"/>
        </w:rPr>
        <w:t> </w:t>
      </w:r>
    </w:p>
    <w:p w14:paraId="746F8DFD">
      <w:pPr>
        <w:pStyle w:val="11"/>
        <w:keepNext/>
        <w:spacing w:beforeAutospacing="0" w:afterAutospacing="0"/>
        <w:jc w:val="center"/>
        <w:rPr>
          <w:rFonts w:hint="default" w:eastAsia="黑体"/>
          <w:color w:val="auto"/>
          <w:highlight w:val="none"/>
          <w:lang w:val="en-US" w:eastAsia="zh-CN"/>
        </w:rPr>
      </w:pPr>
      <w:bookmarkStart w:id="6" w:name="_Toc28359086"/>
      <w:r>
        <w:rPr>
          <w:rFonts w:hint="eastAsia" w:ascii="黑体" w:hAnsi="宋体" w:eastAsia="黑体" w:cs="黑体"/>
          <w:color w:val="auto"/>
          <w:sz w:val="44"/>
          <w:szCs w:val="44"/>
          <w:highlight w:val="none"/>
        </w:rPr>
        <w:t>第一章 </w:t>
      </w:r>
      <w:r>
        <w:rPr>
          <w:rFonts w:hint="eastAsia" w:ascii="黑体" w:hAnsi="宋体" w:eastAsia="黑体" w:cs="黑体"/>
          <w:color w:val="auto"/>
          <w:sz w:val="44"/>
          <w:szCs w:val="44"/>
          <w:highlight w:val="none"/>
          <w:lang w:val="en-US" w:eastAsia="zh-CN"/>
        </w:rPr>
        <w:t>招标公告</w:t>
      </w:r>
    </w:p>
    <w:p w14:paraId="179DC6FF">
      <w:pPr>
        <w:pStyle w:val="11"/>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w:t>
      </w:r>
    </w:p>
    <w:p w14:paraId="6B0F6ADA">
      <w:pPr>
        <w:pStyle w:val="11"/>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盐城市公安局盐南高新技术产业开发区分局智慧安防村居三期项目</w:t>
      </w:r>
      <w:r>
        <w:rPr>
          <w:rFonts w:hint="eastAsia" w:ascii="宋体" w:hAnsi="宋体" w:eastAsia="宋体" w:cs="宋体"/>
          <w:color w:val="auto"/>
          <w:sz w:val="21"/>
          <w:szCs w:val="21"/>
          <w:highlight w:val="none"/>
        </w:rPr>
        <w:t>招标项目的潜在投标人</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rPr>
        <w:t>在</w:t>
      </w:r>
      <w:r>
        <w:rPr>
          <w:rFonts w:hint="eastAsia" w:ascii="宋体" w:hAnsi="宋体" w:eastAsia="宋体" w:cs="宋体"/>
          <w:i w:val="0"/>
          <w:iCs w:val="0"/>
          <w:caps w:val="0"/>
          <w:color w:val="auto"/>
          <w:spacing w:val="0"/>
          <w:sz w:val="21"/>
          <w:szCs w:val="21"/>
          <w:highlight w:val="none"/>
          <w:shd w:val="clear" w:fill="FFFFFF"/>
        </w:rPr>
        <w:t>“苏采云”系统内免费下载（投标人必须在苏采云系统中获取采购文件，方能参与政府采购项目）</w:t>
      </w:r>
      <w:r>
        <w:rPr>
          <w:rFonts w:hint="eastAsia" w:ascii="宋体" w:hAnsi="宋体" w:eastAsia="宋体" w:cs="宋体"/>
          <w:color w:val="auto"/>
          <w:sz w:val="21"/>
          <w:szCs w:val="21"/>
          <w:highlight w:val="none"/>
        </w:rPr>
        <w:t>，并于</w:t>
      </w:r>
      <w:r>
        <w:rPr>
          <w:rFonts w:hint="eastAsia" w:ascii="宋体" w:hAnsi="宋体" w:eastAsia="宋体" w:cs="宋体"/>
          <w:color w:val="auto"/>
          <w:sz w:val="21"/>
          <w:szCs w:val="21"/>
          <w:highlight w:val="none"/>
          <w:u w:val="single"/>
          <w:lang w:val="en-US" w:eastAsia="zh-CN"/>
        </w:rPr>
        <w:t>2026</w:t>
      </w:r>
      <w:r>
        <w:rPr>
          <w:rFonts w:hint="eastAsia" w:ascii="宋体" w:hAnsi="宋体" w:eastAsia="宋体" w:cs="宋体"/>
          <w:color w:val="auto"/>
          <w:sz w:val="21"/>
          <w:szCs w:val="21"/>
          <w:highlight w:val="none"/>
          <w:u w:val="single"/>
        </w:rPr>
        <w:t>年</w:t>
      </w:r>
      <w:r>
        <w:rPr>
          <w:rFonts w:hint="eastAsia" w:ascii="宋体" w:hAnsi="宋体" w:eastAsia="宋体" w:cs="宋体"/>
          <w:color w:val="auto"/>
          <w:sz w:val="21"/>
          <w:szCs w:val="21"/>
          <w:highlight w:val="none"/>
          <w:u w:val="single"/>
          <w:lang w:val="en-US" w:eastAsia="zh-CN"/>
        </w:rPr>
        <w:t>8</w:t>
      </w:r>
      <w:r>
        <w:rPr>
          <w:rFonts w:hint="eastAsia" w:ascii="宋体" w:hAnsi="宋体" w:eastAsia="宋体" w:cs="宋体"/>
          <w:color w:val="auto"/>
          <w:sz w:val="21"/>
          <w:szCs w:val="21"/>
          <w:highlight w:val="none"/>
          <w:u w:val="single"/>
        </w:rPr>
        <w:t>月</w:t>
      </w:r>
      <w:r>
        <w:rPr>
          <w:rFonts w:hint="eastAsia" w:ascii="宋体" w:hAnsi="宋体" w:eastAsia="宋体" w:cs="宋体"/>
          <w:color w:val="auto"/>
          <w:sz w:val="21"/>
          <w:szCs w:val="21"/>
          <w:highlight w:val="none"/>
          <w:u w:val="single"/>
          <w:lang w:val="en-US" w:eastAsia="zh-CN"/>
        </w:rPr>
        <w:t>19</w:t>
      </w:r>
      <w:r>
        <w:rPr>
          <w:rFonts w:hint="eastAsia" w:ascii="宋体" w:hAnsi="宋体" w:eastAsia="宋体" w:cs="宋体"/>
          <w:color w:val="auto"/>
          <w:sz w:val="21"/>
          <w:szCs w:val="21"/>
          <w:highlight w:val="none"/>
          <w:u w:val="single"/>
        </w:rPr>
        <w:t>日</w:t>
      </w:r>
      <w:r>
        <w:rPr>
          <w:rFonts w:hint="eastAsia" w:ascii="宋体" w:hAnsi="宋体" w:eastAsia="宋体" w:cs="宋体"/>
          <w:color w:val="auto"/>
          <w:sz w:val="21"/>
          <w:szCs w:val="21"/>
          <w:highlight w:val="none"/>
          <w:u w:val="single"/>
          <w:lang w:val="en-US" w:eastAsia="zh-CN"/>
        </w:rPr>
        <w:t>09</w:t>
      </w:r>
      <w:r>
        <w:rPr>
          <w:rFonts w:hint="eastAsia" w:ascii="宋体" w:hAnsi="宋体" w:eastAsia="宋体" w:cs="宋体"/>
          <w:color w:val="auto"/>
          <w:sz w:val="21"/>
          <w:szCs w:val="21"/>
          <w:highlight w:val="none"/>
          <w:u w:val="single"/>
        </w:rPr>
        <w:t>点</w:t>
      </w:r>
      <w:r>
        <w:rPr>
          <w:rFonts w:hint="eastAsia" w:ascii="宋体" w:hAnsi="宋体" w:eastAsia="宋体" w:cs="宋体"/>
          <w:color w:val="auto"/>
          <w:sz w:val="21"/>
          <w:szCs w:val="21"/>
          <w:highlight w:val="none"/>
          <w:u w:val="single"/>
          <w:lang w:val="en-US" w:eastAsia="zh-CN"/>
        </w:rPr>
        <w:t>00</w:t>
      </w:r>
      <w:r>
        <w:rPr>
          <w:rFonts w:hint="eastAsia" w:ascii="宋体" w:hAnsi="宋体" w:eastAsia="宋体" w:cs="宋体"/>
          <w:color w:val="auto"/>
          <w:sz w:val="21"/>
          <w:szCs w:val="21"/>
          <w:highlight w:val="none"/>
          <w:u w:val="single"/>
        </w:rPr>
        <w:t>分</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rPr>
        <w:t>北京时间）前递交投标文件。</w:t>
      </w:r>
    </w:p>
    <w:p w14:paraId="05033C3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7" w:name="_Toc35393621"/>
      <w:bookmarkStart w:id="8" w:name="_Toc38985263"/>
      <w:bookmarkStart w:id="9" w:name="_Toc28359079"/>
      <w:bookmarkStart w:id="10" w:name="_Toc35393790"/>
      <w:bookmarkStart w:id="11" w:name="_Toc28359002"/>
      <w:bookmarkStart w:id="12" w:name="_Hlk24379207"/>
      <w:r>
        <w:rPr>
          <w:rFonts w:hint="eastAsia" w:ascii="宋体" w:hAnsi="宋体" w:eastAsia="宋体" w:cs="宋体"/>
          <w:b/>
          <w:color w:val="auto"/>
          <w:sz w:val="21"/>
          <w:szCs w:val="21"/>
          <w:highlight w:val="none"/>
        </w:rPr>
        <w:t>一、项目基本情况</w:t>
      </w:r>
      <w:bookmarkEnd w:id="7"/>
      <w:bookmarkEnd w:id="8"/>
      <w:bookmarkEnd w:id="9"/>
      <w:bookmarkEnd w:id="10"/>
      <w:bookmarkEnd w:id="11"/>
      <w:bookmarkEnd w:id="12"/>
    </w:p>
    <w:p w14:paraId="3961082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rPr>
        <w:t>1.项目编号：</w:t>
      </w:r>
      <w:r>
        <w:rPr>
          <w:rFonts w:hint="eastAsia" w:ascii="宋体" w:hAnsi="宋体" w:eastAsia="宋体" w:cs="宋体"/>
          <w:color w:val="auto"/>
          <w:sz w:val="21"/>
          <w:szCs w:val="21"/>
          <w:highlight w:val="none"/>
          <w:u w:val="none"/>
          <w:lang w:eastAsia="zh-CN"/>
        </w:rPr>
        <w:t>JSZC-320992-YCZH-G2026-0011</w:t>
      </w:r>
    </w:p>
    <w:p w14:paraId="4B58244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rPr>
        <w:t>2.项</w:t>
      </w:r>
      <w:r>
        <w:rPr>
          <w:rFonts w:hint="eastAsia" w:ascii="宋体" w:hAnsi="宋体" w:eastAsia="宋体" w:cs="宋体"/>
          <w:color w:val="auto"/>
          <w:sz w:val="21"/>
          <w:szCs w:val="21"/>
          <w:highlight w:val="none"/>
          <w:shd w:val="clear" w:color="auto" w:fill="auto"/>
        </w:rPr>
        <w:t>目名称：</w:t>
      </w:r>
      <w:r>
        <w:rPr>
          <w:rFonts w:hint="eastAsia" w:ascii="宋体" w:hAnsi="宋体" w:eastAsia="宋体" w:cs="宋体"/>
          <w:color w:val="auto"/>
          <w:sz w:val="21"/>
          <w:szCs w:val="21"/>
          <w:highlight w:val="none"/>
          <w:u w:val="none"/>
          <w:lang w:eastAsia="zh-CN"/>
        </w:rPr>
        <w:t>盐城市公安局盐南高新技术产业开发区分局智慧安防村居三期项目</w:t>
      </w:r>
    </w:p>
    <w:p w14:paraId="73A5253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fill="FFFFFF"/>
          <w:lang w:val="en-US" w:eastAsia="zh-CN"/>
        </w:rPr>
        <w:t>3.</w:t>
      </w:r>
      <w:r>
        <w:rPr>
          <w:rFonts w:hint="eastAsia" w:ascii="宋体" w:hAnsi="宋体" w:eastAsia="宋体" w:cs="宋体"/>
          <w:i w:val="0"/>
          <w:iCs w:val="0"/>
          <w:caps w:val="0"/>
          <w:color w:val="auto"/>
          <w:spacing w:val="0"/>
          <w:sz w:val="21"/>
          <w:szCs w:val="21"/>
          <w:highlight w:val="none"/>
          <w:shd w:val="clear" w:fill="FFFFFF"/>
        </w:rPr>
        <w:t>采购方式：</w:t>
      </w:r>
      <w:r>
        <w:rPr>
          <w:rFonts w:hint="eastAsia" w:ascii="宋体" w:hAnsi="宋体" w:eastAsia="宋体" w:cs="宋体"/>
          <w:i w:val="0"/>
          <w:iCs w:val="0"/>
          <w:caps w:val="0"/>
          <w:color w:val="auto"/>
          <w:spacing w:val="0"/>
          <w:sz w:val="21"/>
          <w:szCs w:val="21"/>
          <w:highlight w:val="none"/>
          <w:shd w:val="clear" w:fill="FFFFFF"/>
          <w:lang w:val="en-US" w:eastAsia="zh-CN"/>
        </w:rPr>
        <w:t>公开招标</w:t>
      </w:r>
    </w:p>
    <w:p w14:paraId="64691F6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.预算金额：</w:t>
      </w:r>
      <w:r>
        <w:rPr>
          <w:rFonts w:hint="eastAsia" w:ascii="宋体" w:hAnsi="宋体" w:eastAsia="宋体" w:cs="宋体"/>
          <w:color w:val="auto"/>
          <w:sz w:val="21"/>
          <w:szCs w:val="21"/>
          <w:highlight w:val="none"/>
          <w:lang w:val="en-US" w:eastAsia="zh-CN"/>
        </w:rPr>
        <w:t>780万元</w:t>
      </w:r>
    </w:p>
    <w:p w14:paraId="7C279CB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shd w:val="clear" w:color="FFFFFF" w:fill="D9D9D9"/>
          <w:lang w:val="en-US" w:eastAsia="zh-CN"/>
        </w:rPr>
      </w:pPr>
      <w:r>
        <w:rPr>
          <w:rFonts w:hint="eastAsia" w:ascii="宋体" w:hAnsi="宋体" w:eastAsia="宋体" w:cs="宋体"/>
          <w:i w:val="0"/>
          <w:iCs w:val="0"/>
          <w:caps w:val="0"/>
          <w:color w:val="auto"/>
          <w:spacing w:val="0"/>
          <w:sz w:val="21"/>
          <w:szCs w:val="21"/>
          <w:highlight w:val="none"/>
          <w:shd w:val="clear" w:fill="FFFFFF"/>
          <w:lang w:val="en-US" w:eastAsia="zh-CN"/>
        </w:rPr>
        <w:t>5.</w:t>
      </w:r>
      <w:r>
        <w:rPr>
          <w:rFonts w:hint="eastAsia" w:ascii="宋体" w:hAnsi="宋体" w:eastAsia="宋体" w:cs="宋体"/>
          <w:i w:val="0"/>
          <w:iCs w:val="0"/>
          <w:caps w:val="0"/>
          <w:color w:val="auto"/>
          <w:spacing w:val="0"/>
          <w:sz w:val="21"/>
          <w:szCs w:val="21"/>
          <w:highlight w:val="none"/>
          <w:shd w:val="clear" w:fill="FFFFFF"/>
        </w:rPr>
        <w:t>最高限价：</w:t>
      </w:r>
      <w:r>
        <w:rPr>
          <w:rFonts w:hint="eastAsia" w:ascii="宋体" w:hAnsi="宋体" w:eastAsia="宋体" w:cs="宋体"/>
          <w:i w:val="0"/>
          <w:iCs w:val="0"/>
          <w:caps w:val="0"/>
          <w:color w:val="auto"/>
          <w:spacing w:val="0"/>
          <w:sz w:val="21"/>
          <w:szCs w:val="21"/>
          <w:highlight w:val="none"/>
          <w:shd w:val="clear" w:fill="FFFFFF"/>
          <w:lang w:val="en-US" w:eastAsia="zh-CN"/>
        </w:rPr>
        <w:t>768.502988万元</w:t>
      </w:r>
    </w:p>
    <w:p w14:paraId="5900C76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shd w:val="clear" w:color="auto" w:fill="auto"/>
          <w:lang w:val="en-US" w:eastAsia="zh-CN"/>
        </w:rPr>
        <w:t>6</w:t>
      </w:r>
      <w:r>
        <w:rPr>
          <w:rFonts w:hint="eastAsia" w:ascii="宋体" w:hAnsi="宋体" w:eastAsia="宋体" w:cs="宋体"/>
          <w:color w:val="auto"/>
          <w:sz w:val="21"/>
          <w:szCs w:val="21"/>
          <w:highlight w:val="none"/>
          <w:shd w:val="clear" w:color="auto" w:fill="auto"/>
        </w:rPr>
        <w:t>.采购需求（简介）：</w:t>
      </w:r>
      <w:r>
        <w:rPr>
          <w:rFonts w:hint="eastAsia" w:ascii="宋体" w:hAnsi="宋体" w:eastAsia="宋体" w:cs="宋体"/>
          <w:color w:val="auto"/>
          <w:sz w:val="21"/>
          <w:szCs w:val="21"/>
          <w:highlight w:val="none"/>
          <w:u w:val="none"/>
          <w:lang w:eastAsia="zh-CN"/>
        </w:rPr>
        <w:t>盐城市公安局盐南高新技术产业开发区分局智慧安防村居三期</w:t>
      </w:r>
      <w:r>
        <w:rPr>
          <w:rFonts w:hint="eastAsia" w:ascii="宋体" w:hAnsi="宋体" w:eastAsia="宋体" w:cs="宋体"/>
          <w:color w:val="auto"/>
          <w:sz w:val="21"/>
          <w:szCs w:val="21"/>
          <w:highlight w:val="none"/>
          <w:lang w:val="en-US" w:eastAsia="zh-CN"/>
        </w:rPr>
        <w:t>项目及其配套的软硬件采购、生产、供应、运输、安装、调试等相关伴随服务，</w:t>
      </w:r>
      <w:r>
        <w:rPr>
          <w:rFonts w:hint="eastAsia" w:ascii="宋体" w:hAnsi="宋体" w:eastAsia="宋体" w:cs="宋体"/>
          <w:color w:val="auto"/>
          <w:sz w:val="21"/>
          <w:szCs w:val="21"/>
          <w:highlight w:val="none"/>
        </w:rPr>
        <w:t>详细内容见</w:t>
      </w:r>
      <w:r>
        <w:rPr>
          <w:rFonts w:hint="eastAsia" w:ascii="宋体" w:hAnsi="宋体" w:eastAsia="宋体" w:cs="宋体"/>
          <w:color w:val="auto"/>
          <w:sz w:val="21"/>
          <w:szCs w:val="21"/>
          <w:highlight w:val="none"/>
          <w:shd w:val="clear" w:color="auto" w:fill="auto"/>
          <w:lang w:eastAsia="zh-CN"/>
        </w:rPr>
        <w:t>附件。</w:t>
      </w:r>
    </w:p>
    <w:p w14:paraId="26A2014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.合同履行期限：</w:t>
      </w:r>
      <w:r>
        <w:rPr>
          <w:rFonts w:hint="eastAsia" w:ascii="宋体" w:hAnsi="宋体" w:eastAsia="宋体" w:cs="宋体"/>
          <w:color w:val="auto"/>
          <w:sz w:val="21"/>
          <w:szCs w:val="21"/>
          <w:highlight w:val="none"/>
          <w:lang w:eastAsia="zh-CN"/>
        </w:rPr>
        <w:t>同免费质保期。</w:t>
      </w:r>
    </w:p>
    <w:p w14:paraId="70773A2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shd w:val="clear" w:color="auto" w:fill="FFFF00"/>
        </w:rPr>
      </w:pPr>
      <w:bookmarkStart w:id="13" w:name="_Toc35393622"/>
      <w:bookmarkStart w:id="14" w:name="_Toc35393791"/>
      <w:bookmarkStart w:id="15" w:name="_Toc28359003"/>
      <w:bookmarkStart w:id="16" w:name="_Toc28359080"/>
      <w:bookmarkStart w:id="17" w:name="_Toc38985264"/>
      <w:r>
        <w:rPr>
          <w:rFonts w:hint="eastAsia" w:ascii="宋体" w:hAnsi="宋体" w:eastAsia="宋体" w:cs="宋体"/>
          <w:i w:val="0"/>
          <w:iCs w:val="0"/>
          <w:caps w:val="0"/>
          <w:color w:val="auto"/>
          <w:spacing w:val="0"/>
          <w:sz w:val="21"/>
          <w:szCs w:val="21"/>
          <w:highlight w:val="none"/>
          <w:shd w:val="clear" w:fill="FFFFFF"/>
          <w:lang w:val="en-US" w:eastAsia="zh-CN"/>
        </w:rPr>
        <w:t>8.</w:t>
      </w:r>
      <w:r>
        <w:rPr>
          <w:rFonts w:hint="eastAsia" w:ascii="宋体" w:hAnsi="宋体" w:eastAsia="宋体" w:cs="宋体"/>
          <w:i w:val="0"/>
          <w:iCs w:val="0"/>
          <w:caps w:val="0"/>
          <w:color w:val="auto"/>
          <w:spacing w:val="0"/>
          <w:sz w:val="21"/>
          <w:szCs w:val="21"/>
          <w:highlight w:val="none"/>
          <w:shd w:val="clear" w:fill="FFFFFF"/>
        </w:rPr>
        <w:t>本项目接受联合体</w:t>
      </w:r>
      <w:r>
        <w:rPr>
          <w:rFonts w:hint="eastAsia" w:ascii="宋体" w:hAnsi="宋体" w:eastAsia="宋体" w:cs="宋体"/>
          <w:color w:val="auto"/>
          <w:sz w:val="21"/>
          <w:szCs w:val="21"/>
          <w:highlight w:val="none"/>
        </w:rPr>
        <w:t>参与</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,联合体中所有成员数量不得超过</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rPr>
        <w:t>名。</w:t>
      </w:r>
    </w:p>
    <w:p w14:paraId="12CB8E2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二、申请人的资格要求：</w:t>
      </w:r>
      <w:bookmarkEnd w:id="13"/>
      <w:bookmarkEnd w:id="14"/>
      <w:bookmarkEnd w:id="15"/>
      <w:bookmarkEnd w:id="16"/>
      <w:bookmarkEnd w:id="17"/>
    </w:p>
    <w:p w14:paraId="59C84FF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1.满足《中华人民共和国政府采购法》第二十二条规定，并提供下列材料：</w:t>
      </w:r>
    </w:p>
    <w:p w14:paraId="4307659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1.1法人或者其他组织的营业执照等证明文件，自然人的身份证明；</w:t>
      </w:r>
    </w:p>
    <w:p w14:paraId="44CA941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1.2上一年度的财务状况报</w:t>
      </w:r>
      <w:r>
        <w:rPr>
          <w:rFonts w:hint="eastAsia" w:ascii="宋体" w:hAnsi="宋体" w:eastAsia="宋体" w:cs="宋体"/>
          <w:color w:val="auto"/>
          <w:sz w:val="21"/>
          <w:szCs w:val="21"/>
          <w:highlight w:val="none"/>
          <w:lang w:val="en-US" w:eastAsia="zh-CN"/>
        </w:rPr>
        <w:t>告</w:t>
      </w:r>
      <w:r>
        <w:rPr>
          <w:rFonts w:hint="eastAsia" w:ascii="宋体" w:hAnsi="宋体" w:eastAsia="宋体" w:cs="宋体"/>
          <w:color w:val="auto"/>
          <w:sz w:val="21"/>
          <w:szCs w:val="21"/>
          <w:highlight w:val="none"/>
        </w:rPr>
        <w:t>（成立不满一年无需提供）；</w:t>
      </w:r>
    </w:p>
    <w:p w14:paraId="27407C7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具备履行合同所必需的设备和专业技术能力的书面声明；</w:t>
      </w:r>
    </w:p>
    <w:p w14:paraId="17BD4C3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648F052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.5参加政府采购活动前3年内在经营活动中没有重大违法记录的书面声明。</w:t>
      </w:r>
    </w:p>
    <w:p w14:paraId="43C342D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1.6法律、行政法规规定的其他条件。</w:t>
      </w:r>
    </w:p>
    <w:p w14:paraId="5BFD753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8BF9B6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单位负责人为同一人或者存在直接控股、管理关系的不同供应</w:t>
      </w:r>
      <w:r>
        <w:rPr>
          <w:rFonts w:hint="eastAsia" w:ascii="宋体" w:hAnsi="宋体" w:eastAsia="宋体" w:cs="宋体"/>
          <w:color w:val="auto"/>
          <w:sz w:val="21"/>
          <w:szCs w:val="21"/>
          <w:highlight w:val="none"/>
          <w:shd w:val="clear" w:color="auto" w:fill="auto"/>
        </w:rPr>
        <w:t>商，不得参加同一合同项下的政府采购活动。</w:t>
      </w:r>
    </w:p>
    <w:p w14:paraId="0DEDBFD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r>
        <w:rPr>
          <w:rFonts w:hint="eastAsia" w:ascii="宋体" w:hAnsi="宋体" w:eastAsia="宋体" w:cs="宋体"/>
          <w:color w:val="auto"/>
          <w:sz w:val="21"/>
          <w:szCs w:val="21"/>
          <w:highlight w:val="none"/>
          <w:shd w:val="clear" w:color="auto" w:fill="auto"/>
          <w:lang w:val="en-US" w:eastAsia="zh-CN"/>
        </w:rPr>
        <w:t>.</w:t>
      </w:r>
      <w:r>
        <w:rPr>
          <w:rFonts w:hint="eastAsia" w:ascii="宋体" w:hAnsi="宋体" w:eastAsia="宋体" w:cs="宋体"/>
          <w:color w:val="auto"/>
          <w:sz w:val="21"/>
          <w:szCs w:val="21"/>
          <w:highlight w:val="none"/>
          <w:shd w:val="clear" w:color="auto" w:fill="auto"/>
        </w:rPr>
        <w:t>落实政府采购政策需满足的资格要求：</w:t>
      </w:r>
      <w:r>
        <w:rPr>
          <w:rFonts w:hint="eastAsia" w:ascii="宋体" w:hAnsi="宋体" w:eastAsia="宋体" w:cs="宋体"/>
          <w:color w:val="auto"/>
          <w:sz w:val="21"/>
          <w:szCs w:val="21"/>
          <w:highlight w:val="none"/>
        </w:rPr>
        <w:t>本项目不专门面向中小企业采购，对</w:t>
      </w:r>
      <w:r>
        <w:rPr>
          <w:rFonts w:hint="eastAsia" w:ascii="宋体" w:hAnsi="宋体" w:eastAsia="宋体" w:cs="宋体"/>
          <w:color w:val="auto"/>
          <w:sz w:val="21"/>
          <w:szCs w:val="21"/>
          <w:highlight w:val="none"/>
          <w:lang w:val="en-US" w:eastAsia="zh-CN"/>
        </w:rPr>
        <w:t>符合规定的</w:t>
      </w:r>
      <w:r>
        <w:rPr>
          <w:rFonts w:hint="eastAsia" w:ascii="宋体" w:hAnsi="宋体" w:eastAsia="宋体" w:cs="宋体"/>
          <w:color w:val="auto"/>
          <w:sz w:val="21"/>
          <w:szCs w:val="21"/>
          <w:highlight w:val="none"/>
        </w:rPr>
        <w:t>小型和微型企业</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rPr>
        <w:t>给予20%的扣除价格。</w:t>
      </w:r>
    </w:p>
    <w:p w14:paraId="7D1106E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rPr>
        <w:t>本项目的特定资格要求</w:t>
      </w:r>
      <w:r>
        <w:rPr>
          <w:rFonts w:hint="eastAsia" w:ascii="宋体" w:hAnsi="宋体" w:eastAsia="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投标人须为具备独立法人资格的企业，具备住房和城乡建设行政主管部门颁发的建筑装修装饰工程专业承包贰级及以上资质、电子与智能化工程专业承包贰级及以上资质，且持有有效的建筑施工安全生产许可证。</w:t>
      </w:r>
    </w:p>
    <w:p w14:paraId="32F0CB2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三、获取招标文件</w:t>
      </w:r>
    </w:p>
    <w:p w14:paraId="1CD06B1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shd w:val="clear" w:color="auto" w:fill="auto"/>
        </w:rPr>
      </w:pPr>
      <w:bookmarkStart w:id="18" w:name="_Toc38985266"/>
      <w:bookmarkStart w:id="19" w:name="_Toc28359082"/>
      <w:bookmarkStart w:id="20" w:name="_Toc28359005"/>
      <w:bookmarkStart w:id="21" w:name="_Toc35393624"/>
      <w:bookmarkStart w:id="22" w:name="_Toc35393793"/>
      <w:r>
        <w:rPr>
          <w:rFonts w:hint="eastAsia" w:ascii="宋体" w:hAnsi="宋体" w:eastAsia="宋体" w:cs="宋体"/>
          <w:color w:val="auto"/>
          <w:sz w:val="21"/>
          <w:szCs w:val="21"/>
          <w:highlight w:val="none"/>
          <w:shd w:val="clear" w:color="auto" w:fill="auto"/>
        </w:rPr>
        <w:t>1.时间：</w:t>
      </w:r>
      <w:bookmarkEnd w:id="18"/>
      <w:bookmarkEnd w:id="19"/>
      <w:bookmarkEnd w:id="20"/>
      <w:bookmarkEnd w:id="21"/>
      <w:bookmarkEnd w:id="22"/>
      <w:r>
        <w:rPr>
          <w:rFonts w:hint="eastAsia" w:ascii="宋体" w:hAnsi="宋体" w:eastAsia="宋体" w:cs="宋体"/>
          <w:color w:val="auto"/>
          <w:sz w:val="21"/>
          <w:szCs w:val="21"/>
          <w:highlight w:val="none"/>
          <w:shd w:val="clear" w:color="auto" w:fill="auto"/>
        </w:rPr>
        <w:t>自招标文件公告发布之日起5个工作日。</w:t>
      </w:r>
    </w:p>
    <w:p w14:paraId="3FE7E4A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en-US" w:eastAsia="zh-CN" w:bidi="ar-SA"/>
        </w:rPr>
        <w:t>2.地点：“苏采云”系统内免费下载；</w:t>
      </w:r>
    </w:p>
    <w:p w14:paraId="1CD7F0E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3.方式：本项目采用网上注册登记方式。</w:t>
      </w:r>
    </w:p>
    <w:p w14:paraId="2707C1A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4.售价：0元</w:t>
      </w:r>
    </w:p>
    <w:p w14:paraId="5C0B4A9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四、提交投标文件截止时间、开标时间和地点</w:t>
      </w:r>
    </w:p>
    <w:p w14:paraId="572AE98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1.时间：</w:t>
      </w:r>
      <w:r>
        <w:rPr>
          <w:rFonts w:hint="eastAsia" w:ascii="宋体" w:hAnsi="宋体" w:eastAsia="宋体" w:cs="宋体"/>
          <w:i w:val="0"/>
          <w:iCs w:val="0"/>
          <w:caps w:val="0"/>
          <w:color w:val="auto"/>
          <w:spacing w:val="0"/>
          <w:sz w:val="21"/>
          <w:szCs w:val="21"/>
          <w:highlight w:val="none"/>
          <w:u w:val="single"/>
          <w:shd w:val="clear" w:color="auto" w:fill="auto"/>
          <w:lang w:val="en-US" w:eastAsia="zh-CN"/>
        </w:rPr>
        <w:t>2026</w:t>
      </w:r>
      <w:r>
        <w:rPr>
          <w:rFonts w:hint="eastAsia" w:ascii="宋体" w:hAnsi="宋体" w:eastAsia="宋体" w:cs="宋体"/>
          <w:i w:val="0"/>
          <w:iCs w:val="0"/>
          <w:caps w:val="0"/>
          <w:color w:val="auto"/>
          <w:spacing w:val="0"/>
          <w:sz w:val="21"/>
          <w:szCs w:val="21"/>
          <w:highlight w:val="none"/>
          <w:u w:val="single"/>
          <w:shd w:val="clear" w:color="auto" w:fill="auto"/>
        </w:rPr>
        <w:t>年</w:t>
      </w:r>
      <w:r>
        <w:rPr>
          <w:rFonts w:hint="eastAsia" w:ascii="宋体" w:hAnsi="宋体" w:eastAsia="宋体" w:cs="宋体"/>
          <w:i w:val="0"/>
          <w:iCs w:val="0"/>
          <w:caps w:val="0"/>
          <w:color w:val="auto"/>
          <w:spacing w:val="0"/>
          <w:sz w:val="21"/>
          <w:szCs w:val="21"/>
          <w:highlight w:val="none"/>
          <w:u w:val="single"/>
          <w:shd w:val="clear" w:color="auto" w:fill="auto"/>
          <w:lang w:val="en-US" w:eastAsia="zh-CN"/>
        </w:rPr>
        <w:t>8</w:t>
      </w:r>
      <w:r>
        <w:rPr>
          <w:rFonts w:hint="eastAsia" w:ascii="宋体" w:hAnsi="宋体" w:eastAsia="宋体" w:cs="宋体"/>
          <w:i w:val="0"/>
          <w:iCs w:val="0"/>
          <w:caps w:val="0"/>
          <w:color w:val="auto"/>
          <w:spacing w:val="0"/>
          <w:sz w:val="21"/>
          <w:szCs w:val="21"/>
          <w:highlight w:val="none"/>
          <w:u w:val="single"/>
          <w:shd w:val="clear" w:color="auto" w:fill="auto"/>
        </w:rPr>
        <w:t>月</w:t>
      </w:r>
      <w:r>
        <w:rPr>
          <w:rFonts w:hint="eastAsia" w:ascii="宋体" w:hAnsi="宋体" w:eastAsia="宋体" w:cs="宋体"/>
          <w:i w:val="0"/>
          <w:iCs w:val="0"/>
          <w:caps w:val="0"/>
          <w:color w:val="auto"/>
          <w:spacing w:val="0"/>
          <w:sz w:val="21"/>
          <w:szCs w:val="21"/>
          <w:highlight w:val="none"/>
          <w:u w:val="single"/>
          <w:shd w:val="clear" w:color="auto" w:fill="auto"/>
          <w:lang w:val="en-US" w:eastAsia="zh-CN"/>
        </w:rPr>
        <w:t>19</w:t>
      </w:r>
      <w:r>
        <w:rPr>
          <w:rFonts w:hint="eastAsia" w:ascii="宋体" w:hAnsi="宋体" w:eastAsia="宋体" w:cs="宋体"/>
          <w:i w:val="0"/>
          <w:iCs w:val="0"/>
          <w:caps w:val="0"/>
          <w:color w:val="auto"/>
          <w:spacing w:val="0"/>
          <w:sz w:val="21"/>
          <w:szCs w:val="21"/>
          <w:highlight w:val="none"/>
          <w:u w:val="single"/>
          <w:shd w:val="clear" w:color="auto" w:fill="auto"/>
        </w:rPr>
        <w:t>日</w:t>
      </w:r>
      <w:r>
        <w:rPr>
          <w:rFonts w:hint="eastAsia" w:ascii="宋体" w:hAnsi="宋体" w:eastAsia="宋体" w:cs="宋体"/>
          <w:i w:val="0"/>
          <w:iCs w:val="0"/>
          <w:caps w:val="0"/>
          <w:color w:val="auto"/>
          <w:spacing w:val="0"/>
          <w:sz w:val="21"/>
          <w:szCs w:val="21"/>
          <w:highlight w:val="none"/>
          <w:u w:val="single"/>
          <w:shd w:val="clear" w:color="auto" w:fill="auto"/>
          <w:lang w:val="en-US" w:eastAsia="zh-CN"/>
        </w:rPr>
        <w:t>9:00时</w:t>
      </w:r>
      <w:r>
        <w:rPr>
          <w:rFonts w:hint="eastAsia" w:ascii="宋体" w:hAnsi="宋体" w:eastAsia="宋体" w:cs="宋体"/>
          <w:color w:val="auto"/>
          <w:sz w:val="21"/>
          <w:szCs w:val="21"/>
          <w:highlight w:val="none"/>
          <w:shd w:val="clear" w:color="auto" w:fill="auto"/>
        </w:rPr>
        <w:t>（北京时间）。</w:t>
      </w:r>
    </w:p>
    <w:p w14:paraId="077143D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2.地点：苏采云“不见面”开标大厅</w:t>
      </w:r>
      <w:r>
        <w:rPr>
          <w:rFonts w:hint="eastAsia" w:ascii="宋体" w:hAnsi="宋体" w:eastAsia="宋体" w:cs="宋体"/>
          <w:color w:val="auto"/>
          <w:sz w:val="21"/>
          <w:szCs w:val="21"/>
          <w:highlight w:val="none"/>
          <w:shd w:val="clear" w:color="auto" w:fill="auto"/>
          <w:lang w:eastAsia="zh-CN"/>
        </w:rPr>
        <w:t>。</w:t>
      </w:r>
    </w:p>
    <w:p w14:paraId="4B81A46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23" w:name="_Toc38985267"/>
      <w:bookmarkStart w:id="24" w:name="_Toc35393794"/>
      <w:bookmarkStart w:id="25" w:name="_Toc35393625"/>
      <w:bookmarkStart w:id="26" w:name="_Toc28359084"/>
      <w:bookmarkStart w:id="27" w:name="_Toc28359007"/>
      <w:r>
        <w:rPr>
          <w:rFonts w:hint="eastAsia" w:ascii="宋体" w:hAnsi="宋体" w:eastAsia="宋体" w:cs="宋体"/>
          <w:b/>
          <w:color w:val="auto"/>
          <w:sz w:val="21"/>
          <w:szCs w:val="21"/>
          <w:highlight w:val="none"/>
        </w:rPr>
        <w:t>五、公告期限</w:t>
      </w:r>
      <w:bookmarkEnd w:id="23"/>
      <w:bookmarkEnd w:id="24"/>
      <w:bookmarkEnd w:id="25"/>
      <w:bookmarkEnd w:id="26"/>
      <w:bookmarkEnd w:id="27"/>
    </w:p>
    <w:p w14:paraId="7C612B2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val="0"/>
          <w:caps w:val="0"/>
          <w:color w:val="auto"/>
          <w:spacing w:val="0"/>
          <w:sz w:val="21"/>
          <w:szCs w:val="21"/>
          <w:highlight w:val="none"/>
          <w:shd w:val="clear" w:fill="FFFFFF"/>
          <w:lang w:val="en-US" w:eastAsia="zh-CN"/>
        </w:rPr>
      </w:pPr>
      <w:bookmarkStart w:id="28" w:name="_Toc38985268"/>
      <w:bookmarkStart w:id="29" w:name="_Toc35393626"/>
      <w:bookmarkStart w:id="30" w:name="_Toc35393795"/>
      <w:r>
        <w:rPr>
          <w:rFonts w:hint="eastAsia" w:ascii="宋体" w:hAnsi="宋体" w:eastAsia="宋体" w:cs="宋体"/>
          <w:i w:val="0"/>
          <w:iCs w:val="0"/>
          <w:caps w:val="0"/>
          <w:color w:val="auto"/>
          <w:spacing w:val="0"/>
          <w:sz w:val="21"/>
          <w:szCs w:val="21"/>
          <w:highlight w:val="none"/>
          <w:shd w:val="clear" w:fill="FFFFFF"/>
          <w:lang w:val="en-US" w:eastAsia="zh-CN"/>
        </w:rPr>
        <w:t>自本公告发布之日起5个工作日。</w:t>
      </w:r>
      <w:bookmarkEnd w:id="28"/>
      <w:bookmarkEnd w:id="29"/>
      <w:bookmarkEnd w:id="30"/>
    </w:p>
    <w:p w14:paraId="7A54455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六、其他补充事宜</w:t>
      </w:r>
    </w:p>
    <w:p w14:paraId="788D013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val="0"/>
          <w:caps w:val="0"/>
          <w:color w:val="auto"/>
          <w:spacing w:val="0"/>
          <w:sz w:val="21"/>
          <w:szCs w:val="21"/>
          <w:highlight w:val="none"/>
          <w:shd w:val="clear" w:fill="FFFFFF"/>
          <w:lang w:val="en-US" w:eastAsia="zh-CN"/>
        </w:rPr>
      </w:pPr>
      <w:bookmarkStart w:id="31" w:name="_Toc28359018"/>
      <w:r>
        <w:rPr>
          <w:rFonts w:hint="eastAsia" w:ascii="宋体" w:hAnsi="宋体" w:eastAsia="宋体" w:cs="宋体"/>
          <w:i w:val="0"/>
          <w:iCs w:val="0"/>
          <w:caps w:val="0"/>
          <w:color w:val="auto"/>
          <w:spacing w:val="0"/>
          <w:sz w:val="21"/>
          <w:szCs w:val="21"/>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365050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val="0"/>
          <w:caps w:val="0"/>
          <w:color w:val="auto"/>
          <w:spacing w:val="0"/>
          <w:sz w:val="21"/>
          <w:szCs w:val="21"/>
          <w:highlight w:val="none"/>
          <w:shd w:val="clear" w:fill="FFFFFF"/>
          <w:lang w:val="en-US" w:eastAsia="zh-CN"/>
        </w:rPr>
      </w:pPr>
      <w:r>
        <w:rPr>
          <w:rFonts w:hint="eastAsia" w:ascii="宋体" w:hAnsi="宋体" w:eastAsia="宋体" w:cs="宋体"/>
          <w:i w:val="0"/>
          <w:iCs w:val="0"/>
          <w:caps w:val="0"/>
          <w:color w:val="auto"/>
          <w:spacing w:val="0"/>
          <w:sz w:val="21"/>
          <w:szCs w:val="21"/>
          <w:highlight w:val="none"/>
          <w:shd w:val="clear" w:fill="FFFFFF"/>
          <w:lang w:val="en-US" w:eastAsia="zh-CN"/>
        </w:rPr>
        <w:t>领取CA和办理电子签章（请至</w:t>
      </w:r>
      <w:r>
        <w:rPr>
          <w:rFonts w:hint="eastAsia" w:ascii="宋体" w:hAnsi="宋体" w:eastAsia="宋体" w:cs="宋体"/>
          <w:i w:val="0"/>
          <w:iCs w:val="0"/>
          <w:caps w:val="0"/>
          <w:color w:val="auto"/>
          <w:spacing w:val="0"/>
          <w:sz w:val="21"/>
          <w:szCs w:val="21"/>
          <w:highlight w:val="none"/>
          <w:shd w:val="clear" w:color="auto" w:fill="auto"/>
          <w:lang w:val="en-US" w:eastAsia="zh-CN"/>
        </w:rPr>
        <w:t>盐城市府西路1号盐城市公共资源交易中心四楼大厅10号，11号窗口</w:t>
      </w:r>
      <w:r>
        <w:rPr>
          <w:rFonts w:hint="eastAsia" w:ascii="宋体" w:hAnsi="宋体" w:eastAsia="宋体" w:cs="宋体"/>
          <w:i w:val="0"/>
          <w:iCs w:val="0"/>
          <w:caps w:val="0"/>
          <w:color w:val="auto"/>
          <w:spacing w:val="0"/>
          <w:sz w:val="21"/>
          <w:szCs w:val="21"/>
          <w:highlight w:val="none"/>
          <w:shd w:val="clear" w:fill="FFFFFF"/>
          <w:lang w:val="en-US" w:eastAsia="zh-CN"/>
        </w:rPr>
        <w:t>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C04DD9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2.潜在供应商访问电子招标响应交易平台的网络地址和方法：</w:t>
      </w:r>
    </w:p>
    <w:p w14:paraId="636817E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w:t>
      </w:r>
    </w:p>
    <w:p w14:paraId="5A6F8EE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2.2潜在投标人访问“苏采云”系统方法：江苏省政府采购网首页-“苏采云”链接。 </w:t>
      </w:r>
    </w:p>
    <w:p w14:paraId="0F939AD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2.3采购文件（后缀名为“.kedt”）、供应商操作手册及政府采购客户端工具可通过“苏采云”系统相应链接进行下载。</w:t>
      </w:r>
    </w:p>
    <w:p w14:paraId="70759E2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2.4采购代理机构将数据电文形式的采购文件加载至“苏采云”系统，供潜在供应商下载或者查阅。</w:t>
      </w:r>
    </w:p>
    <w:p w14:paraId="170CF67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2.5请潜在投标单位提前安装相应的控件（详见《“苏采云”系统供应商操作手册》）并使用谷歌浏览器登录“苏采云”系统参与不见面开评标。</w:t>
      </w:r>
    </w:p>
    <w:p w14:paraId="6EE3D9D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val="0"/>
          <w:caps w:val="0"/>
          <w:color w:val="auto"/>
          <w:spacing w:val="0"/>
          <w:sz w:val="21"/>
          <w:szCs w:val="21"/>
          <w:highlight w:val="none"/>
          <w:shd w:val="clear" w:fill="FFFFFF"/>
          <w:lang w:val="en-US" w:eastAsia="zh-CN"/>
        </w:rPr>
      </w:pPr>
      <w:r>
        <w:rPr>
          <w:rFonts w:hint="eastAsia" w:ascii="宋体" w:hAnsi="宋体" w:eastAsia="宋体" w:cs="宋体"/>
          <w:color w:val="auto"/>
          <w:kern w:val="0"/>
          <w:sz w:val="21"/>
          <w:szCs w:val="21"/>
          <w:highlight w:val="none"/>
          <w:lang w:val="en-US" w:eastAsia="zh-CN" w:bidi="ar-SA"/>
        </w:rPr>
        <w:t>如潜在投标人未按上述要求操作，将自行承担所产生的风险。</w:t>
      </w:r>
    </w:p>
    <w:p w14:paraId="2FA944E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val="0"/>
          <w:caps w:val="0"/>
          <w:color w:val="auto"/>
          <w:spacing w:val="0"/>
          <w:sz w:val="21"/>
          <w:szCs w:val="21"/>
          <w:highlight w:val="none"/>
          <w:shd w:val="clear" w:fill="FFFFFF"/>
          <w:lang w:val="en-US" w:eastAsia="zh-CN"/>
        </w:rPr>
      </w:pPr>
      <w:r>
        <w:rPr>
          <w:rFonts w:hint="eastAsia" w:ascii="宋体" w:hAnsi="宋体" w:eastAsia="宋体" w:cs="宋体"/>
          <w:i w:val="0"/>
          <w:iCs w:val="0"/>
          <w:caps w:val="0"/>
          <w:color w:val="auto"/>
          <w:spacing w:val="0"/>
          <w:sz w:val="21"/>
          <w:szCs w:val="21"/>
          <w:highlight w:val="none"/>
          <w:shd w:val="clear" w:fill="FFFFFF"/>
          <w:lang w:val="en-US" w:eastAsia="zh-CN"/>
        </w:rPr>
        <w:t>3.有关本次招标的事项若存在变动或修改，敬请及时关注“</w:t>
      </w:r>
      <w:r>
        <w:rPr>
          <w:rFonts w:hint="eastAsia" w:ascii="宋体" w:hAnsi="宋体" w:eastAsia="宋体" w:cs="宋体"/>
          <w:color w:val="auto"/>
          <w:kern w:val="0"/>
          <w:sz w:val="21"/>
          <w:szCs w:val="21"/>
          <w:highlight w:val="none"/>
          <w:lang w:val="en-US" w:eastAsia="zh-CN" w:bidi="ar-SA"/>
        </w:rPr>
        <w:t>中国政府采购网”“</w:t>
      </w:r>
      <w:r>
        <w:rPr>
          <w:rFonts w:hint="eastAsia" w:ascii="宋体" w:hAnsi="宋体" w:eastAsia="宋体" w:cs="宋体"/>
          <w:i w:val="0"/>
          <w:iCs w:val="0"/>
          <w:caps w:val="0"/>
          <w:color w:val="auto"/>
          <w:spacing w:val="0"/>
          <w:sz w:val="21"/>
          <w:szCs w:val="21"/>
          <w:highlight w:val="none"/>
          <w:shd w:val="clear" w:fill="FFFFFF"/>
          <w:lang w:val="en-US" w:eastAsia="zh-CN"/>
        </w:rPr>
        <w:t>江苏政府采购网”“盐城市政府采购网”发布的更正公告。</w:t>
      </w:r>
    </w:p>
    <w:p w14:paraId="125CCBE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val="0"/>
          <w:caps w:val="0"/>
          <w:color w:val="auto"/>
          <w:spacing w:val="0"/>
          <w:sz w:val="21"/>
          <w:szCs w:val="21"/>
          <w:highlight w:val="none"/>
          <w:shd w:val="clear" w:fill="FFFFFF"/>
          <w:lang w:val="en-US" w:eastAsia="zh-CN"/>
        </w:rPr>
      </w:pPr>
      <w:r>
        <w:rPr>
          <w:rFonts w:hint="eastAsia" w:ascii="宋体" w:hAnsi="宋体" w:eastAsia="宋体" w:cs="宋体"/>
          <w:i w:val="0"/>
          <w:iCs w:val="0"/>
          <w:caps w:val="0"/>
          <w:color w:val="auto"/>
          <w:spacing w:val="0"/>
          <w:sz w:val="21"/>
          <w:szCs w:val="21"/>
          <w:highlight w:val="none"/>
          <w:shd w:val="clear" w:fill="FFFFFF"/>
          <w:lang w:val="en-US" w:eastAsia="zh-CN"/>
        </w:rPr>
        <w:t>4.本次招标不收取投标保证金，不收取质量保证金。</w:t>
      </w:r>
    </w:p>
    <w:p w14:paraId="1CCD385E">
      <w:pPr>
        <w:widowControl/>
        <w:spacing w:line="560" w:lineRule="exact"/>
        <w:ind w:firstLine="48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5.监督举报电话信息</w:t>
      </w:r>
    </w:p>
    <w:p w14:paraId="61DE1AE2">
      <w:pPr>
        <w:widowControl/>
        <w:spacing w:line="560" w:lineRule="exact"/>
        <w:ind w:firstLine="48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联系人：盐南高新区纪检监察工委信访室</w:t>
      </w:r>
    </w:p>
    <w:p w14:paraId="4C57CDF2">
      <w:pPr>
        <w:widowControl/>
        <w:spacing w:line="560" w:lineRule="exact"/>
        <w:ind w:firstLine="48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联系方式：0515-66661555</w:t>
      </w:r>
    </w:p>
    <w:p w14:paraId="72B9FC08">
      <w:pPr>
        <w:widowControl/>
        <w:spacing w:line="560" w:lineRule="exact"/>
        <w:ind w:firstLine="48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6.政府采购投诉电话信息</w:t>
      </w:r>
    </w:p>
    <w:p w14:paraId="50F169C0">
      <w:pPr>
        <w:widowControl/>
        <w:spacing w:line="560" w:lineRule="exact"/>
        <w:ind w:firstLine="480"/>
        <w:jc w:val="left"/>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rPr>
        <w:t>联系人：盐南高新区财政局政府采购</w:t>
      </w:r>
      <w:r>
        <w:rPr>
          <w:rFonts w:hint="eastAsia" w:ascii="宋体" w:hAnsi="宋体" w:eastAsia="宋体" w:cs="宋体"/>
          <w:color w:val="auto"/>
          <w:sz w:val="21"/>
          <w:szCs w:val="21"/>
          <w:shd w:val="clear" w:color="auto" w:fill="FFFFFF"/>
          <w:lang w:eastAsia="zh-CN"/>
        </w:rPr>
        <w:t>股</w:t>
      </w:r>
    </w:p>
    <w:p w14:paraId="228A93C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bCs w:val="0"/>
          <w:i w:val="0"/>
          <w:iCs w:val="0"/>
          <w:caps w:val="0"/>
          <w:color w:val="auto"/>
          <w:spacing w:val="0"/>
          <w:sz w:val="21"/>
          <w:szCs w:val="21"/>
          <w:highlight w:val="none"/>
          <w:u w:val="none"/>
          <w:shd w:val="clear" w:fill="FFFFFF"/>
          <w:lang w:val="en-US" w:eastAsia="zh-CN"/>
        </w:rPr>
      </w:pPr>
      <w:r>
        <w:rPr>
          <w:rFonts w:hint="eastAsia" w:ascii="宋体" w:hAnsi="宋体" w:eastAsia="宋体" w:cs="宋体"/>
          <w:color w:val="auto"/>
          <w:sz w:val="21"/>
          <w:szCs w:val="21"/>
          <w:shd w:val="clear" w:color="auto" w:fill="FFFFFF"/>
        </w:rPr>
        <w:t>联系方式：0515-69938599</w:t>
      </w:r>
      <w:r>
        <w:rPr>
          <w:rFonts w:hint="eastAsia" w:ascii="宋体" w:hAnsi="宋体" w:eastAsia="宋体" w:cs="宋体"/>
          <w:color w:val="auto"/>
          <w:sz w:val="21"/>
          <w:szCs w:val="21"/>
          <w:shd w:val="clear" w:color="auto" w:fill="FFFFFF"/>
          <w:lang w:val="en-US" w:eastAsia="zh-CN"/>
        </w:rPr>
        <w:t xml:space="preserve"> </w:t>
      </w:r>
    </w:p>
    <w:p w14:paraId="44A6E49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bCs w:val="0"/>
          <w:i w:val="0"/>
          <w:iCs w:val="0"/>
          <w:caps w:val="0"/>
          <w:color w:val="auto"/>
          <w:spacing w:val="0"/>
          <w:sz w:val="21"/>
          <w:szCs w:val="21"/>
          <w:highlight w:val="none"/>
        </w:rPr>
      </w:pPr>
      <w:r>
        <w:rPr>
          <w:rFonts w:hint="eastAsia" w:ascii="宋体" w:hAnsi="宋体" w:eastAsia="宋体" w:cs="宋体"/>
          <w:b/>
          <w:color w:val="auto"/>
          <w:sz w:val="21"/>
          <w:szCs w:val="21"/>
          <w:highlight w:val="none"/>
          <w:lang w:val="en-US" w:eastAsia="zh-CN"/>
        </w:rPr>
        <w:t>七</w:t>
      </w:r>
      <w:r>
        <w:rPr>
          <w:rFonts w:hint="eastAsia" w:ascii="宋体" w:hAnsi="宋体" w:eastAsia="宋体" w:cs="宋体"/>
          <w:b/>
          <w:color w:val="auto"/>
          <w:sz w:val="21"/>
          <w:szCs w:val="21"/>
          <w:highlight w:val="none"/>
        </w:rPr>
        <w:t>、对本次</w:t>
      </w:r>
      <w:r>
        <w:rPr>
          <w:rFonts w:hint="eastAsia" w:ascii="宋体" w:hAnsi="宋体" w:eastAsia="宋体" w:cs="宋体"/>
          <w:b/>
          <w:color w:val="auto"/>
          <w:sz w:val="21"/>
          <w:szCs w:val="21"/>
          <w:highlight w:val="none"/>
          <w:lang w:val="en-US" w:eastAsia="zh-CN"/>
        </w:rPr>
        <w:t>招标</w:t>
      </w:r>
      <w:r>
        <w:rPr>
          <w:rFonts w:hint="eastAsia" w:ascii="宋体" w:hAnsi="宋体" w:eastAsia="宋体" w:cs="宋体"/>
          <w:b/>
          <w:color w:val="auto"/>
          <w:sz w:val="21"/>
          <w:szCs w:val="21"/>
          <w:highlight w:val="none"/>
        </w:rPr>
        <w:t>提出询问，请按以下方式联系。</w:t>
      </w:r>
      <w:bookmarkEnd w:id="31"/>
    </w:p>
    <w:p w14:paraId="19059E5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i w:val="0"/>
          <w:iCs w:val="0"/>
          <w:caps w:val="0"/>
          <w:color w:val="auto"/>
          <w:spacing w:val="0"/>
          <w:sz w:val="21"/>
          <w:szCs w:val="21"/>
          <w:highlight w:val="none"/>
          <w:shd w:val="clear" w:fill="FFFFFF"/>
          <w:lang w:val="en-US" w:eastAsia="zh-CN"/>
        </w:rPr>
      </w:pPr>
      <w:r>
        <w:rPr>
          <w:rFonts w:hint="eastAsia" w:ascii="宋体" w:hAnsi="宋体" w:eastAsia="宋体" w:cs="宋体"/>
          <w:b w:val="0"/>
          <w:bCs w:val="0"/>
          <w:i w:val="0"/>
          <w:iCs w:val="0"/>
          <w:caps w:val="0"/>
          <w:color w:val="auto"/>
          <w:spacing w:val="0"/>
          <w:sz w:val="21"/>
          <w:szCs w:val="21"/>
          <w:highlight w:val="none"/>
          <w:shd w:val="clear" w:fill="FFFFFF"/>
          <w:lang w:val="en-US" w:eastAsia="zh-CN"/>
        </w:rPr>
        <w:t>名称：盐城市公安局盐南高新技术产业开发区分局</w:t>
      </w:r>
    </w:p>
    <w:p w14:paraId="108867E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default" w:ascii="宋体" w:hAnsi="宋体" w:eastAsia="宋体" w:cs="宋体"/>
          <w:b w:val="0"/>
          <w:bCs w:val="0"/>
          <w:i w:val="0"/>
          <w:iCs w:val="0"/>
          <w:caps w:val="0"/>
          <w:color w:val="auto"/>
          <w:spacing w:val="0"/>
          <w:sz w:val="21"/>
          <w:szCs w:val="21"/>
          <w:highlight w:val="none"/>
          <w:shd w:val="clear" w:fill="FFFFFF"/>
          <w:lang w:val="en-US" w:eastAsia="zh-CN"/>
        </w:rPr>
      </w:pPr>
      <w:r>
        <w:rPr>
          <w:rFonts w:hint="eastAsia" w:ascii="宋体" w:hAnsi="宋体" w:eastAsia="宋体" w:cs="宋体"/>
          <w:b w:val="0"/>
          <w:bCs w:val="0"/>
          <w:i w:val="0"/>
          <w:iCs w:val="0"/>
          <w:caps w:val="0"/>
          <w:color w:val="auto"/>
          <w:spacing w:val="0"/>
          <w:sz w:val="21"/>
          <w:szCs w:val="21"/>
          <w:highlight w:val="none"/>
          <w:shd w:val="clear" w:fill="FFFFFF"/>
          <w:lang w:val="en-US" w:eastAsia="zh-CN"/>
        </w:rPr>
        <w:t>地址：盐城市人民南路新龙广场8号楼</w:t>
      </w:r>
    </w:p>
    <w:p w14:paraId="77058556">
      <w:pPr>
        <w:pStyle w:val="11"/>
        <w:widowControl/>
        <w:shd w:val="clear" w:color="auto" w:fill="FFFFFF"/>
        <w:spacing w:beforeAutospacing="0" w:afterAutospacing="0" w:line="312" w:lineRule="auto"/>
        <w:ind w:firstLine="420" w:firstLineChars="200"/>
        <w:jc w:val="both"/>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联系人：杭</w:t>
      </w:r>
      <w:r>
        <w:rPr>
          <w:rFonts w:hint="eastAsia" w:ascii="宋体" w:hAnsi="宋体" w:eastAsia="宋体" w:cs="宋体"/>
          <w:color w:val="auto"/>
          <w:sz w:val="21"/>
          <w:szCs w:val="21"/>
        </w:rPr>
        <w:t>警官</w:t>
      </w:r>
    </w:p>
    <w:p w14:paraId="20D1DC1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default" w:ascii="宋体" w:hAnsi="宋体" w:eastAsia="宋体" w:cs="宋体"/>
          <w:b w:val="0"/>
          <w:bCs w:val="0"/>
          <w:i w:val="0"/>
          <w:iCs w:val="0"/>
          <w:caps w:val="0"/>
          <w:color w:val="auto"/>
          <w:spacing w:val="0"/>
          <w:sz w:val="21"/>
          <w:szCs w:val="21"/>
          <w:highlight w:val="yellow"/>
          <w:shd w:val="clear" w:fill="FFFFFF"/>
          <w:lang w:val="en-US" w:eastAsia="zh-CN"/>
        </w:rPr>
      </w:pPr>
      <w:r>
        <w:rPr>
          <w:rFonts w:hint="eastAsia" w:ascii="宋体" w:hAnsi="宋体" w:eastAsia="宋体" w:cs="宋体"/>
          <w:b w:val="0"/>
          <w:bCs w:val="0"/>
          <w:color w:val="auto"/>
          <w:sz w:val="21"/>
          <w:szCs w:val="21"/>
          <w:shd w:val="clear" w:color="auto" w:fill="FFFFFF"/>
        </w:rPr>
        <w:t>联系方式：</w:t>
      </w:r>
      <w:r>
        <w:rPr>
          <w:rFonts w:hint="eastAsia" w:ascii="宋体" w:hAnsi="宋体" w:eastAsia="宋体" w:cs="宋体"/>
          <w:b w:val="0"/>
          <w:bCs w:val="0"/>
          <w:color w:val="auto"/>
          <w:sz w:val="21"/>
          <w:szCs w:val="21"/>
        </w:rPr>
        <w:t>0515-69000200</w:t>
      </w:r>
    </w:p>
    <w:p w14:paraId="750060B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2" w:firstLineChars="200"/>
        <w:jc w:val="both"/>
        <w:textAlignment w:val="auto"/>
        <w:rPr>
          <w:rFonts w:hint="eastAsia" w:ascii="宋体" w:hAnsi="宋体" w:eastAsia="宋体" w:cs="宋体"/>
          <w:i w:val="0"/>
          <w:iCs w:val="0"/>
          <w:caps w:val="0"/>
          <w:color w:val="auto"/>
          <w:spacing w:val="0"/>
          <w:sz w:val="21"/>
          <w:szCs w:val="21"/>
          <w:highlight w:val="none"/>
          <w:shd w:val="clear" w:fill="FFFFFF"/>
          <w:lang w:val="en-US" w:eastAsia="zh-CN"/>
        </w:rPr>
      </w:pPr>
      <w:r>
        <w:rPr>
          <w:rFonts w:hint="eastAsia" w:ascii="宋体" w:hAnsi="宋体" w:eastAsia="宋体" w:cs="宋体"/>
          <w:i w:val="0"/>
          <w:iCs w:val="0"/>
          <w:caps w:val="0"/>
          <w:color w:val="auto"/>
          <w:spacing w:val="0"/>
          <w:sz w:val="21"/>
          <w:szCs w:val="21"/>
          <w:highlight w:val="none"/>
          <w:shd w:val="clear" w:fill="FFFFFF"/>
          <w:lang w:val="en-US" w:eastAsia="zh-CN"/>
        </w:rPr>
        <w:t>2.采购代理机构信息</w:t>
      </w:r>
    </w:p>
    <w:p w14:paraId="6845C77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i w:val="0"/>
          <w:iCs w:val="0"/>
          <w:caps w:val="0"/>
          <w:color w:val="auto"/>
          <w:spacing w:val="0"/>
          <w:sz w:val="21"/>
          <w:szCs w:val="21"/>
          <w:highlight w:val="none"/>
          <w:shd w:val="clear" w:fill="FFFFFF"/>
          <w:lang w:val="en-US" w:eastAsia="zh-CN"/>
        </w:rPr>
      </w:pPr>
      <w:r>
        <w:rPr>
          <w:rFonts w:hint="eastAsia" w:ascii="宋体" w:hAnsi="宋体" w:eastAsia="宋体" w:cs="宋体"/>
          <w:b w:val="0"/>
          <w:bCs w:val="0"/>
          <w:i w:val="0"/>
          <w:iCs w:val="0"/>
          <w:caps w:val="0"/>
          <w:color w:val="auto"/>
          <w:spacing w:val="0"/>
          <w:sz w:val="21"/>
          <w:szCs w:val="21"/>
          <w:highlight w:val="none"/>
          <w:shd w:val="clear" w:fill="FFFFFF"/>
          <w:lang w:val="en-US" w:eastAsia="zh-CN"/>
        </w:rPr>
        <w:t>名称：盐城市智禾项目管理有限公司</w:t>
      </w:r>
    </w:p>
    <w:p w14:paraId="303E2BF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i w:val="0"/>
          <w:iCs w:val="0"/>
          <w:caps w:val="0"/>
          <w:color w:val="auto"/>
          <w:spacing w:val="0"/>
          <w:sz w:val="21"/>
          <w:szCs w:val="21"/>
          <w:highlight w:val="none"/>
          <w:shd w:val="clear" w:fill="FFFFFF"/>
          <w:lang w:val="en-US" w:eastAsia="zh-CN"/>
        </w:rPr>
      </w:pPr>
      <w:r>
        <w:rPr>
          <w:rFonts w:hint="eastAsia" w:ascii="宋体" w:hAnsi="宋体" w:eastAsia="宋体" w:cs="宋体"/>
          <w:b w:val="0"/>
          <w:bCs w:val="0"/>
          <w:i w:val="0"/>
          <w:iCs w:val="0"/>
          <w:caps w:val="0"/>
          <w:color w:val="auto"/>
          <w:spacing w:val="0"/>
          <w:sz w:val="21"/>
          <w:szCs w:val="21"/>
          <w:highlight w:val="none"/>
          <w:shd w:val="clear" w:fill="FFFFFF"/>
          <w:lang w:val="en-US" w:eastAsia="zh-CN"/>
        </w:rPr>
        <w:t>地址：</w:t>
      </w:r>
      <w:bookmarkStart w:id="32" w:name="OLE_LINK15"/>
      <w:r>
        <w:rPr>
          <w:rFonts w:hint="eastAsia" w:ascii="宋体" w:hAnsi="宋体" w:eastAsia="宋体" w:cs="宋体"/>
          <w:b w:val="0"/>
          <w:bCs w:val="0"/>
          <w:i w:val="0"/>
          <w:iCs w:val="0"/>
          <w:caps w:val="0"/>
          <w:color w:val="auto"/>
          <w:spacing w:val="0"/>
          <w:sz w:val="21"/>
          <w:szCs w:val="21"/>
          <w:highlight w:val="none"/>
          <w:shd w:val="clear" w:fill="FFFFFF"/>
          <w:lang w:val="en-US" w:eastAsia="zh-CN"/>
        </w:rPr>
        <w:t>盐城市盐都区宏都路华邦国际西厦603室</w:t>
      </w:r>
      <w:bookmarkEnd w:id="32"/>
    </w:p>
    <w:p w14:paraId="2810468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i w:val="0"/>
          <w:iCs w:val="0"/>
          <w:caps w:val="0"/>
          <w:color w:val="auto"/>
          <w:spacing w:val="0"/>
          <w:sz w:val="21"/>
          <w:szCs w:val="21"/>
          <w:highlight w:val="none"/>
          <w:shd w:val="clear" w:fill="FFFFFF"/>
          <w:lang w:val="en-US" w:eastAsia="zh-CN"/>
        </w:rPr>
      </w:pPr>
      <w:r>
        <w:rPr>
          <w:rFonts w:hint="eastAsia" w:ascii="宋体" w:hAnsi="宋体" w:eastAsia="宋体" w:cs="宋体"/>
          <w:b w:val="0"/>
          <w:bCs w:val="0"/>
          <w:i w:val="0"/>
          <w:iCs w:val="0"/>
          <w:caps w:val="0"/>
          <w:color w:val="auto"/>
          <w:spacing w:val="0"/>
          <w:sz w:val="21"/>
          <w:szCs w:val="21"/>
          <w:highlight w:val="none"/>
          <w:shd w:val="clear" w:fill="FFFFFF"/>
          <w:lang w:val="en-US" w:eastAsia="zh-CN"/>
        </w:rPr>
        <w:t>联系人：杨女士</w:t>
      </w:r>
    </w:p>
    <w:p w14:paraId="5556DCE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i w:val="0"/>
          <w:iCs w:val="0"/>
          <w:caps w:val="0"/>
          <w:color w:val="auto"/>
          <w:spacing w:val="0"/>
          <w:sz w:val="21"/>
          <w:szCs w:val="21"/>
          <w:highlight w:val="none"/>
          <w:shd w:val="clear" w:fill="FFFFFF"/>
          <w:lang w:val="en-US" w:eastAsia="zh-CN"/>
        </w:rPr>
      </w:pPr>
      <w:r>
        <w:rPr>
          <w:rFonts w:hint="eastAsia" w:ascii="宋体" w:hAnsi="宋体" w:eastAsia="宋体" w:cs="宋体"/>
          <w:b w:val="0"/>
          <w:bCs w:val="0"/>
          <w:i w:val="0"/>
          <w:iCs w:val="0"/>
          <w:caps w:val="0"/>
          <w:color w:val="auto"/>
          <w:spacing w:val="0"/>
          <w:sz w:val="21"/>
          <w:szCs w:val="21"/>
          <w:highlight w:val="none"/>
          <w:shd w:val="clear" w:fill="FFFFFF"/>
          <w:lang w:val="en-US" w:eastAsia="zh-CN"/>
        </w:rPr>
        <w:t>联系方式：</w:t>
      </w:r>
      <w:bookmarkStart w:id="33" w:name="OLE_LINK14"/>
      <w:r>
        <w:rPr>
          <w:rFonts w:hint="eastAsia" w:ascii="宋体" w:hAnsi="宋体" w:eastAsia="宋体" w:cs="宋体"/>
          <w:b w:val="0"/>
          <w:bCs w:val="0"/>
          <w:i w:val="0"/>
          <w:iCs w:val="0"/>
          <w:caps w:val="0"/>
          <w:color w:val="auto"/>
          <w:spacing w:val="0"/>
          <w:sz w:val="21"/>
          <w:szCs w:val="21"/>
          <w:highlight w:val="none"/>
          <w:shd w:val="clear" w:fill="FFFFFF"/>
          <w:lang w:val="en-US" w:eastAsia="zh-CN"/>
        </w:rPr>
        <w:t>13092197196</w:t>
      </w:r>
      <w:bookmarkEnd w:id="33"/>
    </w:p>
    <w:p w14:paraId="7DB6F9C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2" w:firstLineChars="200"/>
        <w:jc w:val="both"/>
        <w:textAlignment w:val="auto"/>
        <w:rPr>
          <w:rFonts w:hint="eastAsia" w:ascii="宋体" w:hAnsi="宋体" w:eastAsia="宋体" w:cs="宋体"/>
          <w:b/>
          <w:bCs/>
          <w:i w:val="0"/>
          <w:iCs w:val="0"/>
          <w:caps w:val="0"/>
          <w:color w:val="auto"/>
          <w:spacing w:val="0"/>
          <w:sz w:val="21"/>
          <w:szCs w:val="21"/>
          <w:highlight w:val="none"/>
          <w:shd w:val="clear" w:fill="FFFFFF"/>
          <w:lang w:val="en-US" w:eastAsia="zh-CN"/>
        </w:rPr>
      </w:pPr>
      <w:bookmarkStart w:id="34" w:name="_Toc28359021"/>
      <w:r>
        <w:rPr>
          <w:rFonts w:hint="eastAsia" w:ascii="宋体" w:hAnsi="宋体" w:eastAsia="宋体" w:cs="宋体"/>
          <w:b/>
          <w:bCs/>
          <w:i w:val="0"/>
          <w:iCs w:val="0"/>
          <w:caps w:val="0"/>
          <w:color w:val="auto"/>
          <w:spacing w:val="0"/>
          <w:sz w:val="21"/>
          <w:szCs w:val="21"/>
          <w:highlight w:val="none"/>
          <w:shd w:val="clear" w:fill="FFFFFF"/>
          <w:lang w:val="en-US" w:eastAsia="zh-CN"/>
        </w:rPr>
        <w:t>3.</w:t>
      </w:r>
      <w:bookmarkEnd w:id="34"/>
      <w:r>
        <w:rPr>
          <w:rFonts w:hint="eastAsia" w:ascii="宋体" w:hAnsi="宋体" w:eastAsia="宋体" w:cs="宋体"/>
          <w:b/>
          <w:bCs/>
          <w:i w:val="0"/>
          <w:iCs w:val="0"/>
          <w:caps w:val="0"/>
          <w:color w:val="auto"/>
          <w:spacing w:val="0"/>
          <w:sz w:val="21"/>
          <w:szCs w:val="21"/>
          <w:highlight w:val="none"/>
          <w:shd w:val="clear" w:fill="FFFFFF"/>
          <w:lang w:val="en-US" w:eastAsia="zh-CN"/>
        </w:rPr>
        <w:t>项目联系方式</w:t>
      </w:r>
    </w:p>
    <w:p w14:paraId="57868AE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i w:val="0"/>
          <w:iCs w:val="0"/>
          <w:caps w:val="0"/>
          <w:color w:val="auto"/>
          <w:spacing w:val="0"/>
          <w:sz w:val="21"/>
          <w:szCs w:val="21"/>
          <w:highlight w:val="none"/>
          <w:shd w:val="clear" w:fill="FFFFFF"/>
          <w:lang w:val="en-US" w:eastAsia="zh-CN"/>
        </w:rPr>
      </w:pPr>
      <w:r>
        <w:rPr>
          <w:rFonts w:hint="eastAsia" w:ascii="宋体" w:hAnsi="宋体" w:eastAsia="宋体" w:cs="宋体"/>
          <w:b w:val="0"/>
          <w:bCs w:val="0"/>
          <w:i w:val="0"/>
          <w:iCs w:val="0"/>
          <w:caps w:val="0"/>
          <w:color w:val="auto"/>
          <w:spacing w:val="0"/>
          <w:sz w:val="21"/>
          <w:szCs w:val="21"/>
          <w:highlight w:val="none"/>
          <w:shd w:val="clear" w:fill="FFFFFF"/>
          <w:lang w:val="en-US" w:eastAsia="zh-CN"/>
        </w:rPr>
        <w:t>项目联系人：杨女士</w:t>
      </w:r>
    </w:p>
    <w:p w14:paraId="3330F2C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val="0"/>
          <w:caps w:val="0"/>
          <w:color w:val="auto"/>
          <w:spacing w:val="0"/>
          <w:sz w:val="21"/>
          <w:szCs w:val="21"/>
          <w:highlight w:val="none"/>
          <w:shd w:val="clear" w:fill="FFFFFF"/>
          <w:lang w:val="en-US" w:eastAsia="zh-CN"/>
        </w:rPr>
      </w:pPr>
      <w:r>
        <w:rPr>
          <w:rFonts w:hint="eastAsia" w:ascii="宋体" w:hAnsi="宋体" w:eastAsia="宋体" w:cs="宋体"/>
          <w:i w:val="0"/>
          <w:iCs w:val="0"/>
          <w:caps w:val="0"/>
          <w:color w:val="auto"/>
          <w:spacing w:val="0"/>
          <w:sz w:val="21"/>
          <w:szCs w:val="21"/>
          <w:highlight w:val="none"/>
          <w:shd w:val="clear" w:fill="FFFFFF"/>
          <w:lang w:val="en-US" w:eastAsia="zh-CN"/>
        </w:rPr>
        <w:t>电话：</w:t>
      </w:r>
      <w:r>
        <w:rPr>
          <w:rFonts w:hint="eastAsia" w:ascii="宋体" w:hAnsi="宋体" w:eastAsia="宋体" w:cs="宋体"/>
          <w:b w:val="0"/>
          <w:bCs w:val="0"/>
          <w:i w:val="0"/>
          <w:iCs w:val="0"/>
          <w:caps w:val="0"/>
          <w:color w:val="auto"/>
          <w:spacing w:val="0"/>
          <w:sz w:val="21"/>
          <w:szCs w:val="21"/>
          <w:highlight w:val="none"/>
          <w:shd w:val="clear" w:fill="FFFFFF"/>
          <w:lang w:val="en-US" w:eastAsia="zh-CN"/>
        </w:rPr>
        <w:t>13092197196</w:t>
      </w:r>
    </w:p>
    <w:p w14:paraId="49AC74DB">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br w:type="page"/>
      </w:r>
      <w:bookmarkStart w:id="35" w:name="_Toc120614211"/>
    </w:p>
    <w:p w14:paraId="61EAED5C">
      <w:pPr>
        <w:pStyle w:val="11"/>
        <w:keepNext/>
        <w:keepLines/>
        <w:spacing w:before="260" w:beforeAutospacing="0" w:after="260" w:afterAutospacing="0" w:line="415" w:lineRule="auto"/>
        <w:ind w:firstLine="2429"/>
        <w:jc w:val="both"/>
        <w:rPr>
          <w:color w:val="auto"/>
          <w:highlight w:val="none"/>
        </w:rPr>
      </w:pPr>
      <w:r>
        <w:rPr>
          <w:rFonts w:hint="eastAsia" w:ascii="黑体" w:hAnsi="宋体" w:eastAsia="黑体" w:cs="黑体"/>
          <w:b/>
          <w:color w:val="auto"/>
          <w:sz w:val="44"/>
          <w:szCs w:val="44"/>
          <w:highlight w:val="none"/>
        </w:rPr>
        <w:t>第二章 </w:t>
      </w:r>
      <w:bookmarkEnd w:id="35"/>
      <w:bookmarkStart w:id="36" w:name="_Toc16938518"/>
      <w:bookmarkStart w:id="37" w:name="_Toc20823274"/>
      <w:bookmarkStart w:id="38" w:name="_Toc513029202"/>
      <w:bookmarkStart w:id="39" w:name="_Toc120614213"/>
      <w:r>
        <w:rPr>
          <w:rFonts w:hint="eastAsia" w:ascii="黑体" w:hAnsi="宋体" w:eastAsia="黑体" w:cs="黑体"/>
          <w:b/>
          <w:color w:val="auto"/>
          <w:sz w:val="44"/>
          <w:szCs w:val="44"/>
          <w:highlight w:val="none"/>
        </w:rPr>
        <w:t>投标人须知</w:t>
      </w:r>
      <w:bookmarkEnd w:id="36"/>
      <w:bookmarkEnd w:id="37"/>
      <w:bookmarkEnd w:id="38"/>
      <w:bookmarkEnd w:id="39"/>
    </w:p>
    <w:p w14:paraId="62BC1E7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40" w:name="_Toc513029203"/>
      <w:bookmarkStart w:id="41" w:name="_Toc20823275"/>
      <w:bookmarkStart w:id="42" w:name="_Toc120614214"/>
      <w:bookmarkStart w:id="43" w:name="_Toc16938519"/>
      <w:r>
        <w:rPr>
          <w:rFonts w:hint="eastAsia" w:ascii="宋体" w:hAnsi="宋体" w:eastAsia="宋体" w:cs="宋体"/>
          <w:b/>
          <w:color w:val="auto"/>
          <w:sz w:val="21"/>
          <w:szCs w:val="21"/>
          <w:highlight w:val="none"/>
        </w:rPr>
        <w:t>一、总则</w:t>
      </w:r>
      <w:bookmarkEnd w:id="40"/>
      <w:bookmarkEnd w:id="41"/>
      <w:bookmarkEnd w:id="42"/>
      <w:bookmarkEnd w:id="43"/>
    </w:p>
    <w:p w14:paraId="44FB918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44" w:name="_Toc20823276"/>
      <w:bookmarkStart w:id="45" w:name="_Toc513029204"/>
      <w:bookmarkStart w:id="46" w:name="_Toc458694821"/>
      <w:bookmarkStart w:id="47" w:name="_Toc16938520"/>
      <w:bookmarkStart w:id="48" w:name="_Hlt16619475"/>
      <w:r>
        <w:rPr>
          <w:rFonts w:hint="eastAsia" w:ascii="宋体" w:hAnsi="宋体" w:eastAsia="宋体" w:cs="宋体"/>
          <w:color w:val="auto"/>
          <w:sz w:val="21"/>
          <w:szCs w:val="21"/>
          <w:highlight w:val="none"/>
        </w:rPr>
        <w:t>1</w:t>
      </w:r>
      <w:bookmarkEnd w:id="44"/>
      <w:r>
        <w:rPr>
          <w:rFonts w:hint="eastAsia" w:ascii="宋体" w:hAnsi="宋体" w:eastAsia="宋体" w:cs="宋体"/>
          <w:color w:val="auto"/>
          <w:sz w:val="21"/>
          <w:szCs w:val="21"/>
          <w:highlight w:val="none"/>
        </w:rPr>
        <w:t>、招标方式</w:t>
      </w:r>
      <w:bookmarkEnd w:id="45"/>
      <w:bookmarkEnd w:id="46"/>
      <w:bookmarkEnd w:id="47"/>
    </w:p>
    <w:p w14:paraId="4D5B8CA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1.1本次招标采取公开招标方式，本招标文件仅适用于招标公告中所述项目。</w:t>
      </w:r>
    </w:p>
    <w:p w14:paraId="4270020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49" w:name="_Toc16938521"/>
      <w:bookmarkStart w:id="50" w:name="_Toc20823277"/>
      <w:bookmarkStart w:id="51" w:name="_Toc513029205"/>
      <w:r>
        <w:rPr>
          <w:rFonts w:hint="eastAsia" w:ascii="宋体" w:hAnsi="宋体" w:eastAsia="宋体" w:cs="宋体"/>
          <w:color w:val="auto"/>
          <w:sz w:val="21"/>
          <w:szCs w:val="21"/>
          <w:highlight w:val="none"/>
        </w:rPr>
        <w:t>2、合格的投标人</w:t>
      </w:r>
      <w:bookmarkEnd w:id="49"/>
      <w:bookmarkEnd w:id="50"/>
      <w:bookmarkEnd w:id="51"/>
    </w:p>
    <w:p w14:paraId="1555F18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2.1满足招标公告中供应商的资格要求的规定。</w:t>
      </w:r>
    </w:p>
    <w:p w14:paraId="20D83CF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2.2满足本文件实质性要求和条件的规定。</w:t>
      </w:r>
    </w:p>
    <w:p w14:paraId="3707E76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rPr>
      </w:pPr>
      <w:bookmarkStart w:id="52" w:name="_Toc513029206"/>
      <w:bookmarkStart w:id="53" w:name="_Toc16938522"/>
      <w:bookmarkStart w:id="54" w:name="_Toc20823278"/>
      <w:r>
        <w:rPr>
          <w:rFonts w:hint="eastAsia" w:ascii="宋体" w:hAnsi="宋体" w:eastAsia="宋体" w:cs="宋体"/>
          <w:color w:val="auto"/>
          <w:sz w:val="21"/>
          <w:szCs w:val="21"/>
        </w:rPr>
        <w:t>3、适用法律</w:t>
      </w:r>
      <w:bookmarkEnd w:id="52"/>
      <w:bookmarkEnd w:id="53"/>
      <w:bookmarkEnd w:id="54"/>
      <w:r>
        <w:rPr>
          <w:rFonts w:hint="eastAsia" w:ascii="宋体" w:hAnsi="宋体" w:eastAsia="宋体" w:cs="宋体"/>
          <w:color w:val="auto"/>
          <w:sz w:val="21"/>
          <w:szCs w:val="21"/>
        </w:rPr>
        <w:t>和标准</w:t>
      </w:r>
    </w:p>
    <w:p w14:paraId="00F420D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3.1本次招标及由此产生的合同受中华人民共和国有关的法律法规制约和保护。</w:t>
      </w:r>
    </w:p>
    <w:p w14:paraId="0698688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rPr>
        <w:t>3.2在本项目政府采购活动过程中，如果所执行的标准有更新的，按照最新标准执行。</w:t>
      </w:r>
    </w:p>
    <w:p w14:paraId="40AEBF5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55" w:name="_Toc16938523"/>
      <w:bookmarkStart w:id="56" w:name="_Toc513029207"/>
      <w:bookmarkStart w:id="57" w:name="_Toc462564067"/>
      <w:bookmarkStart w:id="58" w:name="_Toc20823279"/>
      <w:r>
        <w:rPr>
          <w:rFonts w:hint="eastAsia" w:ascii="宋体" w:hAnsi="宋体" w:eastAsia="宋体" w:cs="宋体"/>
          <w:color w:val="auto"/>
          <w:sz w:val="21"/>
          <w:szCs w:val="21"/>
          <w:highlight w:val="none"/>
        </w:rPr>
        <w:t>4、投标费用</w:t>
      </w:r>
      <w:bookmarkEnd w:id="55"/>
      <w:bookmarkEnd w:id="56"/>
      <w:bookmarkEnd w:id="57"/>
      <w:bookmarkEnd w:id="58"/>
    </w:p>
    <w:p w14:paraId="27AEA6D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盐城市智禾项目管理有限公司</w:t>
      </w:r>
      <w:r>
        <w:rPr>
          <w:rFonts w:hint="eastAsia" w:ascii="宋体" w:hAnsi="宋体" w:eastAsia="宋体" w:cs="宋体"/>
          <w:color w:val="auto"/>
          <w:sz w:val="21"/>
          <w:szCs w:val="21"/>
          <w:highlight w:val="none"/>
        </w:rPr>
        <w:t>（以下简称</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）在任何情况下均无义务和责任承担这些费用。</w:t>
      </w:r>
    </w:p>
    <w:p w14:paraId="52BB50B6">
      <w:pPr>
        <w:pStyle w:val="29"/>
        <w:spacing w:beforeAutospacing="0" w:afterAutospacing="0" w:line="348"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w:t>
      </w:r>
      <w:r>
        <w:rPr>
          <w:rFonts w:hint="eastAsia" w:ascii="宋体" w:hAnsi="宋体" w:cs="宋体"/>
          <w:color w:val="auto"/>
          <w:sz w:val="21"/>
          <w:szCs w:val="21"/>
          <w:highlight w:val="none"/>
        </w:rPr>
        <w:t>本项目代理服务费由项目中标单位支付，在领取中标通知书时支付。</w:t>
      </w:r>
      <w:r>
        <w:rPr>
          <w:rFonts w:hint="eastAsia" w:ascii="宋体" w:hAnsi="宋体" w:cs="宋体"/>
          <w:bCs/>
          <w:color w:val="auto"/>
          <w:sz w:val="21"/>
          <w:szCs w:val="21"/>
          <w:highlight w:val="none"/>
        </w:rPr>
        <w:t>代理服务费收费标准：为方便计算，代理服务费参照《江苏省政府采购代理服务收费指导意见》的通知（苏政采协【2024】20号）收费标准计取。</w:t>
      </w:r>
    </w:p>
    <w:p w14:paraId="2E3FB30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5、</w:t>
      </w:r>
      <w:r>
        <w:rPr>
          <w:rFonts w:hint="eastAsia" w:ascii="宋体" w:hAnsi="宋体" w:eastAsia="宋体" w:cs="宋体"/>
          <w:color w:val="auto"/>
          <w:sz w:val="21"/>
          <w:szCs w:val="21"/>
          <w:highlight w:val="none"/>
        </w:rPr>
        <w:t>招标文件的约束力</w:t>
      </w:r>
    </w:p>
    <w:p w14:paraId="5F4AAD3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5.1投标人一旦参加本项目采购活动，即被认为接受了本招标文件的规定和约束。</w:t>
      </w:r>
    </w:p>
    <w:p w14:paraId="07B3871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59" w:name="_Toc120614215"/>
      <w:bookmarkStart w:id="60" w:name="_Toc513029209"/>
      <w:bookmarkStart w:id="61" w:name="_Toc20823281"/>
      <w:bookmarkStart w:id="62" w:name="_Toc16938525"/>
      <w:r>
        <w:rPr>
          <w:rFonts w:hint="eastAsia" w:ascii="宋体" w:hAnsi="宋体" w:eastAsia="宋体" w:cs="宋体"/>
          <w:b/>
          <w:color w:val="auto"/>
          <w:sz w:val="21"/>
          <w:szCs w:val="21"/>
          <w:highlight w:val="none"/>
        </w:rPr>
        <w:t>二、招标文件</w:t>
      </w:r>
      <w:bookmarkEnd w:id="59"/>
      <w:bookmarkEnd w:id="60"/>
      <w:bookmarkEnd w:id="61"/>
      <w:bookmarkEnd w:id="62"/>
    </w:p>
    <w:p w14:paraId="2F83F8F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63" w:name="_Toc16938526"/>
      <w:bookmarkStart w:id="64" w:name="_Toc513029210"/>
      <w:bookmarkStart w:id="65" w:name="_Toc20823282"/>
      <w:r>
        <w:rPr>
          <w:rFonts w:hint="eastAsia" w:ascii="宋体" w:hAnsi="宋体" w:eastAsia="宋体" w:cs="宋体"/>
          <w:color w:val="auto"/>
          <w:sz w:val="21"/>
          <w:szCs w:val="21"/>
          <w:highlight w:val="none"/>
        </w:rPr>
        <w:t>6、招标文件构成</w:t>
      </w:r>
      <w:bookmarkEnd w:id="63"/>
      <w:bookmarkEnd w:id="64"/>
      <w:bookmarkEnd w:id="65"/>
    </w:p>
    <w:p w14:paraId="09D59A2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6.1招标文件由以下部分组成：</w:t>
      </w:r>
    </w:p>
    <w:p w14:paraId="64B74B03">
      <w:pPr>
        <w:pStyle w:val="11"/>
        <w:pageBreakBefore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招标公告</w:t>
      </w:r>
    </w:p>
    <w:p w14:paraId="6989F30C">
      <w:pPr>
        <w:pStyle w:val="11"/>
        <w:pageBreakBefore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6605AC45">
      <w:pPr>
        <w:pStyle w:val="11"/>
        <w:pageBreakBefore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（3）合同文本</w:t>
      </w:r>
    </w:p>
    <w:p w14:paraId="769C3F08">
      <w:pPr>
        <w:pStyle w:val="11"/>
        <w:pageBreakBefore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（4）采购需求</w:t>
      </w:r>
    </w:p>
    <w:p w14:paraId="4607D885">
      <w:pPr>
        <w:pStyle w:val="11"/>
        <w:pageBreakBefore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（5）评标方法与评标标准</w:t>
      </w:r>
    </w:p>
    <w:p w14:paraId="740ADAA9">
      <w:pPr>
        <w:pStyle w:val="11"/>
        <w:pageBreakBefore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6BE2BA9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请仔细检查招标文件是否齐全，如有缺漏请立即与</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联系解决。</w:t>
      </w:r>
    </w:p>
    <w:p w14:paraId="48D5BE9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17CDD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66" w:name="_Toc513029211"/>
      <w:bookmarkStart w:id="67" w:name="_Toc462564070"/>
      <w:bookmarkStart w:id="68" w:name="_Toc16938527"/>
      <w:bookmarkStart w:id="69" w:name="_Toc20823283"/>
      <w:r>
        <w:rPr>
          <w:rFonts w:hint="eastAsia" w:ascii="宋体" w:hAnsi="宋体" w:eastAsia="宋体" w:cs="宋体"/>
          <w:color w:val="auto"/>
          <w:sz w:val="21"/>
          <w:szCs w:val="21"/>
          <w:highlight w:val="none"/>
        </w:rPr>
        <w:t>7、招标文件的澄清</w:t>
      </w:r>
      <w:bookmarkEnd w:id="66"/>
      <w:bookmarkEnd w:id="67"/>
      <w:bookmarkEnd w:id="68"/>
      <w:bookmarkEnd w:id="69"/>
    </w:p>
    <w:p w14:paraId="22F4087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7.1任何要求对招标文件进行澄清的投标人，应在投标截止期</w:t>
      </w:r>
      <w:r>
        <w:rPr>
          <w:rFonts w:hint="eastAsia" w:ascii="宋体" w:hAnsi="宋体" w:eastAsia="宋体" w:cs="宋体"/>
          <w:b/>
          <w:color w:val="auto"/>
          <w:sz w:val="21"/>
          <w:szCs w:val="21"/>
          <w:highlight w:val="none"/>
        </w:rPr>
        <w:t>十日</w:t>
      </w:r>
      <w:r>
        <w:rPr>
          <w:rFonts w:hint="eastAsia" w:ascii="宋体" w:hAnsi="宋体" w:eastAsia="宋体" w:cs="宋体"/>
          <w:color w:val="auto"/>
          <w:sz w:val="21"/>
          <w:szCs w:val="21"/>
          <w:highlight w:val="none"/>
        </w:rPr>
        <w:t>前按招标公告中的通讯地址，以书面形式通知</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w:t>
      </w:r>
    </w:p>
    <w:p w14:paraId="20CF708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70" w:name="_Toc20823284"/>
      <w:bookmarkStart w:id="71" w:name="_Toc16938528"/>
      <w:bookmarkStart w:id="72" w:name="_Toc513029212"/>
      <w:bookmarkStart w:id="73" w:name="_Toc462564071"/>
      <w:r>
        <w:rPr>
          <w:rFonts w:hint="eastAsia" w:ascii="宋体" w:hAnsi="宋体" w:eastAsia="宋体" w:cs="宋体"/>
          <w:color w:val="auto"/>
          <w:sz w:val="21"/>
          <w:szCs w:val="21"/>
          <w:highlight w:val="none"/>
        </w:rPr>
        <w:t>8、招标文件的修改</w:t>
      </w:r>
      <w:bookmarkEnd w:id="70"/>
      <w:bookmarkEnd w:id="71"/>
      <w:bookmarkEnd w:id="72"/>
      <w:bookmarkEnd w:id="73"/>
    </w:p>
    <w:p w14:paraId="62C809B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8.1在投标截止时间前，</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可以对招标文件进行修改。</w:t>
      </w:r>
    </w:p>
    <w:p w14:paraId="2459CDD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有权按照法定的要求推迟投标截止日期和开标日期。</w:t>
      </w:r>
    </w:p>
    <w:p w14:paraId="5385C31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8.3招标文件的修改将在</w:t>
      </w:r>
      <w:r>
        <w:rPr>
          <w:rFonts w:hint="eastAsia" w:ascii="宋体" w:hAnsi="宋体" w:eastAsia="宋体" w:cs="宋体"/>
          <w:color w:val="auto"/>
          <w:kern w:val="0"/>
          <w:sz w:val="21"/>
          <w:szCs w:val="21"/>
          <w:highlight w:val="none"/>
          <w:lang w:val="en-US" w:eastAsia="zh-CN" w:bidi="ar-SA"/>
        </w:rPr>
        <w:t>中国政府采购网</w:t>
      </w:r>
      <w:r>
        <w:rPr>
          <w:rFonts w:hint="eastAsia" w:ascii="宋体" w:hAnsi="宋体" w:eastAsia="宋体" w:cs="宋体"/>
          <w:i w:val="0"/>
          <w:iCs w:val="0"/>
          <w:caps w:val="0"/>
          <w:color w:val="auto"/>
          <w:spacing w:val="0"/>
          <w:sz w:val="21"/>
          <w:szCs w:val="21"/>
          <w:highlight w:val="none"/>
          <w:shd w:val="clear" w:fill="FFFFFF"/>
          <w:lang w:val="en-US" w:eastAsia="zh-CN"/>
        </w:rPr>
        <w:t>、</w:t>
      </w:r>
      <w:r>
        <w:rPr>
          <w:rFonts w:hint="eastAsia" w:ascii="宋体" w:hAnsi="宋体" w:eastAsia="宋体" w:cs="宋体"/>
          <w:color w:val="auto"/>
          <w:sz w:val="21"/>
          <w:szCs w:val="21"/>
          <w:highlight w:val="none"/>
        </w:rPr>
        <w:t>江苏政府采购网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盐城市政府采购网</w:t>
      </w:r>
      <w:r>
        <w:rPr>
          <w:rFonts w:hint="eastAsia" w:ascii="宋体" w:hAnsi="宋体" w:eastAsia="宋体" w:cs="宋体"/>
          <w:color w:val="auto"/>
          <w:sz w:val="21"/>
          <w:szCs w:val="21"/>
          <w:highlight w:val="none"/>
        </w:rPr>
        <w:t>公布，补充文件将作为招标文件的组成部分，并对投标人具有约束力。</w:t>
      </w:r>
    </w:p>
    <w:p w14:paraId="2CDB096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74" w:name="_Toc16938529"/>
      <w:bookmarkStart w:id="75" w:name="_Toc513029213"/>
      <w:bookmarkStart w:id="76" w:name="_Toc462564072"/>
      <w:bookmarkStart w:id="77" w:name="_Toc120614216"/>
      <w:bookmarkStart w:id="78" w:name="_Toc20823285"/>
      <w:r>
        <w:rPr>
          <w:rFonts w:hint="eastAsia" w:ascii="宋体" w:hAnsi="宋体" w:eastAsia="宋体" w:cs="宋体"/>
          <w:b/>
          <w:color w:val="auto"/>
          <w:sz w:val="21"/>
          <w:szCs w:val="21"/>
          <w:highlight w:val="none"/>
        </w:rPr>
        <w:t>三、投标文件的编制</w:t>
      </w:r>
      <w:bookmarkEnd w:id="74"/>
      <w:bookmarkEnd w:id="75"/>
      <w:bookmarkEnd w:id="76"/>
      <w:bookmarkEnd w:id="77"/>
      <w:bookmarkEnd w:id="78"/>
    </w:p>
    <w:p w14:paraId="60E1EE2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79" w:name="_Toc16938530"/>
      <w:bookmarkStart w:id="80" w:name="_Toc513029214"/>
      <w:bookmarkStart w:id="81" w:name="_Toc20823286"/>
      <w:bookmarkStart w:id="82" w:name="_Toc462564073"/>
      <w:r>
        <w:rPr>
          <w:rFonts w:hint="eastAsia" w:ascii="宋体" w:hAnsi="宋体" w:eastAsia="宋体" w:cs="宋体"/>
          <w:color w:val="auto"/>
          <w:sz w:val="21"/>
          <w:szCs w:val="21"/>
          <w:highlight w:val="none"/>
        </w:rPr>
        <w:t>9、投标文件的语言及度量衡单位</w:t>
      </w:r>
      <w:bookmarkEnd w:id="79"/>
      <w:bookmarkEnd w:id="80"/>
      <w:bookmarkEnd w:id="81"/>
      <w:bookmarkEnd w:id="82"/>
    </w:p>
    <w:p w14:paraId="47E3879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9.1投标人提交的投标文件以及投标人与</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就有关投标的所有来往通知、函件和文件均应使用</w:t>
      </w:r>
      <w:r>
        <w:rPr>
          <w:rFonts w:hint="eastAsia" w:ascii="宋体" w:hAnsi="宋体" w:eastAsia="宋体" w:cs="宋体"/>
          <w:b/>
          <w:color w:val="auto"/>
          <w:sz w:val="21"/>
          <w:szCs w:val="21"/>
          <w:highlight w:val="none"/>
        </w:rPr>
        <w:t>简体中文</w:t>
      </w:r>
      <w:r>
        <w:rPr>
          <w:rFonts w:hint="eastAsia" w:ascii="宋体" w:hAnsi="宋体" w:eastAsia="宋体" w:cs="宋体"/>
          <w:color w:val="auto"/>
          <w:sz w:val="21"/>
          <w:szCs w:val="21"/>
          <w:highlight w:val="none"/>
        </w:rPr>
        <w:t>。</w:t>
      </w:r>
    </w:p>
    <w:p w14:paraId="7A824E7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9.2除技术性能另有规定外，投标文件所使用的度量衡单位，均须采用国家法定计量单位。</w:t>
      </w:r>
    </w:p>
    <w:p w14:paraId="6A40A86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83" w:name="_Toc20823287"/>
      <w:bookmarkStart w:id="84" w:name="_Toc513029215"/>
      <w:bookmarkStart w:id="85" w:name="_Toc462564074"/>
      <w:bookmarkStart w:id="86" w:name="_Toc16938531"/>
      <w:r>
        <w:rPr>
          <w:rFonts w:hint="eastAsia" w:ascii="宋体" w:hAnsi="宋体" w:eastAsia="宋体" w:cs="宋体"/>
          <w:color w:val="auto"/>
          <w:sz w:val="21"/>
          <w:szCs w:val="21"/>
          <w:highlight w:val="none"/>
        </w:rPr>
        <w:t>10、投标文件构成</w:t>
      </w:r>
      <w:bookmarkEnd w:id="83"/>
      <w:bookmarkEnd w:id="84"/>
      <w:bookmarkEnd w:id="85"/>
      <w:bookmarkEnd w:id="86"/>
    </w:p>
    <w:p w14:paraId="275DB53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10.1投标人编写的投标文件应包括资格证明文件、符合性证明文件、投标分项报价表、技术要求响应及偏离表、商务要求响应及偏离表、其他证明文件、投标函、开标一览表等部分。</w:t>
      </w:r>
    </w:p>
    <w:p w14:paraId="7CF7A2E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10.2如标书制作工具中格式和内容与</w:t>
      </w:r>
      <w:r>
        <w:rPr>
          <w:rFonts w:hint="eastAsia" w:ascii="宋体" w:hAnsi="宋体" w:eastAsia="宋体" w:cs="宋体"/>
          <w:i w:val="0"/>
          <w:iCs w:val="0"/>
          <w:caps w:val="0"/>
          <w:color w:val="auto"/>
          <w:spacing w:val="0"/>
          <w:sz w:val="21"/>
          <w:szCs w:val="21"/>
          <w:highlight w:val="none"/>
          <w:shd w:val="clear" w:fill="FFFFFF"/>
          <w:lang w:val="en-US" w:eastAsia="zh-CN"/>
        </w:rPr>
        <w:t>“</w:t>
      </w:r>
      <w:r>
        <w:rPr>
          <w:rFonts w:hint="eastAsia" w:ascii="宋体" w:hAnsi="宋体" w:eastAsia="宋体" w:cs="宋体"/>
          <w:color w:val="auto"/>
          <w:kern w:val="0"/>
          <w:sz w:val="21"/>
          <w:szCs w:val="21"/>
          <w:highlight w:val="none"/>
          <w:lang w:val="en-US" w:eastAsia="zh-CN" w:bidi="ar-SA"/>
        </w:rPr>
        <w:t>中国政府采购网”“</w:t>
      </w:r>
      <w:r>
        <w:rPr>
          <w:rFonts w:hint="eastAsia" w:ascii="宋体" w:hAnsi="宋体" w:eastAsia="宋体" w:cs="宋体"/>
          <w:color w:val="auto"/>
          <w:sz w:val="21"/>
          <w:szCs w:val="21"/>
          <w:highlight w:val="none"/>
        </w:rPr>
        <w:t>江苏政府采购网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盐城市政府采购网</w:t>
      </w:r>
      <w:r>
        <w:rPr>
          <w:rFonts w:hint="eastAsia" w:ascii="宋体" w:hAnsi="宋体" w:eastAsia="宋体" w:cs="宋体"/>
          <w:i w:val="0"/>
          <w:iCs w:val="0"/>
          <w:caps w:val="0"/>
          <w:color w:val="auto"/>
          <w:spacing w:val="0"/>
          <w:sz w:val="21"/>
          <w:szCs w:val="21"/>
          <w:highlight w:val="none"/>
          <w:shd w:val="clear" w:fill="FFFFFF"/>
          <w:lang w:val="en-US" w:eastAsia="zh-CN"/>
        </w:rPr>
        <w:t>”</w:t>
      </w:r>
      <w:r>
        <w:rPr>
          <w:rFonts w:hint="eastAsia" w:ascii="宋体" w:hAnsi="宋体" w:eastAsia="宋体" w:cs="宋体"/>
          <w:color w:val="auto"/>
          <w:sz w:val="21"/>
          <w:szCs w:val="21"/>
          <w:highlight w:val="none"/>
        </w:rPr>
        <w:t>发布的招标文件不一致，请以</w:t>
      </w:r>
      <w:r>
        <w:rPr>
          <w:rFonts w:hint="eastAsia" w:ascii="宋体" w:hAnsi="宋体" w:eastAsia="宋体" w:cs="宋体"/>
          <w:color w:val="auto"/>
          <w:kern w:val="0"/>
          <w:sz w:val="21"/>
          <w:szCs w:val="21"/>
          <w:highlight w:val="none"/>
          <w:lang w:val="en-US" w:eastAsia="zh-CN" w:bidi="ar-SA"/>
        </w:rPr>
        <w:t>中国政府采购网”“</w:t>
      </w:r>
      <w:r>
        <w:rPr>
          <w:rFonts w:hint="eastAsia" w:ascii="宋体" w:hAnsi="宋体" w:eastAsia="宋体" w:cs="宋体"/>
          <w:color w:val="auto"/>
          <w:sz w:val="21"/>
          <w:szCs w:val="21"/>
          <w:highlight w:val="none"/>
        </w:rPr>
        <w:t>江苏政府采购网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盐城市政府采购网</w:t>
      </w:r>
      <w:r>
        <w:rPr>
          <w:rFonts w:hint="eastAsia" w:ascii="宋体" w:hAnsi="宋体" w:eastAsia="宋体" w:cs="宋体"/>
          <w:i w:val="0"/>
          <w:iCs w:val="0"/>
          <w:caps w:val="0"/>
          <w:color w:val="auto"/>
          <w:spacing w:val="0"/>
          <w:sz w:val="21"/>
          <w:szCs w:val="21"/>
          <w:highlight w:val="none"/>
          <w:shd w:val="clear" w:fill="FFFFFF"/>
          <w:lang w:val="en-US" w:eastAsia="zh-CN"/>
        </w:rPr>
        <w:t>”</w:t>
      </w:r>
      <w:r>
        <w:rPr>
          <w:rFonts w:hint="eastAsia" w:ascii="宋体" w:hAnsi="宋体" w:eastAsia="宋体" w:cs="宋体"/>
          <w:color w:val="auto"/>
          <w:sz w:val="21"/>
          <w:szCs w:val="21"/>
          <w:highlight w:val="none"/>
        </w:rPr>
        <w:t>发布的招标文件为准。</w:t>
      </w:r>
    </w:p>
    <w:p w14:paraId="5BBD351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87" w:name="_Toc49090507"/>
      <w:bookmarkStart w:id="88" w:name="_Toc49090509"/>
      <w:bookmarkStart w:id="89" w:name="_Toc49090508"/>
      <w:bookmarkStart w:id="90" w:name="_Toc14577355"/>
      <w:bookmarkStart w:id="91" w:name="_Toc14577354"/>
      <w:bookmarkStart w:id="92" w:name="_Toc14577357"/>
      <w:bookmarkStart w:id="93" w:name="_Toc513029219"/>
      <w:bookmarkStart w:id="94" w:name="_Toc513029216"/>
      <w:bookmarkStart w:id="95" w:name="_Hlt26668975"/>
      <w:bookmarkStart w:id="96" w:name="_Hlt26670360"/>
      <w:bookmarkStart w:id="97" w:name="_Hlt26954838"/>
      <w:r>
        <w:rPr>
          <w:rFonts w:hint="eastAsia" w:ascii="宋体" w:hAnsi="宋体" w:eastAsia="宋体" w:cs="宋体"/>
          <w:color w:val="auto"/>
          <w:sz w:val="21"/>
          <w:szCs w:val="21"/>
          <w:highlight w:val="none"/>
        </w:rPr>
        <w:t>11、证明投标人及投标标的符合招标文件规定的文件</w:t>
      </w:r>
      <w:bookmarkEnd w:id="87"/>
      <w:bookmarkEnd w:id="88"/>
      <w:bookmarkEnd w:id="89"/>
      <w:bookmarkEnd w:id="90"/>
      <w:bookmarkEnd w:id="91"/>
      <w:bookmarkEnd w:id="92"/>
      <w:bookmarkEnd w:id="93"/>
      <w:bookmarkEnd w:id="94"/>
    </w:p>
    <w:p w14:paraId="0718222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11.1投标人应按照招标文件要求提交证明文件，证明其及投标标的符合招标文件规定。</w:t>
      </w:r>
    </w:p>
    <w:p w14:paraId="5A9CFDC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11.2招标文件对证明文件无明确形式要求的，证明文件可以以文字资料、图纸和数据等形式提交。</w:t>
      </w:r>
    </w:p>
    <w:p w14:paraId="240AFD5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12、投标分项报价表</w:t>
      </w:r>
    </w:p>
    <w:p w14:paraId="16C7F70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12.1投标人应按照招标文件规定格式填报投标分项报价表。</w:t>
      </w:r>
    </w:p>
    <w:p w14:paraId="24BE96D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12.2投标货币。投标文件中的单价和总价无特殊规定的采用人民币报价，以元为单位标注。招标文件中另有规定的按规定执行。</w:t>
      </w:r>
    </w:p>
    <w:p w14:paraId="73ADED1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98" w:name="_Hlt26670482"/>
      <w:bookmarkStart w:id="99" w:name="_Hlt26954848"/>
      <w:bookmarkStart w:id="100" w:name="_Hlt26954731"/>
      <w:bookmarkStart w:id="101" w:name="_Hlt26670486"/>
      <w:bookmarkStart w:id="102" w:name="_Hlt26954846"/>
      <w:r>
        <w:rPr>
          <w:rFonts w:hint="eastAsia" w:ascii="宋体" w:hAnsi="宋体" w:eastAsia="宋体" w:cs="宋体"/>
          <w:color w:val="auto"/>
          <w:sz w:val="21"/>
          <w:szCs w:val="21"/>
          <w:highlight w:val="none"/>
        </w:rPr>
        <w:t>13、技术要求响应及偏离表、商务要求响应及偏离表</w:t>
      </w:r>
    </w:p>
    <w:p w14:paraId="321FCB1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13.1投标人需对招标文件中的技术要求与商务要求逐项作出响应或偏离，并说明原因。</w:t>
      </w:r>
    </w:p>
    <w:p w14:paraId="7FDE64E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13.2投标人可在投标文件中提供认为需要的其他技术文件或说明。</w:t>
      </w:r>
    </w:p>
    <w:p w14:paraId="34DA4C0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14、服务承诺、培训计划、人员安排及其他</w:t>
      </w:r>
    </w:p>
    <w:p w14:paraId="74ECEAD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14.1投标人需根据招标文件要求提供有关售后服务的管理制度，售后服务机构的分布情况，售后服务人员的数量、素质、技术水平及售后服务的反应能力等。</w:t>
      </w:r>
    </w:p>
    <w:p w14:paraId="1128F8E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14.2投标人需根据招标文件要求提供培训计划。</w:t>
      </w:r>
    </w:p>
    <w:p w14:paraId="6173709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14.3投标人需根据招标文件要求提供所投标的的主要组成部分、功能设计、实现思路及关键技术等。</w:t>
      </w:r>
    </w:p>
    <w:p w14:paraId="5B2B626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103" w:name="_Toc14577359"/>
      <w:bookmarkStart w:id="104" w:name="_Toc49090510"/>
      <w:r>
        <w:rPr>
          <w:rFonts w:hint="eastAsia" w:ascii="宋体" w:hAnsi="宋体" w:eastAsia="宋体" w:cs="宋体"/>
          <w:color w:val="auto"/>
          <w:sz w:val="21"/>
          <w:szCs w:val="21"/>
          <w:highlight w:val="none"/>
        </w:rPr>
        <w:t>15、投标函和开标一览表</w:t>
      </w:r>
      <w:bookmarkEnd w:id="103"/>
      <w:bookmarkEnd w:id="104"/>
    </w:p>
    <w:p w14:paraId="3CB4F30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15.1投标人应按照招标文件中提供的格式完整、正确填写投标函、开标一览表。</w:t>
      </w:r>
    </w:p>
    <w:p w14:paraId="3C52A66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15.2对于采用货币报价的项目，开标一览表中的投标总报价应与投标分项报价表中的投标总报价一致，如不一致，不作为无效投标处理，但评标时按开标一览表中价格为准。</w:t>
      </w:r>
    </w:p>
    <w:p w14:paraId="036159C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105" w:name="_Toc49090511"/>
      <w:bookmarkStart w:id="106" w:name="_Toc14577360"/>
      <w:r>
        <w:rPr>
          <w:rFonts w:hint="eastAsia" w:ascii="宋体" w:hAnsi="宋体" w:eastAsia="宋体" w:cs="宋体"/>
          <w:color w:val="auto"/>
          <w:sz w:val="21"/>
          <w:szCs w:val="21"/>
          <w:highlight w:val="none"/>
        </w:rPr>
        <w:t>16、投标有效期</w:t>
      </w:r>
      <w:bookmarkEnd w:id="105"/>
      <w:bookmarkEnd w:id="106"/>
    </w:p>
    <w:p w14:paraId="32AAB68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16.1投标有效期为</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规定的开标之日后</w:t>
      </w:r>
      <w:r>
        <w:rPr>
          <w:rFonts w:hint="eastAsia" w:ascii="宋体" w:hAnsi="宋体" w:eastAsia="宋体" w:cs="宋体"/>
          <w:b/>
          <w:color w:val="auto"/>
          <w:sz w:val="21"/>
          <w:szCs w:val="21"/>
          <w:highlight w:val="none"/>
          <w:u w:val="single"/>
          <w:lang w:val="en-US" w:eastAsia="zh-CN"/>
        </w:rPr>
        <w:t>九</w:t>
      </w:r>
      <w:r>
        <w:rPr>
          <w:rFonts w:hint="eastAsia" w:ascii="宋体" w:hAnsi="宋体" w:eastAsia="宋体" w:cs="宋体"/>
          <w:b/>
          <w:color w:val="auto"/>
          <w:sz w:val="21"/>
          <w:szCs w:val="21"/>
          <w:highlight w:val="none"/>
          <w:u w:val="single"/>
        </w:rPr>
        <w:t>十（</w:t>
      </w:r>
      <w:r>
        <w:rPr>
          <w:rFonts w:hint="eastAsia" w:ascii="宋体" w:hAnsi="宋体" w:eastAsia="宋体" w:cs="宋体"/>
          <w:b/>
          <w:color w:val="auto"/>
          <w:sz w:val="21"/>
          <w:szCs w:val="21"/>
          <w:highlight w:val="none"/>
          <w:u w:val="single"/>
          <w:lang w:val="en-US" w:eastAsia="zh-CN"/>
        </w:rPr>
        <w:t>9</w:t>
      </w:r>
      <w:r>
        <w:rPr>
          <w:rFonts w:hint="eastAsia" w:ascii="宋体" w:hAnsi="宋体" w:eastAsia="宋体" w:cs="宋体"/>
          <w:b/>
          <w:color w:val="auto"/>
          <w:sz w:val="21"/>
          <w:szCs w:val="21"/>
          <w:highlight w:val="none"/>
          <w:u w:val="single"/>
        </w:rPr>
        <w:t>0）天</w:t>
      </w:r>
      <w:r>
        <w:rPr>
          <w:rFonts w:hint="eastAsia" w:ascii="宋体" w:hAnsi="宋体" w:eastAsia="宋体" w:cs="宋体"/>
          <w:color w:val="auto"/>
          <w:sz w:val="21"/>
          <w:szCs w:val="21"/>
          <w:highlight w:val="none"/>
        </w:rPr>
        <w:t>。投标有效期比规定短的将被视为未实质性响应招标文件而予以拒绝。</w:t>
      </w:r>
    </w:p>
    <w:p w14:paraId="43AEABA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17、投标有效期的延长</w:t>
      </w:r>
    </w:p>
    <w:p w14:paraId="5858C67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17.1在特殊情况下，</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于原投标有效期满之前，可向投标人提出延长投标有效期的要求。这种要求与答复均应采用书面形式。投标人可以拒绝</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的这一要求而放弃投标，同意延长投标有效期的投标人既不能要求也不允许修改其投标文件。受投标有效期约束的所有权利与义务均延长至新的有效期。</w:t>
      </w:r>
    </w:p>
    <w:p w14:paraId="4B10AB4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107" w:name="_Toc16938540"/>
      <w:bookmarkStart w:id="108" w:name="_Toc120614217"/>
      <w:bookmarkStart w:id="109" w:name="_Toc20823296"/>
      <w:bookmarkStart w:id="110" w:name="_Toc513029224"/>
      <w:bookmarkStart w:id="111" w:name="_Hlt26954739"/>
      <w:bookmarkStart w:id="112" w:name="_Hlt26954852"/>
      <w:r>
        <w:rPr>
          <w:rFonts w:hint="eastAsia" w:ascii="宋体" w:hAnsi="宋体" w:eastAsia="宋体" w:cs="宋体"/>
          <w:b/>
          <w:color w:val="auto"/>
          <w:sz w:val="21"/>
          <w:szCs w:val="21"/>
          <w:highlight w:val="none"/>
        </w:rPr>
        <w:t>四、投标文件的递交</w:t>
      </w:r>
      <w:bookmarkEnd w:id="107"/>
      <w:bookmarkEnd w:id="108"/>
      <w:bookmarkEnd w:id="109"/>
      <w:bookmarkEnd w:id="110"/>
    </w:p>
    <w:p w14:paraId="462B5A8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113" w:name="_Toc20823297"/>
      <w:bookmarkStart w:id="114" w:name="_Toc16938541"/>
      <w:bookmarkStart w:id="115" w:name="_Toc462564084"/>
      <w:bookmarkStart w:id="116" w:name="_Toc513029225"/>
      <w:r>
        <w:rPr>
          <w:rFonts w:hint="eastAsia" w:ascii="宋体" w:hAnsi="宋体" w:eastAsia="宋体" w:cs="宋体"/>
          <w:color w:val="auto"/>
          <w:sz w:val="21"/>
          <w:szCs w:val="21"/>
          <w:highlight w:val="none"/>
        </w:rPr>
        <w:t>18、电子投标文件</w:t>
      </w:r>
      <w:bookmarkEnd w:id="113"/>
      <w:bookmarkEnd w:id="114"/>
      <w:bookmarkEnd w:id="115"/>
      <w:bookmarkEnd w:id="116"/>
      <w:r>
        <w:rPr>
          <w:rFonts w:hint="eastAsia" w:ascii="宋体" w:hAnsi="宋体" w:eastAsia="宋体" w:cs="宋体"/>
          <w:color w:val="auto"/>
          <w:sz w:val="21"/>
          <w:szCs w:val="21"/>
          <w:highlight w:val="none"/>
        </w:rPr>
        <w:t>的递交</w:t>
      </w:r>
    </w:p>
    <w:p w14:paraId="71D0FF6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18.1投标人应当按照《操作手册》规定，在投标截止时间前制作并上传电子投标</w:t>
      </w:r>
    </w:p>
    <w:p w14:paraId="0DD88C77">
      <w:pPr>
        <w:pStyle w:val="11"/>
        <w:pageBreakBefore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文件。</w:t>
      </w:r>
      <w:bookmarkStart w:id="117" w:name="_Toc20823298"/>
      <w:bookmarkEnd w:id="117"/>
      <w:bookmarkStart w:id="118" w:name="_Toc16938542"/>
      <w:bookmarkEnd w:id="118"/>
      <w:bookmarkStart w:id="119" w:name="_Toc513029226"/>
    </w:p>
    <w:p w14:paraId="588F88B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rPr>
        <w:t>19</w:t>
      </w:r>
      <w:r>
        <w:rPr>
          <w:rFonts w:hint="eastAsia" w:ascii="宋体" w:hAnsi="宋体" w:eastAsia="宋体" w:cs="宋体"/>
          <w:color w:val="auto"/>
          <w:sz w:val="21"/>
          <w:szCs w:val="21"/>
          <w:highlight w:val="none"/>
        </w:rPr>
        <w:t>、投标截止日期</w:t>
      </w:r>
    </w:p>
    <w:p w14:paraId="6FB490A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i/>
          <w:color w:val="auto"/>
          <w:sz w:val="21"/>
          <w:szCs w:val="21"/>
          <w:highlight w:val="none"/>
          <w:u w:val="single"/>
        </w:rPr>
        <w:t>19.1投标人上传电子投标文件的时间不得迟于招标公告中规定的投标截止时间。</w:t>
      </w:r>
    </w:p>
    <w:p w14:paraId="6D4403A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投标人应充分考虑到网络环境、网络带宽等风险因素，如因投标人自身原因造成的电子投标文件上传不成功的按照本招标文件第二章第27.1.2条规定做无效投标处理。</w:t>
      </w:r>
    </w:p>
    <w:p w14:paraId="110EB61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rPr>
        <w:t>1</w:t>
      </w:r>
      <w:r>
        <w:rPr>
          <w:rFonts w:hint="eastAsia" w:ascii="宋体" w:hAnsi="宋体" w:eastAsia="宋体" w:cs="宋体"/>
          <w:color w:val="auto"/>
          <w:sz w:val="21"/>
          <w:szCs w:val="21"/>
          <w:highlight w:val="none"/>
        </w:rPr>
        <w:t>9.2</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可以按照规定，通过修改招标文件酌情延长投标截止日期，在此情况下，投标人的所有权利和义务以及投标人受制的截止日期均应以延长后新的截止日期为准。</w:t>
      </w:r>
    </w:p>
    <w:p w14:paraId="7990164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120" w:name="_Toc16938543"/>
      <w:bookmarkStart w:id="121" w:name="_Toc20823299"/>
      <w:bookmarkStart w:id="122" w:name="_Toc513029227"/>
      <w:r>
        <w:rPr>
          <w:rFonts w:hint="eastAsia" w:ascii="宋体" w:hAnsi="宋体" w:eastAsia="宋体" w:cs="宋体"/>
          <w:color w:val="auto"/>
          <w:sz w:val="21"/>
          <w:szCs w:val="21"/>
          <w:highlight w:val="none"/>
        </w:rPr>
        <w:t>20、投标文件</w:t>
      </w:r>
      <w:bookmarkEnd w:id="120"/>
      <w:bookmarkEnd w:id="121"/>
      <w:bookmarkEnd w:id="122"/>
      <w:r>
        <w:rPr>
          <w:rFonts w:hint="eastAsia" w:ascii="宋体" w:hAnsi="宋体" w:eastAsia="宋体" w:cs="宋体"/>
          <w:color w:val="auto"/>
          <w:sz w:val="21"/>
          <w:szCs w:val="21"/>
          <w:highlight w:val="none"/>
        </w:rPr>
        <w:t>的拒收</w:t>
      </w:r>
    </w:p>
    <w:p w14:paraId="6254CB7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拒绝接收在其规定的投标截止时间后上传的任何投标文件。</w:t>
      </w:r>
    </w:p>
    <w:p w14:paraId="53D3CA1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123" w:name="_Toc20823300"/>
      <w:bookmarkStart w:id="124" w:name="_Toc513029228"/>
      <w:bookmarkStart w:id="125" w:name="_Toc16938544"/>
      <w:r>
        <w:rPr>
          <w:rFonts w:hint="eastAsia" w:ascii="宋体" w:hAnsi="宋体" w:eastAsia="宋体" w:cs="宋体"/>
          <w:color w:val="auto"/>
          <w:sz w:val="21"/>
          <w:szCs w:val="21"/>
          <w:highlight w:val="none"/>
        </w:rPr>
        <w:t>21、投标文件的撤回和修改</w:t>
      </w:r>
      <w:bookmarkEnd w:id="123"/>
      <w:bookmarkEnd w:id="124"/>
      <w:bookmarkEnd w:id="125"/>
    </w:p>
    <w:p w14:paraId="71BB8C9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21.1投标文件的撤回</w:t>
      </w:r>
    </w:p>
    <w:p w14:paraId="3D58AE5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21.1.1电子投标文件的撤回</w:t>
      </w:r>
    </w:p>
    <w:p w14:paraId="6F98166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投标人可在投标截止时间前，撤回其电子投标文件，具体操作方法见《操作手册》。</w:t>
      </w:r>
    </w:p>
    <w:p w14:paraId="1679878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21.1.2投标人撤回电子投标文件，则认为其不再参与本项目投标活动。</w:t>
      </w:r>
    </w:p>
    <w:p w14:paraId="2E4ED80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21.2投标文件的修改</w:t>
      </w:r>
    </w:p>
    <w:p w14:paraId="3B657B6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21.2.1投标人可在投标截止时间前，对其电子投标文件进行修改，具体操作方法见《操作手册》。</w:t>
      </w:r>
    </w:p>
    <w:p w14:paraId="7B1A054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21.2.2在投标截止时间之后，投标人不得对其电子投标文件作任何修改。</w:t>
      </w:r>
    </w:p>
    <w:p w14:paraId="1B11C30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21.3在投标截止时间至招标文件中规定的投标有效期满之间的这段时间内，投标人不得撤回其投标。</w:t>
      </w:r>
    </w:p>
    <w:p w14:paraId="52B22EC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126" w:name="_Toc513029229"/>
      <w:bookmarkStart w:id="127" w:name="_Toc20823301"/>
      <w:bookmarkStart w:id="128" w:name="_Toc120614218"/>
      <w:bookmarkStart w:id="129" w:name="_Toc16938545"/>
      <w:r>
        <w:rPr>
          <w:rFonts w:hint="eastAsia" w:ascii="宋体" w:hAnsi="宋体" w:eastAsia="宋体" w:cs="宋体"/>
          <w:b/>
          <w:color w:val="auto"/>
          <w:sz w:val="21"/>
          <w:szCs w:val="21"/>
          <w:highlight w:val="none"/>
        </w:rPr>
        <w:t>五、开标与评标</w:t>
      </w:r>
      <w:bookmarkEnd w:id="126"/>
      <w:bookmarkEnd w:id="127"/>
      <w:bookmarkEnd w:id="128"/>
      <w:bookmarkEnd w:id="129"/>
    </w:p>
    <w:p w14:paraId="522446D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130" w:name="_Toc20823302"/>
      <w:bookmarkStart w:id="131" w:name="_Toc16938546"/>
      <w:bookmarkStart w:id="132" w:name="_Toc513029230"/>
      <w:r>
        <w:rPr>
          <w:rFonts w:hint="eastAsia" w:ascii="宋体" w:hAnsi="宋体" w:eastAsia="宋体" w:cs="宋体"/>
          <w:color w:val="auto"/>
          <w:sz w:val="21"/>
          <w:szCs w:val="21"/>
          <w:highlight w:val="none"/>
        </w:rPr>
        <w:t>22、开标</w:t>
      </w:r>
      <w:bookmarkEnd w:id="130"/>
      <w:bookmarkEnd w:id="131"/>
      <w:bookmarkEnd w:id="132"/>
    </w:p>
    <w:p w14:paraId="09B53F5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将在招标公告中规定的时间和地点组织公开开标。投标人应当按照《操作手册》规定，参加开标活动和在苏采云系统规定的时间内对投标文件进行解密。</w:t>
      </w:r>
    </w:p>
    <w:p w14:paraId="6F1FA8C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22.2开标仪式由</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组织。苏采云系统将自动对项目进行开标，并宣布各投标人名称和投标价格。</w:t>
      </w:r>
    </w:p>
    <w:p w14:paraId="57469D8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22.3投标人在开标过程中涉及到的投标文件解密、开标结果确认等工作，应按照《操作手册》规定执行。</w:t>
      </w:r>
    </w:p>
    <w:p w14:paraId="37C541B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22.4投标人如果对开标过程和开标记录有疑义，应当根据《操作手册》规定提出，如 苏采云系统中《开标记录表》宣布后5分钟内未提出的，视同认可开标结果。</w:t>
      </w:r>
    </w:p>
    <w:p w14:paraId="58E1EAF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133" w:name="_Toc513029231"/>
      <w:bookmarkStart w:id="134" w:name="_Toc20823303"/>
      <w:bookmarkStart w:id="135" w:name="_Toc16938547"/>
      <w:r>
        <w:rPr>
          <w:rFonts w:hint="eastAsia" w:ascii="宋体" w:hAnsi="宋体" w:eastAsia="宋体" w:cs="宋体"/>
          <w:color w:val="auto"/>
          <w:sz w:val="21"/>
          <w:szCs w:val="21"/>
          <w:highlight w:val="none"/>
        </w:rPr>
        <w:t>23、评标委员会</w:t>
      </w:r>
      <w:bookmarkEnd w:id="133"/>
      <w:bookmarkEnd w:id="134"/>
      <w:bookmarkEnd w:id="135"/>
    </w:p>
    <w:p w14:paraId="3A81DF0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23.1开标后，</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将立即组织评标委员会（以下简称评委会）进行评标。</w:t>
      </w:r>
    </w:p>
    <w:p w14:paraId="28485BD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23.2评委会由采购人代表和有关技术、经济等方面的专家组成，且人员构成符合政府采购有关规定。</w:t>
      </w:r>
    </w:p>
    <w:p w14:paraId="51E2D4E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23.3评委会独立工作，负责评审所有投标文件并确定中标</w:t>
      </w:r>
      <w:r>
        <w:rPr>
          <w:rFonts w:hint="eastAsia" w:ascii="宋体" w:hAnsi="宋体" w:eastAsia="宋体" w:cs="宋体"/>
          <w:color w:val="auto"/>
          <w:sz w:val="21"/>
          <w:szCs w:val="21"/>
          <w:highlight w:val="none"/>
          <w:lang w:eastAsia="zh-CN"/>
        </w:rPr>
        <w:t>候选人</w:t>
      </w:r>
      <w:r>
        <w:rPr>
          <w:rFonts w:hint="eastAsia" w:ascii="宋体" w:hAnsi="宋体" w:eastAsia="宋体" w:cs="宋体"/>
          <w:color w:val="auto"/>
          <w:sz w:val="21"/>
          <w:szCs w:val="21"/>
          <w:highlight w:val="none"/>
        </w:rPr>
        <w:t>。</w:t>
      </w:r>
    </w:p>
    <w:p w14:paraId="2A3F73E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24．评标过程的保密与公正</w:t>
      </w:r>
    </w:p>
    <w:p w14:paraId="69AB217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24.1凡是与审查、澄清、评价和比较投标的有关资料以及授标建议等，采购人、评委、</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均不得向投标人或与评标无关的其他人员透露。</w:t>
      </w:r>
    </w:p>
    <w:p w14:paraId="4C3B448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24.2在评标过程中，投标人不得以任何行为影响评标过程，否则其投标文件将被作为无效投标文件。</w:t>
      </w:r>
    </w:p>
    <w:p w14:paraId="36CEA84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和评标委员会不向未中标的投标人解释未中标原因，也不公布评标过程中的相关细节。</w:t>
      </w:r>
    </w:p>
    <w:p w14:paraId="6B88B0A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24.4采用综合评分法的项目，未中标的投标人可于中标结果公告期限届满之日起通过苏采云系统查看自己的评审得分及排序情况。</w:t>
      </w:r>
    </w:p>
    <w:p w14:paraId="7A360E3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136" w:name="_Toc20823304"/>
      <w:bookmarkStart w:id="137" w:name="_Toc513029232"/>
      <w:bookmarkStart w:id="138" w:name="_Toc16938548"/>
      <w:r>
        <w:rPr>
          <w:rFonts w:hint="eastAsia" w:ascii="宋体" w:hAnsi="宋体" w:eastAsia="宋体" w:cs="宋体"/>
          <w:color w:val="auto"/>
          <w:sz w:val="21"/>
          <w:szCs w:val="21"/>
          <w:highlight w:val="none"/>
        </w:rPr>
        <w:t>25．投标文件的澄清</w:t>
      </w:r>
      <w:bookmarkEnd w:id="136"/>
      <w:bookmarkEnd w:id="137"/>
      <w:bookmarkEnd w:id="138"/>
    </w:p>
    <w:p w14:paraId="518FE99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139" w:name="_Toc20823305"/>
      <w:bookmarkStart w:id="140" w:name="_Toc513029233"/>
      <w:bookmarkStart w:id="141" w:name="_Toc16938549"/>
      <w:r>
        <w:rPr>
          <w:rFonts w:hint="eastAsia" w:ascii="宋体" w:hAnsi="宋体" w:eastAsia="宋体" w:cs="宋体"/>
          <w:color w:val="auto"/>
          <w:sz w:val="21"/>
          <w:szCs w:val="21"/>
          <w:highlight w:val="none"/>
        </w:rPr>
        <w:t>25.1评标期间，评委会对投标文件中含义不明确、同类问题表述不一致或者有明显文字和计算错误的内容 ，有权要求投标人作出必要的澄清、说明或者补正。</w:t>
      </w:r>
      <w:bookmarkEnd w:id="139"/>
      <w:bookmarkEnd w:id="140"/>
      <w:bookmarkEnd w:id="141"/>
    </w:p>
    <w:p w14:paraId="4251E80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投标人的澄清、说明或者补正不得超出投标文件的范围或者改变投标文件的实质性内容。</w:t>
      </w:r>
    </w:p>
    <w:p w14:paraId="6897B71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评标委员会并非对每个投标人都做澄清要求。</w:t>
      </w:r>
    </w:p>
    <w:p w14:paraId="4C8A077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98575E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25.3接到评委会澄清、说明和补正要求的投标人如未按规定</w:t>
      </w:r>
      <w:r>
        <w:rPr>
          <w:rFonts w:hint="eastAsia" w:ascii="宋体" w:hAnsi="宋体" w:eastAsia="宋体" w:cs="宋体"/>
          <w:color w:val="auto"/>
          <w:sz w:val="21"/>
          <w:szCs w:val="21"/>
          <w:highlight w:val="none"/>
          <w:lang w:val="en-US" w:eastAsia="zh-CN"/>
        </w:rPr>
        <w:t>作</w:t>
      </w:r>
      <w:r>
        <w:rPr>
          <w:rFonts w:hint="eastAsia" w:ascii="宋体" w:hAnsi="宋体" w:eastAsia="宋体" w:cs="宋体"/>
          <w:color w:val="auto"/>
          <w:sz w:val="21"/>
          <w:szCs w:val="21"/>
          <w:highlight w:val="none"/>
        </w:rPr>
        <w:t>出澄清、说明和补正，其风险由投标人自行承担。</w:t>
      </w:r>
    </w:p>
    <w:p w14:paraId="1912575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26、对投标文件的初审</w:t>
      </w:r>
    </w:p>
    <w:p w14:paraId="50075BA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26.1投标文件初审分为资格审查和符合性审查。</w:t>
      </w:r>
    </w:p>
    <w:p w14:paraId="56905E9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26.1.1资格审查：依据法律法规和招标文件的规定，由采购人对投标文件中的资格证明文件进行审查。资格审查的结论，采购人以书面形式向评委会进行反馈。</w:t>
      </w:r>
    </w:p>
    <w:p w14:paraId="45C4FFC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采购人在进行资格性审查的同时，将在“信用中国”网站（www.creditchina.gov.cn）查询投标人的信用记录，以确定投标人是否具备投标资格,查询结果留存并归档。</w:t>
      </w:r>
    </w:p>
    <w:p w14:paraId="71BC36B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1210654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26.1.2符合性审查：依据招标文件的规定，由评委会从投标文件的有效性、完整性和对招标文件的响应程度进行审查，以确定是否对招标文件的实质性要求作出响应。</w:t>
      </w:r>
    </w:p>
    <w:p w14:paraId="7AF371D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26.1.3未通过资格审查或符合性审查的投标人，</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将在苏采云系统中告知未通过资格审查或符合性审查的原因，评审结束后，</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将不再告知未通过资格审查或符合性审查的原因。</w:t>
      </w:r>
    </w:p>
    <w:p w14:paraId="2CBF45E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51EB3CA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7EF486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26.3如果投标文件实质上没有响应招标文件的要求，评委会将予以拒绝，投标人不得通过修改或撤销不</w:t>
      </w:r>
      <w:r>
        <w:rPr>
          <w:rFonts w:hint="eastAsia" w:ascii="宋体" w:hAnsi="宋体" w:eastAsia="宋体" w:cs="宋体"/>
          <w:color w:val="auto"/>
          <w:sz w:val="21"/>
          <w:szCs w:val="21"/>
          <w:highlight w:val="none"/>
          <w:lang w:val="en-US" w:eastAsia="zh-CN"/>
        </w:rPr>
        <w:t>符</w:t>
      </w:r>
      <w:r>
        <w:rPr>
          <w:rFonts w:hint="eastAsia" w:ascii="宋体" w:hAnsi="宋体" w:eastAsia="宋体" w:cs="宋体"/>
          <w:color w:val="auto"/>
          <w:sz w:val="21"/>
          <w:szCs w:val="21"/>
          <w:highlight w:val="none"/>
        </w:rPr>
        <w:t>合要求的偏离或保留而使其投标成为实质性响应的投标。</w:t>
      </w:r>
    </w:p>
    <w:p w14:paraId="251CC29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26.4评委会将对确定为实质性响应的投标进行进一步审核，看其是否有计算上或累加上的算术错误，修正错误的原则如下：</w:t>
      </w:r>
    </w:p>
    <w:p w14:paraId="6279A7D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（1）投标文件中开标一览表内容与投标文件中相应内容不一致的，以开标一览表为准。</w:t>
      </w:r>
    </w:p>
    <w:p w14:paraId="43D05FD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（2）大写金额和小写金额不一致的，以大写金额为准。</w:t>
      </w:r>
    </w:p>
    <w:p w14:paraId="0FF8128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（3）单价金额小数点或者百分比有明显错位的，以开标一览表的总价为准，并修改单价。</w:t>
      </w:r>
    </w:p>
    <w:p w14:paraId="3C281CA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（4）总价金额与按单价汇总金额不一致的，以单价金额计算结果为准。</w:t>
      </w:r>
    </w:p>
    <w:p w14:paraId="2B33B4A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同时出现两种以上错误的，按照前款规定的顺序修正。</w:t>
      </w:r>
    </w:p>
    <w:p w14:paraId="376C0D6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6B1D8CB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142" w:name="_Toc16938550"/>
      <w:bookmarkStart w:id="143" w:name="_Toc513029234"/>
      <w:bookmarkStart w:id="144" w:name="_Toc20823306"/>
      <w:r>
        <w:rPr>
          <w:rFonts w:hint="eastAsia" w:ascii="宋体" w:hAnsi="宋体" w:eastAsia="宋体" w:cs="宋体"/>
          <w:color w:val="auto"/>
          <w:sz w:val="21"/>
          <w:szCs w:val="21"/>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bookmarkEnd w:id="143"/>
      <w:bookmarkEnd w:id="144"/>
    </w:p>
    <w:p w14:paraId="456BE54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6123D0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非单一产品采购项目，招标文件中将载明其中的核心产品。多家投标人提供的核心产品品牌相同的，按前两款规定处理。</w:t>
      </w:r>
    </w:p>
    <w:p w14:paraId="695D4A0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26.7投标人在开、评标全过程中应</w:t>
      </w:r>
      <w:r>
        <w:rPr>
          <w:rFonts w:hint="eastAsia" w:ascii="宋体" w:hAnsi="宋体" w:eastAsia="宋体" w:cs="宋体"/>
          <w:color w:val="auto"/>
          <w:sz w:val="21"/>
          <w:szCs w:val="21"/>
          <w:highlight w:val="none"/>
          <w:lang w:eastAsia="zh-CN"/>
        </w:rPr>
        <w:t>保持通信畅通</w:t>
      </w:r>
      <w:r>
        <w:rPr>
          <w:rFonts w:hint="eastAsia" w:ascii="宋体" w:hAnsi="宋体" w:eastAsia="宋体" w:cs="宋体"/>
          <w:color w:val="auto"/>
          <w:sz w:val="21"/>
          <w:szCs w:val="21"/>
          <w:highlight w:val="none"/>
        </w:rPr>
        <w:t>，及时登录苏采云系统查阅、答复相关信息，并安排专人与</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及评标委员会联系。</w:t>
      </w:r>
    </w:p>
    <w:p w14:paraId="6258925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27、无效投标条款和废标条款</w:t>
      </w:r>
    </w:p>
    <w:p w14:paraId="6F72D55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145" w:name="_Toc513029235"/>
      <w:bookmarkStart w:id="146" w:name="_Toc20823307"/>
      <w:bookmarkStart w:id="147" w:name="_Toc16938551"/>
      <w:r>
        <w:rPr>
          <w:rFonts w:hint="eastAsia" w:ascii="宋体" w:hAnsi="宋体" w:eastAsia="宋体" w:cs="宋体"/>
          <w:color w:val="auto"/>
          <w:sz w:val="21"/>
          <w:szCs w:val="21"/>
          <w:highlight w:val="none"/>
        </w:rPr>
        <w:t>27.1无效投标条款</w:t>
      </w:r>
      <w:bookmarkEnd w:id="145"/>
      <w:bookmarkEnd w:id="146"/>
      <w:bookmarkEnd w:id="147"/>
    </w:p>
    <w:p w14:paraId="199C480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27.1.1 投标人在苏采云系统规定的时间内未成功解密电子投标文件的。</w:t>
      </w:r>
    </w:p>
    <w:p w14:paraId="1EC94C0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27.1.2 投标人未按照招标文件要求上传电子投标文件的。</w:t>
      </w:r>
    </w:p>
    <w:p w14:paraId="51A8645C">
      <w:pPr>
        <w:pStyle w:val="11"/>
        <w:pageBreakBefore w:val="0"/>
        <w:kinsoku/>
        <w:wordWrap/>
        <w:overflowPunct/>
        <w:topLinePunct w:val="0"/>
        <w:autoSpaceDE/>
        <w:autoSpaceDN/>
        <w:bidi w:val="0"/>
        <w:adjustRightInd/>
        <w:snapToGrid/>
        <w:spacing w:beforeAutospacing="0" w:afterAutospacing="0" w:line="360" w:lineRule="auto"/>
        <w:ind w:left="479"/>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27.1.3同一投标人提交两个（含两个）以上不同的投标报价的。</w:t>
      </w:r>
    </w:p>
    <w:p w14:paraId="50627D9E">
      <w:pPr>
        <w:pStyle w:val="11"/>
        <w:pageBreakBefore w:val="0"/>
        <w:kinsoku/>
        <w:wordWrap/>
        <w:overflowPunct/>
        <w:topLinePunct w:val="0"/>
        <w:autoSpaceDE/>
        <w:autoSpaceDN/>
        <w:bidi w:val="0"/>
        <w:adjustRightInd/>
        <w:snapToGrid/>
        <w:spacing w:beforeAutospacing="0" w:afterAutospacing="0" w:line="360" w:lineRule="auto"/>
        <w:ind w:left="479"/>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27.1.4投标人不具备招标文件中规定资格要求的。</w:t>
      </w:r>
    </w:p>
    <w:p w14:paraId="6818F18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27.1.5投标人的报价超过了采购预算或最高限价的。</w:t>
      </w:r>
    </w:p>
    <w:p w14:paraId="3098655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27.1.6未通过符合性审查的。</w:t>
      </w:r>
    </w:p>
    <w:p w14:paraId="4CB47D8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27.1.7不符合招标文件中规定的实质性要求和条件的（</w:t>
      </w:r>
      <w:r>
        <w:rPr>
          <w:rFonts w:hint="eastAsia" w:ascii="宋体" w:hAnsi="宋体" w:eastAsia="宋体" w:cs="宋体"/>
          <w:i/>
          <w:color w:val="auto"/>
          <w:sz w:val="21"/>
          <w:szCs w:val="21"/>
          <w:highlight w:val="none"/>
          <w:u w:val="single"/>
        </w:rPr>
        <w:t>本招标文件中斜体且有下划线部分为实质性要求和条件）。</w:t>
      </w:r>
    </w:p>
    <w:p w14:paraId="347ECC0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7C93C1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27.1.9投标文件含有采购人不能接受的附加条件的。</w:t>
      </w:r>
    </w:p>
    <w:p w14:paraId="30278C4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.1.10投标人不能证明其报价合理性的，评</w:t>
      </w:r>
      <w:r>
        <w:rPr>
          <w:rFonts w:hint="eastAsia" w:ascii="宋体" w:hAnsi="宋体" w:eastAsia="宋体" w:cs="宋体"/>
          <w:color w:val="auto"/>
          <w:sz w:val="21"/>
          <w:szCs w:val="21"/>
          <w:highlight w:val="none"/>
          <w:lang w:val="en-US" w:eastAsia="zh-CN"/>
        </w:rPr>
        <w:t>标</w:t>
      </w:r>
      <w:r>
        <w:rPr>
          <w:rFonts w:hint="eastAsia" w:ascii="宋体" w:hAnsi="宋体" w:eastAsia="宋体" w:cs="宋体"/>
          <w:color w:val="auto"/>
          <w:sz w:val="21"/>
          <w:szCs w:val="21"/>
          <w:highlight w:val="none"/>
        </w:rPr>
        <w:t>委员会应当将其作为无效投标处理。</w:t>
      </w:r>
    </w:p>
    <w:p w14:paraId="6F27A04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（一）评审过程中出现下列情形之一的，评标委员会应当启动异常低价投标审查程序：</w:t>
      </w:r>
    </w:p>
    <w:p w14:paraId="029D404A">
      <w:pPr>
        <w:pStyle w:val="11"/>
        <w:pageBreakBefore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1.投标（响应）报价低于全部通过符合性审查供应商投标（响应）报价平均值65%的，即投标（响应）报价&lt;全部通过符合性审查供应商投标（响应）报价平均值×65%；</w:t>
      </w:r>
    </w:p>
    <w:p w14:paraId="191012DE">
      <w:pPr>
        <w:pStyle w:val="11"/>
        <w:pageBreakBefore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2.投标（响应）报价低于通过符合性审查的次低报价供应商投标（响应）报价65%的，即投标（响应）报价&lt;通过符合性审查的次低报价供应商投标（响应）报价×65%；</w:t>
      </w:r>
    </w:p>
    <w:p w14:paraId="08E26264">
      <w:pPr>
        <w:pStyle w:val="11"/>
        <w:pageBreakBefore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3.投标（响应）报价低于采购项目最高限价60%的，即投标（响应）报价&lt;采购项目最高限价×60%；</w:t>
      </w:r>
    </w:p>
    <w:p w14:paraId="4BE739D2">
      <w:pPr>
        <w:pStyle w:val="11"/>
        <w:pageBreakBefore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b/>
          <w:bCs/>
          <w:color w:val="auto"/>
          <w:sz w:val="21"/>
          <w:szCs w:val="21"/>
          <w:highlight w:val="none"/>
          <w:lang w:val="en-US" w:eastAsia="zh-CN" w:bidi="ar-SA"/>
        </w:rPr>
        <w:t>4.评审委员会基于专业判断，认为供应商报价过低，有可能影响产品质量或者不能诚信履约的其他情形。</w:t>
      </w:r>
    </w:p>
    <w:p w14:paraId="6E14DBF3">
      <w:pPr>
        <w:pStyle w:val="11"/>
        <w:pageBreakBefore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相关法律法规对供应商报价有规定的，从其规定。</w:t>
      </w:r>
    </w:p>
    <w:p w14:paraId="209516AE">
      <w:pPr>
        <w:pStyle w:val="11"/>
        <w:pageBreakBefore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11"/>
        <w:pageBreakBefore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11"/>
        <w:pageBreakBefore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1031C18">
      <w:pPr>
        <w:pStyle w:val="11"/>
        <w:pageBreakBefore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9E548C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27.1.11本项目采购产品被财政部、</w:t>
      </w:r>
      <w:r>
        <w:rPr>
          <w:rFonts w:hint="eastAsia" w:ascii="宋体" w:hAnsi="宋体" w:eastAsia="宋体" w:cs="宋体"/>
          <w:color w:val="auto"/>
          <w:sz w:val="21"/>
          <w:szCs w:val="21"/>
          <w:highlight w:val="none"/>
          <w:lang w:eastAsia="zh-CN"/>
        </w:rPr>
        <w:t>国家发展改革委</w:t>
      </w:r>
      <w:r>
        <w:rPr>
          <w:rFonts w:hint="eastAsia" w:ascii="宋体" w:hAnsi="宋体" w:eastAsia="宋体" w:cs="宋体"/>
          <w:color w:val="auto"/>
          <w:sz w:val="21"/>
          <w:szCs w:val="21"/>
          <w:highlight w:val="none"/>
        </w:rPr>
        <w:t>、生态环境部等列入“节能产品品目清单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88A343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27.1.12投标文件未按照招标文件要求加盖CA电子公章的。</w:t>
      </w:r>
    </w:p>
    <w:p w14:paraId="69A8EFF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27.1.13其他法律、法规及本招标文件规定的属无效投标的情形。</w:t>
      </w:r>
    </w:p>
    <w:p w14:paraId="007CE7C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27.2废标条款</w:t>
      </w:r>
    </w:p>
    <w:p w14:paraId="624DEA7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27.2.1符合专业条件的供应商或者对招标文件作实质响应的供应商不足三家的。27.2.2出现影响采购公正的违法、违规行为的。</w:t>
      </w:r>
    </w:p>
    <w:p w14:paraId="2E50E73F">
      <w:pPr>
        <w:pStyle w:val="11"/>
        <w:pageBreakBefore w:val="0"/>
        <w:kinsoku/>
        <w:wordWrap/>
        <w:overflowPunct/>
        <w:topLinePunct w:val="0"/>
        <w:autoSpaceDE/>
        <w:autoSpaceDN/>
        <w:bidi w:val="0"/>
        <w:adjustRightInd/>
        <w:snapToGrid/>
        <w:spacing w:beforeAutospacing="0" w:afterAutospacing="0" w:line="360" w:lineRule="auto"/>
        <w:ind w:left="479"/>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27.2.3因重大变故，采购任务取消的。</w:t>
      </w:r>
    </w:p>
    <w:p w14:paraId="37387DC1">
      <w:pPr>
        <w:pStyle w:val="11"/>
        <w:pageBreakBefore w:val="0"/>
        <w:kinsoku/>
        <w:wordWrap/>
        <w:overflowPunct/>
        <w:topLinePunct w:val="0"/>
        <w:autoSpaceDE/>
        <w:autoSpaceDN/>
        <w:bidi w:val="0"/>
        <w:adjustRightInd/>
        <w:snapToGrid/>
        <w:spacing w:beforeAutospacing="0" w:afterAutospacing="0" w:line="360" w:lineRule="auto"/>
        <w:ind w:left="479"/>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27.2.4评标委员会认定招标文件存在歧义、重大缺陷导致评审工作无法进行。</w:t>
      </w:r>
    </w:p>
    <w:p w14:paraId="604228ED">
      <w:pPr>
        <w:pStyle w:val="11"/>
        <w:pageBreakBefore w:val="0"/>
        <w:kinsoku/>
        <w:wordWrap/>
        <w:overflowPunct/>
        <w:topLinePunct w:val="0"/>
        <w:autoSpaceDE/>
        <w:autoSpaceDN/>
        <w:bidi w:val="0"/>
        <w:adjustRightInd/>
        <w:snapToGrid/>
        <w:spacing w:beforeAutospacing="0" w:afterAutospacing="0" w:line="360" w:lineRule="auto"/>
        <w:ind w:left="479"/>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27.2.5因苏采云</w:t>
      </w:r>
      <w:r>
        <w:rPr>
          <w:rFonts w:hint="eastAsia" w:ascii="宋体" w:hAnsi="宋体" w:eastAsia="宋体" w:cs="宋体"/>
          <w:color w:val="auto"/>
          <w:sz w:val="21"/>
          <w:szCs w:val="21"/>
          <w:highlight w:val="none"/>
          <w:lang w:eastAsia="zh-CN"/>
        </w:rPr>
        <w:t>系统故障</w:t>
      </w:r>
      <w:r>
        <w:rPr>
          <w:rFonts w:hint="eastAsia" w:ascii="宋体" w:hAnsi="宋体" w:eastAsia="宋体" w:cs="宋体"/>
          <w:color w:val="auto"/>
          <w:sz w:val="21"/>
          <w:szCs w:val="21"/>
          <w:highlight w:val="none"/>
        </w:rPr>
        <w:t>原因造成开标不成功的。</w:t>
      </w:r>
    </w:p>
    <w:p w14:paraId="2AFF2B5B">
      <w:pPr>
        <w:pStyle w:val="11"/>
        <w:pageBreakBefore w:val="0"/>
        <w:kinsoku/>
        <w:wordWrap/>
        <w:overflowPunct/>
        <w:topLinePunct w:val="0"/>
        <w:autoSpaceDE/>
        <w:autoSpaceDN/>
        <w:bidi w:val="0"/>
        <w:adjustRightInd/>
        <w:snapToGrid/>
        <w:spacing w:beforeAutospacing="0" w:afterAutospacing="0" w:line="360" w:lineRule="auto"/>
        <w:ind w:left="479"/>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27.3投标截止时间结束后参加投标的供应商不足三家的处理：</w:t>
      </w:r>
    </w:p>
    <w:p w14:paraId="4AAF87C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27.3.1如出现投标截止时间结束后参加投标的供应商或者在评标期间对招标文件做出实质响应的供应商不足三家情况，按政府采购相关规定执行。</w:t>
      </w:r>
    </w:p>
    <w:p w14:paraId="13BE58D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148" w:name="_Toc120614219"/>
      <w:r>
        <w:rPr>
          <w:rFonts w:hint="eastAsia" w:ascii="宋体" w:hAnsi="宋体" w:eastAsia="宋体" w:cs="宋体"/>
          <w:b/>
          <w:color w:val="auto"/>
          <w:sz w:val="21"/>
          <w:szCs w:val="21"/>
          <w:highlight w:val="none"/>
        </w:rPr>
        <w:t>六、定标</w:t>
      </w:r>
      <w:bookmarkEnd w:id="148"/>
    </w:p>
    <w:p w14:paraId="6CF15D8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149" w:name="_Toc20823310"/>
      <w:bookmarkStart w:id="150" w:name="_Toc16938554"/>
      <w:bookmarkStart w:id="151" w:name="_Toc513029238"/>
      <w:r>
        <w:rPr>
          <w:rFonts w:hint="eastAsia" w:ascii="宋体" w:hAnsi="宋体" w:eastAsia="宋体" w:cs="宋体"/>
          <w:color w:val="auto"/>
          <w:sz w:val="21"/>
          <w:szCs w:val="21"/>
          <w:highlight w:val="none"/>
        </w:rPr>
        <w:t>28、</w:t>
      </w:r>
      <w:bookmarkEnd w:id="149"/>
      <w:r>
        <w:rPr>
          <w:rFonts w:hint="eastAsia" w:ascii="宋体" w:hAnsi="宋体" w:eastAsia="宋体" w:cs="宋体"/>
          <w:color w:val="auto"/>
          <w:sz w:val="21"/>
          <w:szCs w:val="21"/>
          <w:highlight w:val="none"/>
        </w:rPr>
        <w:t>确定</w:t>
      </w:r>
      <w:bookmarkEnd w:id="150"/>
      <w:bookmarkEnd w:id="151"/>
      <w:r>
        <w:rPr>
          <w:rFonts w:hint="eastAsia" w:ascii="宋体" w:hAnsi="宋体" w:eastAsia="宋体" w:cs="宋体"/>
          <w:color w:val="auto"/>
          <w:sz w:val="21"/>
          <w:szCs w:val="21"/>
          <w:highlight w:val="none"/>
        </w:rPr>
        <w:t>中标单位</w:t>
      </w:r>
    </w:p>
    <w:p w14:paraId="5EB7BA6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28.1中标候选人的选取原则和数量见招标文件第五章规定。 </w:t>
      </w:r>
    </w:p>
    <w:p w14:paraId="2BE6DD4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28.2采购人应根据评委会推荐的中标候选人确定中标人。</w:t>
      </w:r>
    </w:p>
    <w:p w14:paraId="3D004C7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28.3</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将在</w:t>
      </w:r>
      <w:r>
        <w:rPr>
          <w:rFonts w:hint="eastAsia" w:ascii="宋体" w:hAnsi="宋体" w:eastAsia="宋体" w:cs="宋体"/>
          <w:color w:val="auto"/>
          <w:kern w:val="0"/>
          <w:sz w:val="21"/>
          <w:szCs w:val="21"/>
          <w:highlight w:val="none"/>
          <w:lang w:val="en-US" w:eastAsia="zh-CN" w:bidi="ar-SA"/>
        </w:rPr>
        <w:t>中国政府采购网”“</w:t>
      </w:r>
      <w:r>
        <w:rPr>
          <w:rFonts w:hint="eastAsia" w:ascii="宋体" w:hAnsi="宋体" w:eastAsia="宋体" w:cs="宋体"/>
          <w:color w:val="auto"/>
          <w:sz w:val="21"/>
          <w:szCs w:val="21"/>
          <w:highlight w:val="none"/>
        </w:rPr>
        <w:t>江苏政府采购网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盐城市政府采购网</w:t>
      </w:r>
      <w:r>
        <w:rPr>
          <w:rFonts w:hint="eastAsia" w:ascii="宋体" w:hAnsi="宋体" w:eastAsia="宋体" w:cs="宋体"/>
          <w:i w:val="0"/>
          <w:iCs w:val="0"/>
          <w:caps w:val="0"/>
          <w:color w:val="auto"/>
          <w:spacing w:val="0"/>
          <w:sz w:val="21"/>
          <w:szCs w:val="21"/>
          <w:highlight w:val="none"/>
          <w:shd w:val="clear" w:fill="FFFFFF"/>
          <w:lang w:val="en-US" w:eastAsia="zh-CN"/>
        </w:rPr>
        <w:t>”</w:t>
      </w:r>
      <w:r>
        <w:rPr>
          <w:rFonts w:hint="eastAsia" w:ascii="宋体" w:hAnsi="宋体" w:eastAsia="宋体" w:cs="宋体"/>
          <w:color w:val="auto"/>
          <w:sz w:val="21"/>
          <w:szCs w:val="21"/>
          <w:highlight w:val="none"/>
        </w:rPr>
        <w:t>发布中标公告，公告期限为1个工作日。</w:t>
      </w:r>
    </w:p>
    <w:p w14:paraId="386E0C9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w:t>
      </w:r>
      <w:r>
        <w:rPr>
          <w:rFonts w:hint="eastAsia" w:ascii="宋体" w:hAnsi="宋体" w:eastAsia="宋体" w:cs="宋体"/>
          <w:i w:val="0"/>
          <w:iCs w:val="0"/>
          <w:caps w:val="0"/>
          <w:color w:val="auto"/>
          <w:spacing w:val="0"/>
          <w:sz w:val="21"/>
          <w:szCs w:val="21"/>
          <w:highlight w:val="none"/>
          <w:shd w:val="clear" w:fill="FFFFFF"/>
        </w:rPr>
        <w:t>4</w:t>
      </w:r>
      <w:r>
        <w:rPr>
          <w:rFonts w:hint="eastAsia" w:ascii="宋体" w:hAnsi="宋体" w:eastAsia="宋体" w:cs="宋体"/>
          <w:color w:val="auto"/>
          <w:sz w:val="21"/>
          <w:szCs w:val="21"/>
          <w:highlight w:val="none"/>
        </w:rPr>
        <w:t>若有充分证据证明，中标人出现下列情况之一的，一经查实，将被取消中标资格：</w:t>
      </w:r>
    </w:p>
    <w:p w14:paraId="0BCD3E7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28.4.1提供虚假材料谋取中标的。</w:t>
      </w:r>
    </w:p>
    <w:p w14:paraId="13E8AC6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28.4.2向采购人、</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行贿或者提供其他不正当利益的。</w:t>
      </w:r>
    </w:p>
    <w:p w14:paraId="734172C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28.4.3属于本文件规定的无效条件，但在评标过程中又未被评委会发现的。</w:t>
      </w:r>
    </w:p>
    <w:p w14:paraId="2D18E97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28.4.4与采购人或者其他供应商恶意串通的。</w:t>
      </w:r>
    </w:p>
    <w:p w14:paraId="6B4A574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28.4.5采取不正当手段诋毁、排挤其他供应商的。</w:t>
      </w:r>
    </w:p>
    <w:p w14:paraId="3FFAA27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152" w:name="_Toc200451960"/>
      <w:r>
        <w:rPr>
          <w:rFonts w:hint="eastAsia" w:ascii="宋体" w:hAnsi="宋体" w:eastAsia="宋体" w:cs="宋体"/>
          <w:color w:val="auto"/>
          <w:sz w:val="21"/>
          <w:szCs w:val="21"/>
          <w:highlight w:val="none"/>
        </w:rPr>
        <w:t>28.5有下列情形之一的，视为投标人串通投标，投标无效：</w:t>
      </w:r>
      <w:bookmarkEnd w:id="152"/>
    </w:p>
    <w:p w14:paraId="17D0A97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28.5.1不同投标人的投标文件由同一单位或者个人编制；</w:t>
      </w:r>
    </w:p>
    <w:p w14:paraId="25879A9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28.5.2不同投标人委托同一单位或者个人办理投标事宜；</w:t>
      </w:r>
    </w:p>
    <w:p w14:paraId="35059A6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28.5.3不同投标人的投标文件载明的项目管理成员或者联系人员为同一人；</w:t>
      </w:r>
    </w:p>
    <w:p w14:paraId="16134A4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28.5.4不同投标人的投标文件异常一致或者投标报价呈规律性差异；</w:t>
      </w:r>
    </w:p>
    <w:p w14:paraId="72D577B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29、质疑处理</w:t>
      </w:r>
    </w:p>
    <w:p w14:paraId="59C4C9E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29.1提出质疑的供应商应当是参与所质疑项目采购活动的供应商。潜在供应商依法获取其可质疑的采购文件的，可以对采购文件提出质疑。</w:t>
      </w:r>
    </w:p>
    <w:p w14:paraId="5664335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或采购人提出质疑。上述应知其权益受到损害之日，是指：</w:t>
      </w:r>
    </w:p>
    <w:p w14:paraId="6450EBC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29.2.1对可以质疑的采购文件提出质疑的，为收到采购文件之日或者采购文件公告期限届满之日；</w:t>
      </w:r>
    </w:p>
    <w:p w14:paraId="3835AF5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29.2.2对采购过程提出质疑的，为各采购程序环节结束之日；</w:t>
      </w:r>
    </w:p>
    <w:p w14:paraId="2C6A5E0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29.2.3对中标或者成交结果提出质疑的，为中标或者成交结果公告期限届满之日。</w:t>
      </w:r>
    </w:p>
    <w:p w14:paraId="1C1F729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、采购人将只对供应商第一次质疑作出答复。</w:t>
      </w:r>
    </w:p>
    <w:p w14:paraId="5CF6537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47C9E77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提出，由</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负责答复。</w:t>
      </w:r>
    </w:p>
    <w:p w14:paraId="296C6A6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采购人及</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只接收以纸质原件形式送达的质疑,采购人和</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不接受未填写快递运单的快件。</w:t>
      </w:r>
    </w:p>
    <w:p w14:paraId="071C5D7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29.5以下情形的质疑不予受理</w:t>
      </w:r>
    </w:p>
    <w:p w14:paraId="7F914B5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29.5.1内容不符合《政府采购质疑和投诉办法》第十二条规定的质疑。</w:t>
      </w:r>
    </w:p>
    <w:p w14:paraId="5117AD5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29.5.2超出政府采购法定期限的质疑。</w:t>
      </w:r>
    </w:p>
    <w:p w14:paraId="2617837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29.5.3以传真、电子邮件等方式递交的非原件形式的质疑。</w:t>
      </w:r>
    </w:p>
    <w:p w14:paraId="276C3DD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29.5.4未参加投标活动的供应商或在投标活动中自身权益未受到损害的供应商所提出的质疑。</w:t>
      </w:r>
    </w:p>
    <w:p w14:paraId="295142B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29.5.5供应商组成联合体参加投标，联合体中任何一方或多方未按要求签字、盖章、加盖公章的质疑。</w:t>
      </w:r>
    </w:p>
    <w:p w14:paraId="0E6878F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有权依据政府采购的有关规定，报请政府采购监管部门对该供应商进行相应的行政处罚和记录该供应商的失信信息。</w:t>
      </w:r>
    </w:p>
    <w:p w14:paraId="0DF24AE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30、中标通知书</w:t>
      </w:r>
    </w:p>
    <w:p w14:paraId="4F0DFD4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30.l中标结果确定后，</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605D1C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30.2中标通知书将是合同的一个组成部分。对采购人和中标供应商均具有法律效力。中标通知书发出后，采购人改变中标结果的，或者中标供应商放弃中标项目的，应当依法承担法律责任。</w:t>
      </w:r>
    </w:p>
    <w:p w14:paraId="5ED6DDA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153" w:name="_Toc513029236"/>
      <w:bookmarkStart w:id="154" w:name="_Toc20823308"/>
      <w:bookmarkStart w:id="155" w:name="_Toc120614220"/>
      <w:bookmarkStart w:id="156" w:name="_Toc16938552"/>
      <w:r>
        <w:rPr>
          <w:rFonts w:hint="eastAsia" w:ascii="宋体" w:hAnsi="宋体" w:eastAsia="宋体" w:cs="宋体"/>
          <w:b/>
          <w:color w:val="auto"/>
          <w:sz w:val="21"/>
          <w:szCs w:val="21"/>
          <w:highlight w:val="none"/>
        </w:rPr>
        <w:t>七、授予合同</w:t>
      </w:r>
      <w:bookmarkEnd w:id="153"/>
      <w:bookmarkEnd w:id="154"/>
      <w:bookmarkEnd w:id="155"/>
      <w:bookmarkEnd w:id="156"/>
    </w:p>
    <w:p w14:paraId="3FD5376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bookmarkStart w:id="157" w:name="_Toc16938553"/>
      <w:bookmarkStart w:id="158" w:name="_Toc513029237"/>
      <w:bookmarkStart w:id="159" w:name="_Toc20823309"/>
      <w:r>
        <w:rPr>
          <w:rFonts w:hint="eastAsia" w:ascii="宋体" w:hAnsi="宋体" w:eastAsia="宋体" w:cs="宋体"/>
          <w:color w:val="auto"/>
          <w:sz w:val="21"/>
          <w:szCs w:val="21"/>
          <w:highlight w:val="none"/>
        </w:rPr>
        <w:t>31.签订合同</w:t>
      </w:r>
      <w:bookmarkEnd w:id="157"/>
      <w:bookmarkEnd w:id="158"/>
      <w:bookmarkEnd w:id="159"/>
    </w:p>
    <w:p w14:paraId="3B519A3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31.l中标人应当在中标通知书发出之日起三十日内，按照招标文件确定的事项与采购人签订政府采购合同。</w:t>
      </w:r>
    </w:p>
    <w:p w14:paraId="47C5C3E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31.2招标文件、中标人的投标文件及招标过程中有关澄清、承诺文件均应作为合同附件。</w:t>
      </w:r>
    </w:p>
    <w:p w14:paraId="07FD506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rPr>
        <w:t>31.3签订合同后，</w:t>
      </w:r>
      <w:r>
        <w:rPr>
          <w:rFonts w:hint="eastAsia" w:ascii="宋体" w:hAnsi="宋体" w:eastAsia="宋体" w:cs="宋体"/>
          <w:i/>
          <w:color w:val="auto"/>
          <w:sz w:val="21"/>
          <w:szCs w:val="21"/>
          <w:highlight w:val="none"/>
          <w:u w:val="single"/>
        </w:rPr>
        <w:t>中标人不得将合同标的进行转包</w:t>
      </w:r>
      <w:r>
        <w:rPr>
          <w:rFonts w:hint="eastAsia" w:ascii="宋体" w:hAnsi="宋体" w:eastAsia="宋体" w:cs="宋体"/>
          <w:color w:val="auto"/>
          <w:sz w:val="21"/>
          <w:szCs w:val="21"/>
          <w:highlight w:val="none"/>
        </w:rPr>
        <w:t>。未经采购人同意，中标人也不得采用分包的形式履行合同，否则采购人有权终止合同。转包或分包造成采</w:t>
      </w:r>
      <w:r>
        <w:rPr>
          <w:rFonts w:hint="eastAsia" w:ascii="宋体" w:hAnsi="宋体" w:eastAsia="宋体" w:cs="宋体"/>
          <w:color w:val="auto"/>
          <w:sz w:val="21"/>
          <w:szCs w:val="21"/>
          <w:highlight w:val="none"/>
          <w:shd w:val="clear" w:color="auto" w:fill="auto"/>
        </w:rPr>
        <w:t>购人损失的，中标人应承担相应赔偿责任。</w:t>
      </w:r>
    </w:p>
    <w:p w14:paraId="7A8BD33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32、货物（包含与货物相关的服务）的追加</w:t>
      </w:r>
    </w:p>
    <w:p w14:paraId="779FCA9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20EEBF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33.政府采购政策功能落实</w:t>
      </w:r>
    </w:p>
    <w:p w14:paraId="3EA2C72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33.1</w:t>
      </w:r>
      <w:r>
        <w:rPr>
          <w:rFonts w:hint="eastAsia" w:ascii="宋体" w:hAnsi="宋体" w:eastAsia="宋体" w:cs="宋体"/>
          <w:color w:val="auto"/>
          <w:sz w:val="21"/>
          <w:szCs w:val="21"/>
          <w:highlight w:val="none"/>
        </w:rPr>
        <w:t>政府采购</w:t>
      </w:r>
      <w:r>
        <w:rPr>
          <w:rFonts w:hint="eastAsia" w:ascii="宋体" w:hAnsi="宋体" w:eastAsia="宋体" w:cs="宋体"/>
          <w:color w:val="auto"/>
          <w:sz w:val="21"/>
          <w:szCs w:val="21"/>
          <w:highlight w:val="none"/>
          <w:lang w:eastAsia="zh-CN"/>
        </w:rPr>
        <w:t>线上合同信用融资</w:t>
      </w:r>
      <w:r>
        <w:rPr>
          <w:rFonts w:hint="eastAsia" w:ascii="宋体" w:hAnsi="宋体" w:eastAsia="宋体" w:cs="宋体"/>
          <w:color w:val="auto"/>
          <w:sz w:val="21"/>
          <w:szCs w:val="21"/>
          <w:highlight w:val="none"/>
        </w:rPr>
        <w:t>政策</w:t>
      </w:r>
    </w:p>
    <w:p w14:paraId="7831DEF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根据《转发江苏省财政厅 中国人民银行南京分行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关于深入推进政府采购线上合同信用融资工作的通知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的通知》（盐财购〔2021〕20号）规定，中标供应商如有融资需求，可持政府采购合同在线向相关金融机构（具体信息详见</w:t>
      </w:r>
      <w:r>
        <w:rPr>
          <w:rFonts w:hint="eastAsia" w:ascii="宋体" w:hAnsi="宋体" w:eastAsia="宋体" w:cs="宋体"/>
          <w:color w:val="auto"/>
          <w:sz w:val="21"/>
          <w:szCs w:val="21"/>
          <w:highlight w:val="none"/>
          <w:lang w:val="en-US" w:eastAsia="zh-CN"/>
        </w:rPr>
        <w:t>江苏省</w:t>
      </w:r>
      <w:r>
        <w:rPr>
          <w:rFonts w:hint="eastAsia" w:ascii="宋体" w:hAnsi="宋体" w:eastAsia="宋体" w:cs="宋体"/>
          <w:color w:val="auto"/>
          <w:sz w:val="21"/>
          <w:szCs w:val="21"/>
          <w:highlight w:val="none"/>
        </w:rPr>
        <w:t>政府采购网“政采贷”栏目）申请贷款，相关金融机构按照双方自愿的原则提供便捷、优惠的贷款服务；具体操作流程请参考苏采云系统中操作手册。 </w:t>
      </w:r>
    </w:p>
    <w:p w14:paraId="05A8ADEB">
      <w:pPr>
        <w:pageBreakBefore w:val="0"/>
        <w:tabs>
          <w:tab w:val="left" w:pos="1381"/>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33.2进口产品</w:t>
      </w:r>
    </w:p>
    <w:p w14:paraId="5E25FDB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进口产品</w:t>
      </w:r>
      <w:r>
        <w:rPr>
          <w:rFonts w:hint="eastAsia" w:ascii="宋体" w:hAnsi="宋体" w:eastAsia="宋体" w:cs="宋体"/>
          <w:color w:val="auto"/>
          <w:sz w:val="21"/>
          <w:szCs w:val="21"/>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tabs>
          <w:tab w:val="left" w:pos="1381"/>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33.3中小企业、监狱企业及残疾人福利性单位</w:t>
      </w:r>
    </w:p>
    <w:p w14:paraId="63807B9C">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.3.1中小企业定义：</w:t>
      </w:r>
    </w:p>
    <w:p w14:paraId="4C9CBD8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府采购促进中小企业发展管理办法》（财库〔2020〕46号）、《关于印发中小企业划型标准规定的通知》（工信部联企业〔2011〕300号）、《国务院关于进一步促进中小企业发展的若干意见》（国发〔2009〕36号）。</w:t>
      </w:r>
    </w:p>
    <w:p w14:paraId="30D4ACC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.3.2供应商提供的货物、工程或者服务符合下列情形的，享受中小企业扶持政策：</w:t>
      </w:r>
    </w:p>
    <w:p w14:paraId="6761BEF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.3.2.1在货物采购项目中，货物由中小企业制造，即货物由中小企业生产且使用该中小企业商号或者注册商标；</w:t>
      </w:r>
    </w:p>
    <w:p w14:paraId="31163D4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.3.2.2在工程采购项目中，工程由中小企业承建，即工程施工单位为中小企业；</w:t>
      </w:r>
    </w:p>
    <w:p w14:paraId="4DFC19B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.3.2.3在服务采购项目中，服务由中小企业承接，即提供服务的人员为中小企业依照《中华人民共和国劳动合同法》订立劳动合同的从业人员。</w:t>
      </w:r>
    </w:p>
    <w:p w14:paraId="3EA95C7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.3.3在货物采购项目中，供应商提供的货物既有中小企业制造货物，也有大型企业制造货物的，不享受中小企业扶持政策。</w:t>
      </w:r>
    </w:p>
    <w:p w14:paraId="18C13D1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.3.4以联合体形式参加政府采购活动，联合体各方均为中小企业的，联合体视同中小企业。其中，联合体各方均为小微企业的，联合体视同小微企业。</w:t>
      </w:r>
    </w:p>
    <w:p w14:paraId="34D8F3D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.3.6残疾人福利单位定义：享受政府采购支持政策的残疾人福利性单位应当同时满足以下条件：</w:t>
      </w:r>
    </w:p>
    <w:p w14:paraId="2C10A4F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.3.6.1安置的残疾人占本单位在职职工人数的比例不低于25%（含25%），并且安置的残疾人人数不少于10人（含10人）；</w:t>
      </w:r>
    </w:p>
    <w:p w14:paraId="273AB3B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.3.6.2依法与安置的每位残疾人签订了一年以上（含一年）的劳动合同或服务协议；</w:t>
      </w:r>
    </w:p>
    <w:p w14:paraId="25054FF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.3.6.3为安置的每位残疾人按月足额缴纳了基本养老保险、基本医疗保险、失业保险、工伤保险和生育保险等社会保险费；</w:t>
      </w:r>
    </w:p>
    <w:p w14:paraId="2B08B5C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.3.6.4通过银行等金融机构向安置的每位残疾人，按月支付了不低于单位所在区县适用的经省级人民政府批准的月最低工资标准的工资；</w:t>
      </w:r>
    </w:p>
    <w:p w14:paraId="20CB233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.3.6.5提供本单位制造的货物、承担的工程或者服务（以下简称产品），或者提供其他残疾人福利性单位制造的货物（不包括使用非残疾人福利性单位注册商标的货物）；</w:t>
      </w:r>
    </w:p>
    <w:p w14:paraId="3B85C34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677771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.3.7本项目是否专门面向中小企业预留采购份额见第一章《</w:t>
      </w:r>
      <w:r>
        <w:rPr>
          <w:rFonts w:hint="eastAsia" w:ascii="宋体" w:hAnsi="宋体" w:eastAsia="宋体" w:cs="宋体"/>
          <w:color w:val="auto"/>
          <w:sz w:val="21"/>
          <w:szCs w:val="21"/>
          <w:highlight w:val="none"/>
          <w:lang w:val="en-US" w:eastAsia="zh-CN"/>
        </w:rPr>
        <w:t>招标公告</w:t>
      </w:r>
      <w:r>
        <w:rPr>
          <w:rFonts w:hint="eastAsia" w:ascii="宋体" w:hAnsi="宋体" w:eastAsia="宋体" w:cs="宋体"/>
          <w:color w:val="auto"/>
          <w:sz w:val="21"/>
          <w:szCs w:val="21"/>
          <w:highlight w:val="none"/>
        </w:rPr>
        <w:t>》。</w:t>
      </w:r>
    </w:p>
    <w:p w14:paraId="66321B5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33</w:t>
      </w:r>
      <w:r>
        <w:rPr>
          <w:rFonts w:hint="eastAsia" w:ascii="宋体" w:hAnsi="宋体" w:eastAsia="宋体" w:cs="宋体"/>
          <w:color w:val="auto"/>
          <w:sz w:val="21"/>
          <w:szCs w:val="21"/>
          <w:highlight w:val="none"/>
        </w:rPr>
        <w:t>.3.8采购标的对应的中小企业划分标准所属行业见第四章《采购需求》。</w:t>
      </w:r>
    </w:p>
    <w:p w14:paraId="3CD3781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.3.9小微企业价格评审优惠的政策：见第五章《评标方法和评标标准》。</w:t>
      </w:r>
    </w:p>
    <w:p w14:paraId="2413029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33.4政府采购节能产品、环境标志产品</w:t>
      </w:r>
    </w:p>
    <w:p w14:paraId="56196F7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.4.1</w:t>
      </w:r>
      <w:r>
        <w:rPr>
          <w:rFonts w:hint="eastAsia" w:ascii="宋体" w:hAnsi="宋体" w:eastAsia="宋体" w:cs="宋体"/>
          <w:color w:val="auto"/>
          <w:kern w:val="0"/>
          <w:sz w:val="21"/>
          <w:szCs w:val="21"/>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1"/>
          <w:szCs w:val="21"/>
          <w:highlight w:val="none"/>
        </w:rPr>
        <w:t>如属政府强制采购产品未提供认证证书的或认证证书提供不全的将视为未实质性响应采购要求</w:t>
      </w:r>
      <w:r>
        <w:rPr>
          <w:rFonts w:hint="eastAsia" w:ascii="宋体" w:hAnsi="宋体" w:eastAsia="宋体" w:cs="宋体"/>
          <w:i/>
          <w:color w:val="auto"/>
          <w:kern w:val="0"/>
          <w:sz w:val="21"/>
          <w:szCs w:val="21"/>
          <w:highlight w:val="none"/>
        </w:rPr>
        <w:t>。</w:t>
      </w:r>
      <w:r>
        <w:rPr>
          <w:rFonts w:hint="eastAsia" w:ascii="宋体" w:hAnsi="宋体" w:eastAsia="宋体" w:cs="宋体"/>
          <w:color w:val="auto"/>
          <w:kern w:val="0"/>
          <w:sz w:val="21"/>
          <w:szCs w:val="21"/>
          <w:highlight w:val="none"/>
        </w:rPr>
        <w:t>其他条件相同情况下，应当优先采购节能产品、环境标志产品。</w:t>
      </w:r>
    </w:p>
    <w:p w14:paraId="3644E8D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.4.2</w:t>
      </w:r>
      <w:r>
        <w:rPr>
          <w:rFonts w:hint="eastAsia" w:ascii="宋体" w:hAnsi="宋体" w:eastAsia="宋体" w:cs="宋体"/>
          <w:color w:val="auto"/>
          <w:kern w:val="0"/>
          <w:sz w:val="21"/>
          <w:szCs w:val="21"/>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33.5绿色包装</w:t>
      </w:r>
    </w:p>
    <w:p w14:paraId="3C828DB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33.6政府采购创新产品</w:t>
      </w:r>
    </w:p>
    <w:p w14:paraId="2D9B336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1"/>
          <w:szCs w:val="21"/>
          <w:highlight w:val="none"/>
        </w:rPr>
        <w:t>。</w:t>
      </w:r>
    </w:p>
    <w:p w14:paraId="57947BB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33.7绿色数据中心政策 </w:t>
      </w:r>
    </w:p>
    <w:p w14:paraId="722A8D3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A6507C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33.8实施本国产品标准及相关政策</w:t>
      </w:r>
    </w:p>
    <w:p w14:paraId="7B4C191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1.本项目对采购本国产品给予政策支持，具体内容见招标文件“第五章 评标方法与评标标准”。</w:t>
      </w:r>
    </w:p>
    <w:p w14:paraId="04114C1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9072A4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1"/>
          <w:szCs w:val="21"/>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034807A4">
      <w:pPr>
        <w:pageBreakBefore w:val="0"/>
        <w:tabs>
          <w:tab w:val="left" w:pos="1381"/>
        </w:tabs>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33.9履约保证金政策</w:t>
      </w:r>
    </w:p>
    <w:p w14:paraId="40F02B3A">
      <w:pPr>
        <w:pStyle w:val="23"/>
        <w:pageBreakBefore w:val="0"/>
        <w:kinsoku/>
        <w:wordWrap/>
        <w:overflowPunct/>
        <w:topLinePunct w:val="0"/>
        <w:autoSpaceDE/>
        <w:autoSpaceDN/>
        <w:bidi w:val="0"/>
        <w:adjustRightInd/>
        <w:snapToGrid/>
        <w:spacing w:after="0" w:line="360" w:lineRule="auto"/>
        <w:ind w:left="0" w:firstLine="56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确需收取履约保证金的，履约保证金的缴纳形式：</w:t>
      </w:r>
    </w:p>
    <w:p w14:paraId="5EB031AC">
      <w:pPr>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如</w:t>
      </w:r>
      <w:r>
        <w:rPr>
          <w:rFonts w:hint="eastAsia" w:ascii="宋体" w:hAnsi="宋体" w:eastAsia="宋体" w:cs="宋体"/>
          <w:color w:val="auto"/>
          <w:kern w:val="0"/>
          <w:sz w:val="21"/>
          <w:szCs w:val="21"/>
          <w:highlight w:val="none"/>
          <w:lang w:val="en-US" w:eastAsia="zh-CN" w:bidi="ar-SA"/>
        </w:rPr>
        <w:t>以履约保函（保险）形式缴纳履约保证金，供应商可通过政府采购电子履约保函（保险）平台（www.jsdzbh.com）在线申请履约保函（保险）。</w:t>
      </w:r>
    </w:p>
    <w:p w14:paraId="57E6C93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履约保证金金额为合同金额的5%，采购人对第三方信用服务机构依据标准规范评定为AA级及以上的政府采购供应商（需在签订采购合同前提供信用管理部门备案的第三方信用报告，且信用报告通过“信用盐城网”可查实），免收履约保证金。</w:t>
      </w:r>
    </w:p>
    <w:p w14:paraId="184C23E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34.预付款制度</w:t>
      </w:r>
    </w:p>
    <w:p w14:paraId="23108FD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本项目落实预付款制度，预付款比例为30%</w:t>
      </w:r>
      <w:r>
        <w:rPr>
          <w:rFonts w:hint="eastAsia" w:ascii="宋体" w:hAnsi="宋体" w:eastAsia="宋体" w:cs="宋体"/>
          <w:color w:val="auto"/>
          <w:kern w:val="0"/>
          <w:sz w:val="21"/>
          <w:szCs w:val="21"/>
          <w:highlight w:val="none"/>
          <w:shd w:val="clear" w:color="auto" w:fill="auto"/>
          <w:lang w:val="en-US" w:eastAsia="zh-CN" w:bidi="ar-SA"/>
        </w:rPr>
        <w:t>（原则上不低于合同金额的30%）</w:t>
      </w:r>
      <w:r>
        <w:rPr>
          <w:rFonts w:hint="eastAsia" w:ascii="宋体" w:hAnsi="宋体" w:eastAsia="宋体" w:cs="宋体"/>
          <w:color w:val="auto"/>
          <w:kern w:val="0"/>
          <w:sz w:val="21"/>
          <w:szCs w:val="21"/>
          <w:highlight w:val="none"/>
          <w:lang w:val="en-US" w:eastAsia="zh-CN" w:bidi="ar-SA"/>
        </w:rPr>
        <w:t>。在签订合同时，中标、成交供应商明确书面表示无需预付款或者主动要求降低预付款比例的，采购人可就预付款比例作相应调整。</w:t>
      </w:r>
    </w:p>
    <w:p w14:paraId="53289C7D">
      <w:pPr>
        <w:pStyle w:val="23"/>
        <w:pageBreakBefore w:val="0"/>
        <w:kinsoku/>
        <w:wordWrap/>
        <w:overflowPunct/>
        <w:topLinePunct w:val="0"/>
        <w:autoSpaceDE/>
        <w:autoSpaceDN/>
        <w:bidi w:val="0"/>
        <w:adjustRightInd/>
        <w:snapToGrid/>
        <w:spacing w:after="0" w:line="360" w:lineRule="auto"/>
        <w:ind w:left="0" w:firstLine="560"/>
        <w:textAlignment w:val="auto"/>
        <w:rPr>
          <w:rFonts w:hint="eastAsia" w:ascii="宋体" w:hAnsi="宋体" w:eastAsia="宋体" w:cs="宋体"/>
          <w:color w:val="auto"/>
          <w:kern w:val="0"/>
          <w:sz w:val="21"/>
          <w:szCs w:val="21"/>
          <w:highlight w:val="none"/>
          <w:lang w:val="en-US" w:eastAsia="zh-CN" w:bidi="ar-SA"/>
        </w:rPr>
      </w:pPr>
    </w:p>
    <w:p w14:paraId="33E3FFD4">
      <w:pPr>
        <w:pStyle w:val="11"/>
        <w:pageBreakBefore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520F1951">
      <w:pPr>
        <w:pStyle w:val="11"/>
        <w:pageBreakBefore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6B97EB0F">
      <w:pPr>
        <w:pStyle w:val="11"/>
        <w:pageBreakBefore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47219D08">
      <w:pPr>
        <w:pStyle w:val="11"/>
        <w:pageBreakBefore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rPr>
      </w:pPr>
    </w:p>
    <w:p w14:paraId="5DD3B16F">
      <w:pPr>
        <w:pStyle w:val="11"/>
        <w:pageBreakBefore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rPr>
      </w:pPr>
    </w:p>
    <w:p w14:paraId="484F37B1">
      <w:pPr>
        <w:pStyle w:val="11"/>
        <w:pageBreakBefore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rPr>
      </w:pPr>
    </w:p>
    <w:p w14:paraId="1EB1F8A6">
      <w:pPr>
        <w:pStyle w:val="11"/>
        <w:pageBreakBefore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rPr>
      </w:pPr>
    </w:p>
    <w:p w14:paraId="1EBA165D">
      <w:pPr>
        <w:pStyle w:val="11"/>
        <w:pageBreakBefore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rPr>
      </w:pPr>
    </w:p>
    <w:p w14:paraId="68B2849A">
      <w:pPr>
        <w:pStyle w:val="11"/>
        <w:pageBreakBefore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rPr>
      </w:pPr>
    </w:p>
    <w:p w14:paraId="4933F7EA">
      <w:pPr>
        <w:pStyle w:val="11"/>
        <w:pageBreakBefore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4B5F750D">
      <w:pPr>
        <w:pStyle w:val="11"/>
        <w:pageBreakBefore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31AFAA53">
      <w:pPr>
        <w:pStyle w:val="11"/>
        <w:pageBreakBefore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655A4F78">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bookmarkStart w:id="160" w:name="_Toc479757211"/>
      <w:bookmarkStart w:id="161" w:name="_Toc20823346"/>
      <w:bookmarkStart w:id="162" w:name="_Hlt16619350"/>
      <w:bookmarkStart w:id="163" w:name="_Toc16938590"/>
      <w:bookmarkStart w:id="164" w:name="_Toc462564139"/>
      <w:bookmarkStart w:id="165" w:name="_Toc120614244"/>
      <w:bookmarkStart w:id="166" w:name="_Hlt16619369"/>
    </w:p>
    <w:p w14:paraId="0E07432C">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7D0C094D">
      <w:pPr>
        <w:widowControl/>
        <w:spacing w:line="360" w:lineRule="auto"/>
        <w:jc w:val="center"/>
        <w:rPr>
          <w:rFonts w:ascii="宋体" w:hAnsi="宋体" w:cs="宋体"/>
          <w:b/>
          <w:color w:val="auto"/>
          <w:sz w:val="48"/>
          <w:szCs w:val="44"/>
          <w:highlight w:val="none"/>
        </w:rPr>
      </w:pPr>
      <w:r>
        <w:rPr>
          <w:rFonts w:hint="eastAsia" w:ascii="宋体" w:hAnsi="宋体" w:cs="宋体"/>
          <w:b/>
          <w:color w:val="auto"/>
          <w:sz w:val="48"/>
          <w:szCs w:val="44"/>
          <w:highlight w:val="none"/>
        </w:rPr>
        <w:t>第三</w:t>
      </w:r>
      <w:r>
        <w:rPr>
          <w:rFonts w:hint="eastAsia" w:ascii="宋体" w:hAnsi="宋体" w:cs="宋体"/>
          <w:b/>
          <w:color w:val="auto"/>
          <w:sz w:val="48"/>
          <w:szCs w:val="44"/>
          <w:highlight w:val="none"/>
          <w:lang w:eastAsia="zh-CN"/>
        </w:rPr>
        <w:t>章</w:t>
      </w:r>
      <w:r>
        <w:rPr>
          <w:rFonts w:hint="eastAsia" w:ascii="宋体" w:hAnsi="宋体" w:cs="宋体"/>
          <w:b/>
          <w:color w:val="auto"/>
          <w:sz w:val="48"/>
          <w:szCs w:val="44"/>
          <w:highlight w:val="none"/>
        </w:rPr>
        <w:t xml:space="preserve">  合同条款</w:t>
      </w:r>
    </w:p>
    <w:p w14:paraId="7C62F2F4">
      <w:pPr>
        <w:rPr>
          <w:rFonts w:ascii="宋体" w:hAnsi="宋体" w:cs="宋体"/>
          <w:color w:val="auto"/>
          <w:highlight w:val="none"/>
        </w:rPr>
      </w:pPr>
      <w:bookmarkStart w:id="167" w:name="EB6d2006462e294de090c16e672cecc3bd"/>
    </w:p>
    <w:bookmarkEnd w:id="167"/>
    <w:p w14:paraId="0F89D1C7">
      <w:pPr>
        <w:jc w:val="center"/>
        <w:rPr>
          <w:rFonts w:ascii="宋体" w:hAnsi="宋体" w:cs="宋体"/>
          <w:b/>
          <w:bCs/>
          <w:color w:val="auto"/>
          <w:spacing w:val="-20"/>
          <w:sz w:val="48"/>
          <w:szCs w:val="48"/>
          <w:highlight w:val="none"/>
        </w:rPr>
      </w:pPr>
      <w:bookmarkStart w:id="168" w:name="_Toc3995"/>
    </w:p>
    <w:p w14:paraId="2728A11A">
      <w:pPr>
        <w:jc w:val="center"/>
        <w:rPr>
          <w:rFonts w:ascii="宋体" w:hAnsi="宋体" w:cs="宋体"/>
          <w:b/>
          <w:bCs/>
          <w:color w:val="auto"/>
          <w:spacing w:val="-20"/>
          <w:sz w:val="48"/>
          <w:szCs w:val="48"/>
          <w:highlight w:val="none"/>
        </w:rPr>
      </w:pPr>
    </w:p>
    <w:p w14:paraId="61A63262">
      <w:pPr>
        <w:jc w:val="center"/>
        <w:rPr>
          <w:rFonts w:ascii="宋体" w:hAnsi="宋体" w:cs="宋体"/>
          <w:b/>
          <w:bCs/>
          <w:color w:val="auto"/>
          <w:spacing w:val="-20"/>
          <w:sz w:val="48"/>
          <w:szCs w:val="48"/>
          <w:highlight w:val="none"/>
        </w:rPr>
      </w:pPr>
    </w:p>
    <w:p w14:paraId="5544CBCE">
      <w:pPr>
        <w:jc w:val="center"/>
        <w:rPr>
          <w:rFonts w:ascii="宋体" w:hAnsi="宋体" w:cs="宋体"/>
          <w:b/>
          <w:bCs/>
          <w:color w:val="auto"/>
          <w:spacing w:val="-20"/>
          <w:sz w:val="48"/>
          <w:szCs w:val="48"/>
          <w:highlight w:val="none"/>
        </w:rPr>
      </w:pPr>
    </w:p>
    <w:bookmarkEnd w:id="168"/>
    <w:p w14:paraId="6A0AA396">
      <w:pPr>
        <w:jc w:val="center"/>
        <w:rPr>
          <w:rFonts w:ascii="宋体" w:hAnsi="宋体" w:cs="宋体"/>
          <w:color w:val="auto"/>
          <w:sz w:val="30"/>
          <w:highlight w:val="none"/>
        </w:rPr>
      </w:pPr>
      <w:r>
        <w:rPr>
          <w:rFonts w:hint="eastAsia" w:ascii="宋体" w:hAnsi="宋体" w:cs="宋体"/>
          <w:color w:val="auto"/>
          <w:sz w:val="30"/>
          <w:highlight w:val="none"/>
        </w:rPr>
        <w:t>政府采购合同</w:t>
      </w:r>
    </w:p>
    <w:p w14:paraId="7AFB3E2E">
      <w:pPr>
        <w:jc w:val="center"/>
        <w:rPr>
          <w:rFonts w:ascii="宋体" w:hAnsi="宋体" w:cs="宋体"/>
          <w:color w:val="auto"/>
          <w:sz w:val="30"/>
          <w:highlight w:val="none"/>
        </w:rPr>
      </w:pPr>
    </w:p>
    <w:p w14:paraId="5ACBF3F3">
      <w:pPr>
        <w:rPr>
          <w:rFonts w:ascii="宋体" w:hAnsi="宋体" w:cs="宋体"/>
          <w:color w:val="auto"/>
          <w:sz w:val="30"/>
          <w:highlight w:val="none"/>
        </w:rPr>
      </w:pPr>
    </w:p>
    <w:p w14:paraId="6665A775">
      <w:pPr>
        <w:rPr>
          <w:rFonts w:ascii="宋体" w:hAnsi="宋体" w:cs="宋体"/>
          <w:color w:val="auto"/>
          <w:sz w:val="30"/>
          <w:highlight w:val="none"/>
        </w:rPr>
      </w:pPr>
    </w:p>
    <w:p w14:paraId="34C23095">
      <w:pPr>
        <w:rPr>
          <w:rFonts w:ascii="宋体" w:hAnsi="宋体" w:cs="宋体"/>
          <w:color w:val="auto"/>
          <w:sz w:val="30"/>
          <w:highlight w:val="none"/>
        </w:rPr>
      </w:pPr>
    </w:p>
    <w:p w14:paraId="1881F5CE">
      <w:pPr>
        <w:spacing w:line="360" w:lineRule="auto"/>
        <w:ind w:left="420"/>
        <w:rPr>
          <w:rFonts w:ascii="宋体" w:hAnsi="宋体" w:cs="宋体"/>
          <w:color w:val="auto"/>
          <w:sz w:val="30"/>
          <w:highlight w:val="none"/>
        </w:rPr>
      </w:pPr>
      <w:r>
        <w:rPr>
          <w:rFonts w:hint="eastAsia" w:ascii="宋体" w:hAnsi="宋体" w:cs="宋体"/>
          <w:color w:val="auto"/>
          <w:sz w:val="30"/>
          <w:highlight w:val="none"/>
        </w:rPr>
        <w:t>项目名称：</w:t>
      </w:r>
    </w:p>
    <w:p w14:paraId="4E6315BA">
      <w:pPr>
        <w:spacing w:line="360" w:lineRule="auto"/>
        <w:ind w:left="420"/>
        <w:rPr>
          <w:rFonts w:ascii="宋体" w:hAnsi="宋体" w:cs="宋体"/>
          <w:color w:val="auto"/>
          <w:sz w:val="30"/>
          <w:highlight w:val="none"/>
        </w:rPr>
      </w:pPr>
      <w:r>
        <w:rPr>
          <w:rFonts w:hint="eastAsia" w:ascii="宋体" w:hAnsi="宋体" w:cs="宋体"/>
          <w:color w:val="auto"/>
          <w:sz w:val="30"/>
          <w:highlight w:val="none"/>
        </w:rPr>
        <w:t>合同编号：</w:t>
      </w:r>
    </w:p>
    <w:p w14:paraId="291C2774">
      <w:pPr>
        <w:spacing w:line="360" w:lineRule="auto"/>
        <w:ind w:left="420"/>
        <w:rPr>
          <w:rFonts w:ascii="宋体" w:hAnsi="宋体" w:cs="宋体"/>
          <w:color w:val="auto"/>
          <w:sz w:val="30"/>
          <w:highlight w:val="none"/>
        </w:rPr>
      </w:pPr>
      <w:r>
        <w:rPr>
          <w:rFonts w:hint="eastAsia" w:ascii="宋体" w:hAnsi="宋体" w:cs="宋体"/>
          <w:color w:val="auto"/>
          <w:sz w:val="30"/>
          <w:highlight w:val="none"/>
        </w:rPr>
        <w:t>甲    方：</w:t>
      </w:r>
    </w:p>
    <w:p w14:paraId="36626BFD">
      <w:pPr>
        <w:spacing w:line="360" w:lineRule="auto"/>
        <w:ind w:left="420"/>
        <w:rPr>
          <w:rFonts w:ascii="宋体" w:hAnsi="宋体" w:cs="宋体"/>
          <w:color w:val="auto"/>
          <w:sz w:val="30"/>
          <w:highlight w:val="none"/>
        </w:rPr>
      </w:pPr>
      <w:r>
        <w:rPr>
          <w:rFonts w:hint="eastAsia" w:ascii="宋体" w:hAnsi="宋体" w:cs="宋体"/>
          <w:color w:val="auto"/>
          <w:sz w:val="30"/>
          <w:highlight w:val="none"/>
        </w:rPr>
        <w:t>乙    方：</w:t>
      </w:r>
    </w:p>
    <w:p w14:paraId="4C572AF2">
      <w:pPr>
        <w:spacing w:line="360" w:lineRule="auto"/>
        <w:ind w:left="420"/>
        <w:rPr>
          <w:rFonts w:ascii="宋体" w:hAnsi="宋体" w:cs="宋体"/>
          <w:color w:val="auto"/>
          <w:sz w:val="30"/>
          <w:highlight w:val="none"/>
        </w:rPr>
      </w:pPr>
      <w:r>
        <w:rPr>
          <w:rFonts w:hint="eastAsia" w:ascii="宋体" w:hAnsi="宋体" w:cs="宋体"/>
          <w:color w:val="auto"/>
          <w:sz w:val="30"/>
          <w:highlight w:val="none"/>
        </w:rPr>
        <w:t>签订时间：</w:t>
      </w:r>
    </w:p>
    <w:p w14:paraId="201D22CA">
      <w:pPr>
        <w:rPr>
          <w:color w:val="auto"/>
          <w:highlight w:val="none"/>
        </w:rPr>
      </w:pPr>
    </w:p>
    <w:p w14:paraId="63963706">
      <w:pPr>
        <w:spacing w:line="360" w:lineRule="auto"/>
        <w:ind w:firstLine="420" w:firstLineChars="200"/>
        <w:rPr>
          <w:rFonts w:ascii="Times New Roman" w:hAnsi="Times New Roman"/>
          <w:color w:val="auto"/>
          <w:kern w:val="2"/>
          <w:lang w:eastAsia="zh-CN"/>
        </w:rPr>
      </w:pPr>
    </w:p>
    <w:p w14:paraId="3EBFEF5F">
      <w:pPr>
        <w:spacing w:line="360" w:lineRule="auto"/>
        <w:ind w:firstLine="420" w:firstLineChars="200"/>
        <w:rPr>
          <w:rFonts w:ascii="Times New Roman" w:hAnsi="Times New Roman"/>
          <w:color w:val="auto"/>
          <w:kern w:val="2"/>
          <w:lang w:eastAsia="zh-CN"/>
        </w:rPr>
      </w:pPr>
    </w:p>
    <w:p w14:paraId="621C37A7">
      <w:pPr>
        <w:spacing w:line="360" w:lineRule="auto"/>
        <w:ind w:firstLine="420" w:firstLineChars="200"/>
        <w:rPr>
          <w:rFonts w:ascii="Times New Roman" w:hAnsi="Times New Roman"/>
          <w:color w:val="auto"/>
          <w:kern w:val="2"/>
          <w:lang w:eastAsia="zh-CN"/>
        </w:rPr>
      </w:pPr>
    </w:p>
    <w:p w14:paraId="06ACC1E2">
      <w:pPr>
        <w:spacing w:line="360" w:lineRule="auto"/>
        <w:ind w:firstLine="420" w:firstLineChars="200"/>
        <w:rPr>
          <w:rFonts w:ascii="Times New Roman" w:hAnsi="Times New Roman"/>
          <w:color w:val="auto"/>
          <w:kern w:val="2"/>
          <w:lang w:eastAsia="zh-CN"/>
        </w:rPr>
      </w:pPr>
    </w:p>
    <w:p w14:paraId="4D99EC64">
      <w:pPr>
        <w:spacing w:line="360" w:lineRule="auto"/>
        <w:ind w:firstLine="420" w:firstLineChars="200"/>
        <w:rPr>
          <w:rFonts w:ascii="Times New Roman" w:hAnsi="Times New Roman"/>
          <w:color w:val="auto"/>
          <w:kern w:val="2"/>
          <w:lang w:eastAsia="zh-CN"/>
        </w:rPr>
      </w:pPr>
    </w:p>
    <w:p w14:paraId="742F7D2D">
      <w:pPr>
        <w:spacing w:line="360" w:lineRule="auto"/>
        <w:ind w:firstLine="420" w:firstLineChars="200"/>
        <w:rPr>
          <w:rFonts w:ascii="Times New Roman" w:hAnsi="Times New Roman"/>
          <w:color w:val="auto"/>
          <w:kern w:val="2"/>
          <w:lang w:eastAsia="zh-CN"/>
        </w:rPr>
      </w:pPr>
    </w:p>
    <w:p w14:paraId="118EF624">
      <w:pPr>
        <w:spacing w:line="360" w:lineRule="auto"/>
        <w:ind w:firstLine="420" w:firstLineChars="200"/>
        <w:rPr>
          <w:rFonts w:ascii="Times New Roman" w:hAnsi="Times New Roman"/>
          <w:color w:val="auto"/>
          <w:kern w:val="2"/>
          <w:lang w:eastAsia="zh-CN"/>
        </w:rPr>
      </w:pPr>
    </w:p>
    <w:p w14:paraId="22D6A707">
      <w:pPr>
        <w:spacing w:line="360" w:lineRule="auto"/>
        <w:ind w:firstLine="420" w:firstLineChars="200"/>
        <w:rPr>
          <w:rFonts w:ascii="Times New Roman" w:hAnsi="Times New Roman"/>
          <w:color w:val="auto"/>
          <w:kern w:val="2"/>
          <w:lang w:eastAsia="zh-CN"/>
        </w:rPr>
      </w:pPr>
    </w:p>
    <w:p w14:paraId="481EE75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根据我国《中华人民共和国民法典》及其他法律法规有关规定，为明确甲、乙双方</w:t>
      </w:r>
      <w:r>
        <w:rPr>
          <w:rFonts w:hint="eastAsia" w:ascii="宋体" w:hAnsi="宋体" w:eastAsia="宋体" w:cs="宋体"/>
          <w:color w:val="auto"/>
          <w:kern w:val="2"/>
          <w:sz w:val="21"/>
          <w:szCs w:val="21"/>
          <w:u w:val="single"/>
          <w:lang w:eastAsia="zh-CN"/>
        </w:rPr>
        <w:t>盐城市公安局盐南高新技术产业开发区分局智慧安防村居三期项目</w:t>
      </w:r>
      <w:r>
        <w:rPr>
          <w:rFonts w:hint="eastAsia" w:ascii="宋体" w:hAnsi="宋体" w:eastAsia="宋体" w:cs="宋体"/>
          <w:color w:val="auto"/>
          <w:kern w:val="2"/>
          <w:sz w:val="21"/>
          <w:szCs w:val="21"/>
          <w:lang w:eastAsia="zh-CN"/>
        </w:rPr>
        <w:t>(以下简称“项目”)过程中的权利、义务和经济责任，经甲、乙双方协商同意签订本合同。</w:t>
      </w:r>
    </w:p>
    <w:p w14:paraId="699F09D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1、合同内容</w:t>
      </w:r>
    </w:p>
    <w:p w14:paraId="41AF964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1.1标的名称：</w:t>
      </w:r>
      <w:r>
        <w:rPr>
          <w:rFonts w:hint="eastAsia" w:ascii="宋体" w:hAnsi="宋体" w:eastAsia="宋体" w:cs="宋体"/>
          <w:color w:val="auto"/>
          <w:kern w:val="2"/>
          <w:sz w:val="21"/>
          <w:szCs w:val="21"/>
          <w:u w:val="single"/>
          <w:lang w:eastAsia="zh-CN"/>
        </w:rPr>
        <w:t>盐城市公安局盐南高新技术产业开发区分局智慧安防村居三期项目</w:t>
      </w:r>
    </w:p>
    <w:p w14:paraId="23C60AD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1.2标的质量：盐城市盐南高新区内。</w:t>
      </w:r>
    </w:p>
    <w:p w14:paraId="7E6633F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1.3履行时间：自合同签订之日起</w:t>
      </w:r>
      <w:r>
        <w:rPr>
          <w:rFonts w:hint="eastAsia" w:ascii="宋体" w:hAnsi="宋体" w:eastAsia="宋体" w:cs="宋体"/>
          <w:color w:val="auto"/>
          <w:kern w:val="2"/>
          <w:sz w:val="21"/>
          <w:szCs w:val="21"/>
          <w:lang w:val="en-US" w:eastAsia="zh-CN"/>
        </w:rPr>
        <w:t>90</w:t>
      </w:r>
      <w:r>
        <w:rPr>
          <w:rFonts w:hint="eastAsia" w:ascii="宋体" w:hAnsi="宋体" w:eastAsia="宋体" w:cs="宋体"/>
          <w:color w:val="auto"/>
          <w:kern w:val="2"/>
          <w:sz w:val="21"/>
          <w:szCs w:val="21"/>
          <w:lang w:eastAsia="zh-CN"/>
        </w:rPr>
        <w:t>个日历日；具体服从招标人要求。</w:t>
      </w:r>
    </w:p>
    <w:p w14:paraId="79632FB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b/>
          <w:bCs/>
          <w:color w:val="auto"/>
          <w:kern w:val="2"/>
          <w:sz w:val="21"/>
          <w:szCs w:val="21"/>
          <w:lang w:eastAsia="zh-CN"/>
        </w:rPr>
        <w:t>2、合同价：</w:t>
      </w:r>
      <w:r>
        <w:rPr>
          <w:rFonts w:hint="eastAsia" w:ascii="宋体" w:hAnsi="宋体" w:eastAsia="宋体" w:cs="宋体"/>
          <w:color w:val="auto"/>
          <w:kern w:val="2"/>
          <w:sz w:val="21"/>
          <w:szCs w:val="21"/>
          <w:lang w:eastAsia="zh-CN"/>
        </w:rPr>
        <w:t>含税总价为</w:t>
      </w:r>
      <w:r>
        <w:rPr>
          <w:rFonts w:hint="eastAsia" w:ascii="宋体" w:hAnsi="宋体" w:eastAsia="宋体" w:cs="宋体"/>
          <w:color w:val="auto"/>
          <w:kern w:val="2"/>
          <w:sz w:val="21"/>
          <w:szCs w:val="21"/>
          <w:u w:val="single"/>
          <w:lang w:eastAsia="zh-CN"/>
        </w:rPr>
        <w:t xml:space="preserve">       </w:t>
      </w:r>
      <w:r>
        <w:rPr>
          <w:rFonts w:hint="eastAsia" w:ascii="宋体" w:hAnsi="宋体" w:eastAsia="宋体" w:cs="宋体"/>
          <w:color w:val="auto"/>
          <w:kern w:val="2"/>
          <w:sz w:val="21"/>
          <w:szCs w:val="21"/>
          <w:lang w:eastAsia="zh-CN"/>
        </w:rPr>
        <w:t>元（¥</w:t>
      </w:r>
      <w:r>
        <w:rPr>
          <w:rFonts w:hint="eastAsia" w:ascii="宋体" w:hAnsi="宋体" w:eastAsia="宋体" w:cs="宋体"/>
          <w:color w:val="auto"/>
          <w:kern w:val="2"/>
          <w:sz w:val="21"/>
          <w:szCs w:val="21"/>
          <w:u w:val="single"/>
          <w:lang w:eastAsia="zh-CN"/>
        </w:rPr>
        <w:t xml:space="preserve">      </w:t>
      </w:r>
      <w:r>
        <w:rPr>
          <w:rFonts w:hint="eastAsia" w:ascii="宋体" w:hAnsi="宋体" w:eastAsia="宋体" w:cs="宋体"/>
          <w:color w:val="auto"/>
          <w:kern w:val="2"/>
          <w:sz w:val="21"/>
          <w:szCs w:val="21"/>
          <w:lang w:eastAsia="zh-CN"/>
        </w:rPr>
        <w:t>）。本合同价是指乙方为完成本项目内容及技术服务而涵盖的所有费用。包括但不限于：人工、材料、设备、机械、管理费、利润、措施费、规费、税金以及风险因素。</w:t>
      </w:r>
    </w:p>
    <w:p w14:paraId="0E2C419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乙方应对“采购项目内容及需求”中的全部内容进行报价，包含但不限于软件及硬件的采购及安装、材料设备费(含运输、装卸、保险、材料损耗等)、系统集成费、施工费、机械费、传输网络服务费、系统维护费、软件升级及更新费用、新旧平台的对接、研发、测试、调试、试运行、更新、备品备件费、培训费、人员工资、劳动保护费、保险费用、企业管理费、利润、税金（增值税专票）、技术支持、其他费用、风险费用以及为完全实现本项目的所有功能要求所需的全部费用。凡漏项或少计均视为优惠，甲方不另行增加费用。各类风险和政策性调整等风险已包括在投标报价中，最终结算时除合同约定调整外一律不予调整。</w:t>
      </w:r>
    </w:p>
    <w:p w14:paraId="4E67212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Cs/>
          <w:color w:val="auto"/>
          <w:kern w:val="2"/>
          <w:sz w:val="21"/>
          <w:szCs w:val="21"/>
          <w:lang w:eastAsia="zh-CN"/>
        </w:rPr>
      </w:pPr>
      <w:r>
        <w:rPr>
          <w:rFonts w:hint="eastAsia" w:ascii="宋体" w:hAnsi="宋体" w:eastAsia="宋体" w:cs="宋体"/>
          <w:b/>
          <w:bCs/>
          <w:color w:val="auto"/>
          <w:kern w:val="2"/>
          <w:sz w:val="21"/>
          <w:szCs w:val="21"/>
          <w:lang w:eastAsia="zh-CN"/>
        </w:rPr>
        <w:t>3、技术要求：</w:t>
      </w:r>
      <w:r>
        <w:rPr>
          <w:rFonts w:hint="eastAsia" w:ascii="宋体" w:hAnsi="宋体" w:eastAsia="宋体" w:cs="宋体"/>
          <w:bCs/>
          <w:color w:val="auto"/>
          <w:kern w:val="2"/>
          <w:sz w:val="21"/>
          <w:szCs w:val="21"/>
          <w:lang w:eastAsia="zh-CN"/>
        </w:rPr>
        <w:t>详见</w:t>
      </w:r>
      <w:r>
        <w:rPr>
          <w:rFonts w:hint="eastAsia" w:ascii="宋体" w:hAnsi="宋体" w:eastAsia="宋体" w:cs="宋体"/>
          <w:color w:val="auto"/>
          <w:kern w:val="2"/>
          <w:sz w:val="21"/>
          <w:szCs w:val="21"/>
          <w:lang w:eastAsia="zh-CN"/>
        </w:rPr>
        <w:t>招标文件及投标承诺</w:t>
      </w:r>
      <w:r>
        <w:rPr>
          <w:rFonts w:hint="eastAsia" w:ascii="宋体" w:hAnsi="宋体" w:eastAsia="宋体" w:cs="宋体"/>
          <w:bCs/>
          <w:color w:val="auto"/>
          <w:kern w:val="2"/>
          <w:sz w:val="21"/>
          <w:szCs w:val="21"/>
          <w:lang w:eastAsia="zh-CN"/>
        </w:rPr>
        <w:t>。</w:t>
      </w:r>
    </w:p>
    <w:p w14:paraId="67E913F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sz w:val="21"/>
          <w:szCs w:val="21"/>
          <w:lang w:eastAsia="zh-CN"/>
        </w:rPr>
        <w:t>4、安全生产考核</w:t>
      </w:r>
    </w:p>
    <w:p w14:paraId="04DF007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4.1建设期与运维期安全生产要求</w:t>
      </w:r>
    </w:p>
    <w:p w14:paraId="64DFFAEB">
      <w:pPr>
        <w:widowControl w:val="0"/>
        <w:adjustRightInd w:val="0"/>
        <w:spacing w:line="360" w:lineRule="auto"/>
        <w:ind w:firstLine="420" w:firstLineChars="200"/>
        <w:jc w:val="left"/>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乙方必须认真贯彻执行国家制定的安全生产政策、法律、法规，建设期应确保工程施工安全，违反相关安全规定造成的一切后果均由乙方承担。安全生产要求包括但不限于：</w:t>
      </w:r>
    </w:p>
    <w:p w14:paraId="32D75AC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（1）乙方施工、开工、运行时是安全生产的直接责任人，必须严格执行有关安全生产的规定、制度，按规定在现场设置警示标识和障碍物；施工现场，须有专职安全员和安全管理人员全程监督和检查。</w:t>
      </w:r>
    </w:p>
    <w:p w14:paraId="292CE6C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乙方负责为所有安装、开工、运行施工人员办理医疗及工伤社会保险，并根据需要为从事危险工作的人员购买适当的人身意外伤害保险，在施工过程中如发生人身伤亡事故或财产损失，由乙方全权承担责任；</w:t>
      </w:r>
    </w:p>
    <w:p w14:paraId="6D5100E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（3）乙方应对现场安装、开工、运行施工的行为完全负责，安装施工人员不得违章作业，冒险作业，不能疲劳作业，并按规定做好保护工作；</w:t>
      </w:r>
    </w:p>
    <w:p w14:paraId="470D963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（4）乙方在施工现场人员必须有配备齐全的安全防护用品，不能满足安全施工需要时，人员不得进入施工现场；</w:t>
      </w:r>
    </w:p>
    <w:p w14:paraId="620C3A2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（5）乙方对从事特种作业人员严禁无证上岗或不具备资质的行为；</w:t>
      </w:r>
    </w:p>
    <w:p w14:paraId="57F601F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（6）班组作业必须戴安全帽；</w:t>
      </w:r>
    </w:p>
    <w:p w14:paraId="5424769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（7）班前不得喝酒，在禁止吸烟的区域不得吸烟；</w:t>
      </w:r>
    </w:p>
    <w:p w14:paraId="6BC849D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（8）现场内不得赤脚，不得穿拖鞋、高跟鞋，高空作业需佩戴安全防护设施，不得穿皮鞋和带钉易滑鞋；</w:t>
      </w:r>
    </w:p>
    <w:p w14:paraId="2C11A77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（9）未经相关单位负责人批准，不得随便拆除已架设的安全防护设施及安全装置和安全标牌；</w:t>
      </w:r>
    </w:p>
    <w:p w14:paraId="22C2096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10）施工用电要按照施工安全规范要求设置配电箱等安全设备，并有专业电工负责施工用电，确保用电安全，避免触电伤人事故。不得私自乱接乱拉电线，保护工地上临时用电电缆及配电箱的完好，禁止用材料、工具等压砸电缆电线，确保用电安全；</w:t>
      </w:r>
    </w:p>
    <w:p w14:paraId="20F25F6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（11）未经业主方许可不得在施工现场动火；</w:t>
      </w:r>
    </w:p>
    <w:p w14:paraId="67B7DF8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（12）不得从高处向下抛扔任何物资、材料，堆放时不得超过支撑限重的70%；</w:t>
      </w:r>
    </w:p>
    <w:p w14:paraId="6C14476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（13）不得在高处临边一米范围内堆放活动材料；</w:t>
      </w:r>
    </w:p>
    <w:p w14:paraId="680A0D8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（14）不得在操作面上及高处临边竖立放置工具和线材；</w:t>
      </w:r>
    </w:p>
    <w:p w14:paraId="19C3621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（15）生产施工过程中必须严格遵守安全操作规程；</w:t>
      </w:r>
    </w:p>
    <w:p w14:paraId="7DEB434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（16）合格的基坑在开挖当天完成浇筑，所有开挖坑洞必须设立护栏（或围挡）、警示标识；</w:t>
      </w:r>
    </w:p>
    <w:p w14:paraId="54D7135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（17）不得从雨水井、污水井中敷设电缆；</w:t>
      </w:r>
    </w:p>
    <w:p w14:paraId="0A7E696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（18）夜间作业要求穿反光衣，必须采取必要的照明措施；</w:t>
      </w:r>
    </w:p>
    <w:p w14:paraId="036CAA5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（19）所有特殊作业人员必须持有效证件上岗；</w:t>
      </w:r>
    </w:p>
    <w:p w14:paraId="45C2E4D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（20）施工现场设立防撞锥、警示牌，施工材料和机具按章堆放，不影响交通；</w:t>
      </w:r>
    </w:p>
    <w:p w14:paraId="46DAA5C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（21）施工人员必须当天对垃圾、渣土进行清理，开挖产生的垃圾、渣土，必须当天清理和外运，运输渣土时按照市级与各区城管、市政要求，采用环保封闭渣土车进行运输。开挖结束后必须用围挡防护；</w:t>
      </w:r>
    </w:p>
    <w:p w14:paraId="02B7CE1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（22）乙方应编制可操作性和针对性强的安全文明施工组织设计及安全类专项安全施工方案，在实际施工过程中应严格按照审批后的安全方案组织施工；</w:t>
      </w:r>
    </w:p>
    <w:p w14:paraId="4CFDD4E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（23）施工作业期间，乙方应为本项目配置专职安全员，专职安全员必须每日驻守现场，保持通讯畅通，认真进行现场安全隐患排查。专职安全员因特殊情况需离岗的，必须报经监理单位或业主方批准；</w:t>
      </w:r>
    </w:p>
    <w:p w14:paraId="7E3BAFE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（24）现场指挥和作业人员必须遵照安全技术规范和操作规程文明施工，不得有违章指挥、违章操作和不服从管理等不文明行为。</w:t>
      </w:r>
    </w:p>
    <w:p w14:paraId="024716D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4.2违规处罚</w:t>
      </w:r>
    </w:p>
    <w:p w14:paraId="0A5D9EA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（1）对于违反上述规定要求，经甲方或监理方检查发现或乙方违章施工，违反安全管理要求，不服从安全管理等，甲方有权根据事件的影响程度进行处罚（每次1000元到20000元不等）；</w:t>
      </w:r>
    </w:p>
    <w:p w14:paraId="51BD960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（2）由于乙方没有尽到自身安全责任，违反国家和行业安全管理规定的行为造成安全事故，由乙方承担全部责任；</w:t>
      </w:r>
    </w:p>
    <w:p w14:paraId="581C006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（3）乙方安装施工人员违章违纪作业造成安全事故的，乙方负全部责任，并由乙方承担造成的全部经济损失和刑事责任，每发生一次安全事故扣款10万元。</w:t>
      </w:r>
    </w:p>
    <w:p w14:paraId="622BD00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sz w:val="21"/>
          <w:szCs w:val="21"/>
          <w:lang w:eastAsia="zh-CN"/>
        </w:rPr>
        <w:t>5、竣工验收要求</w:t>
      </w:r>
    </w:p>
    <w:p w14:paraId="24DB4A9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项目竣工，经甲方同意，由甲方组织项目验收。如验收不能通过，实施单位应在验收会议规定的整改期限内对存在问题进行整改，直至系统合格，方能再次组织验收。验收、检测、测评等所需费用由乙方承担。</w:t>
      </w:r>
    </w:p>
    <w:p w14:paraId="14A77FF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甲方所有验收意见将以书面形式做出并加盖甲方公章，因此除非书面明示通过验收，否则任何其他行为（包括但不限于甲方对单个、多个模块或整个系统接收、发布、上线、使用、测试、付款等行为）均不代表已验收合格。</w:t>
      </w:r>
    </w:p>
    <w:p w14:paraId="2BCC3ED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验收前资料准备工作：</w:t>
      </w:r>
    </w:p>
    <w:p w14:paraId="3B1557F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（1）项目应交付的所有过程性文档（包括但不限于软件开发类文档、系统维护类文档、项目验收类文档等）；</w:t>
      </w:r>
    </w:p>
    <w:p w14:paraId="568BBAC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（2）所有项目全过程文件材料及验收材料需按照相关要求进行档案收集、整理和归档工作。</w:t>
      </w:r>
    </w:p>
    <w:p w14:paraId="1343589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sz w:val="21"/>
          <w:szCs w:val="21"/>
          <w:lang w:eastAsia="zh-CN"/>
        </w:rPr>
        <w:t>6、建设期考核指标</w:t>
      </w:r>
    </w:p>
    <w:p w14:paraId="623ACFD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6.1建设期人员考核</w:t>
      </w:r>
    </w:p>
    <w:p w14:paraId="03F6E6CE">
      <w:pPr>
        <w:widowControl w:val="0"/>
        <w:adjustRightInd w:val="0"/>
        <w:spacing w:line="360" w:lineRule="auto"/>
        <w:ind w:firstLine="420" w:firstLineChars="200"/>
        <w:jc w:val="left"/>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项目建设期须按照乙方提供的人员负责项目建设。具体考核要求如下：</w:t>
      </w:r>
    </w:p>
    <w:p w14:paraId="27DEC666">
      <w:pPr>
        <w:widowControl w:val="0"/>
        <w:adjustRightInd w:val="0"/>
        <w:spacing w:line="360" w:lineRule="auto"/>
        <w:ind w:firstLine="420" w:firstLineChars="200"/>
        <w:jc w:val="left"/>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项目人员（项目经理、项目技术负责人、项目工程师）必须和投标提供的人员一致，不可变更，不得兼职。如出现人员变更情形：</w:t>
      </w:r>
    </w:p>
    <w:p w14:paraId="2715B575">
      <w:pPr>
        <w:widowControl w:val="0"/>
        <w:adjustRightInd w:val="0"/>
        <w:spacing w:line="360" w:lineRule="auto"/>
        <w:ind w:firstLine="420" w:firstLineChars="200"/>
        <w:jc w:val="left"/>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实际到场人员资质与投标文件不一致的，按照下列标准扣款。</w:t>
      </w:r>
    </w:p>
    <w:tbl>
      <w:tblPr>
        <w:tblStyle w:val="12"/>
        <w:tblW w:w="8581" w:type="dxa"/>
        <w:jc w:val="center"/>
        <w:tblLayout w:type="fixed"/>
        <w:tblCellMar>
          <w:top w:w="0" w:type="dxa"/>
          <w:left w:w="108" w:type="dxa"/>
          <w:bottom w:w="0" w:type="dxa"/>
          <w:right w:w="108" w:type="dxa"/>
        </w:tblCellMar>
      </w:tblPr>
      <w:tblGrid>
        <w:gridCol w:w="1888"/>
        <w:gridCol w:w="2267"/>
        <w:gridCol w:w="2332"/>
        <w:gridCol w:w="2094"/>
      </w:tblGrid>
      <w:tr w14:paraId="0D0B844B">
        <w:tblPrEx>
          <w:tblCellMar>
            <w:top w:w="0" w:type="dxa"/>
            <w:left w:w="108" w:type="dxa"/>
            <w:bottom w:w="0" w:type="dxa"/>
            <w:right w:w="108" w:type="dxa"/>
          </w:tblCellMar>
        </w:tblPrEx>
        <w:trPr>
          <w:trHeight w:val="749" w:hRule="atLeast"/>
          <w:jc w:val="center"/>
        </w:trPr>
        <w:tc>
          <w:tcPr>
            <w:tcW w:w="1888" w:type="dxa"/>
            <w:tcBorders>
              <w:top w:val="single" w:color="000000" w:sz="4" w:space="0"/>
              <w:left w:val="single" w:color="000000" w:sz="4" w:space="0"/>
              <w:right w:val="single" w:color="000000" w:sz="4" w:space="0"/>
            </w:tcBorders>
            <w:vAlign w:val="center"/>
          </w:tcPr>
          <w:p w14:paraId="48A1FF09">
            <w:pPr>
              <w:adjustRightInd w:val="0"/>
              <w:spacing w:line="360" w:lineRule="exact"/>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岗位名称</w:t>
            </w:r>
          </w:p>
        </w:tc>
        <w:tc>
          <w:tcPr>
            <w:tcW w:w="2267" w:type="dxa"/>
            <w:tcBorders>
              <w:top w:val="single" w:color="000000" w:sz="4" w:space="0"/>
              <w:left w:val="single" w:color="000000" w:sz="4" w:space="0"/>
              <w:right w:val="single" w:color="000000" w:sz="4" w:space="0"/>
            </w:tcBorders>
            <w:vAlign w:val="center"/>
          </w:tcPr>
          <w:p w14:paraId="7C52B2F9">
            <w:pPr>
              <w:adjustRightInd w:val="0"/>
              <w:spacing w:line="360" w:lineRule="exact"/>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擅自更换人员</w:t>
            </w:r>
            <w:r>
              <w:rPr>
                <w:rFonts w:hint="eastAsia" w:ascii="宋体" w:hAnsi="宋体" w:eastAsia="宋体" w:cs="宋体"/>
                <w:color w:val="auto"/>
                <w:kern w:val="2"/>
                <w:sz w:val="21"/>
                <w:szCs w:val="21"/>
                <w:lang w:val="en-US" w:eastAsia="zh-CN"/>
              </w:rPr>
              <w:t xml:space="preserve">      </w:t>
            </w:r>
            <w:r>
              <w:rPr>
                <w:rFonts w:hint="eastAsia" w:ascii="宋体" w:hAnsi="宋体" w:eastAsia="宋体" w:cs="宋体"/>
                <w:color w:val="auto"/>
                <w:kern w:val="2"/>
                <w:sz w:val="21"/>
                <w:szCs w:val="21"/>
                <w:lang w:eastAsia="zh-CN"/>
              </w:rPr>
              <w:t>（每人次）</w:t>
            </w:r>
          </w:p>
        </w:tc>
        <w:tc>
          <w:tcPr>
            <w:tcW w:w="2332" w:type="dxa"/>
            <w:tcBorders>
              <w:top w:val="single" w:color="000000" w:sz="4" w:space="0"/>
              <w:left w:val="single" w:color="000000" w:sz="4" w:space="0"/>
              <w:right w:val="single" w:color="000000" w:sz="4" w:space="0"/>
            </w:tcBorders>
            <w:vAlign w:val="center"/>
          </w:tcPr>
          <w:p w14:paraId="04030B1C">
            <w:pPr>
              <w:adjustRightInd w:val="0"/>
              <w:spacing w:line="360" w:lineRule="exact"/>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因不能胜任当前岗位工作业主方要求更换人员而拒绝更换（每人次）</w:t>
            </w:r>
          </w:p>
        </w:tc>
        <w:tc>
          <w:tcPr>
            <w:tcW w:w="2094" w:type="dxa"/>
            <w:tcBorders>
              <w:top w:val="single" w:color="000000" w:sz="4" w:space="0"/>
              <w:left w:val="single" w:color="000000" w:sz="4" w:space="0"/>
              <w:right w:val="single" w:color="000000" w:sz="4" w:space="0"/>
            </w:tcBorders>
            <w:vAlign w:val="center"/>
          </w:tcPr>
          <w:p w14:paraId="67B187E6">
            <w:pPr>
              <w:adjustRightInd w:val="0"/>
              <w:spacing w:line="360" w:lineRule="exact"/>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擅自离岗违约金标准（元/天·人次）</w:t>
            </w:r>
          </w:p>
        </w:tc>
      </w:tr>
      <w:tr w14:paraId="2894A9B0">
        <w:tblPrEx>
          <w:tblCellMar>
            <w:top w:w="0" w:type="dxa"/>
            <w:left w:w="108" w:type="dxa"/>
            <w:bottom w:w="0" w:type="dxa"/>
            <w:right w:w="108" w:type="dxa"/>
          </w:tblCellMar>
        </w:tblPrEx>
        <w:trPr>
          <w:trHeight w:val="370" w:hRule="atLeast"/>
          <w:jc w:val="center"/>
        </w:trPr>
        <w:tc>
          <w:tcPr>
            <w:tcW w:w="1888" w:type="dxa"/>
            <w:tcBorders>
              <w:top w:val="single" w:color="000000" w:sz="4" w:space="0"/>
              <w:left w:val="single" w:color="000000" w:sz="4" w:space="0"/>
              <w:bottom w:val="single" w:color="000000" w:sz="4" w:space="0"/>
              <w:right w:val="single" w:color="000000" w:sz="4" w:space="0"/>
            </w:tcBorders>
            <w:vAlign w:val="center"/>
          </w:tcPr>
          <w:p w14:paraId="0AD375EE">
            <w:pPr>
              <w:adjustRightInd w:val="0"/>
              <w:spacing w:line="360" w:lineRule="exact"/>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项目经理</w:t>
            </w:r>
          </w:p>
        </w:tc>
        <w:tc>
          <w:tcPr>
            <w:tcW w:w="2267" w:type="dxa"/>
            <w:tcBorders>
              <w:top w:val="single" w:color="000000" w:sz="4" w:space="0"/>
              <w:left w:val="single" w:color="000000" w:sz="4" w:space="0"/>
              <w:bottom w:val="single" w:color="000000" w:sz="4" w:space="0"/>
              <w:right w:val="single" w:color="000000" w:sz="4" w:space="0"/>
            </w:tcBorders>
            <w:vAlign w:val="center"/>
          </w:tcPr>
          <w:p w14:paraId="6C0DE324">
            <w:pPr>
              <w:adjustRightInd w:val="0"/>
              <w:spacing w:line="360" w:lineRule="exact"/>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10万元</w:t>
            </w:r>
          </w:p>
        </w:tc>
        <w:tc>
          <w:tcPr>
            <w:tcW w:w="2332" w:type="dxa"/>
            <w:tcBorders>
              <w:top w:val="single" w:color="000000" w:sz="4" w:space="0"/>
              <w:left w:val="single" w:color="000000" w:sz="4" w:space="0"/>
              <w:bottom w:val="single" w:color="000000" w:sz="4" w:space="0"/>
              <w:right w:val="single" w:color="000000" w:sz="4" w:space="0"/>
            </w:tcBorders>
            <w:vAlign w:val="center"/>
          </w:tcPr>
          <w:p w14:paraId="17103ABE">
            <w:pPr>
              <w:adjustRightInd w:val="0"/>
              <w:spacing w:line="360" w:lineRule="exact"/>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5万元</w:t>
            </w:r>
          </w:p>
        </w:tc>
        <w:tc>
          <w:tcPr>
            <w:tcW w:w="2094" w:type="dxa"/>
            <w:tcBorders>
              <w:top w:val="single" w:color="000000" w:sz="4" w:space="0"/>
              <w:left w:val="single" w:color="000000" w:sz="4" w:space="0"/>
              <w:bottom w:val="single" w:color="000000" w:sz="4" w:space="0"/>
              <w:right w:val="single" w:color="000000" w:sz="4" w:space="0"/>
            </w:tcBorders>
            <w:vAlign w:val="center"/>
          </w:tcPr>
          <w:p w14:paraId="3D1196C0">
            <w:pPr>
              <w:adjustRightInd w:val="0"/>
              <w:spacing w:line="360" w:lineRule="exact"/>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0.4万元</w:t>
            </w:r>
          </w:p>
        </w:tc>
      </w:tr>
      <w:tr w14:paraId="7F172E34">
        <w:tblPrEx>
          <w:tblCellMar>
            <w:top w:w="0" w:type="dxa"/>
            <w:left w:w="108" w:type="dxa"/>
            <w:bottom w:w="0" w:type="dxa"/>
            <w:right w:w="108" w:type="dxa"/>
          </w:tblCellMar>
        </w:tblPrEx>
        <w:trPr>
          <w:trHeight w:val="485" w:hRule="atLeast"/>
          <w:jc w:val="center"/>
        </w:trPr>
        <w:tc>
          <w:tcPr>
            <w:tcW w:w="1888" w:type="dxa"/>
            <w:tcBorders>
              <w:top w:val="single" w:color="000000" w:sz="4" w:space="0"/>
              <w:left w:val="single" w:color="000000" w:sz="4" w:space="0"/>
              <w:bottom w:val="single" w:color="000000" w:sz="4" w:space="0"/>
              <w:right w:val="single" w:color="000000" w:sz="4" w:space="0"/>
            </w:tcBorders>
            <w:vAlign w:val="center"/>
          </w:tcPr>
          <w:p w14:paraId="1F7BC16F">
            <w:pPr>
              <w:adjustRightInd w:val="0"/>
              <w:spacing w:line="360" w:lineRule="exact"/>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项目技术负责人</w:t>
            </w:r>
          </w:p>
        </w:tc>
        <w:tc>
          <w:tcPr>
            <w:tcW w:w="2267" w:type="dxa"/>
            <w:tcBorders>
              <w:top w:val="single" w:color="000000" w:sz="4" w:space="0"/>
              <w:left w:val="single" w:color="000000" w:sz="4" w:space="0"/>
              <w:bottom w:val="single" w:color="000000" w:sz="4" w:space="0"/>
              <w:right w:val="single" w:color="000000" w:sz="4" w:space="0"/>
            </w:tcBorders>
            <w:vAlign w:val="center"/>
          </w:tcPr>
          <w:p w14:paraId="628A7367">
            <w:pPr>
              <w:adjustRightInd w:val="0"/>
              <w:spacing w:line="360" w:lineRule="exact"/>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5万元</w:t>
            </w:r>
          </w:p>
        </w:tc>
        <w:tc>
          <w:tcPr>
            <w:tcW w:w="2332" w:type="dxa"/>
            <w:tcBorders>
              <w:top w:val="single" w:color="000000" w:sz="4" w:space="0"/>
              <w:left w:val="single" w:color="000000" w:sz="4" w:space="0"/>
              <w:bottom w:val="single" w:color="000000" w:sz="4" w:space="0"/>
              <w:right w:val="single" w:color="000000" w:sz="4" w:space="0"/>
            </w:tcBorders>
            <w:vAlign w:val="center"/>
          </w:tcPr>
          <w:p w14:paraId="203783A4">
            <w:pPr>
              <w:adjustRightInd w:val="0"/>
              <w:spacing w:line="360" w:lineRule="exact"/>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2万元</w:t>
            </w:r>
          </w:p>
        </w:tc>
        <w:tc>
          <w:tcPr>
            <w:tcW w:w="2094" w:type="dxa"/>
            <w:tcBorders>
              <w:top w:val="single" w:color="000000" w:sz="4" w:space="0"/>
              <w:left w:val="single" w:color="000000" w:sz="4" w:space="0"/>
              <w:bottom w:val="single" w:color="000000" w:sz="4" w:space="0"/>
              <w:right w:val="single" w:color="000000" w:sz="4" w:space="0"/>
            </w:tcBorders>
            <w:vAlign w:val="center"/>
          </w:tcPr>
          <w:p w14:paraId="2960ED05">
            <w:pPr>
              <w:adjustRightInd w:val="0"/>
              <w:spacing w:line="360" w:lineRule="exact"/>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0.3万元</w:t>
            </w:r>
          </w:p>
        </w:tc>
      </w:tr>
      <w:tr w14:paraId="2CE5A3E3">
        <w:tblPrEx>
          <w:tblCellMar>
            <w:top w:w="0" w:type="dxa"/>
            <w:left w:w="108" w:type="dxa"/>
            <w:bottom w:w="0" w:type="dxa"/>
            <w:right w:w="108" w:type="dxa"/>
          </w:tblCellMar>
        </w:tblPrEx>
        <w:trPr>
          <w:trHeight w:val="485" w:hRule="atLeast"/>
          <w:jc w:val="center"/>
        </w:trPr>
        <w:tc>
          <w:tcPr>
            <w:tcW w:w="1888" w:type="dxa"/>
            <w:tcBorders>
              <w:top w:val="single" w:color="000000" w:sz="4" w:space="0"/>
              <w:left w:val="single" w:color="000000" w:sz="4" w:space="0"/>
              <w:bottom w:val="single" w:color="000000" w:sz="4" w:space="0"/>
              <w:right w:val="single" w:color="000000" w:sz="4" w:space="0"/>
            </w:tcBorders>
            <w:vAlign w:val="center"/>
          </w:tcPr>
          <w:p w14:paraId="57898F23">
            <w:pPr>
              <w:adjustRightInd w:val="0"/>
              <w:spacing w:line="360" w:lineRule="exact"/>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项目工程师</w:t>
            </w:r>
          </w:p>
        </w:tc>
        <w:tc>
          <w:tcPr>
            <w:tcW w:w="2267" w:type="dxa"/>
            <w:tcBorders>
              <w:top w:val="single" w:color="000000" w:sz="4" w:space="0"/>
              <w:left w:val="single" w:color="000000" w:sz="4" w:space="0"/>
              <w:bottom w:val="single" w:color="000000" w:sz="4" w:space="0"/>
              <w:right w:val="single" w:color="000000" w:sz="4" w:space="0"/>
            </w:tcBorders>
            <w:vAlign w:val="center"/>
          </w:tcPr>
          <w:p w14:paraId="5162DBEE">
            <w:pPr>
              <w:adjustRightInd w:val="0"/>
              <w:spacing w:line="360" w:lineRule="exact"/>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3万元</w:t>
            </w:r>
          </w:p>
        </w:tc>
        <w:tc>
          <w:tcPr>
            <w:tcW w:w="2332" w:type="dxa"/>
            <w:tcBorders>
              <w:top w:val="single" w:color="000000" w:sz="4" w:space="0"/>
              <w:left w:val="single" w:color="000000" w:sz="4" w:space="0"/>
              <w:bottom w:val="single" w:color="000000" w:sz="4" w:space="0"/>
              <w:right w:val="single" w:color="000000" w:sz="4" w:space="0"/>
            </w:tcBorders>
            <w:vAlign w:val="center"/>
          </w:tcPr>
          <w:p w14:paraId="54952016">
            <w:pPr>
              <w:adjustRightInd w:val="0"/>
              <w:spacing w:line="360" w:lineRule="exact"/>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0.5万元</w:t>
            </w:r>
          </w:p>
        </w:tc>
        <w:tc>
          <w:tcPr>
            <w:tcW w:w="2094" w:type="dxa"/>
            <w:tcBorders>
              <w:top w:val="single" w:color="000000" w:sz="4" w:space="0"/>
              <w:left w:val="single" w:color="000000" w:sz="4" w:space="0"/>
              <w:bottom w:val="single" w:color="000000" w:sz="4" w:space="0"/>
              <w:right w:val="single" w:color="000000" w:sz="4" w:space="0"/>
            </w:tcBorders>
            <w:vAlign w:val="center"/>
          </w:tcPr>
          <w:p w14:paraId="752CD36C">
            <w:pPr>
              <w:adjustRightInd w:val="0"/>
              <w:spacing w:line="360" w:lineRule="exact"/>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0.2万元</w:t>
            </w:r>
          </w:p>
        </w:tc>
      </w:tr>
      <w:tr w14:paraId="4C589801">
        <w:tblPrEx>
          <w:tblCellMar>
            <w:top w:w="0" w:type="dxa"/>
            <w:left w:w="108" w:type="dxa"/>
            <w:bottom w:w="0" w:type="dxa"/>
            <w:right w:w="108" w:type="dxa"/>
          </w:tblCellMar>
        </w:tblPrEx>
        <w:trPr>
          <w:trHeight w:val="477" w:hRule="atLeast"/>
          <w:jc w:val="center"/>
        </w:trPr>
        <w:tc>
          <w:tcPr>
            <w:tcW w:w="1888" w:type="dxa"/>
            <w:tcBorders>
              <w:top w:val="single" w:color="000000" w:sz="4" w:space="0"/>
              <w:left w:val="single" w:color="000000" w:sz="4" w:space="0"/>
              <w:bottom w:val="single" w:color="000000" w:sz="4" w:space="0"/>
              <w:right w:val="single" w:color="000000" w:sz="4" w:space="0"/>
            </w:tcBorders>
            <w:vAlign w:val="center"/>
          </w:tcPr>
          <w:p w14:paraId="15918D67">
            <w:pPr>
              <w:adjustRightInd w:val="0"/>
              <w:spacing w:line="360" w:lineRule="exact"/>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项目运维经理</w:t>
            </w:r>
          </w:p>
        </w:tc>
        <w:tc>
          <w:tcPr>
            <w:tcW w:w="2267" w:type="dxa"/>
            <w:tcBorders>
              <w:top w:val="single" w:color="000000" w:sz="4" w:space="0"/>
              <w:left w:val="single" w:color="000000" w:sz="4" w:space="0"/>
              <w:bottom w:val="single" w:color="000000" w:sz="4" w:space="0"/>
              <w:right w:val="single" w:color="000000" w:sz="4" w:space="0"/>
            </w:tcBorders>
            <w:vAlign w:val="center"/>
          </w:tcPr>
          <w:p w14:paraId="3ADF42F0">
            <w:pPr>
              <w:adjustRightInd w:val="0"/>
              <w:spacing w:line="360" w:lineRule="exact"/>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1万元</w:t>
            </w:r>
          </w:p>
        </w:tc>
        <w:tc>
          <w:tcPr>
            <w:tcW w:w="2332" w:type="dxa"/>
            <w:tcBorders>
              <w:top w:val="single" w:color="000000" w:sz="4" w:space="0"/>
              <w:left w:val="single" w:color="000000" w:sz="4" w:space="0"/>
              <w:bottom w:val="single" w:color="000000" w:sz="4" w:space="0"/>
              <w:right w:val="single" w:color="000000" w:sz="4" w:space="0"/>
            </w:tcBorders>
            <w:vAlign w:val="center"/>
          </w:tcPr>
          <w:p w14:paraId="75FA2540">
            <w:pPr>
              <w:adjustRightInd w:val="0"/>
              <w:spacing w:line="360" w:lineRule="exact"/>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0.2万元</w:t>
            </w:r>
          </w:p>
        </w:tc>
        <w:tc>
          <w:tcPr>
            <w:tcW w:w="2094" w:type="dxa"/>
            <w:tcBorders>
              <w:top w:val="single" w:color="000000" w:sz="4" w:space="0"/>
              <w:left w:val="single" w:color="000000" w:sz="4" w:space="0"/>
              <w:bottom w:val="single" w:color="000000" w:sz="4" w:space="0"/>
              <w:right w:val="single" w:color="000000" w:sz="4" w:space="0"/>
            </w:tcBorders>
            <w:vAlign w:val="center"/>
          </w:tcPr>
          <w:p w14:paraId="3AACBFC9">
            <w:pPr>
              <w:adjustRightInd w:val="0"/>
              <w:spacing w:line="360" w:lineRule="exact"/>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0.1万元</w:t>
            </w:r>
          </w:p>
        </w:tc>
      </w:tr>
    </w:tbl>
    <w:p w14:paraId="6928B9B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6.2建设期进度考核</w:t>
      </w:r>
    </w:p>
    <w:p w14:paraId="6245AD0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工期具体为自合同签订之日起</w:t>
      </w:r>
      <w:r>
        <w:rPr>
          <w:rFonts w:hint="eastAsia" w:ascii="宋体" w:hAnsi="宋体" w:eastAsia="宋体" w:cs="宋体"/>
          <w:color w:val="auto"/>
          <w:kern w:val="2"/>
          <w:sz w:val="21"/>
          <w:szCs w:val="21"/>
          <w:lang w:val="en-US" w:eastAsia="zh-CN"/>
        </w:rPr>
        <w:t>90</w:t>
      </w:r>
      <w:r>
        <w:rPr>
          <w:rFonts w:hint="eastAsia" w:ascii="宋体" w:hAnsi="宋体" w:eastAsia="宋体" w:cs="宋体"/>
          <w:color w:val="auto"/>
          <w:kern w:val="2"/>
          <w:sz w:val="21"/>
          <w:szCs w:val="21"/>
          <w:lang w:eastAsia="zh-CN"/>
        </w:rPr>
        <w:t>个日历日竣工。超出建设工期的，按照每超出一天扣款项目合同价的0.1%，超期6个月未竣工交付的，甲方有权取消项目合同，拒绝支付剩余费用，要求乙方全额返还已付款项，并追究乙方相关法律责任。</w:t>
      </w:r>
    </w:p>
    <w:p w14:paraId="592BFA3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在项目进入下一道工序前必须通知监理及甲方现场检查，对不符合项目要求的进行整改，合格后方可进入下一阶段。若未按照上述规定，除继续履行相关规定外，按5000元/次罚款。</w:t>
      </w:r>
    </w:p>
    <w:p w14:paraId="5972419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乙方在开工前，应编制施工总进度计划及根据总工期、关键节点形象进度控制要求，分解编制月进度计划，并报业主方及监理方审核通过后执行，严格执行月进度计划服从总进度计划的原则。施工总进度计划与开工报告一起提交，月进度计划在每月25日前提交。违反此规定者，按5000元/次罚款。进度计划编制不合理的，按5000元/次罚款。</w:t>
      </w:r>
    </w:p>
    <w:p w14:paraId="3D7E180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7、运维期考核指标</w:t>
      </w:r>
    </w:p>
    <w:p w14:paraId="25662AE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7.1运维保障服务要求</w:t>
      </w:r>
    </w:p>
    <w:p w14:paraId="4290B161">
      <w:pPr>
        <w:widowControl w:val="0"/>
        <w:adjustRightInd w:val="0"/>
        <w:spacing w:line="360" w:lineRule="auto"/>
        <w:ind w:firstLine="420" w:firstLineChars="200"/>
        <w:jc w:val="left"/>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建立完善的运维保障机制，组织开展以下运维保障服务工作：</w:t>
      </w:r>
    </w:p>
    <w:p w14:paraId="2914D3B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（1）运维期内提供包括巡检、维护、维修、故障排除、系统优化、配合软件升级、应急服务、数据容灾在内的多项服务。</w:t>
      </w:r>
    </w:p>
    <w:p w14:paraId="76AD50E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（2）设备巡检、维护：质保期间，投标人应提供不少于每季度一次的后端设备巡检；故障自动告警后主动响应时间不得超过30分钟；日常巡检应在完成后3日内提供巡检报告。</w:t>
      </w:r>
    </w:p>
    <w:p w14:paraId="37C80AD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（3）故障处理：应能实时响应系统故障自动告警，维修人员应在合同约定的时限内完成修复。</w:t>
      </w:r>
    </w:p>
    <w:p w14:paraId="5AA2836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（4）电话支持：提供7</w:t>
      </w:r>
      <w:r>
        <w:rPr>
          <w:rFonts w:hint="eastAsia" w:ascii="宋体" w:hAnsi="宋体" w:eastAsia="宋体" w:cs="宋体"/>
          <w:color w:val="auto"/>
          <w:kern w:val="2"/>
          <w:sz w:val="21"/>
          <w:szCs w:val="21"/>
          <w:lang w:val="en-US" w:eastAsia="zh-CN"/>
        </w:rPr>
        <w:t>*</w:t>
      </w:r>
      <w:r>
        <w:rPr>
          <w:rFonts w:hint="eastAsia" w:ascii="宋体" w:hAnsi="宋体" w:eastAsia="宋体" w:cs="宋体"/>
          <w:color w:val="auto"/>
          <w:kern w:val="2"/>
          <w:sz w:val="21"/>
          <w:szCs w:val="21"/>
          <w:lang w:eastAsia="zh-CN"/>
        </w:rPr>
        <w:t>24小时电话技术指导和现场咨询服务。</w:t>
      </w:r>
    </w:p>
    <w:p w14:paraId="38B6A40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（5）系统优化：根据巡检报告及用户需求提供优化方案，经招标人认可后执行系统优化。</w:t>
      </w:r>
    </w:p>
    <w:p w14:paraId="6D0DF93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6）技术培训：须提供一般工作人员的操作培训和技术人员的原厂技术培训，使其具备数字视频系统操作管理维护能力。培训应分类进行，包括技术人员培训，操作员培训等，具体培训计划及时间、地点由双方商定。</w:t>
      </w:r>
    </w:p>
    <w:p w14:paraId="20DEDC2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（7）备品备件：投标人应提供备品备件，提供的备品备件应满足项目日常维护需求。</w:t>
      </w:r>
    </w:p>
    <w:p w14:paraId="0A2B149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（8）应急保障服务：特殊重大活动期间，按招标人要求提供现场保障服务。</w:t>
      </w:r>
    </w:p>
    <w:p w14:paraId="781B2A6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7.2运维保障人员要求</w:t>
      </w:r>
    </w:p>
    <w:p w14:paraId="77E175E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系统运维期内，建设运维服务商负责配置相应的运维人员进行服务，确保运维响应迅速、高效。在服务期内提供报修电话，提供7</w:t>
      </w:r>
      <w:r>
        <w:rPr>
          <w:rFonts w:hint="eastAsia" w:ascii="宋体" w:hAnsi="宋体" w:eastAsia="宋体" w:cs="宋体"/>
          <w:color w:val="auto"/>
          <w:kern w:val="2"/>
          <w:sz w:val="21"/>
          <w:szCs w:val="21"/>
          <w:lang w:val="en-US" w:eastAsia="zh-CN"/>
        </w:rPr>
        <w:t>*</w:t>
      </w:r>
      <w:r>
        <w:rPr>
          <w:rFonts w:hint="eastAsia" w:ascii="宋体" w:hAnsi="宋体" w:eastAsia="宋体" w:cs="宋体"/>
          <w:color w:val="auto"/>
          <w:kern w:val="2"/>
          <w:sz w:val="21"/>
          <w:szCs w:val="21"/>
          <w:lang w:eastAsia="zh-CN"/>
        </w:rPr>
        <w:t>24小时服务。如出现故障，响应时间小于1小时，必须在2小时内到达现场处理，一般故障12小时内修复，重大故障在24小时内修复。</w:t>
      </w:r>
    </w:p>
    <w:p w14:paraId="2828FA11">
      <w:pPr>
        <w:keepNext w:val="0"/>
        <w:keepLines w:val="0"/>
        <w:pageBreakBefore w:val="0"/>
        <w:widowControl w:val="0"/>
        <w:spacing w:line="500" w:lineRule="exact"/>
        <w:ind w:left="0" w:firstLine="48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7.3运维管理</w:t>
      </w:r>
    </w:p>
    <w:p w14:paraId="4A248EAA">
      <w:pPr>
        <w:keepNext w:val="0"/>
        <w:keepLines w:val="0"/>
        <w:pageBreakBefore w:val="0"/>
        <w:widowControl w:val="0"/>
        <w:spacing w:line="50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7.3.1</w:t>
      </w:r>
      <w:r>
        <w:rPr>
          <w:rFonts w:hint="eastAsia" w:ascii="宋体" w:hAnsi="宋体" w:eastAsia="宋体" w:cs="宋体"/>
          <w:color w:val="auto"/>
          <w:sz w:val="21"/>
          <w:szCs w:val="21"/>
          <w:highlight w:val="none"/>
        </w:rPr>
        <w:t>质保期内同一设备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本次采购的新设备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一年内发生2次故障而维修的，乙方须免费更换投标产品同型号的迭代产品或优于投标产品同型号的设备。</w:t>
      </w:r>
    </w:p>
    <w:p w14:paraId="59EB1784">
      <w:pPr>
        <w:keepNext w:val="0"/>
        <w:keepLines w:val="0"/>
        <w:pageBreakBefore w:val="0"/>
        <w:widowControl w:val="0"/>
        <w:spacing w:line="50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7.3.2</w:t>
      </w:r>
      <w:r>
        <w:rPr>
          <w:rFonts w:hint="eastAsia" w:ascii="宋体" w:hAnsi="宋体" w:eastAsia="宋体" w:cs="宋体"/>
          <w:color w:val="auto"/>
          <w:sz w:val="21"/>
          <w:szCs w:val="21"/>
          <w:highlight w:val="none"/>
        </w:rPr>
        <w:t>设备发生故障，乙方未按期修复或临时替换设备投入使用的，</w:t>
      </w:r>
      <w:r>
        <w:rPr>
          <w:rFonts w:hint="eastAsia" w:ascii="宋体" w:hAnsi="宋体" w:cs="宋体"/>
          <w:color w:val="auto"/>
          <w:sz w:val="21"/>
          <w:szCs w:val="21"/>
          <w:highlight w:val="none"/>
          <w:lang w:eastAsia="zh-CN"/>
        </w:rPr>
        <w:t>甲方</w:t>
      </w:r>
      <w:r>
        <w:rPr>
          <w:rFonts w:hint="eastAsia" w:ascii="宋体" w:hAnsi="宋体" w:eastAsia="宋体" w:cs="宋体"/>
          <w:color w:val="auto"/>
          <w:sz w:val="21"/>
          <w:szCs w:val="21"/>
          <w:highlight w:val="none"/>
        </w:rPr>
        <w:t>有权自行进行安排修复、临时替换或直接更换设备，所产生的一切费用由</w:t>
      </w:r>
      <w:r>
        <w:rPr>
          <w:rFonts w:hint="eastAsia" w:ascii="宋体" w:hAnsi="宋体" w:cs="宋体"/>
          <w:color w:val="auto"/>
          <w:sz w:val="21"/>
          <w:szCs w:val="21"/>
          <w:highlight w:val="none"/>
          <w:lang w:eastAsia="zh-CN"/>
        </w:rPr>
        <w:t>乙方</w:t>
      </w:r>
      <w:r>
        <w:rPr>
          <w:rFonts w:hint="eastAsia" w:ascii="宋体" w:hAnsi="宋体" w:eastAsia="宋体" w:cs="宋体"/>
          <w:color w:val="auto"/>
          <w:sz w:val="21"/>
          <w:szCs w:val="21"/>
          <w:highlight w:val="none"/>
        </w:rPr>
        <w:t>承担，并在后续</w:t>
      </w:r>
      <w:r>
        <w:rPr>
          <w:rFonts w:hint="eastAsia" w:ascii="宋体" w:hAnsi="宋体" w:eastAsia="宋体" w:cs="宋体"/>
          <w:color w:val="auto"/>
          <w:sz w:val="21"/>
          <w:szCs w:val="21"/>
          <w:highlight w:val="none"/>
          <w:lang w:val="en-US" w:eastAsia="zh-CN"/>
        </w:rPr>
        <w:t>支</w:t>
      </w:r>
      <w:r>
        <w:rPr>
          <w:rFonts w:hint="eastAsia" w:ascii="宋体" w:hAnsi="宋体" w:eastAsia="宋体" w:cs="宋体"/>
          <w:color w:val="auto"/>
          <w:sz w:val="21"/>
          <w:szCs w:val="21"/>
          <w:highlight w:val="none"/>
        </w:rPr>
        <w:t>付款项中扣除。</w:t>
      </w:r>
    </w:p>
    <w:p w14:paraId="1A1D95D5">
      <w:pPr>
        <w:spacing w:line="500" w:lineRule="exact"/>
        <w:ind w:firstLine="48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7.3.3</w:t>
      </w:r>
      <w:r>
        <w:rPr>
          <w:rFonts w:hint="eastAsia" w:ascii="宋体" w:hAnsi="宋体" w:eastAsia="宋体" w:cs="宋体"/>
          <w:color w:val="auto"/>
          <w:sz w:val="21"/>
          <w:szCs w:val="21"/>
          <w:highlight w:val="none"/>
        </w:rPr>
        <w:t>乙方须积极开展巡查工作。如因城市更新或其他原因导致设备丢失的，由乙方承担损失。</w:t>
      </w:r>
      <w:r>
        <w:rPr>
          <w:rFonts w:hint="eastAsia" w:ascii="宋体" w:hAnsi="宋体" w:eastAsia="宋体" w:cs="宋体"/>
          <w:b/>
          <w:bCs/>
          <w:color w:val="auto"/>
          <w:sz w:val="21"/>
          <w:szCs w:val="21"/>
          <w:highlight w:val="none"/>
        </w:rPr>
        <w:t>如</w:t>
      </w:r>
      <w:r>
        <w:rPr>
          <w:rFonts w:hint="eastAsia" w:ascii="宋体" w:hAnsi="宋体" w:eastAsia="宋体" w:cs="宋体"/>
          <w:b/>
          <w:bCs/>
          <w:color w:val="auto"/>
          <w:sz w:val="21"/>
          <w:szCs w:val="21"/>
          <w:highlight w:val="none"/>
          <w:lang w:val="en-US" w:eastAsia="zh-CN"/>
        </w:rPr>
        <w:t>因市政建设、应用场景变化等原因</w:t>
      </w:r>
      <w:r>
        <w:rPr>
          <w:rFonts w:hint="eastAsia" w:ascii="宋体" w:hAnsi="宋体" w:eastAsia="宋体" w:cs="宋体"/>
          <w:b/>
          <w:bCs/>
          <w:color w:val="auto"/>
          <w:sz w:val="21"/>
          <w:szCs w:val="21"/>
          <w:highlight w:val="none"/>
        </w:rPr>
        <w:t>发生本项目设备点位迁移需求的，乙方须</w:t>
      </w:r>
      <w:r>
        <w:rPr>
          <w:rFonts w:hint="eastAsia" w:ascii="宋体" w:hAnsi="宋体" w:eastAsia="宋体" w:cs="宋体"/>
          <w:b/>
          <w:bCs/>
          <w:color w:val="auto"/>
          <w:sz w:val="21"/>
          <w:szCs w:val="21"/>
          <w:highlight w:val="none"/>
          <w:lang w:val="en-US" w:eastAsia="zh-CN"/>
        </w:rPr>
        <w:t>立即按照甲方指定位置在30天内完成迁移</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所有费用</w:t>
      </w:r>
      <w:r>
        <w:rPr>
          <w:rFonts w:hint="eastAsia" w:ascii="宋体" w:hAnsi="宋体" w:eastAsia="宋体" w:cs="宋体"/>
          <w:b/>
          <w:bCs/>
          <w:color w:val="auto"/>
          <w:sz w:val="21"/>
          <w:szCs w:val="21"/>
          <w:highlight w:val="none"/>
        </w:rPr>
        <w:t>由乙方</w:t>
      </w:r>
      <w:r>
        <w:rPr>
          <w:rFonts w:hint="eastAsia" w:ascii="宋体" w:hAnsi="宋体" w:eastAsia="宋体" w:cs="宋体"/>
          <w:b/>
          <w:bCs/>
          <w:color w:val="auto"/>
          <w:sz w:val="21"/>
          <w:szCs w:val="21"/>
          <w:highlight w:val="none"/>
          <w:lang w:val="en-US" w:eastAsia="zh-CN"/>
        </w:rPr>
        <w:t>承担</w:t>
      </w:r>
      <w:r>
        <w:rPr>
          <w:rFonts w:hint="eastAsia" w:ascii="宋体" w:hAnsi="宋体" w:eastAsia="宋体" w:cs="宋体"/>
          <w:b/>
          <w:bCs/>
          <w:color w:val="auto"/>
          <w:sz w:val="21"/>
          <w:szCs w:val="21"/>
          <w:highlight w:val="none"/>
        </w:rPr>
        <w:t>，逾期</w:t>
      </w:r>
      <w:r>
        <w:rPr>
          <w:rFonts w:hint="eastAsia" w:ascii="宋体" w:hAnsi="宋体" w:eastAsia="宋体" w:cs="宋体"/>
          <w:b/>
          <w:bCs/>
          <w:color w:val="auto"/>
          <w:sz w:val="21"/>
          <w:szCs w:val="21"/>
          <w:highlight w:val="none"/>
          <w:lang w:val="en-US" w:eastAsia="zh-CN"/>
        </w:rPr>
        <w:t>或未按要求调整的，甲方</w:t>
      </w:r>
      <w:r>
        <w:rPr>
          <w:rFonts w:hint="eastAsia" w:ascii="宋体" w:hAnsi="宋体" w:eastAsia="宋体" w:cs="宋体"/>
          <w:b/>
          <w:bCs/>
          <w:color w:val="auto"/>
          <w:sz w:val="21"/>
          <w:szCs w:val="21"/>
          <w:highlight w:val="none"/>
        </w:rPr>
        <w:t>按照</w:t>
      </w:r>
      <w:r>
        <w:rPr>
          <w:rFonts w:hint="eastAsia" w:ascii="宋体" w:hAnsi="宋体" w:eastAsia="宋体" w:cs="宋体"/>
          <w:b/>
          <w:bCs/>
          <w:color w:val="auto"/>
          <w:sz w:val="21"/>
          <w:szCs w:val="21"/>
          <w:highlight w:val="none"/>
          <w:lang w:val="en-US" w:eastAsia="zh-CN"/>
        </w:rPr>
        <w:t>每个点位</w:t>
      </w:r>
      <w:r>
        <w:rPr>
          <w:rFonts w:hint="eastAsia" w:ascii="宋体" w:hAnsi="宋体" w:eastAsia="宋体" w:cs="宋体"/>
          <w:b/>
          <w:bCs/>
          <w:color w:val="auto"/>
          <w:sz w:val="21"/>
          <w:szCs w:val="21"/>
          <w:highlight w:val="none"/>
        </w:rPr>
        <w:t>5000元扣除乙方费用</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拒不完成的，甲方有权自行安排人员实施，所产生的费用由乙方全额承担。</w:t>
      </w:r>
    </w:p>
    <w:p w14:paraId="33A4E1A0">
      <w:pPr>
        <w:spacing w:line="500" w:lineRule="exact"/>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7.3.4运维期间，每月考核前端感知监控设备的在线率，前端监控月平均在线率低于98%，每低一个百分点，扣款3000元。</w:t>
      </w:r>
    </w:p>
    <w:p w14:paraId="7EE8A1DD">
      <w:pPr>
        <w:spacing w:line="500" w:lineRule="exact"/>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7.3.5维修要求：一般故障。7：00-22：00的时间段内，对中心硬件故障应于30分钟内赶到现场，对前端设备故障应于2小时内赶到现场；其他时间段，对中心硬件故障应于1小时内赶到现场，对前端设备故障应于3小时内赶到现场。紧急故障。7：00-22：00的时间段内，对中心硬件,故障应立即赶到现场，对前端设备故障应于1小时内赶到现场；其他时间段，对中心硬件故障应于30分钟内赶到现场，对前端设备故障应于2小时内赶到现场。</w:t>
      </w:r>
    </w:p>
    <w:p w14:paraId="1F14AC67">
      <w:pPr>
        <w:spacing w:line="500" w:lineRule="exact"/>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7.3.6在</w:t>
      </w:r>
      <w:r>
        <w:rPr>
          <w:rFonts w:hint="eastAsia" w:ascii="宋体" w:hAnsi="宋体" w:eastAsia="宋体" w:cs="宋体"/>
          <w:color w:val="auto"/>
          <w:sz w:val="21"/>
          <w:szCs w:val="21"/>
          <w:highlight w:val="none"/>
        </w:rPr>
        <w:t>质</w:t>
      </w:r>
      <w:r>
        <w:rPr>
          <w:rFonts w:hint="eastAsia" w:ascii="宋体" w:hAnsi="宋体" w:eastAsia="宋体" w:cs="宋体"/>
          <w:color w:val="auto"/>
          <w:sz w:val="21"/>
          <w:szCs w:val="21"/>
          <w:highlight w:val="none"/>
          <w:lang w:val="en-US" w:eastAsia="zh-CN"/>
        </w:rPr>
        <w:t>保期间，维修时间未达时间要求的，视为逾期未能修复，每24小时为一次维修事故，直至完全修复为止，每次维修事故扣款2000元。如因硬件设备故障无法修复，在向书面说明原因的同时，应立即更换配件，性能应不低于原配件；确因自然灾害不可抗力导致的故障设备无法修复的，经批准后，归为停用设备，不计入在用设备总量。</w:t>
      </w:r>
    </w:p>
    <w:p w14:paraId="75573299">
      <w:pPr>
        <w:spacing w:line="500" w:lineRule="exact"/>
        <w:ind w:firstLine="480"/>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lang w:val="en-US" w:eastAsia="zh-CN"/>
        </w:rPr>
        <w:t>7.3.7以上所有扣款方式不与付款结算冲突，每月考核扣款情况由盐南公安分局大数据实战大队汇总定期移交财务部门。</w:t>
      </w:r>
    </w:p>
    <w:p w14:paraId="6252CCF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sz w:val="21"/>
          <w:szCs w:val="21"/>
          <w:lang w:eastAsia="zh-CN"/>
        </w:rPr>
        <w:t>8、专利权和货物相关的更改要求</w:t>
      </w:r>
    </w:p>
    <w:p w14:paraId="6B66C23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8.1乙方应保护甲方在使用该货物时不受第三方提出侵犯专利权、商标权或工业设计权的指控。如果任何第三方提出侵权指控，乙方须与第三方交涉并承担可能发生的一切法律责任和费用。</w:t>
      </w:r>
    </w:p>
    <w:p w14:paraId="2C1D5A0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8.2乙方应保证投标文件、资料及合同的履行均未侵犯他人的知识产权，否则必须承担全部责任。若乙方使用了他人的专利、专有技术，涉及的费用由乙方承担。</w:t>
      </w:r>
    </w:p>
    <w:p w14:paraId="273ABC3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8.3本次供应的货物应为完整的货物及所相关的功能，乙方应无条件提供，由于设计及其他原因所造成的额外费用由乙方自行承担。如果甲方要求删除部分货物、功能及其服务，乙方应予在合同总价中扣除该部分的价格。甲方就部分货物及其功能作修改时，乙方应予以充分配合。</w:t>
      </w:r>
    </w:p>
    <w:p w14:paraId="4C4EA0D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8.4在合同执行过程中，如果国家相应的技术规范作出调整，或货物的技术有了较大的更新，乙方应相应地更改所供货物的相应部件，所发生的费用应予以相应的增减。</w:t>
      </w:r>
    </w:p>
    <w:p w14:paraId="6B6F0E0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8.5保密及版权要求，由于该项目涉及到大量的公安系统及数据，中标人在与招标人签订合同时，必须对合作过程中涉及的公安工作秘密、业务需求、协议、技术成果等内容和相关事务保密并与甲方签订保密协议。</w:t>
      </w:r>
    </w:p>
    <w:p w14:paraId="380C05D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sz w:val="21"/>
          <w:szCs w:val="21"/>
          <w:lang w:eastAsia="zh-CN"/>
        </w:rPr>
        <w:t>9、工期及质保要求</w:t>
      </w:r>
    </w:p>
    <w:p w14:paraId="0A8E341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9.1工期具体为自合同签订之日起</w:t>
      </w:r>
      <w:r>
        <w:rPr>
          <w:rFonts w:hint="eastAsia" w:ascii="宋体" w:hAnsi="宋体" w:eastAsia="宋体" w:cs="宋体"/>
          <w:color w:val="auto"/>
          <w:kern w:val="2"/>
          <w:sz w:val="21"/>
          <w:szCs w:val="21"/>
          <w:lang w:val="en-US" w:eastAsia="zh-CN"/>
        </w:rPr>
        <w:t>90</w:t>
      </w:r>
      <w:r>
        <w:rPr>
          <w:rFonts w:hint="eastAsia" w:ascii="宋体" w:hAnsi="宋体" w:eastAsia="宋体" w:cs="宋体"/>
          <w:color w:val="auto"/>
          <w:kern w:val="2"/>
          <w:sz w:val="21"/>
          <w:szCs w:val="21"/>
          <w:lang w:eastAsia="zh-CN"/>
        </w:rPr>
        <w:t>个日历日。</w:t>
      </w:r>
    </w:p>
    <w:p w14:paraId="639B4F8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9.2乙方在接到甲方书面通知之日起三日内，派有关技术人员勘测本合同项目的货物安装现场。</w:t>
      </w:r>
    </w:p>
    <w:p w14:paraId="0B7308C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9.3根据招标文件要求和投标承诺，待合同所供货物由乙方按期、按质、按量供货及安装、调试（含试运行）完毕，经过验收合格（达到甲方可投入使用条件）并提供相关文件后，甲、乙双方办理正式移交手续并以次日起开始计算。</w:t>
      </w:r>
    </w:p>
    <w:p w14:paraId="1D8A126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所有设备和系统维护相应质保期为工程验收合格后3年。期间，投标人应无条件免费确保设备正常工作、系统正常运行，并预留系统长期正常运行所需的备品备件；包括不可抗力之外的外场设备意外受损(如交通事故、撞击、被盗等意外)、道路维修等均由投标人负责免费增补、更换和修复。凡设备和系统运行等出现故障，维护人员应在4小时内到达现场，不得推托(紧急情况，在2小时内到达现场)，24小时内排除故障(特殊情况除外)，否则招标人将自行采取必要措施，由此产生的风险和费用由投标人承担。</w:t>
      </w:r>
    </w:p>
    <w:p w14:paraId="07EDB0C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color w:val="auto"/>
          <w:kern w:val="2"/>
          <w:sz w:val="21"/>
          <w:szCs w:val="21"/>
          <w:lang w:eastAsia="zh-CN"/>
        </w:rPr>
      </w:pPr>
      <w:r>
        <w:rPr>
          <w:rFonts w:hint="eastAsia" w:ascii="宋体" w:hAnsi="宋体" w:eastAsia="宋体" w:cs="宋体"/>
          <w:b/>
          <w:color w:val="auto"/>
          <w:kern w:val="2"/>
          <w:sz w:val="21"/>
          <w:szCs w:val="21"/>
          <w:lang w:eastAsia="zh-CN"/>
        </w:rPr>
        <w:t>10、付款方式</w:t>
      </w:r>
    </w:p>
    <w:p w14:paraId="6156581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10.1合同签订后10个工作日内（自收到发票之日起），甲方支付乙方合同价的30%作为预付款；</w:t>
      </w:r>
    </w:p>
    <w:p w14:paraId="42EEA89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10.2项目供货完毕，安装、调试结束并通过甲方验收合格后，可付至合同款的60%，项目变更减少的按实际完成工程量付款，增加工程量变更、签证部分在审计结论出具之前暂不付款；</w:t>
      </w:r>
    </w:p>
    <w:p w14:paraId="182C11E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10.3竣工验收合格后，区里相关部门实施一审，按审定价的70%支付，余款待区里相关审计部门二审结束后或盐城市审计局政府审计结束后，可按审计价的97%付款。质保金待质保期满经移交验收合格后，根据考核条款扣除相关考核金（扣完为止）最终结清。</w:t>
      </w:r>
    </w:p>
    <w:p w14:paraId="3B8C34E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10.4对盐城市审计局未出具政府审计报告但已出具经复核结束《审计结果函》，且明确提出建设单位可按审计结果办理相关价款结算的，视同最终政府审计报告办理结算。</w:t>
      </w:r>
    </w:p>
    <w:p w14:paraId="6408112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对市审计局未出具政府审计报告但已出具未经复核《审计结果函》的，按市审计局的付款建议且不高于80%付款。</w:t>
      </w:r>
    </w:p>
    <w:p w14:paraId="3B5CEDB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sz w:val="21"/>
          <w:szCs w:val="21"/>
          <w:lang w:eastAsia="zh-CN"/>
        </w:rPr>
        <w:t>每次付款前乙方需开具合法有效的增值税专票（开具付款金额）给采购人，以上付款均无银行利息，一律通过银行结转。</w:t>
      </w:r>
    </w:p>
    <w:p w14:paraId="23F8E2C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11、结算方式</w:t>
      </w:r>
    </w:p>
    <w:p w14:paraId="6460E22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z w:val="21"/>
          <w:szCs w:val="21"/>
        </w:rPr>
      </w:pPr>
      <w:r>
        <w:rPr>
          <w:rFonts w:hint="eastAsia" w:ascii="宋体" w:hAnsi="宋体" w:eastAsia="宋体" w:cs="宋体"/>
          <w:b w:val="0"/>
          <w:color w:val="auto"/>
          <w:spacing w:val="-5"/>
          <w:sz w:val="21"/>
          <w:szCs w:val="21"/>
        </w:rPr>
        <w:t>11.1本项目采用“</w:t>
      </w:r>
      <w:r>
        <w:rPr>
          <w:rFonts w:hint="eastAsia" w:ascii="宋体" w:hAnsi="宋体" w:eastAsia="宋体" w:cs="宋体"/>
          <w:b w:val="0"/>
          <w:color w:val="auto"/>
          <w:spacing w:val="-5"/>
          <w:sz w:val="21"/>
          <w:szCs w:val="21"/>
          <w:lang w:eastAsia="zh-CN"/>
        </w:rPr>
        <w:t>全费用</w:t>
      </w:r>
      <w:r>
        <w:rPr>
          <w:rFonts w:hint="eastAsia" w:ascii="宋体" w:hAnsi="宋体" w:eastAsia="宋体" w:cs="宋体"/>
          <w:b w:val="0"/>
          <w:color w:val="auto"/>
          <w:spacing w:val="-5"/>
          <w:sz w:val="21"/>
          <w:szCs w:val="21"/>
        </w:rPr>
        <w:t>固定单价”合同。项目结算时，工程量按实结算，除合同约定调整外，一律不调整中标固定单价。</w:t>
      </w:r>
    </w:p>
    <w:p w14:paraId="04C2497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z w:val="21"/>
          <w:szCs w:val="21"/>
        </w:rPr>
      </w:pPr>
      <w:r>
        <w:rPr>
          <w:rFonts w:hint="eastAsia" w:ascii="宋体" w:hAnsi="宋体" w:eastAsia="宋体" w:cs="宋体"/>
          <w:b w:val="0"/>
          <w:color w:val="auto"/>
          <w:sz w:val="21"/>
          <w:szCs w:val="21"/>
        </w:rPr>
        <w:t>项目结算总价=∑中标价（扣除暂列金额、专业工程暂估价、发包人供应的材料或设备价格及上述三项的规费和税金）±变更工程量×中标综合单价±招标文件及合同约定可以调整的价格并计取相应规费和税金+承包人实施的专业工程结算价。</w:t>
      </w:r>
    </w:p>
    <w:p w14:paraId="1CED3CE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1"/>
          <w:sz w:val="21"/>
          <w:szCs w:val="21"/>
        </w:rPr>
      </w:pPr>
      <w:r>
        <w:rPr>
          <w:rFonts w:hint="eastAsia" w:ascii="宋体" w:hAnsi="宋体" w:eastAsia="宋体" w:cs="宋体"/>
          <w:b w:val="0"/>
          <w:color w:val="auto"/>
          <w:spacing w:val="-1"/>
          <w:sz w:val="21"/>
          <w:szCs w:val="21"/>
        </w:rPr>
        <w:t>规费=（分部分项工程费+措施项目费+其他项目费-除税工程设备费）×费率。（其中：(1)环境保护税（暂按0.1%计取，工程竣工结算时按相关主管部门出具的票据按实调整）；(2)社会保险费（暂按2.4%计取，工程竣工结算时按相关主管部门出具的票据按实调整）；(3)住房公积金（暂按0.42%计取，工程竣工结算时按相关主管部门出具的票据按实调整）</w:t>
      </w:r>
    </w:p>
    <w:p w14:paraId="5747FBD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1"/>
          <w:sz w:val="21"/>
          <w:szCs w:val="21"/>
        </w:rPr>
      </w:pPr>
      <w:r>
        <w:rPr>
          <w:rFonts w:hint="eastAsia" w:ascii="宋体" w:hAnsi="宋体" w:eastAsia="宋体" w:cs="宋体"/>
          <w:b w:val="0"/>
          <w:color w:val="auto"/>
          <w:spacing w:val="-1"/>
          <w:sz w:val="21"/>
          <w:szCs w:val="21"/>
          <w:lang w:eastAsia="zh-CN"/>
        </w:rPr>
        <w:t>现场</w:t>
      </w:r>
      <w:r>
        <w:rPr>
          <w:rFonts w:hint="eastAsia" w:ascii="宋体" w:hAnsi="宋体" w:eastAsia="宋体" w:cs="宋体"/>
          <w:b w:val="0"/>
          <w:color w:val="auto"/>
          <w:spacing w:val="-1"/>
          <w:sz w:val="21"/>
          <w:szCs w:val="21"/>
        </w:rPr>
        <w:t>安全生产费，该费用为不可竞争费，本招标工程的</w:t>
      </w:r>
      <w:r>
        <w:rPr>
          <w:rFonts w:hint="eastAsia" w:ascii="宋体" w:hAnsi="宋体" w:eastAsia="宋体" w:cs="宋体"/>
          <w:b w:val="0"/>
          <w:color w:val="auto"/>
          <w:spacing w:val="-1"/>
          <w:sz w:val="21"/>
          <w:szCs w:val="21"/>
          <w:lang w:eastAsia="zh-CN"/>
        </w:rPr>
        <w:t>现场</w:t>
      </w:r>
      <w:r>
        <w:rPr>
          <w:rFonts w:hint="eastAsia" w:ascii="宋体" w:hAnsi="宋体" w:eastAsia="宋体" w:cs="宋体"/>
          <w:b w:val="0"/>
          <w:color w:val="auto"/>
          <w:spacing w:val="-1"/>
          <w:sz w:val="21"/>
          <w:szCs w:val="21"/>
        </w:rPr>
        <w:t>安全生产费标准如下：</w:t>
      </w:r>
    </w:p>
    <w:p w14:paraId="0E36591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1"/>
          <w:sz w:val="21"/>
          <w:szCs w:val="21"/>
        </w:rPr>
      </w:pPr>
      <w:r>
        <w:rPr>
          <w:rFonts w:hint="eastAsia" w:ascii="宋体" w:hAnsi="宋体" w:eastAsia="宋体" w:cs="宋体"/>
          <w:b w:val="0"/>
          <w:color w:val="auto"/>
          <w:spacing w:val="-1"/>
          <w:sz w:val="21"/>
          <w:szCs w:val="21"/>
        </w:rPr>
        <w:t>计算基础：分部分项工程费+单价措施项目费-除税工程设备费</w:t>
      </w:r>
    </w:p>
    <w:p w14:paraId="52DA332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1"/>
          <w:sz w:val="21"/>
          <w:szCs w:val="21"/>
          <w:lang w:eastAsia="zh-CN"/>
        </w:rPr>
      </w:pPr>
      <w:r>
        <w:rPr>
          <w:rFonts w:hint="eastAsia" w:ascii="宋体" w:hAnsi="宋体" w:eastAsia="宋体" w:cs="宋体"/>
          <w:b w:val="0"/>
          <w:color w:val="auto"/>
          <w:spacing w:val="-1"/>
          <w:sz w:val="21"/>
          <w:szCs w:val="21"/>
        </w:rPr>
        <w:t>基本费率（%）：1.5</w:t>
      </w:r>
      <w:r>
        <w:rPr>
          <w:rFonts w:hint="eastAsia" w:ascii="宋体" w:hAnsi="宋体" w:eastAsia="宋体" w:cs="宋体"/>
          <w:b w:val="0"/>
          <w:color w:val="auto"/>
          <w:spacing w:val="-1"/>
          <w:sz w:val="21"/>
          <w:szCs w:val="21"/>
          <w:lang w:eastAsia="zh-CN"/>
        </w:rPr>
        <w:t>；</w:t>
      </w:r>
    </w:p>
    <w:p w14:paraId="661315B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1"/>
          <w:sz w:val="21"/>
          <w:szCs w:val="21"/>
          <w:lang w:eastAsia="zh-CN"/>
        </w:rPr>
      </w:pPr>
      <w:r>
        <w:rPr>
          <w:rFonts w:hint="eastAsia" w:ascii="宋体" w:hAnsi="宋体" w:eastAsia="宋体" w:cs="宋体"/>
          <w:b w:val="0"/>
          <w:color w:val="auto"/>
          <w:spacing w:val="-1"/>
          <w:sz w:val="21"/>
          <w:szCs w:val="21"/>
        </w:rPr>
        <w:t>扬尘污染防治增加费（%）：0.21</w:t>
      </w:r>
      <w:r>
        <w:rPr>
          <w:rFonts w:hint="eastAsia" w:ascii="宋体" w:hAnsi="宋体" w:eastAsia="宋体" w:cs="宋体"/>
          <w:b w:val="0"/>
          <w:color w:val="auto"/>
          <w:spacing w:val="-1"/>
          <w:sz w:val="21"/>
          <w:szCs w:val="21"/>
          <w:lang w:eastAsia="zh-CN"/>
        </w:rPr>
        <w:t>；</w:t>
      </w:r>
    </w:p>
    <w:p w14:paraId="321A7BE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default" w:ascii="宋体" w:hAnsi="宋体" w:eastAsia="宋体" w:cs="宋体"/>
          <w:b w:val="0"/>
          <w:color w:val="auto"/>
          <w:spacing w:val="-1"/>
          <w:sz w:val="21"/>
          <w:szCs w:val="21"/>
          <w:lang w:val="en-US" w:eastAsia="zh-CN"/>
        </w:rPr>
      </w:pPr>
      <w:r>
        <w:rPr>
          <w:rFonts w:hint="eastAsia" w:ascii="宋体" w:hAnsi="宋体" w:eastAsia="宋体" w:cs="宋体"/>
          <w:b w:val="0"/>
          <w:color w:val="auto"/>
          <w:spacing w:val="-1"/>
          <w:sz w:val="21"/>
          <w:szCs w:val="21"/>
          <w:lang w:eastAsia="zh-CN"/>
        </w:rPr>
        <w:t>税金：</w:t>
      </w:r>
      <w:r>
        <w:rPr>
          <w:rFonts w:hint="eastAsia" w:ascii="宋体" w:hAnsi="宋体" w:eastAsia="宋体" w:cs="宋体"/>
          <w:b w:val="0"/>
          <w:color w:val="auto"/>
          <w:spacing w:val="-1"/>
          <w:sz w:val="21"/>
          <w:szCs w:val="21"/>
          <w:lang w:val="en-US" w:eastAsia="zh-CN"/>
        </w:rPr>
        <w:t>9%；</w:t>
      </w:r>
    </w:p>
    <w:p w14:paraId="78249E4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z w:val="21"/>
          <w:szCs w:val="21"/>
        </w:rPr>
      </w:pPr>
      <w:r>
        <w:rPr>
          <w:rFonts w:hint="eastAsia" w:ascii="宋体" w:hAnsi="宋体" w:eastAsia="宋体" w:cs="宋体"/>
          <w:b w:val="0"/>
          <w:color w:val="auto"/>
          <w:spacing w:val="-1"/>
          <w:sz w:val="21"/>
          <w:szCs w:val="21"/>
        </w:rPr>
        <w:t>11.2设计变更或甲方调整项目内容或合同约定调整价款的确定：</w:t>
      </w:r>
    </w:p>
    <w:p w14:paraId="371020C8">
      <w:pPr>
        <w:pStyle w:val="27"/>
        <w:spacing w:line="480" w:lineRule="exact"/>
        <w:ind w:firstLine="400" w:firstLineChars="200"/>
        <w:rPr>
          <w:rFonts w:hint="eastAsia" w:ascii="宋体" w:hAnsi="宋体" w:eastAsia="宋体" w:cs="宋体"/>
          <w:b w:val="0"/>
          <w:color w:val="auto"/>
          <w:sz w:val="21"/>
          <w:szCs w:val="21"/>
        </w:rPr>
      </w:pPr>
      <w:r>
        <w:rPr>
          <w:rFonts w:hint="eastAsia" w:ascii="宋体" w:hAnsi="宋体" w:eastAsia="宋体" w:cs="宋体"/>
          <w:b w:val="0"/>
          <w:color w:val="auto"/>
          <w:spacing w:val="-5"/>
          <w:sz w:val="21"/>
          <w:szCs w:val="21"/>
        </w:rPr>
        <w:t>1）在投标报价书中有相同单价的，执行投标报价书中的单价；</w:t>
      </w:r>
    </w:p>
    <w:p w14:paraId="7D2C1F3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z w:val="21"/>
          <w:szCs w:val="21"/>
        </w:rPr>
      </w:pPr>
      <w:r>
        <w:rPr>
          <w:rFonts w:hint="eastAsia" w:ascii="宋体" w:hAnsi="宋体" w:eastAsia="宋体" w:cs="宋体"/>
          <w:b w:val="0"/>
          <w:color w:val="auto"/>
          <w:spacing w:val="-4"/>
          <w:sz w:val="21"/>
          <w:szCs w:val="21"/>
        </w:rPr>
        <w:t>2）在投标报价书中有类似单价的，参照投标报价书中的类似单价执行；</w:t>
      </w:r>
    </w:p>
    <w:p w14:paraId="4EB89D1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z w:val="21"/>
          <w:szCs w:val="21"/>
        </w:rPr>
      </w:pPr>
      <w:r>
        <w:rPr>
          <w:rFonts w:hint="eastAsia" w:ascii="宋体" w:hAnsi="宋体" w:eastAsia="宋体" w:cs="宋体"/>
          <w:b w:val="0"/>
          <w:color w:val="auto"/>
          <w:spacing w:val="-4"/>
          <w:sz w:val="21"/>
          <w:szCs w:val="21"/>
        </w:rPr>
        <w:t>3）在投标报价书中没有单价或类似单价的，其单价由乙方提出，经甲方认可后执行。</w:t>
      </w:r>
    </w:p>
    <w:p w14:paraId="787C3FB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11.3因乙方自身原因造成工程量增加的，乙方无权要求任何补偿。乙方的结算价=中标价（扣除暂列金额、专业项目暂估价、甲方供应的材料或设备价格及上述三项的规费和税金）±变更项目量×中标</w:t>
      </w:r>
      <w:r>
        <w:rPr>
          <w:rFonts w:hint="eastAsia" w:ascii="宋体" w:hAnsi="宋体" w:eastAsia="宋体" w:cs="宋体"/>
          <w:b w:val="0"/>
          <w:color w:val="auto"/>
          <w:spacing w:val="-2"/>
          <w:sz w:val="21"/>
          <w:szCs w:val="21"/>
          <w:lang w:eastAsia="zh-CN"/>
        </w:rPr>
        <w:t>固定单价</w:t>
      </w:r>
      <w:r>
        <w:rPr>
          <w:rFonts w:hint="eastAsia" w:ascii="宋体" w:hAnsi="宋体" w:eastAsia="宋体" w:cs="宋体"/>
          <w:b w:val="0"/>
          <w:color w:val="auto"/>
          <w:spacing w:val="-2"/>
          <w:sz w:val="21"/>
          <w:szCs w:val="21"/>
        </w:rPr>
        <w:t>±招标文件及合同约定可以调整的价格并计取相应规费和税金+承包人实施的专业项目结算价。</w:t>
      </w:r>
    </w:p>
    <w:p w14:paraId="104A6D9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（1）上式中“变更项目量”是指由于项目量清单有误或设计变更等非承包人原因引起的清单项目量±15%以内的项目量增减。</w:t>
      </w:r>
    </w:p>
    <w:p w14:paraId="77D009D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（2）上式中“招标文件及合同约定调整的价格”包括以下①-⑥种情况：</w:t>
      </w:r>
    </w:p>
    <w:p w14:paraId="120B28C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①甲方签证使用的暂列金额、乙方实施的专业项目实际发包价。</w:t>
      </w:r>
    </w:p>
    <w:p w14:paraId="749D290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②经甲方认可的《材料暂估价格表》（如有）中的材料价格调整。</w:t>
      </w:r>
    </w:p>
    <w:p w14:paraId="1660914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③因招标清单漏项或非承包人原因的项目变更，造成结算时增加新的项目量清单时，需通过区级项目会办会研究同意其后，最终以签证形式对变更事项予以确认。对应的综合单价按下列方法确定：</w:t>
      </w:r>
    </w:p>
    <w:p w14:paraId="55E683D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相应综合单价按招标文件约定的计价程序并经甲方确认（套相应计价定额组价并按中标下浮率下浮）后进行结算。如无适用定额的（异地补充定额原则上不执行，结算时仅可参考）或定额套用严重偏离市场价的，则按市场询价后进行结算。</w:t>
      </w:r>
    </w:p>
    <w:p w14:paraId="06DC3BF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中标下浮率计算公式如下：</w:t>
      </w:r>
    </w:p>
    <w:p w14:paraId="06F9F270">
      <w:pPr>
        <w:pStyle w:val="11"/>
        <w:pageBreakBefore w:val="0"/>
        <w:kinsoku/>
        <w:wordWrap/>
        <w:overflowPunct/>
        <w:topLinePunct w:val="0"/>
        <w:autoSpaceDE/>
        <w:autoSpaceDN/>
        <w:bidi w:val="0"/>
        <w:adjustRightInd/>
        <w:snapToGrid/>
        <w:spacing w:beforeAutospacing="0" w:afterAutospacing="0" w:line="360" w:lineRule="auto"/>
        <w:ind w:firstLine="480"/>
        <w:jc w:val="center"/>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中标价（扣除预算价中暂列金额、专业项目暂估价、暂估材</w:t>
      </w:r>
    </w:p>
    <w:p w14:paraId="6B732AFE">
      <w:pPr>
        <w:pStyle w:val="11"/>
        <w:pageBreakBefore w:val="0"/>
        <w:kinsoku/>
        <w:wordWrap/>
        <w:overflowPunct/>
        <w:topLinePunct w:val="0"/>
        <w:autoSpaceDE/>
        <w:autoSpaceDN/>
        <w:bidi w:val="0"/>
        <w:adjustRightInd/>
        <w:snapToGrid/>
        <w:spacing w:beforeAutospacing="0" w:afterAutospacing="0" w:line="360" w:lineRule="auto"/>
        <w:ind w:firstLine="480"/>
        <w:jc w:val="center"/>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料总价、发包人供应材料总价及上述四项的规费、税金）</w:t>
      </w:r>
    </w:p>
    <w:p w14:paraId="39C12F87">
      <w:pPr>
        <w:pStyle w:val="27"/>
        <w:spacing w:line="440" w:lineRule="exact"/>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下浮率=（1-―――――――――――――――――――――――――――――）×100%</w:t>
      </w:r>
    </w:p>
    <w:p w14:paraId="36E168C5">
      <w:pPr>
        <w:pStyle w:val="27"/>
        <w:spacing w:line="440" w:lineRule="exact"/>
        <w:jc w:val="center"/>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项目预算价（扣除预算价中暂列金额、专业项目暂估价、</w:t>
      </w:r>
    </w:p>
    <w:p w14:paraId="2FA4C84E">
      <w:pPr>
        <w:pStyle w:val="27"/>
        <w:spacing w:line="440" w:lineRule="exact"/>
        <w:jc w:val="center"/>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暂估材料总价、发包人供应材料总价及上述四项的规费、税金）</w:t>
      </w:r>
    </w:p>
    <w:p w14:paraId="79853EBB">
      <w:pPr>
        <w:pStyle w:val="27"/>
        <w:spacing w:line="440" w:lineRule="exact"/>
        <w:ind w:firstLine="412" w:firstLineChars="200"/>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注：上式中的暂估材料总价、发包人供应材料总价以招标人公布的数据为准（项目预算价中相应数据）。</w:t>
      </w:r>
    </w:p>
    <w:p w14:paraId="720107E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④在招标清单±15%以内的清单项目量，结算单价按中标单价执行。对超过±15%以外的清单项目量，根据我区相关会办制度研究同意后，最终以签证形式予以确认。其结算综合单价按下面2种情况确定：</w:t>
      </w:r>
    </w:p>
    <w:p w14:paraId="1915F5E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1）因非承包人原因引起的项目变更、招标清单项目量计算有误、或乙方对设计图纸设计错误或设计不合理提出合理建议并经发包人确认的，当中标单价不存在不平衡报价时（不平衡分析办法参照《江苏省盐南高新区政府投资建设工程结算审计、询价定价等若干问题处理办法（试行）》盐南高新办〔2022〕8号执行，下同），增加/减少超过15%项目量按原中标单价执行；当中标单价存在不平衡报价时，按以下结算办法执行：</w:t>
      </w:r>
    </w:p>
    <w:p w14:paraId="1E74FCD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A.招标清单内项目量增加超过15%时。结算价=招标量*1.15*中标价+（实际量-招标量*1.15）*重新组价并下浮后的单价。</w:t>
      </w:r>
    </w:p>
    <w:p w14:paraId="709DE4F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B.招标清单内项目量减少超过15%时。结算价=招标量*0.85*中标价-（招标量*0.85-实际量）*重新组价并下浮后的单价。</w:t>
      </w:r>
    </w:p>
    <w:p w14:paraId="3BDFDBF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2)除上述1）以外情况的，因承包人原因引起的项目变更，按不利于承包人原则进行结算，即：</w:t>
      </w:r>
    </w:p>
    <w:p w14:paraId="179E4CB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A.招标清单内项目量增加超过15%时。结算价=招标量*1.15*中标价+（实际量-招标量*1.15）*（重新组价并下浮后的单价、中标单价、市场询价三者的低值）。</w:t>
      </w:r>
    </w:p>
    <w:p w14:paraId="4316150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B.招标清单内项目量减少超过15%时。结算价=招标量*0.85*中标价-（招标量*0.85-实际量）*（重新组价并下浮后的单价、中标单价、市场询价三者的高值）。</w:t>
      </w:r>
    </w:p>
    <w:p w14:paraId="4E57430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备注：1.以上1）和2）重新组价如无适用定额或定额套用严重偏离市场价的，则市场询价。同时为有效控制不平衡报价，规范招投标行为，不平衡报价可调增、调减甚至倒扣，但原则上不平衡分析总体不核增。投标人在投标报价时充分考虑以上因素。</w:t>
      </w:r>
    </w:p>
    <w:p w14:paraId="02803DE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⑤人工工资单价、材料价格及税金方面的约定:人工工资单价、材料价格均不调整。</w:t>
      </w:r>
    </w:p>
    <w:p w14:paraId="420EDD6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税金调整方法：按照合同约定的税金税率进行结算，因政策性税金税率调整时按文件规定执行。</w:t>
      </w:r>
    </w:p>
    <w:p w14:paraId="59681BD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⑥合同采购清单中没有的项目，供货双方共同询价确定采购单价后，甲方可供货，否则甲方有权拒绝支付此部分货款。</w:t>
      </w:r>
    </w:p>
    <w:p w14:paraId="06B134C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11.4甲方要求乙方自行对项目施工现场和周围环境进行踏勘，以充分了解工地位置、情况、道路、储存空间、装卸限制以及任何其他足以影响承包价的情况，任何因忽视或误解工地情况而导致的索赔或工期延长申请将不被批准。</w:t>
      </w:r>
    </w:p>
    <w:p w14:paraId="5DEC991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11.5本项目乙方须负责施工现场垃圾清运，乙方自身造成道路、桥梁、路牙、交通设施、市政绿 化等损坏的，均由乙方负责及时修复至原状，上述费用乙方已在投标报价中充分考虑。</w:t>
      </w:r>
    </w:p>
    <w:p w14:paraId="6530599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11.6项目结算审计时，现场审计与图纸、清单做法不符处理原则。原则上取样厚度在现行规范允许范围内的合格项目，不扣除相应实体费用（清单中另有要求的除外）。负偏差超出验收规范范围的项目，实际取样与设计厚度的差值应予以核减，合同中另有其它处罚条款的也需执行。如出现不合格项目，由甲方按合同约定处理，并将明确处理意见报审计部门，审计按招标人的处理意见进行结算，并在报告或审定单反映该问题。</w:t>
      </w:r>
    </w:p>
    <w:p w14:paraId="707EC55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11.7关于安全管理、配备、做法、处罚条款、文明施工、方案、相关费用、备案、围墙（档）施工、安全帽、措施等的要求（相关费用在投标报价综合考虑，甲方不再增加任何费用）：</w:t>
      </w:r>
    </w:p>
    <w:p w14:paraId="6F37FD8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(1)乙方提供给建设单位足够数量的红色安全帽，每顶安全帽按发包人要求印制专用logo，费用乙方已在项目投标报价中考虑。</w:t>
      </w:r>
    </w:p>
    <w:p w14:paraId="423A205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(2)施工前，乙方自行到建设、城管、绿化等主管部门办理各类手续、缴纳押金和办理备案，费用等已含在项目投标报价内。</w:t>
      </w:r>
    </w:p>
    <w:p w14:paraId="2899676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(3)乙方已自行勘察现场，本项目施工过程中遇到的一切施工矛盾、地方矛盾及由此发生的费用与甲方无涉，均由乙方自行负责，并已在投标报价中考虑。</w:t>
      </w:r>
    </w:p>
    <w:p w14:paraId="7A40A6A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(4)本关于有关施工相应的费用计取要求：本项目各种方案评审费用、各种验收费用、产品考察费用、资料入档费用按相关规定确认承担方。</w:t>
      </w:r>
    </w:p>
    <w:p w14:paraId="0790B5B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11.8乙方应在甲方确认的完工日之日起及时编制并向甲方报送项目结算，甲方根据审计要求，对资料的真实性、完整性进行审核，具备审计条件后，由区审计部门或市审计局及时安排造价咨询单位进行审核。</w:t>
      </w:r>
    </w:p>
    <w:p w14:paraId="0228CF0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11.9本项目提交审计时，乙方应在甲方约定的时间内完成资料整理，并积极配合，要求资料齐全、计算准确，不得虚报，要求与审计价差距不得超出5%。</w:t>
      </w:r>
    </w:p>
    <w:p w14:paraId="79EFF01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（1）若乙方的结算报审价与最终审定价≤5%，审计费由甲方承担。</w:t>
      </w:r>
    </w:p>
    <w:p w14:paraId="077F1AD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pacing w:val="-2"/>
          <w:sz w:val="21"/>
          <w:szCs w:val="21"/>
        </w:rPr>
      </w:pPr>
      <w:r>
        <w:rPr>
          <w:rFonts w:hint="eastAsia" w:ascii="宋体" w:hAnsi="宋体" w:eastAsia="宋体" w:cs="宋体"/>
          <w:b w:val="0"/>
          <w:color w:val="auto"/>
          <w:spacing w:val="-2"/>
          <w:sz w:val="21"/>
          <w:szCs w:val="21"/>
        </w:rPr>
        <w:t>（2）若乙方的结算报审价与最终审定价＞5%，本工程结算审计费用由乙方承担。由区级审计部门实施的项目，一审审计费收取标准按（核增额+核减额）×6%计取；二审审计费收取标准按（核增额+核减额）×15%计取，一审和二审最低收费标准均为2000元。当一审核减率未超过5%，一审和二审总核减率超过5%时，由二审单位补扣一审审计费，同时扣除二审审计费。由市审计局实施政府决算审计的项目，审计费收取标准按区级二审标准执行。以上审计费均在审定价款中予以扣减。</w:t>
      </w:r>
    </w:p>
    <w:p w14:paraId="5A46FB8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color w:val="auto"/>
          <w:sz w:val="21"/>
          <w:szCs w:val="21"/>
        </w:rPr>
      </w:pPr>
      <w:r>
        <w:rPr>
          <w:rFonts w:hint="eastAsia" w:ascii="宋体" w:hAnsi="宋体" w:eastAsia="宋体" w:cs="宋体"/>
          <w:b w:val="0"/>
          <w:color w:val="auto"/>
          <w:spacing w:val="-2"/>
          <w:sz w:val="21"/>
          <w:szCs w:val="21"/>
        </w:rPr>
        <w:t>11.10未尽事宜按照《江苏省盐南高新区政府投资建设工程结算审计、询价定价等若干问题处理办法（试行）》盐南高新办〔2022〕8号执行。</w:t>
      </w:r>
    </w:p>
    <w:p w14:paraId="45AC4518">
      <w:pPr>
        <w:widowControl w:val="0"/>
        <w:spacing w:line="460" w:lineRule="exact"/>
        <w:ind w:left="421"/>
        <w:jc w:val="both"/>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position w:val="1"/>
          <w:sz w:val="21"/>
          <w:szCs w:val="21"/>
          <w:lang w:eastAsia="zh-CN"/>
        </w:rPr>
        <w:t>12、检验与验收</w:t>
      </w:r>
    </w:p>
    <w:p w14:paraId="049298F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12.1在交货前，乙方应对货物的质量、性能、规格型号、技术要求、品牌、数量等进行详细而全面的检验，并出具一份能说明货物符合合同规定的证明。</w:t>
      </w:r>
    </w:p>
    <w:p w14:paraId="2891929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12.2货物运抵现场后，甲方将对货物的质量、性能、规格型号、技术要求、品牌、数量等进行初步检验 (或取样送检)，如发现货物的质量、性能、规格型号、技术要求、品牌、数量等与招标文件要求及投标承诺、国家现行的相关规范标准及有关部门最新颁布的相应的最新标准不符时 (或检测不合格时) ，乙方应按甲方规定的时间内将货物运出安装场地，重新采购符合要求的货物，并承担由此发生的一切损失和责任，由此延误的工期不予顺延【如乙方不服从或拒绝按甲方要求的时间运出安装场地，甲方有权单独采购符合要求的货物，其一切费用均在乙方款项中扣除】。甲方根据当地质检部门出具的检验证书向乙方提出索赔。</w:t>
      </w:r>
    </w:p>
    <w:p w14:paraId="53823F8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12.3货物到现场，甲方如认为质量不合格，可委托具备该货物检测能力的检测机构对其质量进行检测。如检测结果合格，其检测费由甲方承担；如检测结果不合格，其检测费由乙方承担，同时乙方承担本合同规定的其他责任。</w:t>
      </w:r>
    </w:p>
    <w:p w14:paraId="2256120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12.4货物的最终验收待项目安装、调试完毕，由甲方组织有关单位和部门共同负责验收工作。</w:t>
      </w:r>
    </w:p>
    <w:p w14:paraId="22FDEB1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12.5安装、调试完毕后，提供安装、调试报告，报告中要有各项检测数据和详细的验收标准、验收手册，乙方并无偿借用验收仪器。</w:t>
      </w:r>
    </w:p>
    <w:p w14:paraId="368C4E3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color w:val="auto"/>
          <w:kern w:val="2"/>
          <w:sz w:val="21"/>
          <w:szCs w:val="21"/>
          <w:lang w:eastAsia="zh-CN"/>
        </w:rPr>
      </w:pPr>
      <w:r>
        <w:rPr>
          <w:rFonts w:hint="eastAsia" w:ascii="宋体" w:hAnsi="宋体" w:eastAsia="宋体" w:cs="宋体"/>
          <w:b/>
          <w:color w:val="auto"/>
          <w:kern w:val="2"/>
          <w:sz w:val="21"/>
          <w:szCs w:val="21"/>
          <w:lang w:eastAsia="zh-CN"/>
        </w:rPr>
        <w:t>13、安装与调试</w:t>
      </w:r>
    </w:p>
    <w:p w14:paraId="79159F1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Cs/>
          <w:color w:val="auto"/>
          <w:kern w:val="2"/>
          <w:sz w:val="21"/>
          <w:szCs w:val="21"/>
          <w:lang w:eastAsia="zh-CN"/>
        </w:rPr>
      </w:pPr>
      <w:r>
        <w:rPr>
          <w:rFonts w:hint="eastAsia" w:ascii="宋体" w:hAnsi="宋体" w:eastAsia="宋体" w:cs="宋体"/>
          <w:bCs/>
          <w:color w:val="auto"/>
          <w:kern w:val="2"/>
          <w:sz w:val="21"/>
          <w:szCs w:val="21"/>
          <w:lang w:eastAsia="zh-CN"/>
        </w:rPr>
        <w:t>13.1安装地点：盐城市盐南高新区。</w:t>
      </w:r>
    </w:p>
    <w:p w14:paraId="2E95853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Cs/>
          <w:color w:val="auto"/>
          <w:kern w:val="2"/>
          <w:sz w:val="21"/>
          <w:szCs w:val="21"/>
          <w:lang w:eastAsia="zh-CN"/>
        </w:rPr>
      </w:pPr>
      <w:r>
        <w:rPr>
          <w:rFonts w:hint="eastAsia" w:ascii="宋体" w:hAnsi="宋体" w:eastAsia="宋体" w:cs="宋体"/>
          <w:bCs/>
          <w:color w:val="auto"/>
          <w:kern w:val="2"/>
          <w:sz w:val="21"/>
          <w:szCs w:val="21"/>
          <w:lang w:eastAsia="zh-CN"/>
        </w:rPr>
        <w:t>13.2安装人员：由乙方直接派相关人员组织安装。</w:t>
      </w:r>
    </w:p>
    <w:p w14:paraId="6C3A212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Cs/>
          <w:color w:val="auto"/>
          <w:kern w:val="2"/>
          <w:sz w:val="21"/>
          <w:szCs w:val="21"/>
          <w:lang w:eastAsia="zh-CN"/>
        </w:rPr>
      </w:pPr>
      <w:r>
        <w:rPr>
          <w:rFonts w:hint="eastAsia" w:ascii="宋体" w:hAnsi="宋体" w:eastAsia="宋体" w:cs="宋体"/>
          <w:bCs/>
          <w:color w:val="auto"/>
          <w:kern w:val="2"/>
          <w:sz w:val="21"/>
          <w:szCs w:val="21"/>
          <w:lang w:eastAsia="zh-CN"/>
        </w:rPr>
        <w:t>13.3乙方应在准备部署本货物1周前，向甲方提供安装、调试的进度计划表和安装作业措施计划。</w:t>
      </w:r>
    </w:p>
    <w:p w14:paraId="3226BF3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Cs/>
          <w:color w:val="auto"/>
          <w:kern w:val="2"/>
          <w:sz w:val="21"/>
          <w:szCs w:val="21"/>
          <w:lang w:eastAsia="zh-CN"/>
        </w:rPr>
      </w:pPr>
      <w:r>
        <w:rPr>
          <w:rFonts w:hint="eastAsia" w:ascii="宋体" w:hAnsi="宋体" w:eastAsia="宋体" w:cs="宋体"/>
          <w:bCs/>
          <w:color w:val="auto"/>
          <w:kern w:val="2"/>
          <w:sz w:val="21"/>
          <w:szCs w:val="21"/>
          <w:lang w:eastAsia="zh-CN"/>
        </w:rPr>
        <w:t>13.4安装、调试（含试运行）期间，乙方负责组织专业技术人员进行货物安装、调试（含试运行），软件需将源代码部署在甲方提供的代码服务器上并提供相关文档，甲方将提供必须的基本条件和专人配合，保证各项安装工作顺利进行。</w:t>
      </w:r>
    </w:p>
    <w:p w14:paraId="1247BAF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Cs/>
          <w:color w:val="auto"/>
          <w:kern w:val="2"/>
          <w:sz w:val="21"/>
          <w:szCs w:val="21"/>
          <w:lang w:eastAsia="zh-CN"/>
        </w:rPr>
      </w:pPr>
      <w:r>
        <w:rPr>
          <w:rFonts w:hint="eastAsia" w:ascii="宋体" w:hAnsi="宋体" w:eastAsia="宋体" w:cs="宋体"/>
          <w:bCs/>
          <w:color w:val="auto"/>
          <w:kern w:val="2"/>
          <w:sz w:val="21"/>
          <w:szCs w:val="21"/>
          <w:lang w:eastAsia="zh-CN"/>
        </w:rPr>
        <w:t>13.5乙方负责货物的安装，承担与安装项目相关的一切费用(包括食宿等费用)。</w:t>
      </w:r>
    </w:p>
    <w:p w14:paraId="36A3D75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Cs/>
          <w:color w:val="auto"/>
          <w:kern w:val="2"/>
          <w:sz w:val="21"/>
          <w:szCs w:val="21"/>
          <w:lang w:eastAsia="zh-CN"/>
        </w:rPr>
      </w:pPr>
      <w:r>
        <w:rPr>
          <w:rFonts w:hint="eastAsia" w:ascii="宋体" w:hAnsi="宋体" w:eastAsia="宋体" w:cs="宋体"/>
          <w:bCs/>
          <w:color w:val="auto"/>
          <w:kern w:val="2"/>
          <w:sz w:val="21"/>
          <w:szCs w:val="21"/>
          <w:lang w:eastAsia="zh-CN"/>
        </w:rPr>
        <w:t>13.6安装完毕的货物及其环境应清理干净。</w:t>
      </w:r>
    </w:p>
    <w:p w14:paraId="5301527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bCs/>
          <w:color w:val="auto"/>
          <w:kern w:val="2"/>
          <w:sz w:val="21"/>
          <w:szCs w:val="21"/>
          <w:lang w:eastAsia="zh-CN"/>
        </w:rPr>
        <w:t>13.7乙方详细进行技术交底，详细讲解图纸、工艺流程、操作规程、货物性能及有关注意事项等。</w:t>
      </w:r>
    </w:p>
    <w:p w14:paraId="575E2A4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position w:val="1"/>
          <w:sz w:val="21"/>
          <w:szCs w:val="21"/>
          <w:lang w:eastAsia="zh-CN"/>
        </w:rPr>
        <w:t>14、质量保证和售后服务</w:t>
      </w:r>
    </w:p>
    <w:p w14:paraId="359F55A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14.1按合同定期到货和安装，安装前乙方需把货物技术文件资料(含安装说明书及使用说明书)报甲方审核。乙方应保证其提供的货物技术文件资料完整清晰、准确无误，并能满足货物的检验、安装、调试、验收试验、运行和维护的需要以及本合同的规定。</w:t>
      </w:r>
    </w:p>
    <w:p w14:paraId="5F64F29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14.2在质量保修期内，除责任事故外，货物实行“三包”，免费质保期为三年(采购清单报价表中有关货物如有规定质量保修期年限的，按规定质量保修期年限执行)；乙方对货物出现的各类故障应及时提供免费维护服务，对非人为破坏造成的零部件损坏，应立即免费更换。</w:t>
      </w:r>
    </w:p>
    <w:p w14:paraId="25B1517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14.3在质量保修期内的工作应包括乙方对所有货物每季度至少1次的常规检查。</w:t>
      </w:r>
    </w:p>
    <w:p w14:paraId="5BF7C32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14.4货物质量等级为“合格”，并符合招标文件中技术要求、国家现行的相关规范标准及有关部门最新颁布的相应的最新标准；否则，乙方应无条件更换。项目确保按规范和标准验收，且达国家合格标准；否则，乙方应无条件整改。</w:t>
      </w:r>
    </w:p>
    <w:p w14:paraId="62AF878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14.5所有货物、器材、材料及配件，必须是优质品，要求有厂家出具的质量合格证(或权威部门检测报告)和证明书。</w:t>
      </w:r>
    </w:p>
    <w:p w14:paraId="6E8826B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14.6乙方应保证所提供的货物、材料是完整的、全新的、未使用过的、技术上先进和成熟的、是用一流的工艺和最佳材料制造而成的，并完全符合招标文件要求及投标承诺、国家现行的相关规范标准、有关部门最新颁布的相应的最新标准及合同规定的质量、性能、规格型号、技术要求、品牌的要求。乙方应保证所提供的货物经正确安装、正常运行和保养在其使用寿命期内应具有满意的性能。在质量保修期及租赁期内，乙方应对由于货物的工艺、材料和制造原因产生的缺陷而发生的任何不足或故障负责。</w:t>
      </w:r>
    </w:p>
    <w:p w14:paraId="20B3A52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14.7如果货物的质量、性能、规格型号、技术要求、品牌、数量等与合同不符，或在规定的质量保修期内证实货物是有缺陷的，包括潜在的缺陷或使用不符合要求的材料等，乙方应承担赔偿责任并承担相应货物价值30%的违约金，甲方可随时以书面形式通知乙方，并提出索赔。</w:t>
      </w:r>
    </w:p>
    <w:p w14:paraId="5FAF98D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14.8乙方须具备较高的售后服务能力，货物出现故障时，乙方须积极响应。在质量保修期内，乙方须建立24小时报修电话。如果出现质量、技术问题， 甲方通过电话通知乙方，乙方接到报修电话后，在10分钟内作出响应，在6小时内派遣有经验的维修工程师到现场提供免费维修服务，并尽快修复故障。一般问题应在6小时内解决，重大故障应启动应急备用方案，最长不超过24小时解决。</w:t>
      </w:r>
    </w:p>
    <w:p w14:paraId="752E0D7D">
      <w:pPr>
        <w:widowControl w:val="0"/>
        <w:spacing w:line="460" w:lineRule="exact"/>
        <w:ind w:right="11" w:firstLine="421"/>
        <w:jc w:val="both"/>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注：在质量保修期内，乙方应免费向甲方提供所有货物维保和升级的服务(如软件部分的功能要求需进行适当调整，乙方须无条件完成)，在货物维保和升级时，乙方应派遣专业技术人员到现场提供服务；在质量保修期满后，实行有偿终身上门维保和升级服务，可合理收取不高于市场价的相关费用(乙方和甲方将在双方的合作情况的基础上协商确定)。</w:t>
      </w:r>
    </w:p>
    <w:p w14:paraId="2856C61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14.9由于乙方责任并按合同要求乙方进行现场服务时，若乙方未能在规定时间内到达现场，或乙方在接到甲方电话通知后12小时内未反应(超过12小时起，即按一天计算)，则每推迟一天乙方应向甲方支付人民币2000元的违约金。</w:t>
      </w:r>
    </w:p>
    <w:p w14:paraId="16BC64A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14.10若货物在质量保修期内因乙方责任出现十分严重的缺陷，则质量保修期将自该缺陷修复后开始重新计算。</w:t>
      </w:r>
    </w:p>
    <w:p w14:paraId="6C31FD4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14.11在质量保修期内，如发现乙方提供的货物有缺陷，不符合合同规定时，则甲方有权向乙方提出索赔。乙方在接到甲方索赔文件后，应立即修复或更换货物，最长不超过两周，并承担由此产生的货物费、安装费(含运费)、保险费等一切费用和按合同有关条款的规定进行赔偿。</w:t>
      </w:r>
    </w:p>
    <w:p w14:paraId="71D1308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14.12本项目运维人员应具备信息技术中级工程师证书。</w:t>
      </w:r>
    </w:p>
    <w:p w14:paraId="2A3F6E9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14.13为甲方的技术人员、操作人员及维护保养人员免费提供货物培训，并免费提供详细的培训资料。</w:t>
      </w:r>
    </w:p>
    <w:p w14:paraId="25DD582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14.14为了保证项目的质量，提高投资经济效益，乙方可对本项目设计不合理的部分做优化设计，但优化方案和价格均需征得甲方同意和认可。</w:t>
      </w:r>
    </w:p>
    <w:p w14:paraId="287AEC7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14.15货物供应到现场后，经甲方验收合格后，方可安装。甲方有权取样送检，如检测不合格，应无条件退场，乙方承担一切经济损失和检测费用。</w:t>
      </w:r>
    </w:p>
    <w:p w14:paraId="0B714FB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14.16乙方免费派遣至少2名有工作经验、身体健康和称职的技术人员到现场提供技术服务，并安排甲方技术人员、操作人员及维护保养人员在货物运行地点、安装和调试现场进行技术培训(包括操作、保养、维护等)。</w:t>
      </w:r>
    </w:p>
    <w:p w14:paraId="035A119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14.17非甲方原因，质量整改所发生的费用不予增加，工期也不予顺延。</w:t>
      </w:r>
    </w:p>
    <w:p w14:paraId="4888BF8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14.18乙方必须保持与用户的联系，随时交流系统的应用情况，成立专门工作小组为用户解决遇到的问题。</w:t>
      </w:r>
    </w:p>
    <w:p w14:paraId="70F7F65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14.19所有货物必须都有厂家铭牌，货物必须与铭牌一致，甲方拒绝贴牌货物。</w:t>
      </w:r>
    </w:p>
    <w:p w14:paraId="697C8FA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position w:val="1"/>
          <w:sz w:val="21"/>
          <w:szCs w:val="21"/>
          <w:lang w:eastAsia="zh-CN"/>
        </w:rPr>
        <w:t>15、培训</w:t>
      </w:r>
    </w:p>
    <w:p w14:paraId="2F605C0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15.1人员培训是本项目实施的一个重要环节。乙方须为本项目所涉及的相关业务人员与技术管理人员提供技术培训，时间和内容是使其能够掌握本项目应用系统的操作和维护工作，并提供相应的培训计划(包括但不限于：1)培训的类别；2)培训人员与人数；3)培训的课程，培训至少包括系统使用培训，系统运维培训等；4)培训方式；5)培训教材安排；6)师资安排)。</w:t>
      </w:r>
    </w:p>
    <w:p w14:paraId="3C760F1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15.2本项目人员培训应达到相应的质量目标，保证系统顺利上线和运维。</w:t>
      </w:r>
    </w:p>
    <w:p w14:paraId="16AEE7D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15.3为确保货物的顺利实施，并能够稳定、高效地运行，乙方应针对软件特点、人员状况，关键项目实施计划等，制订可行的培训计划、提供全方位多层次的培训服务。软件的培训对象主要包括本项目所涉及的相关业务人员与技术管理人员等，培训内容包括应用培训、技术类培训和维护类培训。乙方提供的培训分为项目专题培训和项目现场培训。</w:t>
      </w:r>
    </w:p>
    <w:p w14:paraId="259F913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15.3.1项目专题培训</w:t>
      </w:r>
    </w:p>
    <w:p w14:paraId="6FA3CC2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项目专题培训将贯穿于整个项目实施过程，采取集中培训的方式进行。培训主要包括以下类型的培训：</w:t>
      </w:r>
    </w:p>
    <w:p w14:paraId="54F45A5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首先是货物安装以及货物运行管理相关的培训，目的使他们能够从整体上了解和掌握与货物的相关知识。</w:t>
      </w:r>
    </w:p>
    <w:p w14:paraId="16AEAB0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其次是货物安装、运行管理方法培训，使之掌握项目管理技能。</w:t>
      </w:r>
    </w:p>
    <w:p w14:paraId="088970A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其三是专业技术培训，对货物中使用到的相关技术和设备、软件的使用进行培训，使用户能够掌握货物的基本原理、安装配置及运行维护等方面的技术。培训完成后，用户要能够维护货物，保障货物安全、高效的运行。</w:t>
      </w:r>
    </w:p>
    <w:p w14:paraId="623D68A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项目专题培训中的专业技术培训分为货物技术管理人员培训和货物相关业务人员培训；</w:t>
      </w:r>
    </w:p>
    <w:p w14:paraId="6450B80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乙方派出的培训教员应至少具有相同课程的教学经验，且培训教员均要求具有三年以上的教学经验；所有的培训教员必须用中文授课，除非有其它的协议规定。培训时间、地点由乙方与甲方共同商议确定。 (培训教员名单连同培训计划一并提交用户，用户认为培训教员不合适可要求更换)</w:t>
      </w:r>
    </w:p>
    <w:p w14:paraId="4CFBEBA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15.3.2项目现场培训</w:t>
      </w:r>
    </w:p>
    <w:p w14:paraId="2D29BE1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乙方的安装、调试(含试运行)工程师在安装现场负责完成培训任务。培训时间、地点由乙方与甲方共同商议确定。</w:t>
      </w:r>
    </w:p>
    <w:p w14:paraId="2EAC369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15.4乙方应负责甲方技术人员或甲方指定的后期运营单位的相关培训工作，同时提出相关人员所需具备的素质要求。</w:t>
      </w:r>
    </w:p>
    <w:p w14:paraId="47AAE86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15.5乙方应该在系统安装、调试 (含试运行)过程中，向甲方或甲方指定的运营单位做好系统开发、维护、运营等相关技术的知识转移。其中，系统操作培训应包括所提供货物的原理和技术性能、操作维护方法、安装调测、排除故障及货物结构等各个方面,并提供全套培训教材(中文或英文)和培训课程计划表。</w:t>
      </w:r>
    </w:p>
    <w:p w14:paraId="3307383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15.6本项目实施全程培训不少于3场，培训所发生的租用教学场地、相关学习条件的费用及其它所有培训费用均已包含在合同价中，甲方不再另行支付。</w:t>
      </w:r>
    </w:p>
    <w:p w14:paraId="3E383F0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15.7乙方应在现场安装、调试 (含试运行)完成后，根据甲方需求进行现场培训，拟定详细的培训大纲，在培训前2周提交甲方，并征得甲方同意。现场培训主要讲解操作方法和故障检测技能，并辅导进行操作实习。</w:t>
      </w:r>
    </w:p>
    <w:p w14:paraId="10293BB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15.8乙方必须为所有被培训人员提供培训用文字资料和讲义等相关用品。</w:t>
      </w:r>
    </w:p>
    <w:p w14:paraId="7287CC0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position w:val="1"/>
          <w:sz w:val="21"/>
          <w:szCs w:val="21"/>
          <w:lang w:eastAsia="zh-CN"/>
        </w:rPr>
        <w:t>16、索赔</w:t>
      </w:r>
    </w:p>
    <w:p w14:paraId="4F9E8F9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16.1如对照国家标准或当地质检部门出具的质检证书证实其货物的质量不合格或达不到招标要求的，甲方有权根据国家检验标准或当地质检部门出具的检验结果向乙方提出索赔。</w:t>
      </w:r>
    </w:p>
    <w:p w14:paraId="59176E4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16.2在根据合同规定的检验期和质量保修期内，如证实乙方对甲方提出的索赔和差异负有责任的，乙方应按照甲方同意的下列一种或多种方式解决索赔事宜：</w:t>
      </w:r>
    </w:p>
    <w:p w14:paraId="1D93B99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16.2.1乙方配合退货退款，并按合同规定的同种货币将货款全额退还给甲方，并承担由此发生的一切损失和费用，包括利息、银行手续费、运费、保险费、检验费、仓储费、装卸费、误工费以及为保证退回货物所需的其他必要费用。</w:t>
      </w:r>
    </w:p>
    <w:p w14:paraId="2C39C04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16.2.2根据货物低劣程度、损坏程度以及甲方所遭受损失的数额，经甲、乙双方商定降低货物的价格。</w:t>
      </w:r>
    </w:p>
    <w:p w14:paraId="41A7AE6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16.2.3用符合质量、规格型号、品牌、技术要求和性能要求的新零件、部件或货物来更换有缺陷的部分或修补缺陷部分，乙方应承担一切费用和风险，并负担甲方所发生的一切直接费用。甲方应按合同规定，相应延长修补或更换件的质量保修期。</w:t>
      </w:r>
    </w:p>
    <w:p w14:paraId="05887650">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16.3如果在甲方发生索赔通知后7天内，乙方未作书面答复，上述索赔应视为已被乙方接受。如乙方未能在甲方提出索赔通知后7天内或甲方同意的更长时间内，按照本合同第13.2条规定的任何一种方法解决索赔事宜，甲方将从未付款中扣回索赔金额。如果这些金额不足以补偿索赔金额，甲方有权向乙方提出不足部分的补偿。</w:t>
      </w:r>
    </w:p>
    <w:p w14:paraId="2BEDF50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position w:val="1"/>
          <w:sz w:val="21"/>
          <w:szCs w:val="21"/>
          <w:lang w:eastAsia="zh-CN"/>
        </w:rPr>
        <w:t>17、违约赔偿</w:t>
      </w:r>
    </w:p>
    <w:p w14:paraId="51E6293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17.1除合同第6.2条、15条规定外，如果乙方没有按照合同规定的时间竣工和提供服务，甲方可从货款中扣除违约赔偿费【按每拖延一日，承担货物合同价的1%金额赔偿费计算】。但违约赔偿费的最高限额为货物合同价的30%。如果乙方在达到最高限额后仍不能竣工和提供服务，甲方可考虑终止合同。</w:t>
      </w:r>
    </w:p>
    <w:p w14:paraId="376259F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17.2甲、乙双方均应遵守本合同约定，若任何一方违约，违约方应按《中华人民共和国民法典》和本合同的约定承担其违约责任，赔偿因其违约给守约方造成的损失。</w:t>
      </w:r>
    </w:p>
    <w:p w14:paraId="5647CD2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17.3若乙方延迟竣工和提供服务时间超过十五日，或经安装、调试、修正后，乙方提供的货物不能正常使用或达不到乙方货物说明书中的描述的技术功能和技术标准，甲方有权解除合同；解除合同不影响违约金条款执行及损害赔偿的追索。</w:t>
      </w:r>
    </w:p>
    <w:p w14:paraId="43B6E78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position w:val="1"/>
          <w:sz w:val="21"/>
          <w:szCs w:val="21"/>
          <w:lang w:eastAsia="zh-CN"/>
        </w:rPr>
        <w:t>18、不可抗力</w:t>
      </w:r>
    </w:p>
    <w:p w14:paraId="3352A50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18.1如果甲、乙双方中任何一方由于战争、严重火灾、水灾、台风和地震以及其他经甲、乙双方同意属于不可抗力的事故，致使合同履行受阻时，履行合同的期限应予延长，延长的期限应相当于事故所影响的时间。</w:t>
      </w:r>
    </w:p>
    <w:p w14:paraId="374BE71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18.2受事故影响的一方应在不可抗力的事故发生后尽快以电报或电传通知另一方。如果不可抗力影响时间延续120天以上的，甲、乙双方应通过友好协商在合理的时间内达成进一步履行合同的协议。</w:t>
      </w:r>
    </w:p>
    <w:p w14:paraId="20D5DF1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position w:val="1"/>
          <w:sz w:val="21"/>
          <w:szCs w:val="21"/>
          <w:lang w:eastAsia="zh-CN"/>
        </w:rPr>
        <w:t>19、履约保证</w:t>
      </w:r>
    </w:p>
    <w:p w14:paraId="225C079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19.1乙方交纳人民币_________元作为本合同的履约保证金。</w:t>
      </w:r>
    </w:p>
    <w:p w14:paraId="70C73ACD">
      <w:pPr>
        <w:widowControl w:val="0"/>
        <w:spacing w:line="460" w:lineRule="exact"/>
        <w:ind w:firstLine="420" w:firstLineChars="200"/>
        <w:jc w:val="both"/>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（备注：合同金额的</w:t>
      </w:r>
      <w:r>
        <w:rPr>
          <w:rFonts w:hint="eastAsia" w:ascii="宋体" w:hAnsi="宋体" w:eastAsia="宋体" w:cs="宋体"/>
          <w:color w:val="auto"/>
          <w:kern w:val="2"/>
          <w:sz w:val="21"/>
          <w:szCs w:val="21"/>
          <w:lang w:val="en-US" w:eastAsia="zh-CN"/>
        </w:rPr>
        <w:t>5</w:t>
      </w:r>
      <w:r>
        <w:rPr>
          <w:rFonts w:hint="eastAsia" w:ascii="宋体" w:hAnsi="宋体" w:eastAsia="宋体" w:cs="宋体"/>
          <w:color w:val="auto"/>
          <w:kern w:val="2"/>
          <w:sz w:val="21"/>
          <w:szCs w:val="21"/>
          <w:lang w:eastAsia="zh-CN"/>
        </w:rPr>
        <w:t>%，采购人应当对AA评级及以上政府采购供应商需提供信用管理部门备案的第三方信用报告免收履约保证金。）</w:t>
      </w:r>
    </w:p>
    <w:p w14:paraId="2A00545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19.2确需收取履约保证金的，履约保证金的缴纳形式：</w:t>
      </w:r>
    </w:p>
    <w:p w14:paraId="05C8E72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19.2.1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05E071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19.2.2如以履约保函（保险）形式缴纳履约保证金，供应商可通过政府采购电子履约保函（保险）平台（www.jsdzbh.com）在线申请履约保函（保险）。</w:t>
      </w:r>
    </w:p>
    <w:p w14:paraId="3F07794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19.3项目验收结束后，乙方无违约行为的情况下甲方应及时退还交纳的履约保证金。</w:t>
      </w:r>
    </w:p>
    <w:p w14:paraId="456B50D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19.4履约保证金的退还：</w:t>
      </w:r>
    </w:p>
    <w:p w14:paraId="3037575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19.4.1方式：乙方无违约行为的情况下退还至投标人缴纳履约保证金的账户。如为保函，在到期时自行失效。</w:t>
      </w:r>
    </w:p>
    <w:p w14:paraId="0AB354C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19.4.2时间：验收合格且采购人收到发票后30日内。</w:t>
      </w:r>
    </w:p>
    <w:p w14:paraId="7DA48EA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19.4.3条件：按合同要求全部履约完成并经采购人验收合格，且采购人收到中标人出具的发票。</w:t>
      </w:r>
    </w:p>
    <w:p w14:paraId="765AE4E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19.4.4不予退还情形：</w:t>
      </w:r>
    </w:p>
    <w:p w14:paraId="29F9304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除不可抗力情况外，投标人出现下列情形之一的，其履约保证金，招标人将视情节决定不予退还或部分不予退还。</w:t>
      </w:r>
    </w:p>
    <w:p w14:paraId="7F6BD1EC">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（1）中标人无正当理由拒绝签订合同的，或者在签订合同时向采购人提出附加条件或者更改合同实质性内容要求的；</w:t>
      </w:r>
    </w:p>
    <w:p w14:paraId="1576D43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（2）中标人不履行与采购人订立的合同的；</w:t>
      </w:r>
    </w:p>
    <w:p w14:paraId="79E9B1F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（3）中标人所供货物或服务不符合招标文件规定要求的；</w:t>
      </w:r>
    </w:p>
    <w:p w14:paraId="1B02306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（4）中标人采取欺骗、弄虚作假方式投标的或与其它投标人串通投标的；</w:t>
      </w:r>
    </w:p>
    <w:p w14:paraId="10BE2C41">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（5）中标人将合同内容转包、违法分包的；</w:t>
      </w:r>
    </w:p>
    <w:p w14:paraId="4EDC913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（6）中标人故意捏造事实或伪造证明材料，进行虚假恶意投诉或反映的。</w:t>
      </w:r>
    </w:p>
    <w:p w14:paraId="5C0224E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19.4.5逾期退还的违约责任：甲方逾期无故未退还履约保证金的，按中国人民银行同期贷款基准利率上浮20%后的利率支付超期资金占用费，但因乙方自身原因导致无法及时退还的除外。</w:t>
      </w:r>
    </w:p>
    <w:p w14:paraId="7D87641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position w:val="1"/>
          <w:sz w:val="21"/>
          <w:szCs w:val="21"/>
          <w:lang w:eastAsia="zh-CN"/>
        </w:rPr>
        <w:t>20、争议</w:t>
      </w:r>
    </w:p>
    <w:p w14:paraId="7AEF24A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20.1甲、乙双方应通过友好协商，解决在执行本合同中所发生的或与本合同有关的一切争议，如协商仍得不到解决，任何一方均可依法向甲方所在地人民法院起诉。</w:t>
      </w:r>
    </w:p>
    <w:p w14:paraId="74807B3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position w:val="1"/>
          <w:sz w:val="21"/>
          <w:szCs w:val="21"/>
          <w:lang w:eastAsia="zh-CN"/>
        </w:rPr>
        <w:t>21、违约终止合同</w:t>
      </w:r>
    </w:p>
    <w:p w14:paraId="530A8E7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21.1甲方在乙方违约的情况下，如果：</w:t>
      </w:r>
    </w:p>
    <w:p w14:paraId="1F50150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21.1.1乙方未能在合同规定的限期或甲方同意延长的限期内完成项目调试并交付甲方验收。</w:t>
      </w:r>
    </w:p>
    <w:p w14:paraId="67E4AE3A">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21.1.2如果乙方未能履行合同规定的其他义务，乙方在收到甲方发出的违约通知后7天内，或经甲方书面认可延长的时间内未能纠正其过失。甲方可向乙方发出书面通知，终止部分或全部合同。在这种情况下，并不影响甲方向乙方提出的索赔。</w:t>
      </w:r>
    </w:p>
    <w:p w14:paraId="2544C9A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21.2在甲方根据上述第18.1条规定，终止了全部或部分合同，甲方可以依其认为适当的条件和方法购买与未交货物类似的货物，乙方应对购买类似货物所超出的费用负责。而且乙方还应继续执行合同中未终止的部分。</w:t>
      </w:r>
    </w:p>
    <w:p w14:paraId="6FB23E7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position w:val="1"/>
          <w:sz w:val="21"/>
          <w:szCs w:val="21"/>
          <w:lang w:eastAsia="zh-CN"/>
        </w:rPr>
        <w:t>22、转让与分包</w:t>
      </w:r>
    </w:p>
    <w:p w14:paraId="7E85F37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22.1甲方不允许乙方将本项目转包和分包给任何第三方，如发现乙方有转包或分包行为，限令改正。否则，甲方有权立即终止合同，乙方负违约责任，向甲方支付违约金，从到期的工程款中扣除。</w:t>
      </w:r>
    </w:p>
    <w:p w14:paraId="7C20F04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position w:val="1"/>
          <w:sz w:val="21"/>
          <w:szCs w:val="21"/>
          <w:lang w:eastAsia="zh-CN"/>
        </w:rPr>
        <w:t>23、其他</w:t>
      </w:r>
    </w:p>
    <w:p w14:paraId="5E78FDF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23.1货物在安装过程中，乙方应负责现有资源的整合、调试，还应负责对货物进行免费维保、升级等服务，确保系统顺利运行。</w:t>
      </w:r>
    </w:p>
    <w:p w14:paraId="75E84D3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23.2货物在安装、调试、整合、正常运行及升级过程中，乙方必须确保信息的安全性和保密性，如因乙方提供的货物在安装、调试、整合，正常运行及升级过程中造成了信息泄密，一切责任(经济和法律责任) 均由乙方承担，甲方有权无条件终止合同，由此给甲方造成损失的或其他负面社会影响的，甲方将依法追究乙方的法律责任。</w:t>
      </w:r>
    </w:p>
    <w:p w14:paraId="0A2D229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23.3乙方自行协调解决本项目实施过程中发生的各种矛盾，甲方不承担任何费用和责任，工期不顺延；乙方已到工地踏勘以充分了解项目位置、情况、道路及任何其他影响承包价的情况，任何因忽视或误解项目情况而导致的索赔或工期延长申请不被批准。</w:t>
      </w:r>
    </w:p>
    <w:p w14:paraId="396083B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23.4乙方应向甲方进行技术交底。</w:t>
      </w:r>
    </w:p>
    <w:p w14:paraId="54E1E37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23.5安装期间所有安全、消防、市容保洁、环境噪声、成品保护、治安保卫、文明安装均由乙方负责，非甲方原因发生的一切问题和责任与甲方无关，费用由乙方自理。</w:t>
      </w:r>
    </w:p>
    <w:p w14:paraId="19E5620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23.6乙方在竣工验收之前所有货物及材料的自行保护。乙方不得擅自外运任何置于工地现场或周转场地的货物及材料，否则由此造成的一切损失及后果均由乙方承担。</w:t>
      </w:r>
    </w:p>
    <w:p w14:paraId="2D588DD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23.7乙方在安装过程中必须确保安全，如造成各种人身伤害、财产损失或其他事故，均由乙方负责处理和经济赔偿，甲方不承担任何责任。</w:t>
      </w:r>
    </w:p>
    <w:p w14:paraId="485213E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23.8乙方进场后，必须服从甲方的统一调度和指挥。如出现不服从管理现象的，甲方将视情节轻重认定乙方是否违约，并根据情况要求乙方承担违约责任，支付违约金。</w:t>
      </w:r>
    </w:p>
    <w:p w14:paraId="2CD65530">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bCs w:val="0"/>
          <w:color w:val="auto"/>
          <w:kern w:val="2"/>
          <w:sz w:val="21"/>
          <w:szCs w:val="21"/>
          <w:lang w:eastAsia="zh-CN"/>
        </w:rPr>
      </w:pPr>
      <w:r>
        <w:rPr>
          <w:rFonts w:hint="eastAsia" w:ascii="宋体" w:hAnsi="宋体" w:eastAsia="宋体" w:cs="宋体"/>
          <w:b w:val="0"/>
          <w:bCs w:val="0"/>
          <w:color w:val="auto"/>
          <w:kern w:val="2"/>
          <w:sz w:val="21"/>
          <w:szCs w:val="21"/>
          <w:lang w:eastAsia="zh-CN"/>
        </w:rPr>
        <w:t>23.9本项目价款一律通过银行非现金结算，实行专款专用。</w:t>
      </w:r>
    </w:p>
    <w:p w14:paraId="7E006B5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bCs w:val="0"/>
          <w:color w:val="auto"/>
          <w:kern w:val="2"/>
          <w:sz w:val="21"/>
          <w:szCs w:val="21"/>
          <w:lang w:eastAsia="zh-CN"/>
        </w:rPr>
      </w:pPr>
      <w:r>
        <w:rPr>
          <w:rFonts w:hint="eastAsia" w:ascii="宋体" w:hAnsi="宋体" w:eastAsia="宋体" w:cs="宋体"/>
          <w:b w:val="0"/>
          <w:bCs w:val="0"/>
          <w:color w:val="auto"/>
          <w:kern w:val="2"/>
          <w:sz w:val="21"/>
          <w:szCs w:val="21"/>
          <w:lang w:eastAsia="zh-CN"/>
        </w:rPr>
        <w:t>23.10招标文件和投标文件作为本合同的组成部分。</w:t>
      </w:r>
    </w:p>
    <w:p w14:paraId="427DD05F">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b w:val="0"/>
          <w:bCs w:val="0"/>
          <w:color w:val="auto"/>
          <w:kern w:val="0"/>
          <w:sz w:val="21"/>
          <w:szCs w:val="21"/>
          <w:highlight w:val="none"/>
          <w:lang w:val="en-US" w:eastAsia="zh-CN" w:bidi="ar-SA"/>
        </w:rPr>
        <w:t>23.11在本合同履行过程中，如乙方发生如下情形之一，甲方将视乙方严重违约，立即解</w:t>
      </w:r>
      <w:r>
        <w:rPr>
          <w:rFonts w:hint="eastAsia" w:ascii="宋体" w:hAnsi="宋体" w:eastAsia="宋体" w:cs="宋体"/>
          <w:color w:val="auto"/>
          <w:kern w:val="2"/>
          <w:sz w:val="21"/>
          <w:szCs w:val="21"/>
          <w:lang w:eastAsia="zh-CN"/>
        </w:rPr>
        <w:t>除合同，冻结专户资金，乙方承担违约责任并承担由此造成的一切损失，乙方在现场的人员无条件退场，乙方在现场的货物和材料无条件供甲方使用，其货物和材料价值待人民法院判决后，如有剩余，在判决生效后7天内支付。</w:t>
      </w:r>
    </w:p>
    <w:p w14:paraId="5B670A23">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position w:val="1"/>
          <w:sz w:val="21"/>
          <w:szCs w:val="21"/>
          <w:lang w:eastAsia="zh-CN"/>
        </w:rPr>
      </w:pPr>
      <w:r>
        <w:rPr>
          <w:rFonts w:hint="eastAsia" w:ascii="宋体" w:hAnsi="宋体" w:eastAsia="宋体" w:cs="宋体"/>
          <w:color w:val="auto"/>
          <w:kern w:val="2"/>
          <w:position w:val="1"/>
          <w:sz w:val="21"/>
          <w:szCs w:val="21"/>
          <w:lang w:eastAsia="zh-CN"/>
        </w:rPr>
        <w:t>A、不同意本项目合同条件；</w:t>
      </w:r>
    </w:p>
    <w:p w14:paraId="7E12367B">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position w:val="1"/>
          <w:sz w:val="21"/>
          <w:szCs w:val="21"/>
          <w:lang w:eastAsia="zh-CN"/>
        </w:rPr>
      </w:pPr>
      <w:r>
        <w:rPr>
          <w:rFonts w:hint="eastAsia" w:ascii="宋体" w:hAnsi="宋体" w:eastAsia="宋体" w:cs="宋体"/>
          <w:color w:val="auto"/>
          <w:kern w:val="2"/>
          <w:position w:val="1"/>
          <w:sz w:val="21"/>
          <w:szCs w:val="21"/>
          <w:lang w:eastAsia="zh-CN"/>
        </w:rPr>
        <w:t>B、停工或拖延安装进度或影响安装质量；</w:t>
      </w:r>
    </w:p>
    <w:p w14:paraId="0BECB3FE">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position w:val="1"/>
          <w:sz w:val="21"/>
          <w:szCs w:val="21"/>
          <w:lang w:eastAsia="zh-CN"/>
        </w:rPr>
        <w:t>C、要挟甲方提高合同价款；</w:t>
      </w:r>
    </w:p>
    <w:p w14:paraId="75A55E97">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position w:val="1"/>
          <w:sz w:val="21"/>
          <w:szCs w:val="21"/>
          <w:lang w:eastAsia="zh-CN"/>
        </w:rPr>
      </w:pPr>
      <w:r>
        <w:rPr>
          <w:rFonts w:hint="eastAsia" w:ascii="宋体" w:hAnsi="宋体" w:eastAsia="宋体" w:cs="宋体"/>
          <w:color w:val="auto"/>
          <w:kern w:val="2"/>
          <w:position w:val="1"/>
          <w:sz w:val="21"/>
          <w:szCs w:val="21"/>
          <w:lang w:eastAsia="zh-CN"/>
        </w:rPr>
        <w:t>D、要挟甲方给予某种补偿；</w:t>
      </w:r>
    </w:p>
    <w:p w14:paraId="15B47B6D">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E、自认合同付款比例和时间。</w:t>
      </w:r>
    </w:p>
    <w:p w14:paraId="10C3AF5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23.12所有货物及材料均由乙方自行组织采购，凡由乙方采购的货物及材料，乙方应按照设计和有关标准、招标文件要求采购，向甲方提供质量保证书、出厂合格证及现场抽样报告等证明材料，对货物及材料质量负责。如不符合质量及相关规定要求或规格有差异的，应禁止使用。</w:t>
      </w:r>
    </w:p>
    <w:p w14:paraId="64D2FC74">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23.13本项目质量确保达到国家合格标准，且要求一次检测合格，检测不合格者，必须无偿修复至合格，非甲方原因，质量整改期间工期不顺延。</w:t>
      </w:r>
    </w:p>
    <w:p w14:paraId="4ECACCA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23.14合同修改：欲对合同条款进行任何改动，均须由甲、乙双方签署书面的合同修改书。</w:t>
      </w:r>
    </w:p>
    <w:p w14:paraId="3BC6DE69">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23.15合同生效及其他：</w:t>
      </w:r>
    </w:p>
    <w:p w14:paraId="40577DB6">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23.15.1本合同共页，壹式拾份，以中文书写，甲方伍份(盖章留存壹份，政务服务管理办公室备案壹份，工管委办公室存档壹份，责任主体单位存档贰份)，乙方伍份，经甲、乙双方签字盖章后生效。</w:t>
      </w:r>
    </w:p>
    <w:p w14:paraId="46ACB222">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23.15.2如需补充合同内容，经协商，甲、乙双方应签署书面补充合同协议，该协议将作为本合同的一个组成部分。</w:t>
      </w:r>
    </w:p>
    <w:p w14:paraId="40EF7825">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23.15.3合同未尽事宜，按《中华人民共和国民法典》和国家其他相关法律法规的有关规定及甲、乙双方协商解决。</w:t>
      </w:r>
    </w:p>
    <w:p w14:paraId="5ED4BE88">
      <w:pPr>
        <w:pStyle w:val="11"/>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23.15.4签订时间：202</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lang w:eastAsia="zh-CN"/>
        </w:rPr>
        <w:t xml:space="preserve">年   月 </w:t>
      </w:r>
      <w:r>
        <w:rPr>
          <w:rFonts w:hint="eastAsia" w:ascii="宋体" w:hAnsi="宋体" w:eastAsia="宋体" w:cs="宋体"/>
          <w:color w:val="auto"/>
          <w:kern w:val="2"/>
          <w:sz w:val="21"/>
          <w:szCs w:val="21"/>
          <w:lang w:val="en-US" w:eastAsia="zh-CN"/>
        </w:rPr>
        <w:t xml:space="preserve">  </w:t>
      </w:r>
      <w:r>
        <w:rPr>
          <w:rFonts w:hint="eastAsia" w:ascii="宋体" w:hAnsi="宋体" w:eastAsia="宋体" w:cs="宋体"/>
          <w:color w:val="auto"/>
          <w:kern w:val="2"/>
          <w:sz w:val="21"/>
          <w:szCs w:val="21"/>
          <w:lang w:eastAsia="zh-CN"/>
        </w:rPr>
        <w:t>日</w:t>
      </w:r>
    </w:p>
    <w:p w14:paraId="6003FFB6">
      <w:pPr>
        <w:widowControl w:val="0"/>
        <w:spacing w:line="450" w:lineRule="exact"/>
        <w:ind w:right="3033" w:firstLine="1260" w:firstLineChars="600"/>
        <w:jc w:val="both"/>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签订地点：</w:t>
      </w:r>
    </w:p>
    <w:p w14:paraId="49116614">
      <w:pPr>
        <w:widowControl w:val="0"/>
        <w:spacing w:line="450" w:lineRule="exact"/>
        <w:ind w:left="19"/>
        <w:jc w:val="both"/>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 xml:space="preserve"> 甲方：              乙方： </w:t>
      </w:r>
    </w:p>
    <w:p w14:paraId="351C05CA">
      <w:pPr>
        <w:widowControl w:val="0"/>
        <w:spacing w:line="450" w:lineRule="exact"/>
        <w:ind w:left="19"/>
        <w:jc w:val="left"/>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 xml:space="preserve"> 地址：              地址： </w:t>
      </w:r>
    </w:p>
    <w:p w14:paraId="18257E12">
      <w:pPr>
        <w:widowControl w:val="0"/>
        <w:spacing w:line="450" w:lineRule="exact"/>
        <w:ind w:left="19"/>
        <w:jc w:val="left"/>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 法定代表人或授权代表：      法定代表人或授权代表：</w:t>
      </w:r>
    </w:p>
    <w:p w14:paraId="42F9BDD2">
      <w:pPr>
        <w:widowControl w:val="0"/>
        <w:spacing w:line="450" w:lineRule="exact"/>
        <w:ind w:firstLine="210" w:firstLineChars="100"/>
        <w:jc w:val="left"/>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联系电话：             联系电话：</w:t>
      </w:r>
    </w:p>
    <w:p w14:paraId="2FB71B9D">
      <w:pPr>
        <w:widowControl w:val="0"/>
        <w:spacing w:line="450" w:lineRule="exact"/>
        <w:ind w:left="420"/>
        <w:jc w:val="right"/>
        <w:rPr>
          <w:rFonts w:hint="eastAsia" w:ascii="宋体" w:hAnsi="宋体" w:eastAsia="宋体" w:cs="宋体"/>
          <w:color w:val="auto"/>
          <w:kern w:val="2"/>
          <w:sz w:val="21"/>
          <w:szCs w:val="21"/>
          <w:lang w:eastAsia="zh-CN"/>
        </w:rPr>
      </w:pPr>
    </w:p>
    <w:p w14:paraId="0BA4CDB2">
      <w:pPr>
        <w:jc w:val="left"/>
        <w:rPr>
          <w:rFonts w:hint="eastAsia" w:ascii="黑体" w:hAnsi="黑体" w:eastAsia="黑体"/>
          <w:color w:val="auto"/>
          <w:lang w:eastAsia="zh-CN"/>
        </w:rPr>
      </w:pPr>
      <w:bookmarkStart w:id="169" w:name="_bookmark4"/>
      <w:bookmarkEnd w:id="169"/>
      <w:bookmarkStart w:id="170" w:name="_bookmark3"/>
      <w:bookmarkEnd w:id="170"/>
    </w:p>
    <w:p w14:paraId="730364C6">
      <w:pPr>
        <w:spacing w:line="360" w:lineRule="auto"/>
        <w:ind w:right="-34" w:rightChars="-16"/>
        <w:jc w:val="center"/>
        <w:rPr>
          <w:rFonts w:hint="eastAsia" w:cs="宋体"/>
          <w:b/>
          <w:color w:val="auto"/>
          <w:kern w:val="2"/>
          <w:lang w:eastAsia="zh-CN"/>
        </w:rPr>
      </w:pPr>
    </w:p>
    <w:p w14:paraId="588C0448">
      <w:pPr>
        <w:spacing w:line="360" w:lineRule="auto"/>
        <w:ind w:right="-34" w:rightChars="-16"/>
        <w:jc w:val="center"/>
        <w:rPr>
          <w:rFonts w:hint="eastAsia" w:cs="宋体"/>
          <w:b/>
          <w:color w:val="auto"/>
          <w:kern w:val="2"/>
          <w:lang w:eastAsia="zh-CN"/>
        </w:rPr>
      </w:pPr>
    </w:p>
    <w:p w14:paraId="6EF02A96">
      <w:pPr>
        <w:spacing w:line="360" w:lineRule="auto"/>
        <w:ind w:right="-34" w:rightChars="-16"/>
        <w:jc w:val="center"/>
        <w:rPr>
          <w:rFonts w:hint="eastAsia" w:cs="宋体"/>
          <w:b/>
          <w:color w:val="auto"/>
          <w:kern w:val="2"/>
          <w:lang w:eastAsia="zh-CN"/>
        </w:rPr>
      </w:pPr>
    </w:p>
    <w:p w14:paraId="6DFAA3B2">
      <w:pPr>
        <w:spacing w:line="360" w:lineRule="auto"/>
        <w:ind w:right="-34" w:rightChars="-16"/>
        <w:jc w:val="center"/>
        <w:rPr>
          <w:rFonts w:hint="eastAsia" w:cs="宋体"/>
          <w:b/>
          <w:color w:val="auto"/>
          <w:kern w:val="2"/>
          <w:lang w:eastAsia="zh-CN"/>
        </w:rPr>
      </w:pPr>
    </w:p>
    <w:p w14:paraId="75108C26">
      <w:pPr>
        <w:spacing w:line="360" w:lineRule="auto"/>
        <w:ind w:right="-34" w:rightChars="-16"/>
        <w:jc w:val="center"/>
        <w:rPr>
          <w:rFonts w:hint="eastAsia" w:cs="宋体"/>
          <w:b/>
          <w:color w:val="auto"/>
          <w:kern w:val="2"/>
          <w:lang w:eastAsia="zh-CN"/>
        </w:rPr>
      </w:pPr>
    </w:p>
    <w:p w14:paraId="10018A90">
      <w:pPr>
        <w:rPr>
          <w:rFonts w:hint="eastAsia"/>
          <w:color w:val="auto"/>
          <w:lang w:eastAsia="zh-CN"/>
        </w:rPr>
      </w:pPr>
    </w:p>
    <w:p w14:paraId="5FC4FDD2">
      <w:pPr>
        <w:spacing w:line="360" w:lineRule="auto"/>
        <w:ind w:right="-34" w:rightChars="-16"/>
        <w:jc w:val="center"/>
        <w:rPr>
          <w:rFonts w:hint="eastAsia" w:cs="宋体"/>
          <w:b/>
          <w:color w:val="auto"/>
          <w:kern w:val="2"/>
          <w:lang w:eastAsia="zh-CN"/>
        </w:rPr>
      </w:pPr>
      <w:r>
        <w:rPr>
          <w:rFonts w:hint="eastAsia" w:cs="宋体"/>
          <w:b/>
          <w:color w:val="auto"/>
          <w:kern w:val="2"/>
          <w:lang w:eastAsia="zh-CN"/>
        </w:rPr>
        <w:t>廉政合同</w:t>
      </w:r>
    </w:p>
    <w:p w14:paraId="1FEB2845">
      <w:pPr>
        <w:adjustRightInd w:val="0"/>
        <w:snapToGrid w:val="0"/>
        <w:spacing w:line="360" w:lineRule="auto"/>
        <w:ind w:firstLine="420" w:firstLineChars="200"/>
        <w:jc w:val="left"/>
        <w:rPr>
          <w:rFonts w:hint="eastAsia" w:cs="宋体"/>
          <w:color w:val="auto"/>
          <w:kern w:val="2"/>
          <w:lang w:eastAsia="zh-CN"/>
        </w:rPr>
      </w:pPr>
      <w:r>
        <w:rPr>
          <w:rFonts w:hint="eastAsia" w:cs="宋体"/>
          <w:color w:val="auto"/>
          <w:kern w:val="2"/>
          <w:lang w:eastAsia="zh-CN"/>
        </w:rPr>
        <w:t>为切实加强工程建设领域党风廉政建设，有效预防违法违纪违规行为和腐败问题的发生，根据国家有关工程建设、廉政建设的规定，建设工程的发包人</w:t>
      </w:r>
      <w:r>
        <w:rPr>
          <w:rFonts w:hint="eastAsia" w:cs="宋体"/>
          <w:color w:val="auto"/>
          <w:kern w:val="2"/>
          <w:u w:val="single"/>
          <w:lang w:eastAsia="zh-CN"/>
        </w:rPr>
        <w:t xml:space="preserve">    </w:t>
      </w:r>
      <w:r>
        <w:rPr>
          <w:rFonts w:hint="eastAsia" w:cs="宋体"/>
          <w:color w:val="auto"/>
          <w:kern w:val="2"/>
          <w:lang w:eastAsia="zh-CN"/>
        </w:rPr>
        <w:t>（以下简称“甲方”）与承包人</w:t>
      </w:r>
      <w:r>
        <w:rPr>
          <w:rFonts w:hint="eastAsia" w:cs="宋体"/>
          <w:color w:val="auto"/>
          <w:kern w:val="2"/>
          <w:u w:val="single"/>
          <w:lang w:eastAsia="zh-CN"/>
        </w:rPr>
        <w:t xml:space="preserve">            </w:t>
      </w:r>
      <w:r>
        <w:rPr>
          <w:rFonts w:hint="eastAsia" w:cs="宋体"/>
          <w:color w:val="auto"/>
          <w:kern w:val="2"/>
          <w:lang w:eastAsia="zh-CN"/>
        </w:rPr>
        <w:t xml:space="preserve">（含承包人按法律法规规定和招标文件约定允许分包的各专业承包人）（以下简称“乙方”），订立如下合同。 </w:t>
      </w:r>
    </w:p>
    <w:p w14:paraId="61ECF7EB">
      <w:pPr>
        <w:adjustRightInd w:val="0"/>
        <w:snapToGrid w:val="0"/>
        <w:spacing w:line="360" w:lineRule="auto"/>
        <w:ind w:firstLine="420" w:firstLineChars="200"/>
        <w:jc w:val="left"/>
        <w:rPr>
          <w:rFonts w:hint="eastAsia" w:cs="宋体"/>
          <w:color w:val="auto"/>
          <w:kern w:val="2"/>
          <w:lang w:eastAsia="zh-CN"/>
        </w:rPr>
      </w:pPr>
      <w:r>
        <w:rPr>
          <w:rFonts w:hint="eastAsia" w:cs="宋体"/>
          <w:color w:val="auto"/>
          <w:kern w:val="2"/>
          <w:lang w:eastAsia="zh-CN"/>
        </w:rPr>
        <w:t xml:space="preserve">  一、甲方的权利和义务 </w:t>
      </w:r>
    </w:p>
    <w:p w14:paraId="4CD43C2C">
      <w:pPr>
        <w:adjustRightInd w:val="0"/>
        <w:snapToGrid w:val="0"/>
        <w:spacing w:line="360" w:lineRule="auto"/>
        <w:ind w:firstLine="420" w:firstLineChars="200"/>
        <w:jc w:val="left"/>
        <w:rPr>
          <w:rFonts w:hint="eastAsia" w:cs="宋体"/>
          <w:color w:val="auto"/>
          <w:kern w:val="2"/>
          <w:lang w:eastAsia="zh-CN"/>
        </w:rPr>
      </w:pPr>
      <w:r>
        <w:rPr>
          <w:rFonts w:hint="eastAsia" w:cs="宋体"/>
          <w:color w:val="auto"/>
          <w:kern w:val="2"/>
          <w:lang w:eastAsia="zh-CN"/>
        </w:rPr>
        <w:t xml:space="preserve">（1）严格执行党的政策纪律、国家法律法规和各项规章制度，建立并落实廉政责任制。 </w:t>
      </w:r>
    </w:p>
    <w:p w14:paraId="35F84AF4">
      <w:pPr>
        <w:adjustRightInd w:val="0"/>
        <w:snapToGrid w:val="0"/>
        <w:spacing w:line="360" w:lineRule="auto"/>
        <w:ind w:firstLine="420" w:firstLineChars="200"/>
        <w:jc w:val="left"/>
        <w:rPr>
          <w:rFonts w:hint="eastAsia" w:cs="宋体"/>
          <w:color w:val="auto"/>
          <w:kern w:val="2"/>
          <w:lang w:eastAsia="zh-CN"/>
        </w:rPr>
      </w:pPr>
      <w:r>
        <w:rPr>
          <w:rFonts w:hint="eastAsia" w:cs="宋体"/>
          <w:color w:val="auto"/>
          <w:kern w:val="2"/>
          <w:lang w:eastAsia="zh-CN"/>
        </w:rPr>
        <w:t>（2） 建立健全廉政教育制度，设立廉政告示牌，公布举报电话， 监督并严肃查处违法违纪行为。</w:t>
      </w:r>
    </w:p>
    <w:p w14:paraId="23D3DE97">
      <w:pPr>
        <w:adjustRightInd w:val="0"/>
        <w:snapToGrid w:val="0"/>
        <w:spacing w:line="360" w:lineRule="auto"/>
        <w:ind w:firstLine="420" w:firstLineChars="200"/>
        <w:jc w:val="left"/>
        <w:rPr>
          <w:rFonts w:hint="eastAsia" w:cs="宋体"/>
          <w:color w:val="auto"/>
          <w:kern w:val="2"/>
          <w:lang w:eastAsia="zh-CN"/>
        </w:rPr>
      </w:pPr>
      <w:r>
        <w:rPr>
          <w:rFonts w:hint="eastAsia" w:cs="宋体"/>
          <w:color w:val="auto"/>
          <w:kern w:val="2"/>
          <w:lang w:eastAsia="zh-CN"/>
        </w:rPr>
        <w:t xml:space="preserve">（3）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在一至三年内进入盐城市场，涉嫌犯罪的，移送司法机关依法处理。 </w:t>
      </w:r>
    </w:p>
    <w:p w14:paraId="00C9D390">
      <w:pPr>
        <w:adjustRightInd w:val="0"/>
        <w:snapToGrid w:val="0"/>
        <w:spacing w:line="360" w:lineRule="auto"/>
        <w:ind w:firstLine="420" w:firstLineChars="200"/>
        <w:jc w:val="left"/>
        <w:rPr>
          <w:rFonts w:hint="eastAsia" w:cs="宋体"/>
          <w:color w:val="auto"/>
          <w:kern w:val="2"/>
          <w:lang w:eastAsia="zh-CN"/>
        </w:rPr>
      </w:pPr>
      <w:r>
        <w:rPr>
          <w:rFonts w:hint="eastAsia" w:cs="宋体"/>
          <w:color w:val="auto"/>
          <w:kern w:val="2"/>
          <w:lang w:eastAsia="zh-CN"/>
        </w:rPr>
        <w:t xml:space="preserve">（4）甲方及其工作人员和受甲方委托从事本项目招标代理、监理、跟踪审计等单位的人员不得索要或接受乙方的礼金、礼品、有价证券及回扣、好处费、感谢费等；不得在乙方报销任何应由甲方或其相关工作人员应当个人支付的费用；不得参加乙方安排的宴请、健身、旅游及娱乐等活动；不得接受乙方提供的通讯工具、交通工具、高档办公用品以及通信充值卡、加油卡等；不得要求或者接受乙方为其汽车或住房装修，不得要求或者接受乙方为其婚丧嫁娶、配偶子女的工作安排以及出国出境、旅游等提供方便；不得利用职权、职务影响或工作便利从事与本项目有关的有偿中介、材料设备供应、工程分包、劳务等经济活动；不得违规为本人、亲友、身边工作人员和特定关系人承接或投资、入股重大工程项目相关的业务；不准违规进行变更签证或以虚假计量等手段虚报高报工程量；不准与相关工程单位发生借贷、租赁或合伙经营等个人经济关系。 </w:t>
      </w:r>
    </w:p>
    <w:p w14:paraId="7387067A">
      <w:pPr>
        <w:adjustRightInd w:val="0"/>
        <w:snapToGrid w:val="0"/>
        <w:spacing w:line="360" w:lineRule="auto"/>
        <w:ind w:firstLine="420" w:firstLineChars="200"/>
        <w:jc w:val="left"/>
        <w:rPr>
          <w:rFonts w:hint="eastAsia" w:cs="宋体"/>
          <w:color w:val="auto"/>
          <w:kern w:val="2"/>
          <w:lang w:eastAsia="zh-CN"/>
        </w:rPr>
      </w:pPr>
      <w:r>
        <w:rPr>
          <w:rFonts w:hint="eastAsia" w:cs="宋体"/>
          <w:color w:val="auto"/>
          <w:kern w:val="2"/>
          <w:lang w:eastAsia="zh-CN"/>
        </w:rPr>
        <w:t xml:space="preserve">二、乙方的权利和义务 </w:t>
      </w:r>
    </w:p>
    <w:p w14:paraId="79DF6F9A">
      <w:pPr>
        <w:adjustRightInd w:val="0"/>
        <w:snapToGrid w:val="0"/>
        <w:spacing w:line="360" w:lineRule="auto"/>
        <w:ind w:firstLine="420" w:firstLineChars="200"/>
        <w:jc w:val="left"/>
        <w:rPr>
          <w:rFonts w:hint="eastAsia" w:cs="宋体"/>
          <w:color w:val="auto"/>
          <w:kern w:val="2"/>
          <w:lang w:eastAsia="zh-CN"/>
        </w:rPr>
      </w:pPr>
      <w:r>
        <w:rPr>
          <w:rFonts w:hint="eastAsia" w:cs="宋体"/>
          <w:color w:val="auto"/>
          <w:kern w:val="2"/>
          <w:lang w:eastAsia="zh-CN"/>
        </w:rPr>
        <w:t xml:space="preserve">（1）有权依照国家法律、法规和规章制度，开展生产经营活动。 </w:t>
      </w:r>
    </w:p>
    <w:p w14:paraId="5F6F10CA">
      <w:pPr>
        <w:adjustRightInd w:val="0"/>
        <w:snapToGrid w:val="0"/>
        <w:spacing w:line="360" w:lineRule="auto"/>
        <w:ind w:firstLine="420" w:firstLineChars="200"/>
        <w:jc w:val="left"/>
        <w:rPr>
          <w:rFonts w:hint="eastAsia" w:cs="宋体"/>
          <w:color w:val="auto"/>
          <w:kern w:val="2"/>
          <w:lang w:eastAsia="zh-CN"/>
        </w:rPr>
      </w:pPr>
      <w:r>
        <w:rPr>
          <w:rFonts w:hint="eastAsia" w:cs="宋体"/>
          <w:color w:val="auto"/>
          <w:kern w:val="2"/>
          <w:lang w:eastAsia="zh-CN"/>
        </w:rPr>
        <w:t xml:space="preserve">（2）本项目建设过程中，如发现甲方及其工作人员和受甲方委托从事招标代理、监理、跟踪审计等单位的人员存在“吃拿卡要”等违法违纪违规行为，有权在第一时间向盐南高新区纪工委口头或书面反映并要求告知处理结果。 </w:t>
      </w:r>
    </w:p>
    <w:p w14:paraId="25D407CD">
      <w:pPr>
        <w:adjustRightInd w:val="0"/>
        <w:snapToGrid w:val="0"/>
        <w:spacing w:line="360" w:lineRule="auto"/>
        <w:ind w:firstLine="420" w:firstLineChars="200"/>
        <w:jc w:val="left"/>
        <w:rPr>
          <w:rFonts w:hint="eastAsia" w:cs="宋体"/>
          <w:color w:val="auto"/>
          <w:kern w:val="2"/>
          <w:lang w:eastAsia="zh-CN"/>
        </w:rPr>
      </w:pPr>
      <w:r>
        <w:rPr>
          <w:rFonts w:hint="eastAsia" w:cs="宋体"/>
          <w:color w:val="auto"/>
          <w:kern w:val="2"/>
          <w:lang w:eastAsia="zh-CN"/>
        </w:rPr>
        <w:t xml:space="preserve">（3）严格执行党的政策纪律、国家法律法规和各项规章制度，建立并落实廉政责任制，严格遵守职业道德。 </w:t>
      </w:r>
    </w:p>
    <w:p w14:paraId="35DC0A70">
      <w:pPr>
        <w:adjustRightInd w:val="0"/>
        <w:snapToGrid w:val="0"/>
        <w:spacing w:line="360" w:lineRule="auto"/>
        <w:ind w:firstLine="420" w:firstLineChars="200"/>
        <w:jc w:val="left"/>
        <w:rPr>
          <w:rFonts w:hint="eastAsia" w:cs="宋体"/>
          <w:color w:val="auto"/>
          <w:kern w:val="2"/>
          <w:lang w:eastAsia="zh-CN"/>
        </w:rPr>
      </w:pPr>
      <w:r>
        <w:rPr>
          <w:rFonts w:hint="eastAsia" w:cs="宋体"/>
          <w:color w:val="auto"/>
          <w:kern w:val="2"/>
          <w:lang w:eastAsia="zh-CN"/>
        </w:rPr>
        <w:t xml:space="preserve">（4）建立健全廉政教育制度，定期开展廉政警示教育活动，教育引导自身工作人员遵守行为规范。 </w:t>
      </w:r>
    </w:p>
    <w:p w14:paraId="00512F67">
      <w:pPr>
        <w:adjustRightInd w:val="0"/>
        <w:snapToGrid w:val="0"/>
        <w:spacing w:line="360" w:lineRule="auto"/>
        <w:ind w:firstLine="420" w:firstLineChars="200"/>
        <w:jc w:val="left"/>
        <w:rPr>
          <w:rFonts w:hint="eastAsia" w:cs="宋体"/>
          <w:color w:val="auto"/>
          <w:kern w:val="2"/>
          <w:lang w:eastAsia="zh-CN"/>
        </w:rPr>
      </w:pPr>
      <w:r>
        <w:rPr>
          <w:rFonts w:hint="eastAsia" w:cs="宋体"/>
          <w:color w:val="auto"/>
          <w:kern w:val="2"/>
          <w:lang w:eastAsia="zh-CN"/>
        </w:rPr>
        <w:t xml:space="preserve">（5）不得以任何理由向甲方及其工作人员和受甲方委托从事招标代理、监理、跟踪审计等单位的人员行贿、馈赠礼金、礼品、有价证券及给予回扣、好处费、感谢费等；不得以任何名义为上述人员报销应由其单位或个人支付的任何费用；不得以任何理由安排上述人员参加宴请、健身、旅游及娱乐等活动；不得为上述人员购置或提供通讯工具、交通工具、高档办公用品以及通信充值卡、加油卡等；不得为上述人员提供汽车或住房等装修；不得为上述人员的婚丧嫁娶、配偶子女的工作安排以及出国出境、旅游等提供方便。乙方如违反以上要求，发生违纪违规违法等行为，须无条件接受甲方给予的处罚。 </w:t>
      </w:r>
    </w:p>
    <w:p w14:paraId="16451C52">
      <w:pPr>
        <w:adjustRightInd w:val="0"/>
        <w:snapToGrid w:val="0"/>
        <w:spacing w:line="360" w:lineRule="auto"/>
        <w:ind w:firstLine="420" w:firstLineChars="200"/>
        <w:jc w:val="left"/>
        <w:rPr>
          <w:rFonts w:hint="eastAsia" w:cs="宋体"/>
          <w:color w:val="auto"/>
          <w:kern w:val="2"/>
          <w:lang w:eastAsia="zh-CN"/>
        </w:rPr>
      </w:pPr>
      <w:r>
        <w:rPr>
          <w:rFonts w:hint="eastAsia" w:cs="宋体"/>
          <w:color w:val="auto"/>
          <w:kern w:val="2"/>
          <w:lang w:eastAsia="zh-CN"/>
        </w:rPr>
        <w:t xml:space="preserve">三、本合同有效期为甲乙双方签署之日起至该项目工程款全部拨付完成后止。 </w:t>
      </w:r>
    </w:p>
    <w:p w14:paraId="1C7C6153">
      <w:pPr>
        <w:adjustRightInd w:val="0"/>
        <w:snapToGrid w:val="0"/>
        <w:spacing w:line="360" w:lineRule="auto"/>
        <w:ind w:firstLine="420" w:firstLineChars="200"/>
        <w:jc w:val="left"/>
        <w:rPr>
          <w:rFonts w:hint="eastAsia" w:cs="宋体"/>
          <w:color w:val="auto"/>
          <w:kern w:val="2"/>
          <w:lang w:eastAsia="zh-CN"/>
        </w:rPr>
      </w:pPr>
      <w:r>
        <w:rPr>
          <w:rFonts w:hint="eastAsia" w:cs="宋体"/>
          <w:color w:val="auto"/>
          <w:kern w:val="2"/>
          <w:lang w:eastAsia="zh-CN"/>
        </w:rPr>
        <w:t>四、本合同作为</w:t>
      </w:r>
      <w:r>
        <w:rPr>
          <w:rFonts w:hint="eastAsia" w:cs="宋体"/>
          <w:color w:val="auto"/>
          <w:kern w:val="2"/>
          <w:u w:val="single"/>
          <w:lang w:eastAsia="zh-CN"/>
        </w:rPr>
        <w:t xml:space="preserve">                        </w:t>
      </w:r>
      <w:r>
        <w:rPr>
          <w:rFonts w:hint="eastAsia" w:cs="宋体"/>
          <w:color w:val="auto"/>
          <w:kern w:val="2"/>
          <w:lang w:eastAsia="zh-CN"/>
        </w:rPr>
        <w:t xml:space="preserve">工程合同的附件，与工程施工合同具有同等的法律效力。 </w:t>
      </w:r>
    </w:p>
    <w:p w14:paraId="70032332">
      <w:pPr>
        <w:adjustRightInd w:val="0"/>
        <w:snapToGrid w:val="0"/>
        <w:spacing w:line="360" w:lineRule="auto"/>
        <w:ind w:firstLine="420" w:firstLineChars="200"/>
        <w:jc w:val="left"/>
        <w:rPr>
          <w:rFonts w:hint="eastAsia" w:cs="宋体"/>
          <w:color w:val="auto"/>
          <w:kern w:val="2"/>
          <w:lang w:eastAsia="zh-CN"/>
        </w:rPr>
      </w:pPr>
      <w:r>
        <w:rPr>
          <w:rFonts w:hint="eastAsia" w:cs="宋体"/>
          <w:color w:val="auto"/>
          <w:kern w:val="2"/>
          <w:lang w:eastAsia="zh-CN"/>
        </w:rPr>
        <w:t>五、本合同作为主合同附件，正本和副本份数与本主合同的约定相同。由双方法定代表人或其授权的代理人签名与加盖公章后生效。</w:t>
      </w:r>
    </w:p>
    <w:p w14:paraId="3B548989">
      <w:pPr>
        <w:adjustRightInd w:val="0"/>
        <w:snapToGrid w:val="0"/>
        <w:spacing w:line="360" w:lineRule="auto"/>
        <w:ind w:firstLine="420" w:firstLineChars="200"/>
        <w:jc w:val="left"/>
        <w:rPr>
          <w:rFonts w:hint="eastAsia" w:cs="宋体"/>
          <w:color w:val="auto"/>
          <w:kern w:val="2"/>
          <w:lang w:eastAsia="zh-CN"/>
        </w:rPr>
      </w:pPr>
      <w:r>
        <w:rPr>
          <w:rFonts w:hint="eastAsia" w:cs="宋体"/>
          <w:color w:val="auto"/>
          <w:kern w:val="2"/>
          <w:lang w:eastAsia="zh-CN"/>
        </w:rPr>
        <w:t>&lt;以下无正文&gt;</w:t>
      </w:r>
    </w:p>
    <w:p w14:paraId="207D962B">
      <w:pPr>
        <w:adjustRightInd w:val="0"/>
        <w:snapToGrid w:val="0"/>
        <w:spacing w:line="360" w:lineRule="auto"/>
        <w:ind w:firstLine="420" w:firstLineChars="200"/>
        <w:jc w:val="left"/>
        <w:rPr>
          <w:rFonts w:hint="eastAsia" w:cs="宋体"/>
          <w:color w:val="auto"/>
          <w:kern w:val="2"/>
          <w:lang w:eastAsia="zh-CN"/>
        </w:rPr>
      </w:pPr>
      <w:r>
        <w:rPr>
          <w:rFonts w:hint="eastAsia" w:cs="宋体"/>
          <w:color w:val="auto"/>
          <w:kern w:val="2"/>
          <w:lang w:eastAsia="zh-CN"/>
        </w:rPr>
        <w:t xml:space="preserve">甲方：（盖公章）                       乙方：（盖公章）   </w:t>
      </w:r>
    </w:p>
    <w:p w14:paraId="7B30F496">
      <w:pPr>
        <w:adjustRightInd w:val="0"/>
        <w:snapToGrid w:val="0"/>
        <w:spacing w:line="360" w:lineRule="auto"/>
        <w:ind w:firstLine="420" w:firstLineChars="200"/>
        <w:jc w:val="left"/>
        <w:rPr>
          <w:rFonts w:hint="eastAsia" w:cs="宋体"/>
          <w:color w:val="auto"/>
          <w:kern w:val="2"/>
          <w:lang w:eastAsia="zh-CN"/>
        </w:rPr>
      </w:pPr>
      <w:r>
        <w:rPr>
          <w:rFonts w:hint="eastAsia" w:cs="宋体"/>
          <w:color w:val="auto"/>
          <w:kern w:val="2"/>
          <w:lang w:eastAsia="zh-CN"/>
        </w:rPr>
        <w:t>法定代表人：（签字）                   法定代表人：（签字）</w:t>
      </w:r>
    </w:p>
    <w:p w14:paraId="7F9AFC00">
      <w:pPr>
        <w:adjustRightInd w:val="0"/>
        <w:snapToGrid w:val="0"/>
        <w:spacing w:line="360" w:lineRule="auto"/>
        <w:ind w:firstLine="420" w:firstLineChars="200"/>
        <w:jc w:val="left"/>
        <w:rPr>
          <w:rFonts w:hint="eastAsia" w:cs="宋体"/>
          <w:color w:val="auto"/>
          <w:kern w:val="2"/>
          <w:lang w:eastAsia="zh-CN"/>
        </w:rPr>
      </w:pPr>
      <w:r>
        <w:rPr>
          <w:rFonts w:hint="eastAsia" w:cs="宋体"/>
          <w:color w:val="auto"/>
          <w:kern w:val="2"/>
          <w:lang w:eastAsia="zh-CN"/>
        </w:rPr>
        <w:t>合同签订地址：                         合同签订地址：</w:t>
      </w:r>
    </w:p>
    <w:p w14:paraId="3D859E04">
      <w:pPr>
        <w:pStyle w:val="28"/>
        <w:ind w:firstLine="420" w:firstLineChars="200"/>
        <w:jc w:val="left"/>
        <w:rPr>
          <w:color w:val="auto"/>
          <w:szCs w:val="21"/>
        </w:rPr>
      </w:pPr>
      <w:r>
        <w:rPr>
          <w:rFonts w:hint="eastAsia" w:ascii="宋体" w:hAnsi="宋体" w:cs="宋体"/>
          <w:color w:val="auto"/>
          <w:szCs w:val="21"/>
        </w:rPr>
        <w:t>签订时间：      年   月   日           签订时间：      年   月   日</w:t>
      </w:r>
    </w:p>
    <w:p w14:paraId="4D211557">
      <w:pPr>
        <w:jc w:val="left"/>
        <w:rPr>
          <w:rFonts w:hint="eastAsia" w:ascii="黑体" w:hAnsi="黑体" w:eastAsia="黑体"/>
          <w:color w:val="auto"/>
          <w:lang w:eastAsia="zh-CN"/>
        </w:rPr>
      </w:pPr>
      <w:r>
        <w:rPr>
          <w:rFonts w:hint="eastAsia" w:ascii="黑体" w:hAnsi="黑体" w:eastAsia="黑体"/>
          <w:color w:val="auto"/>
          <w:lang w:eastAsia="zh-CN"/>
        </w:rPr>
        <w:br w:type="page"/>
      </w:r>
    </w:p>
    <w:p w14:paraId="0E571CA4">
      <w:pPr>
        <w:spacing w:line="440" w:lineRule="exact"/>
        <w:jc w:val="center"/>
        <w:outlineLvl w:val="1"/>
        <w:rPr>
          <w:rFonts w:hint="eastAsia" w:cs="宋体"/>
          <w:b/>
          <w:bCs/>
          <w:color w:val="auto"/>
          <w:kern w:val="2"/>
          <w:lang w:eastAsia="zh-CN"/>
        </w:rPr>
      </w:pPr>
      <w:r>
        <w:rPr>
          <w:rFonts w:hint="eastAsia" w:cs="宋体"/>
          <w:b/>
          <w:bCs/>
          <w:color w:val="auto"/>
          <w:kern w:val="2"/>
          <w:lang w:eastAsia="zh-CN"/>
        </w:rPr>
        <w:t>安全生产合同</w:t>
      </w:r>
    </w:p>
    <w:p w14:paraId="08898D4F">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为在</w:t>
      </w:r>
      <w:r>
        <w:rPr>
          <w:rFonts w:hint="eastAsia" w:cs="宋体"/>
          <w:b/>
          <w:bCs/>
          <w:color w:val="auto"/>
          <w:kern w:val="2"/>
          <w:u w:val="single"/>
          <w:lang w:eastAsia="zh-CN"/>
        </w:rPr>
        <w:t xml:space="preserve">                          </w:t>
      </w:r>
      <w:r>
        <w:rPr>
          <w:rFonts w:hint="eastAsia" w:cs="宋体"/>
          <w:color w:val="auto"/>
          <w:kern w:val="2"/>
          <w:lang w:eastAsia="zh-CN"/>
        </w:rPr>
        <w:t>项目合同的实施过程中创造安全、高效的施工环境，切实搞好本项目的安全管理工作，</w:t>
      </w:r>
      <w:r>
        <w:rPr>
          <w:rFonts w:hint="eastAsia" w:cs="宋体"/>
          <w:color w:val="auto"/>
          <w:kern w:val="2"/>
          <w:u w:val="single"/>
          <w:lang w:eastAsia="zh-CN"/>
        </w:rPr>
        <w:t xml:space="preserve">                   </w:t>
      </w:r>
      <w:r>
        <w:rPr>
          <w:rFonts w:hint="eastAsia" w:cs="宋体"/>
          <w:color w:val="auto"/>
          <w:kern w:val="2"/>
          <w:lang w:eastAsia="zh-CN"/>
        </w:rPr>
        <w:t>（以下简称“甲方”）与</w:t>
      </w:r>
      <w:r>
        <w:rPr>
          <w:rFonts w:hint="eastAsia" w:cs="宋体"/>
          <w:b/>
          <w:color w:val="auto"/>
          <w:kern w:val="2"/>
          <w:u w:val="single"/>
          <w:lang w:eastAsia="zh-CN"/>
        </w:rPr>
        <w:t xml:space="preserve">                      </w:t>
      </w:r>
      <w:r>
        <w:rPr>
          <w:rFonts w:hint="eastAsia" w:cs="宋体"/>
          <w:color w:val="auto"/>
          <w:kern w:val="2"/>
          <w:lang w:eastAsia="zh-CN"/>
        </w:rPr>
        <w:t>（以下简称“乙方”）特此签订安全生产合同：</w:t>
      </w:r>
    </w:p>
    <w:p w14:paraId="736B1AE8">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一、甲方职责</w:t>
      </w:r>
    </w:p>
    <w:p w14:paraId="70FAC1B7">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1、严格遵守国家有关安全生产的法律法规，认真执行项目承包合同中的有关安全要求。</w:t>
      </w:r>
    </w:p>
    <w:p w14:paraId="22472FC2">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2、按照“安全第一、预防为主”和坚持“管生产必须管安全”的原则进行安全生产管理，做到生产与安全工作同时计划、布置、检查、总结和评比。</w:t>
      </w:r>
    </w:p>
    <w:p w14:paraId="78FE109F">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3、重要的安全设施必须坚持与主体项目“三同时”的原则，即：同时设计，审批，同时施工，同时验收，投入使用。</w:t>
      </w:r>
    </w:p>
    <w:p w14:paraId="092B6A2F">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4、定期召开安全生产调度会，及时传达中央及地方有关安全生产的精神。</w:t>
      </w:r>
    </w:p>
    <w:p w14:paraId="05082974">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5、组织对乙方施工现场安全生产检查，监督乙方及时处理发现的各种安全隐患。</w:t>
      </w:r>
    </w:p>
    <w:p w14:paraId="710A9BD7">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二、乙方职责</w:t>
      </w:r>
    </w:p>
    <w:p w14:paraId="5DDEE07F">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1、严格遵守国家有关安全生产的法律法规有关安全生产的规定，认真执行项目承包合同中的有关安全要求。</w:t>
      </w:r>
    </w:p>
    <w:p w14:paraId="1135A71F">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项目技术人员、生产管理人员和具体操作人员，必须熟练和遵守本条款的各项规定。做到生产与安全工作同时计划、布置、检查、总结和评比。</w:t>
      </w:r>
    </w:p>
    <w:p w14:paraId="21CBD63C">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5CF2AA94">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4、乙方在任何时候都应采取各种合理的预防措施，防止其员工发生任何违法、违禁、暴力或妨碍治安的行为。</w:t>
      </w:r>
    </w:p>
    <w:p w14:paraId="603A6922">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5、乙方必须具有劳动安全管理部门颁发的安全生产证书，参加施工的项目经理及其他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6CA00086">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4D14B77D">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7、操作人员上岗，必须按规定穿戴防护用品。施工负责人和安全检查员应随时检查劳动防护用品的穿戴情况，不按规定穿戴防护用品的人员不得上岗。</w:t>
      </w:r>
    </w:p>
    <w:p w14:paraId="60BC3D80">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8、所有施工机具设备和高空作业的设备均应定期检查，并有安全员的签字记录，保证其经常处于完好状态；不合格的机具、设备和劳动保护用品严禁使用。</w:t>
      </w:r>
    </w:p>
    <w:p w14:paraId="1BB0529F">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9、施工中采用新技术、新工艺、新设备、新材料时，必须制定相应的安全技术措施，施工现场必须具有相关的安全标志牌。</w:t>
      </w:r>
    </w:p>
    <w:p w14:paraId="33438FEF">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10、乙方必须按照本项目特点，组织制定本项目实施中的生产安全事故应急救援预案；如果发生安全事故，应按照《国务院关于特大安全事故行政责任追究的规定》以及其他有关规定，及时上报有关部门，并坚持“三不放过”的原则，严肃处理相关责任人。</w:t>
      </w:r>
    </w:p>
    <w:p w14:paraId="510B921F">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三、违约责任</w:t>
      </w:r>
    </w:p>
    <w:p w14:paraId="6AD47287">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如因甲方或乙方违约造成安全事故，将依法追究责任。</w:t>
      </w:r>
    </w:p>
    <w:p w14:paraId="6C55EAFA">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本合同作为主合同附件，合同份数与本主合同的约定相同，与施工合同具有同等的法律效力，由双方法定代表人或其授权的代理人签署与加盖公章后生效，全部项目竣工验收后失效。</w:t>
      </w:r>
    </w:p>
    <w:p w14:paraId="4487EB0C">
      <w:pPr>
        <w:spacing w:line="440" w:lineRule="exact"/>
        <w:ind w:firstLine="420" w:firstLineChars="200"/>
        <w:jc w:val="left"/>
        <w:rPr>
          <w:rFonts w:hint="eastAsia" w:cs="宋体"/>
          <w:color w:val="auto"/>
          <w:kern w:val="2"/>
          <w:lang w:eastAsia="zh-CN"/>
        </w:rPr>
      </w:pPr>
    </w:p>
    <w:p w14:paraId="59F79255">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甲方单位：（盖章）                    乙方单位：（盖章）</w:t>
      </w:r>
    </w:p>
    <w:p w14:paraId="1DFEA80F">
      <w:pPr>
        <w:spacing w:line="440" w:lineRule="exact"/>
        <w:ind w:left="479" w:leftChars="228"/>
        <w:jc w:val="left"/>
        <w:rPr>
          <w:rFonts w:hint="eastAsia" w:cs="宋体"/>
          <w:color w:val="auto"/>
          <w:kern w:val="2"/>
          <w:lang w:eastAsia="zh-CN"/>
        </w:rPr>
      </w:pPr>
    </w:p>
    <w:p w14:paraId="605DD914">
      <w:pPr>
        <w:spacing w:line="440" w:lineRule="exact"/>
        <w:ind w:left="479" w:leftChars="228"/>
        <w:jc w:val="left"/>
        <w:rPr>
          <w:rFonts w:hint="eastAsia" w:cs="宋体"/>
          <w:color w:val="auto"/>
          <w:kern w:val="2"/>
          <w:lang w:eastAsia="zh-CN"/>
        </w:rPr>
      </w:pPr>
      <w:r>
        <w:rPr>
          <w:rFonts w:hint="eastAsia" w:cs="宋体"/>
          <w:color w:val="auto"/>
          <w:kern w:val="2"/>
          <w:lang w:eastAsia="zh-CN"/>
        </w:rPr>
        <w:t>法定代表人：（签名）                  法定代表人：（签名）</w:t>
      </w:r>
    </w:p>
    <w:p w14:paraId="3C727FEC">
      <w:pPr>
        <w:spacing w:line="440" w:lineRule="exact"/>
        <w:ind w:firstLine="420" w:firstLineChars="200"/>
        <w:jc w:val="left"/>
        <w:rPr>
          <w:rFonts w:hint="eastAsia" w:cs="宋体"/>
          <w:color w:val="auto"/>
          <w:kern w:val="2"/>
          <w:lang w:eastAsia="zh-CN"/>
        </w:rPr>
      </w:pPr>
    </w:p>
    <w:p w14:paraId="7E11A829">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或委托代理人：(签名)                  或委托代理人：(签名)</w:t>
      </w:r>
    </w:p>
    <w:p w14:paraId="4A18D397">
      <w:pPr>
        <w:spacing w:line="440" w:lineRule="exact"/>
        <w:jc w:val="left"/>
        <w:rPr>
          <w:rFonts w:hint="eastAsia" w:cs="宋体"/>
          <w:color w:val="auto"/>
          <w:kern w:val="2"/>
          <w:lang w:eastAsia="zh-CN"/>
        </w:rPr>
      </w:pPr>
    </w:p>
    <w:p w14:paraId="4F64F24C">
      <w:pPr>
        <w:spacing w:line="440" w:lineRule="exact"/>
        <w:ind w:firstLine="420" w:firstLineChars="200"/>
        <w:jc w:val="left"/>
        <w:rPr>
          <w:rFonts w:hint="eastAsia" w:cs="宋体"/>
          <w:color w:val="auto"/>
          <w:kern w:val="2"/>
          <w:lang w:eastAsia="zh-CN"/>
        </w:rPr>
      </w:pPr>
      <w:r>
        <w:rPr>
          <w:rFonts w:hint="eastAsia" w:cs="宋体"/>
          <w:color w:val="auto"/>
          <w:kern w:val="2"/>
          <w:lang w:eastAsia="zh-CN"/>
        </w:rPr>
        <w:t xml:space="preserve">                               日期：      年    月    日</w:t>
      </w:r>
    </w:p>
    <w:p w14:paraId="7292A0D0">
      <w:pPr>
        <w:pStyle w:val="11"/>
        <w:spacing w:before="120" w:beforeAutospacing="0" w:after="120" w:afterAutospacing="0" w:line="0" w:lineRule="atLeast"/>
        <w:jc w:val="center"/>
        <w:rPr>
          <w:rFonts w:hint="eastAsia" w:ascii="黑体" w:hAnsi="宋体" w:eastAsia="黑体" w:cs="黑体"/>
          <w:color w:val="auto"/>
          <w:sz w:val="44"/>
          <w:szCs w:val="44"/>
          <w:highlight w:val="none"/>
        </w:rPr>
      </w:pPr>
    </w:p>
    <w:p w14:paraId="64B92E35">
      <w:pPr>
        <w:pStyle w:val="11"/>
        <w:spacing w:before="120" w:beforeAutospacing="0" w:after="120" w:afterAutospacing="0" w:line="0" w:lineRule="atLeast"/>
        <w:jc w:val="both"/>
        <w:rPr>
          <w:rFonts w:hint="eastAsia" w:ascii="黑体" w:hAnsi="宋体" w:eastAsia="黑体" w:cs="黑体"/>
          <w:color w:val="auto"/>
          <w:sz w:val="44"/>
          <w:szCs w:val="44"/>
          <w:highlight w:val="none"/>
        </w:rPr>
      </w:pPr>
    </w:p>
    <w:p w14:paraId="500EDC91">
      <w:pPr>
        <w:pStyle w:val="11"/>
        <w:spacing w:before="120" w:beforeAutospacing="0" w:after="120" w:afterAutospacing="0" w:line="0" w:lineRule="atLeast"/>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w:t>
      </w:r>
    </w:p>
    <w:p w14:paraId="476887B5">
      <w:pPr>
        <w:pStyle w:val="11"/>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第</w:t>
      </w:r>
      <w:bookmarkEnd w:id="160"/>
      <w:r>
        <w:rPr>
          <w:rFonts w:hint="eastAsia" w:ascii="黑体" w:hAnsi="宋体" w:eastAsia="黑体" w:cs="黑体"/>
          <w:color w:val="auto"/>
          <w:sz w:val="44"/>
          <w:szCs w:val="44"/>
          <w:highlight w:val="none"/>
        </w:rPr>
        <w:t>四章 采购需求</w:t>
      </w:r>
      <w:bookmarkEnd w:id="161"/>
      <w:bookmarkEnd w:id="162"/>
      <w:bookmarkEnd w:id="163"/>
      <w:bookmarkEnd w:id="164"/>
      <w:bookmarkEnd w:id="165"/>
    </w:p>
    <w:p w14:paraId="205D619F">
      <w:pPr>
        <w:pStyle w:val="11"/>
        <w:keepNext w:val="0"/>
        <w:keepLines w:val="0"/>
        <w:pageBreakBefore w:val="0"/>
        <w:widowControl w:val="0"/>
        <w:kinsoku/>
        <w:wordWrap/>
        <w:overflowPunct/>
        <w:topLinePunct w:val="0"/>
        <w:bidi w:val="0"/>
        <w:spacing w:beforeAutospacing="0" w:afterAutospacing="0" w:line="360" w:lineRule="auto"/>
        <w:ind w:firstLine="420" w:firstLineChars="200"/>
        <w:jc w:val="both"/>
        <w:rPr>
          <w:rFonts w:hint="eastAsia" w:cs="宋体"/>
          <w:b/>
          <w:bCs/>
          <w:color w:val="auto"/>
          <w:lang w:eastAsia="zh-CN"/>
        </w:rPr>
      </w:pPr>
      <w:bookmarkStart w:id="171" w:name="_Toc26554093"/>
      <w:bookmarkStart w:id="172" w:name="_Toc49090575"/>
      <w:r>
        <w:rPr>
          <w:rFonts w:hint="eastAsia" w:ascii="宋体" w:hAnsi="宋体" w:eastAsia="宋体" w:cs="宋体"/>
          <w:color w:val="auto"/>
          <w:sz w:val="21"/>
          <w:szCs w:val="21"/>
          <w:highlight w:val="none"/>
        </w:rPr>
        <w:t>项目属性:</w:t>
      </w:r>
      <w:r>
        <w:rPr>
          <w:rFonts w:hint="eastAsia" w:ascii="宋体" w:hAnsi="宋体" w:eastAsia="宋体" w:cs="宋体"/>
          <w:color w:val="auto"/>
          <w:sz w:val="21"/>
          <w:szCs w:val="21"/>
          <w:highlight w:val="none"/>
          <w:lang w:eastAsia="zh-CN"/>
        </w:rPr>
        <w:t>服务</w:t>
      </w:r>
      <w:r>
        <w:rPr>
          <w:rFonts w:hint="eastAsia" w:ascii="宋体" w:hAnsi="宋体" w:eastAsia="宋体" w:cs="宋体"/>
          <w:color w:val="auto"/>
          <w:sz w:val="21"/>
          <w:szCs w:val="21"/>
          <w:highlight w:val="none"/>
        </w:rPr>
        <w:t>类项目</w:t>
      </w:r>
      <w:bookmarkEnd w:id="171"/>
      <w:bookmarkEnd w:id="172"/>
    </w:p>
    <w:p w14:paraId="2E4A0044">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一、项目概况</w:t>
      </w:r>
    </w:p>
    <w:p w14:paraId="3AC77B23">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1．项目背景</w:t>
      </w:r>
    </w:p>
    <w:p w14:paraId="35FFC147">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本项目旨在构建一个符合盐南高新区农村地区社会治安治理现代化要求的智慧安防体系，全面提升农村治安防控的智能化、精细化与实战化水平。项目围绕“全域覆盖、数据驱动、立体防控、精准治理”的核心导向，系统推进前端智能感知设备部署、数据资源整合分析及实战应用平台建设，实现对辖区内人员、车辆、事件等治安要素的实时感知、动态管控与智能预警。</w:t>
      </w:r>
    </w:p>
    <w:p w14:paraId="796B4BBB">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lang w:eastAsia="zh-CN"/>
        </w:rPr>
        <w:t>．服务内容</w:t>
      </w:r>
    </w:p>
    <w:p w14:paraId="570A8539">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结合市局对农村地区智慧安防建设的相关要求，以及项目实地调研情况，以构建以盐南高新区内边界、商超综合体及各行政村居重点部位为核心的安防体系，强化前端感知设备建设。本次规划建设共涉及以下区域：伍佑街道（三星村、武林村、宏心村、黄巷村、构港村、伍东村、珠溪社区、福兴村）以及辖区内4个派出所（新都派出所、新河派出所、科城派出所、黄海派出所）管辖范围内的重点部位、小区、公寓楼、商超综合体、边界及闸口等。</w:t>
      </w:r>
    </w:p>
    <w:p w14:paraId="37F5343D">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根据公安自建一类监控的存储要求，建设视频和图片云存储，保证前端视频存储时间不小于30天，人脸抓拍、车辆抓拍大图存储时间不小于180天，人脸抓拍小图、车辆小图存储时间不小于365天。</w:t>
      </w:r>
    </w:p>
    <w:p w14:paraId="4B5B2B5E">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同时为全面夯实基层警务根基，补齐辖区内新河派出所警务指挥、数据研判、执法办案管理等短板，优化基层警务运行模式，提升辖区社会治安防控、应急处突与规范化执法能力。结合辖区治安现状及新河派出所实际工作需求，拟实施对其综合指挥室进行提升升级改造并配套建设标准化案管室。</w:t>
      </w:r>
    </w:p>
    <w:p w14:paraId="02EAE65D">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现结合感知前端及后端设备现有建设情况与未来建设规划，本次项目规划建设后端人脸视频解析286路，车辆解析图片流296路，高空视频监控11路，普通视频监控41路。本次项目存储采用云存储的方式，规划建设图片存储空间约0.5PB。并拟建新河派出所综合指挥室智能化提升改造1项。</w:t>
      </w:r>
    </w:p>
    <w:p w14:paraId="5F5D479A">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新河派出所综合指挥室升级改造主要内容包括：升级显示屏、服务器、操作台等硬件设施，消除视频调取、数据加载卡顿问题，满足7×24小时实战运行需求；搭建一体化大数据指挥研判平台，实现警情自动分级、智能派警；科学划分研判区、指挥区、值守区等功能分区，实现多岗位协同作业。</w:t>
      </w:r>
    </w:p>
    <w:p w14:paraId="25A438ED">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配套标准化案管室建设内容包括：设置专用卷宗存放区、涉案财物保管区，配套智能存取设备，实现案件卷宗、涉案财物分类存放、台账电子化管理；统一管理辖区行政、刑事案件，规范接报案登记、案件分流、卷宗保管、涉案财物管控、案件审核督办全流程，构建闭环执法监管体系。</w:t>
      </w:r>
    </w:p>
    <w:p w14:paraId="2E423AF3">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eastAsia="zh-CN"/>
        </w:rPr>
        <w:t>．建设地点</w:t>
      </w:r>
    </w:p>
    <w:p w14:paraId="05DDD898">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根据分局关于推进农村地区智慧安防体系建设的具体要求，并结合前期深入细致的实地调研成果，本次智慧安防建设项目将覆盖伍佑街道所辖的三星村、武林村、宏心村、黄巷村、构港村、伍东村、珠溪社区、福兴村。除上述区域外，本次建设还覆盖新都派出所、新河派出所、科城派出所及黄海派出所管辖的区域。项目建设将充分考虑各社区与村庄的人口分布、治安状况、基础设施条件及实际安防需求，确保智慧安防系统科学布局、精准覆盖、高效运行，切实提升辖区农村地区的安全防范能力和基层治理现代化水平。</w:t>
      </w:r>
    </w:p>
    <w:p w14:paraId="76D4720E">
      <w:pPr>
        <w:keepNext w:val="0"/>
        <w:keepLines w:val="0"/>
        <w:pageBreakBefore w:val="0"/>
        <w:widowControl w:val="0"/>
        <w:kinsoku/>
        <w:wordWrap/>
        <w:overflowPunct/>
        <w:topLinePunct w:val="0"/>
        <w:bidi w:val="0"/>
        <w:spacing w:line="360" w:lineRule="auto"/>
        <w:ind w:firstLine="422" w:firstLineChars="200"/>
        <w:jc w:val="left"/>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二、项目清单</w:t>
      </w:r>
    </w:p>
    <w:tbl>
      <w:tblPr>
        <w:tblStyle w:val="12"/>
        <w:tblW w:w="84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2"/>
        <w:gridCol w:w="1224"/>
        <w:gridCol w:w="4764"/>
        <w:gridCol w:w="750"/>
        <w:gridCol w:w="689"/>
        <w:gridCol w:w="222"/>
        <w:gridCol w:w="14"/>
      </w:tblGrid>
      <w:tr w14:paraId="4FF6F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4" w:type="dxa"/>
          <w:trHeight w:val="300" w:hRule="atLeast"/>
        </w:trPr>
        <w:tc>
          <w:tcPr>
            <w:tcW w:w="8461" w:type="dxa"/>
            <w:gridSpan w:val="6"/>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25C16064">
            <w:pPr>
              <w:keepNext w:val="0"/>
              <w:keepLines w:val="0"/>
              <w:widowControl/>
              <w:suppressLineNumbers w:val="0"/>
              <w:jc w:val="center"/>
              <w:textAlignment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项目建设清单</w:t>
            </w:r>
          </w:p>
        </w:tc>
      </w:tr>
      <w:tr w14:paraId="33592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3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119710">
            <w:pPr>
              <w:keepNext w:val="0"/>
              <w:keepLines w:val="0"/>
              <w:widowControl/>
              <w:suppressLineNumbers w:val="0"/>
              <w:jc w:val="center"/>
              <w:textAlignment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序号</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B68D87">
            <w:pPr>
              <w:keepNext w:val="0"/>
              <w:keepLines w:val="0"/>
              <w:widowControl/>
              <w:suppressLineNumbers w:val="0"/>
              <w:jc w:val="center"/>
              <w:textAlignment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名称</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1EB88D">
            <w:pPr>
              <w:keepNext w:val="0"/>
              <w:keepLines w:val="0"/>
              <w:widowControl/>
              <w:suppressLineNumbers w:val="0"/>
              <w:jc w:val="center"/>
              <w:textAlignment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参数</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D0F836">
            <w:pPr>
              <w:keepNext w:val="0"/>
              <w:keepLines w:val="0"/>
              <w:widowControl/>
              <w:suppressLineNumbers w:val="0"/>
              <w:jc w:val="center"/>
              <w:textAlignment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单位</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69CD6CB">
            <w:pPr>
              <w:keepNext w:val="0"/>
              <w:keepLines w:val="0"/>
              <w:widowControl/>
              <w:suppressLineNumbers w:val="0"/>
              <w:jc w:val="center"/>
              <w:textAlignment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数量</w:t>
            </w:r>
          </w:p>
        </w:tc>
      </w:tr>
      <w:tr w14:paraId="00AFC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300"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28A6C4DD">
            <w:pPr>
              <w:keepNext w:val="0"/>
              <w:keepLines w:val="0"/>
              <w:widowControl/>
              <w:suppressLineNumbers w:val="0"/>
              <w:jc w:val="center"/>
              <w:textAlignment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前端感知设备建设</w:t>
            </w:r>
          </w:p>
        </w:tc>
      </w:tr>
      <w:tr w14:paraId="53863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92"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BE17F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c>
          <w:tcPr>
            <w:tcW w:w="1224" w:type="dxa"/>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3512440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400万双镜头结构化相机（含安装、调试、接入）</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B6C9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设备内置不少于两颗CPU、GPU、NPU一体的芯片，内置算力不小于20TOPS，内置双镜头，内置两颗靶面尺寸不小于1/1.7英寸的CMOS图像传感器，两通道主码流均不小于2560×1440；（提供公安部检验报告复印件并加盖投标单位公章）</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2、两个通道均支持全结构化、人脸抓拍、目标比对、道路监控及Smart事件等多种智能模式；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3、设备内置补光灯；</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4、设备内置2个镜头，均支持电动变倍、自动/电动聚焦、自动调节光圈功能；两个通道最低照度彩色均不大于0.0005 lx，黑白均不大于0.0001 lx；</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5、设备内置4个电机，通道1和通道2均应支持PT一体化云台，通道1和通道2的云台应可独立控制，均支持水平调节及垂直调节，可通过IE浏览器或客户端远程调节PT位置以实现监控场景的切换；</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6、设备支持结构化混行目标检测功能，支持混行目标（行人、人脸、车辆、非机动车）检测、抓拍及结构化属性分析；可关联显示人脸、人体图片和车牌、车辆图片，并可将抓拍结果上传平台；</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设备支持人脸成像增强功能，开启后可提升低照度、雨、雾等环境下的人脸抓拍图片的成像效果；设备支持人脸比对功能，对监控画面中出现的人脸与设备人脸库中的人脸图片进行比对，比对准确率不低于95%；（供公安部检验报告复印件并加盖投标单位公章）</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8、设备可上传目标场景图片及目标信息，目标信息包括出现的时间、目标类别、在视场中的位置；</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9、设备支持逆光补偿功能，并可通过 IE 浏览器或客户端预设逆光补偿的区域为上、下、左、右、中心、自定义、自动的补偿模式，当补偿模式为自定义时，支持在预览界面手动绘制背光补偿区域；当补偿模式为自动时设备可根据不同逆光场景自动补偿逆光的区域 ；</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10、设备在环境照度≤20lx且关闭补光灯情况下，可同时对不同速度、明亮度、反光度的行人、非机动车、机动车分类曝光，可实时检测、跟踪、抓拍行进的行人人脸、人体、非机动车及车上人员、机动车车牌、机动车；可识别人脸及车牌号码，同时抓拍的人脸和车牌号码图片应清晰可辩，无过曝、过暗情况；（提供公安部检验报告复印件并加盖投标单位公章）</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11、设备不低于GB35114A级安全加密；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12、设备采用DC36V供电；</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13、设备防水防尘等级不低于IP67。</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44B0D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B789027">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109</w:t>
            </w:r>
          </w:p>
        </w:tc>
      </w:tr>
      <w:tr w14:paraId="74617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81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FD3F1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w:t>
            </w:r>
          </w:p>
        </w:tc>
        <w:tc>
          <w:tcPr>
            <w:tcW w:w="1224" w:type="dxa"/>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34C55CA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400万单镜头结构化相机（含安装、调试、接入）</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EB70E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1、采用不低于400万像素1/1.8英寸CMOS图像传感器，内置算力芯片；</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2、最大分辨率：2688×1520；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3、最低照度：彩色：0.0002lux；黑白：0.0001lux；</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4、设备支持电动变焦，变焦范围：8mm-32m；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5、内置不少于4颗补光灯，补光灯开启后，无明显波纹状、圆环状、麻点状、条纹状及不规则亮斑；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支持变焦镜头全焦段图像畸变校正功能，相机从短焦到长焦变倍全过程均可同步自动进行画面畸变校正，画面几何失真全焦段≤3%，设备镜头前盖玻璃呈倾斜状，与镜头平面呈8°夹角，可改变沿镜头光轴方向入射光束的反射光方向，降低鬼影对视频画面的影响；（提供公安部检验报告复印件并加盖投标单位公章）</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支持当人脸、人体、车身、车牌目标在画面中横向运动时，因速度过快或环境亮度动态范围过大，导致画面出现拖影与重影现象时，开启功能，可消除人脸、人体、车身、车牌目标横向拖影与重影现象，并自动调节画面亮度、锐度；</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8、支持镜头前盖玻璃加热功能；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9、支持声光报警联动，可触发联动声音警报和灯光闪烁；</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10、支持可通过RS485接口连接云台，通过web操作界面上的按钮，控制云台上、下、左、右4个方向转动；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11、可通过指示灯显示工作状态；上电后，红灯绿灯交替闪烁2s后，红灯常亮，设备正常启动，网络已连接，绿灯常亮60s，然后绿灯熄灭；设备正常启动，但网络未连接，红灯常亮，连接上网络后，切换为绿灯常亮60s，然后绿灯熄灭；设备正常运行中，断网或网络异常，红灯常亮至网络连接或时间超过60s；（提供公安部检验报告复印件并加盖投标单位公章）</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12、内置2个麦克风，扬声器；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13、支持DC12V/POE三合一供电方式，支持12V电源返送；</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14、支持IP67防护等级；</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15、设备不低于GB35114A级加密。</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03EEA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146849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134</w:t>
            </w:r>
          </w:p>
        </w:tc>
      </w:tr>
      <w:tr w14:paraId="0F45E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816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1C510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w:t>
            </w:r>
          </w:p>
        </w:tc>
        <w:tc>
          <w:tcPr>
            <w:tcW w:w="1224" w:type="dxa"/>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3B6D220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400万双镜头结构化球机（含安装、调试、接入）</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A964D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设备内置两颗GPU芯片，内置不少于两个镜头，可输出至少1路全景视频图像和1路细节视频图像，全景和细节镜头靶面均不小于1/1.8靶面尺寸，全景、细节通道通道图像分辨率不小于2688×1520；（提供公安部检验报告复印件并加盖投标单位公章）</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2、细节镜头支持不小于32倍光学变倍，镜头最大焦距不小于192mm；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3、全景画面水平视场角不小于90°，垂直视场角不小于50°，全景通道可进行垂直旋转，旋转范围不小于10°可调；</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4、设备最低照度：全景通道彩色≤0.0002lx，黑白≤0.0001lx，细节通道彩色≤0.0002lx，黑白≤0.0001lx；</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5、细节通道水平旋转范围360°连续旋转，垂直旋转范围-20°~90°；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6、设备开启混合目标检测模式后，设备可同时对行人、非机动车、机动车进行检测、跟踪、抓拍，可支持人脸与人体，车牌与车辆的关联显示；支持人员布控功能和车辆布控跟踪功能；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★7、设备可配置报警抓图叠加目标信息及规则信息，支持开启及关闭，支持设置预览画面是否叠加显示规则区域框及告警提示信息；（提供公安部检验报告复印件并加盖投标单位公章）</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设备支持AR标签联动查看功能，可选中标签并将该标签置于屏幕中心位置进行显示，可通过点击视频画面中的标签查看标签内容并对标签关联的摄像机视频图像进行预览，并可通过点击摄像机预览窗口进行放大窗口操作；</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9、设备支持当有停车、逆行、压线、变道、掉头、机动车占用非机动车道现象被触发时，设备可分别发出不同的语音提示；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10、设备可识别距设备不小于250m处的人体轮廓；</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11、设备不低于GB35114A级安全加密；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12、防护：IP67; 6000V 防雷、防浪涌、防突波，符合GB/T17626.2/3/4/5/6四级标准。</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6BCAD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27C05BD">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43</w:t>
            </w:r>
          </w:p>
        </w:tc>
      </w:tr>
      <w:tr w14:paraId="4D812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804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C7912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w:t>
            </w:r>
          </w:p>
        </w:tc>
        <w:tc>
          <w:tcPr>
            <w:tcW w:w="1224" w:type="dxa"/>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6D646C1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高空球机270°（含支架、安装、调试、接入）</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5CF30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1、全景采用不低于1200万像素1/1.8英寸CMOS图像传感器，细节采用不低于400万像素1/1.8英寸CMOS图像传感器，内置不少于2个GPU芯片；</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2、细节支持40倍光学变倍；</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3、支持当焦距调节致使监看画面不清晰时,可通过客户端软件给出报警提示并上传FTP、发送邮件、联动录像及自动聚焦；</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4、全景摄像机支持自动拼接功能,可将任意连续的2个至6个视频画面进行拼接显示；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★5、可对主码流视频图像任意位置进行框选裁剪,只显示框选内的画面,且裁剪框可拖拽;剪裁后录制的视频图像为框选内的画面；（提供公安部检验报告复印件并加盖投标单位公章）</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6、可通过IE浏览器设置流光检测功能开启/关闭,在环境照度低于50 lx时,开启流光检测功能后,可提高静态物体和运动速度较慢目标的清晰度；</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7、具有智能分析抗干扰功能,当小狗、篮球、树叶等非人或车辆目标经过检测区域时,不会触发报警；</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8、支持对画面中的人脸、人体、非机动车、机动车并发进行检测提取；</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9、全景、细节通道均内置加热模块,可对镜头前盖玻璃加热,去除镜头玻璃上的冰状和水状附着物；</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★10、细节摄像机自带雨刷,可远程控制开启雨刷；（提供公安部检验报告复印件并加盖投标单位公章）</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11、内置6颗混合补光灯,每个补光灯均包含红外补光灯和白光补光灯,支持混合补光,可单独开启红外灯和白光灯；</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12、支持双MIC声音采集，内置2个扬声器,可进行语音对讲及自定义音频文件播放；</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13、支持DC36V供电或PoE供电，支持12V电源返送；</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14、支持IP67防护等级。</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B2BA1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E841338">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w:t>
            </w:r>
          </w:p>
        </w:tc>
      </w:tr>
      <w:tr w14:paraId="65D1E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26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EFA7D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w:t>
            </w:r>
          </w:p>
        </w:tc>
        <w:tc>
          <w:tcPr>
            <w:tcW w:w="1224" w:type="dxa"/>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2E88F00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900万一体化抓拍单元（含安装、调试、接入）</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3F99B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1、设备包含高清抓拍单元由摄像机、高清镜头、室外防护罩、风扇、补光灯、电源适配器、安装万向节等组成；</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★2、内置不小于1英寸高帧率彩色全局曝光CMOS高清智能摄像机，最大图像尺寸≥4096×2960像素，视频分辨率支持4096×2960；（提供公安部检验报告复印件并加盖投标单位公章）</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3、支持车辆抓拍、车牌识别和车辆结构化信息提取；</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4、支持自动采集车道、车流量、平均速度、车辆类型、占有率、平均车头时距、平均排队长度、时间段等交通信息数据并进行统计，支持自动上传采集的交通信息数据，上传时间间隔可设置；</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5、支持在抓拍的基础上，抓拍输出车牌局部照片、车窗局部照片、非机动车局部照片、场景全景照片；</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6、支持对无人驾驶的车辆进行车牌识别；支持车辆右转弯压实线检测并抓拍；支持对驾驶员行车时是否有打电话动作的检测，准确率≥99%；支持非机动车不戴头盔，载人，逆行，闯红灯违法抓拍上传；</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7、支持检测并跟踪指定区域内不少于245个目标，目标包括机动车、非机动车以及行人等；</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具有人脸增强设置选项，开启后可去除白天车窗反光和彩条纹；支持人脸区域自动曝光，可根据人脸区域光照变化自动调节人脸区域曝光参数；支持前排主副驾驶人员的人脸检测功能；支持前排人脸检测，并识别主驾驶员的性别、是否戴眼镜结构化属性信息，可在抓拍图上叠加主/副驾驶人脸小图和主驾驶员的结构化属性信息，白天和夜晚图片中人脸信息清晰可辨，白天前排人脸抓拍率≥99%；夜晚前排人脸抓拍率≥99%；</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设备可在左右45°范围内识别机动车车辆特征，包括车牌号码、车身颜色、车辆类型；支持识别并抓拍垂直倾斜角度≤55°、水平倾斜角度≤35°、俯仰角度≤40°的机动车车牌；（提供公安部检验报告复印件并加盖投标单位公章）</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10、支持外接多目标检测雷达，可实现雷达视频融合检测，可输出目标编号、车型和雷达速度、位置等信息，支持外接雷达实现测速，并支持视频测速校正雷达测速结果输出；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11、具有抓拍黄牌车、蓝牌车、绿牌车、渐变绿牌车、黑牌车、白牌车、黄绿双拼牌车和不启用抓拍八个设置选项。可对蓝色、黄色、绿色、渐变绿色、黑色、白色、黄绿双拼色以及其他不同颜色车牌的车辆进行选择抓拍；</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12、支持车辆子品牌识别，对车头图片进行分析抓拍，可分析输出OSD叠加7200种车辆子品牌并显示相应的年款，对车尾图片进行分析抓拍，可分析输出OSD叠加3900种车辆子品牌并显示相应的年款；</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13、设备不低于GB35114A级安全加密；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14、设备采用100VAC～240VAC；频率：48Hz～52Hz。</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8AE2A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FFB9467">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10</w:t>
            </w:r>
          </w:p>
        </w:tc>
      </w:tr>
      <w:tr w14:paraId="62AA1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78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E0129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w:t>
            </w:r>
          </w:p>
        </w:tc>
        <w:tc>
          <w:tcPr>
            <w:tcW w:w="1224" w:type="dxa"/>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711D160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视频球机(含安装、调试、接入)</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D456F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1、设备内置GPU芯片，支持输出图像分辨率不小于2560×1440，光学变倍大于32倍，最大焦距不小于188mm；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2、设备支持可见光及红外补光，可见光补光距离：夜间天气晴朗无遮挡，可识别距离设备镜头120m处人体；</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3、设备最低照度：红外灯关闭：彩色≤0.0003Lux，黑白模式≤0.0001Lux；</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4、球机水平手控速度不小于160°/S，垂直速度不小于120°/S，云台定位精度为±0.1°；</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5、水平旋转范围为360°连续旋转，垂直旋转范围为-35°~90°；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6、支持对镜头前盖玻璃加热，去除玻璃上的冰状和水状附着物；</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7、支持像素显示功能，可实时显示监控画面上选定区域的水平像素大小和垂直像素大小；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8、设备具备智能分析抗干扰功能，当篮球、小狗、树叶等非人或车辆目标经过检测区域时，不会触发报警；</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9、设备具有300个预置位，可按照所设置的预置位完成不小于8条巡航路径，可按照所设置轨迹完成不少于4条模式路径；</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10、当智能行为分析设置为区域入侵，越界入侵，进入区域、离开区域时，可对行人、车、自行车、电瓶车、摩托车、三轮车等进行检测设备支持行为分析触发后联动聚焦、联动目标跟踪等多种报警触发方式；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11、设备不低于GB35114A级安全加密；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12、防护：IP66，符合GB/T 17626.5 认证标准。</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A01BC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E7615B5">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w:t>
            </w:r>
          </w:p>
        </w:tc>
      </w:tr>
      <w:tr w14:paraId="4FEDD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2642"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06DC3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DFE45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400万全彩网络摄像机(含安装、调试、接入)</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ED436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1、设备支持输出图像分辨率不低于2560×1440；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2、最低照度彩色不大于0.005lx，黑白不大于0.0005lx；</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3、支持区域入侵侦测，越界侦测，进入区域侦测，离开区域侦测，物品遗留侦测，物品拿取侦测，徘徊侦测，停车侦测，人员聚集侦测，快速移动侦测；</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4、支持背光补偿，强光抑制，3D数字降噪，120dB宽动态适应不同视频环境；</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5、设备红外作用距离不小于50m，白光可识别距离设备30m处人体轮廓；</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6、设备支持DC12V及POE供电。</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D6A08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620B2E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33</w:t>
            </w:r>
          </w:p>
        </w:tc>
      </w:tr>
      <w:tr w14:paraId="6AD9B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22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5CA51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72896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环保多合一灯</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ADCC3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1、补光装置光源至少包括LED光源、气体放电光源和红外光源；</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2、采用 LED 光源和气体放电两种光源，支持红外和白光补光切换；</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3、灯珠设计使用寿命≥5万小时，3000小时老化后光衰≤1%，5万小时光衰不超 30%，工作温度满足-40°C 至+85°C；</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4、支持LED频闪、LED爆闪、白光气体爆闪及红外气体爆闪四种补光方式，可通过远程控制切换；</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5、支持一键开启/关闭防眩目功能；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6、支持通过相机IO口调节补光灯亮度等级；</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7、防护等级不低于IP66。</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2A1E4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218EF6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20</w:t>
            </w:r>
          </w:p>
        </w:tc>
      </w:tr>
      <w:tr w14:paraId="5B547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68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DB3AA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F4616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设备箱</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BB37F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1、箱体整体结构及工艺要求：外形尺寸：箱体外形净尺寸不小于高 500mm×宽350mm×深220mm，尺寸公差符合国标精密级加工要求，箱体造型规整，边角做圆弧钝化处理，避免尖锐棱角。板材及材质：箱体主体采用优质冷轧钢板，板材厚度≥1.2mm，材质力学性能符合GB/T 708标准，保证箱体结构强度与承重能力，长期使用不变形、不塌陷。表面处理工艺；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2、内部电气配置要求：配置1路电源引入防雷模块，1个32A 国标空气总开关，1 台智能温控风扇，内置温度感应模块，可根据箱内温度自动启停，实现主动散热，保证内部设备恒温运行；不少于 4 个五孔国标电源插座，可根据实际情况增加配置满足使用需求；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3、依据《公共安全视频图像信息系统管理条例》，本项目中所采购的设备箱需粘贴带有符合监控标识要求的亚克力板，亚克力板内容信息及样式需在采购前与甲方核对确认后采购；</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★4、设备具有盐雾检测试验报告，盐雾环境；浓度：（5±0.1）% , 温度：（35±2）℃；喷雾时间：每隔45min喷雾15min，共96h；盐雾沉降量：1.0ml/h.80cm²-2.0ml/h.80cm²，试验后样板表面无黄斑且不生锈。外壳防护等级符合IP65，工作温度-55°~ +85°设备可正常工作，电源电压在AC165V～AC275V范围内变化时正常工作。（投标时提供第三方权威检测机构出具的检验报告复印件并加盖投标人公章）</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1EA38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A9B558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282</w:t>
            </w:r>
          </w:p>
        </w:tc>
      </w:tr>
      <w:tr w14:paraId="721AB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52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1C982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391FF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1光4电千兆工业级交换机</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A837E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1、千兆电口≥4个，千兆SFP光口≥1个，光模块传输距离大于20km，根据实际需求选配光模块传输距离；</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2、支持-40~85℃温度范围满负载工作，工业四级设计，IP40防护等级，低功耗无风扇设计；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3、为保证设备在受到外界机械碰撞时能够正常运行，要求所投交换机IK防护测试级别至少达到IK05；</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 xml:space="preserve">4、拥有1个千兆光口，4个10/100/1000Base-TX自适应以太网 RJ45 接口连接网络摄像机。该光纤传输通讯单元设计符合以太网标准，性能稳定可靠； </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 xml:space="preserve">5、流控方式：全双工采用 IEEE 802.3X，半双工采用 Backpressure 标准；  </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6、提供状态指示灯，外置电源（输出 12V～50HZ 1A）；</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7、模块化电源设计理念，功能板与电源分开，便于后期维护；</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8、采用光电一体化模块，保证传输可靠，寿命长；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9、超低功耗小于 2.5W(Input:DC12V）；</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10、符合GB/T 25000.51-2016安全规范要求。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B2C82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62F419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297</w:t>
            </w:r>
          </w:p>
        </w:tc>
      </w:tr>
      <w:tr w14:paraId="5F0B2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54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C91A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32C0A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2光8电千兆工业级交换机</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9BD78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1、千兆电口≥8个，千兆SFP光口≥2个，光模块传输距离大于20km，根据实际需求选配光模块传输距离；</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2、支持-40~85℃温度范围满负载工作，工业四级设计，IP40防护等级，低功耗无风扇设计；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3、为保证设备在受到外界机械碰撞时能够正常运行，要求所投交换机IK防护测试级别至少达到IK05；</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 xml:space="preserve">4、拥有2个千兆光口，8个10/100/1000Base-TX自适应以太网 RJ45 接口连接网络摄像机。该光纤传输通讯单元设计符合以太网标准，性能稳定可靠；  </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 xml:space="preserve">5、流控方式：全双工采用 IEEE 802.3X，半双工采用 Backpressure 标准；  </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6、提供状态指示灯，外置电源（输出 12V～50HZ 1A）；</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7、模块化电源设计理念，功能板与电源分开，便于后期维护；</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8、采用光电一体化模块，保证传输可靠，寿命长；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9、超低功耗小于 2.5W(Input:DC12V）；</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10、符合GB/T 25000.51-2016安全规范要求。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8230B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A6FC16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12</w:t>
            </w:r>
          </w:p>
        </w:tc>
      </w:tr>
      <w:tr w14:paraId="6CD17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56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3DA54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7B7E4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L型4.5米杆*0.5—3m自行调节（含运输、吊装）</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65FBA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立杆圆锥直径90-140—3mm厚，横臂直径60—3mm厚，基础法兰300*300—12mm厚，热镀锌后喷塑。固定法兰300*300—3mm厚，预埋件螺栓中心距200*200mm—4支M20圆钢长0.75米。</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横臂长度根据现场实际情况选择长度，满足使用效果</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E628B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B03FA1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109</w:t>
            </w:r>
          </w:p>
        </w:tc>
      </w:tr>
      <w:tr w14:paraId="06B19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46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DF7CB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93992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L型6.5米杆*3（含运输、吊装）</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5DB23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立杆圆锥直径140-190—4mm厚，横臂圆锥直径90-140—3mm厚，基础法兰直径400—14mm厚，热镀锌后喷塑。固定法兰直径400—4mm厚，预埋件螺栓对角中心距300mm—6支M20圆钢长1.125米。</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19010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34611A9">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20</w:t>
            </w:r>
          </w:p>
        </w:tc>
      </w:tr>
      <w:tr w14:paraId="57743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500" w:hRule="atLeast"/>
        </w:trPr>
        <w:tc>
          <w:tcPr>
            <w:tcW w:w="812" w:type="dxa"/>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5D1C5E0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6BC45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安装组件（0.5—3m自行调节）</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F60C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直径不小于60mm，壁厚≥3mm，做斜撑设计，热镀锌喷塑。长度（0.5m—3米）及安装高度根据现场环境调整，裸露线路均需采取PA尼龙管保护固定，需符合架设杆件所属部门的相关要求。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横臂长度根据现场实际情况选择长度，满足使用效果。</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143BE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根</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13B7DF9">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149</w:t>
            </w:r>
          </w:p>
        </w:tc>
      </w:tr>
      <w:tr w14:paraId="1812B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9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8975B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3B3D1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U型支架</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4D775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定制，与杆件颜色一致，不低于80cm高，臂厚不低于2mm。</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7D27B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5F5098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56</w:t>
            </w:r>
          </w:p>
        </w:tc>
      </w:tr>
      <w:tr w14:paraId="123F1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7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31D2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18AD9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L型4.5米杆*1-3基础（含地笼、混凝土、浇筑、基坑开挖）</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DBCFC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基础尺寸不低于0.8m*0.8m*1m，商砼C25浇筑。含基础开挖、绿化恢复、人行道砖恢复、道板砖恢复、建筑垃圾清运。外场设备基础设施施工要求、基础浇筑、混凝土强度等级应符合要求。具体做法详见设计书。</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CD809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0C6B727">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109</w:t>
            </w:r>
          </w:p>
        </w:tc>
      </w:tr>
      <w:tr w14:paraId="4F4A3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216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2E91C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BC5A6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L型6.5米杆*3基础（含地笼、混凝土、浇筑、基坑开挖）</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7E59D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基础尺寸不低于1m*1m*1.2m，商砼C25浇筑。含基础开挖、绿化恢复、人行道砖恢复、道板砖恢复、建筑垃圾清运。外场设备基础设施施工要求、基础浇筑、混凝土强度等级应符合要求。具体做法详见设计书。</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8ABA2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E555D5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20</w:t>
            </w:r>
          </w:p>
        </w:tc>
      </w:tr>
      <w:tr w14:paraId="39B8C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8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8B262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1E753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手井</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40D7E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500*500*500，含手井框、盖，印有盐南公安标识，含手井开挖、砌筑等费用。</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0473B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座</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EA05EDE">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251</w:t>
            </w:r>
          </w:p>
        </w:tc>
      </w:tr>
      <w:tr w14:paraId="04B1C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22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D58E1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716C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接地组件安装及测量</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65C49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按外场设备基础施工通用要求实施，杆件应安装保护地线，保护地线可使用规格为40mm×4mm以上的镀锌扁钢制作，焊接到每个钢制杆件的法兰盘上。焊接处应做防腐处理。保护地线应与接地装置有效连接。设备机箱的专用接地铜排应与接地装置有效连接，接地电阻应小于10Ω。引入设备机箱的接地线应使用软铜绞线，其截面不得小于10mm²。</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1BB06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处</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56D136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280</w:t>
            </w:r>
          </w:p>
        </w:tc>
      </w:tr>
      <w:tr w14:paraId="6F085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2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E2BFB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4D05F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电源线（RVV-2*2.5mm²）</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CDCA0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不低于国标，纯铜，RVV-2*2.5mm²，用于电表至设备箱之间供电。</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46410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米</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2D79DE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30000</w:t>
            </w:r>
          </w:p>
        </w:tc>
      </w:tr>
      <w:tr w14:paraId="02A10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2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8EAB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95A92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电源线（RVV-3*1.0mm²）</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4A168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不低于国标，纯铜，RVV-3*1.0mm²，用于设备箱至监控设备之间供电。</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979CF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米</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45EAF4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4845</w:t>
            </w:r>
          </w:p>
        </w:tc>
      </w:tr>
      <w:tr w14:paraId="6DBCB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685"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E753A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123FD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6类网线</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836EA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不低于国标，室外STP屏蔽超六类线。</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F7205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米</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34D1987">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4845</w:t>
            </w:r>
          </w:p>
        </w:tc>
      </w:tr>
      <w:tr w14:paraId="62454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2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A4C22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07C9D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单模光缆-4芯</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250BD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4芯单模，含熔纤、配套辅材等。需抗拉伸、耐磨损、抗冲击、耐压扁、可反复弯曲、扭转、弯折、曲绕（弯曲角度不超过90°）枪击等，具备良好的机械性能和温度特性。</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30081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米</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EEA0E0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2000</w:t>
            </w:r>
          </w:p>
        </w:tc>
      </w:tr>
      <w:tr w14:paraId="32D8B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2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50730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1EAE9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管道沟通</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B1617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含挖填土恢复、绿化开挖恢复、道板砖开挖恢复（含φ50PE管管材），沥青路面切路恢复、水泥路切路恢复（含镀锌钢管φ60）。</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22A7F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米</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7322D1E">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18000</w:t>
            </w:r>
          </w:p>
        </w:tc>
      </w:tr>
      <w:tr w14:paraId="29374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2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E712B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70DA6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拖拉管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A09F8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Φ50PE2孔。本项工程量计算是按水平距离计算，投标人报价需综合考虑拉管的弧度。</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CC11C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米</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2F9614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3000</w:t>
            </w:r>
          </w:p>
        </w:tc>
      </w:tr>
      <w:tr w14:paraId="7BB26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2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39F17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649CE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供电开户</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57BAC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定制，含前端感知设备3年电费。</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现场接电，在接电过程中涉及的所有费用(含开户、挂表、表前管道、表前线缆、表前架杆等)，必须满足验收要求，由投标人自行现场踏勘考虑实际情况并综合报价，3年服务期。</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0B610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处</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714D1CB">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296</w:t>
            </w:r>
          </w:p>
        </w:tc>
      </w:tr>
      <w:tr w14:paraId="1083B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2220" w:hRule="atLeast"/>
        </w:trPr>
        <w:tc>
          <w:tcPr>
            <w:tcW w:w="812" w:type="dxa"/>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34008DC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9B0C6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光纤租赁</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5D7495">
            <w:pPr>
              <w:keepNext w:val="0"/>
              <w:keepLines w:val="0"/>
              <w:widowControl/>
              <w:numPr>
                <w:ilvl w:val="0"/>
                <w:numId w:val="1"/>
              </w:numPr>
              <w:suppressLineNumbers w:val="0"/>
              <w:jc w:val="left"/>
              <w:textAlignment w:val="center"/>
              <w:rPr>
                <w:rFonts w:hint="eastAsia" w:ascii="宋体" w:hAnsi="宋体" w:eastAsia="宋体" w:cs="宋体"/>
                <w:b w:val="0"/>
                <w:i w:val="0"/>
                <w:iCs w:val="0"/>
                <w:color w:val="auto"/>
                <w:kern w:val="0"/>
                <w:sz w:val="21"/>
                <w:szCs w:val="21"/>
                <w:u w:val="none"/>
                <w:lang w:val="en-US" w:eastAsia="zh-CN" w:bidi="ar"/>
              </w:rPr>
            </w:pPr>
            <w:r>
              <w:rPr>
                <w:rFonts w:hint="eastAsia" w:ascii="宋体" w:hAnsi="宋体" w:eastAsia="宋体" w:cs="宋体"/>
                <w:b w:val="0"/>
                <w:i w:val="0"/>
                <w:iCs w:val="0"/>
                <w:color w:val="auto"/>
                <w:kern w:val="0"/>
                <w:sz w:val="21"/>
                <w:szCs w:val="21"/>
                <w:u w:val="none"/>
                <w:lang w:val="en-US" w:eastAsia="zh-CN" w:bidi="ar"/>
              </w:rPr>
              <w:t>定制，优先采用PON网络，带宽满足现场流量需求，如无法采用PON网络，可采用裸纤模式，3年服务期。</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2、本项费用为前端293处感知设备点位光纤租赁3年网络费用，本清单项为暂定金额，投标单位不得下浮，最终以建设单位确认的实际开票金额结算。</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3、293处点位详见设计书。</w:t>
            </w:r>
          </w:p>
          <w:p w14:paraId="1721AA6D">
            <w:pPr>
              <w:keepNext w:val="0"/>
              <w:keepLines w:val="0"/>
              <w:widowControl/>
              <w:numPr>
                <w:ilvl w:val="0"/>
                <w:numId w:val="0"/>
              </w:numPr>
              <w:suppressLineNumbers w:val="0"/>
              <w:jc w:val="left"/>
              <w:textAlignment w:val="center"/>
              <w:rPr>
                <w:rFonts w:hint="default"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iCs/>
                <w:color w:val="auto"/>
                <w:kern w:val="0"/>
                <w:sz w:val="21"/>
                <w:szCs w:val="21"/>
                <w:u w:val="single"/>
                <w:lang w:val="en-US" w:eastAsia="zh-CN" w:bidi="ar"/>
              </w:rPr>
              <w:t>备注：光纤租赁3年网络费用1054800元为不可竞争费用，各投标人按此固定费用报价，不接受此报价以外报价，否则按不实质响应招标文件处理。</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87BEF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项</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ED2C358">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212DF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81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D2568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E14DE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配套图片存储（含配套软件）</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9F679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服务器配置：≥2颗64位国产多核处理器，≥64GB内存，内存支持扩展到≥256GB，内置不少于三块960GBSSD固态硬盘，内置≥2个千兆数据网口，≥2个万兆数据光口，≥1个千兆管理口配置，≥6个风扇，支持风扇热插拔冗余温控调速风扇，支持热插拔1+1AC220V；</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2、可接入2T/3T/4T/6T/8T/10T/12T/14T/16T/18T/20T/25T/26TSATA/SAS硬盘；支持NL-SAS硬盘、HDD硬盘、SSD硬盘、氦气硬盘、空气硬盘；支持CMR或SMR硬盘；支持硬盘交错/分时启动，节省功耗；</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3、具有不低于48块硬盘热插拔插槽，内置企业级硬盘，容量不小于0.5P；支持硬盘热插拔设备在读写数据时，热插拔设备内的任意块硬盘，设备正常运行不宕机，硬盘不损坏，数据不丢失，业务不中断；</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4、支持集群管理功能，包括集群单元弹性扩容、负载均衡、故障迁移等；支持集群节点生命周期管理，支持集群节点服务启动/停止，集群节点服务组建、扩展、删除；</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5、支持存储实时视频、视频片段、图片及伴生的智能结构化数据，支持根据结构化数据的类型检索视频，检索条件包括前端点位ID、时间段、视频目标类型；</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支持按照接入任务数实现自动负载均衡，支持前端设备自动分配到存储节点，各节点间读写任务数差距±1；节点间的自动业务负载均衡，各节点上的存储数据量在稳定情况下，存储容量使用率差距小于万分之一；（提供公安部检验报告复印件并加盖投标单位公章）</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集群部署时，系统根据各个节点的负载压力，自动将业务相对均衡的分配到集群其他节点上面。当集群中某个节点故障时，在集群可接入的录像计划的范围内，将故障节点上的录像计划调度到集群内其他正常节点上接管，从而不影响录像业务；当异常节点恢复后，业务重新自动均衡到所有在线的节点上；</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系统支持在创建资源池的时候，将周期性覆盖的资源池设置成单通道单周期的属性，开启此功能后,当该资源池容量不足时,将优先保障满足资源池内单通道的存储周期,其他通道数据会提前触发数据覆盖。通过云存储实时流录像计划管理页面，可以查看已经配置过单通道周期保障的点位的数据存储周期；</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支持图片流直存，抓拍图片无需经过任何转发服务器/虚拟机即可实现前端数据直接存储至云存储系统；支持设置资源池自动分流策略，策略包含按图片大小、图片类型(类型包含人脸、人体、车辆、电动车等)。支持将同一点位产生的多种不同大小、不同类型的图片数据按策略自动分池存储到不同存储资源池中；</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10、系统同时提供多副本、ErasureCode数据保护机制，其中Erasure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11、具备一键快速部署能力，存储节点并行部署，互不影响，单台部署时间150秒内完成。快速部署过程中，自动检测节点是否符合配置要求，当检测到当前节点的配置与预期有差距时给予报警提示；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12、支持图片数据在SSD盘中存储，实现热数据从SSD中高速提取，实现即存即取，且图片数据可设置按周期或容量进行覆盖。系统支持多级加速：支持对不同规格图片数据分级加速存储，小图支持SSD缓存加速，大图支持内存加速；系统支持自定义设置内存加速缓存大小、SSD缓存加速池容量大小，可最高针对4096KB图片加速提取，提供公安部检验报告复印件并加盖投标单位公章；</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投标人所投视频云存储服务器设备需与盐南公安原云存储管理系统无缝对接，对接过程中产生的额外费用由投标人自行承担，投标人出具加盖投标人公章的承诺函。</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FE777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6DE5ACA">
            <w:pPr>
              <w:jc w:val="center"/>
              <w:rPr>
                <w:rFonts w:hint="eastAsia" w:ascii="宋体" w:hAnsi="宋体" w:eastAsia="宋体" w:cs="宋体"/>
                <w:b w:val="0"/>
                <w:bCs/>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58B2E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5183"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B931A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5ED6E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64路智能录像机(含36TB监控硬盘）</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092A4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具有3个HDMI接口、2个VGA接口、2个RJ45千兆网络接口、2个USB2.0接口、2个USB3.0接口、1个RS232接口、2个RS485接口、1个eSATA接口；具有1路音频输入接口、2路音频输出接口、16路报警输入接口、9路报警输出接口、具有1路直流12V输出接口；可内置9块SATA接口硬盘；</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2、HDMI1、HDMI2和HDMI3组合支持最大单路8K、4K和4K三异源输出，可同时解码输出48路2MP、H.265编码、25fps、1920×1080格式的视频图像；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3、文搜检索结果支持选中查看关联录像/图片，录像片段内显示关联目标跟踪框，支持对录像关联目标及其周围目标进行二次精准检索；</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设备支持文搜功能，可通过文字语义描述，快速检索目标对象或内容；支持对人体、车辆、非机动车、物品、动物、基础事件等类型的检索；并可基于文搜快速检索的结果，对目标进行图搜的二次精准检索定位；</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5、支持将搜索内容添加到历史记录，历史检索词条保持最近10条，通过直接点击该高频热词或历史记录可直接进行重复检索</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6.支持独立的文搜应用展示界面，默认支持全通道录像检索，且通道和时间范围可设；支持自定义选择时间范围，可快速选择1天、3天、7天；</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7、设备支持独立的智能文搜应用模块，应用内置文搜高频热词，如：人的上衣颜色、下装颜色、随身物品、性别；车的颜色、类型、品牌；其他的保安、抽烟、打电话、玩手机等；</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8、支持4路视频流人脸识别，支持16路图片流人脸识别；</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9、支持录像目标检索功能，目标检索支持单帧模式调整目标画面，可通过鼠标滚轮调整录像画面帧序列；事件中心，切片回放、回放支持目标检索快速入口；</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10、支持预览时对实时视频流进行手动打标签，通过标签检索可以检索到相关的录像片段；</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11、支持预览的单窗口轮巡，设备支持在多画面的固定窗口上进行轮巡预览，其他预览窗口不轮巡；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12、支持在线用户信息查看，包括用户名、用户类型、IP地址和用户最后操作时间等维护信息；</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13、支持音频设备与视频设备独立管理，支持网络拾音器的接入、校时；最大16路音频设备管理；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14、支持音视频动态调整组合分配功能，可将任一路音频与任一路视频组合成复合流编码；</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15、支持切片回放，支持按月、日、小时维度进行切片展示，按月最大支持30个切片，按日最大支持24个切片，按时最大支持60个切片，支持对切片回放片段进行目标检索、备份导出、开启/关闭智能POS信息等操作；；</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16、支持最大接入带宽512Mbps，最大存储带宽512Mbps，最大转发带宽256Mbps。</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配套硬盘参数：</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1、3.5英寸，SATA3.0接口，7200RPM；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2、AllFrame AI全帧技术，提升用户AI视频分析检索体验；</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3、空气盘， CMR传统磁记录；</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4、传输速率245 MB/s，流畅存储视频有效防止丢帧；</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5、高级格式（AF）512e扇区技术，保障硬盘扇区4K对齐；</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6、满足数据严苛的7*24小时运行可靠性、安全性的需求。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784F6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F496810">
            <w:pPr>
              <w:jc w:val="center"/>
              <w:rPr>
                <w:rFonts w:hint="eastAsia" w:ascii="宋体" w:hAnsi="宋体" w:eastAsia="宋体" w:cs="宋体"/>
                <w:b w:val="0"/>
                <w:bCs/>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79D3A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26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19FD6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044AD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千兆交换机（配6U机箱）</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2E5AA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1、配置：可用千兆电口数量≥24，千兆光口数量≥2；</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2、交换容量≥56 Gbps，转发性能≥41.67 Mpps；</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支持通过管理平台和手机APP展示并管理交换机的拓扑，交换机支持不同拓扑连接方式，包括网线连接、光纤连接、无线连接，支持在网络拓扑中展示交换机详情，包括基本信息、交换机性能使用信息、交换机面板状态、端口信息；</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4、支持链路聚合、QoS、STP/RSTP、端口镜像、端口隔离、风暴抑制功能，支持SNMP管理、LLDP功能；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5、浪涌（冲击）抗扰度符合GB/T17626.5；</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6、支持64Bytes-1518Bytes下均能线速转发。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3EB2F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C24AE77">
            <w:pPr>
              <w:jc w:val="center"/>
              <w:rPr>
                <w:rFonts w:hint="eastAsia" w:ascii="宋体" w:hAnsi="宋体" w:eastAsia="宋体" w:cs="宋体"/>
                <w:b w:val="0"/>
                <w:bCs/>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50A2C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2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E338C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9CE45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网络汇聚设备</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10BC4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1、实现人、车、视频数据的接入并上传盐南高新区分局视频平台、视图库平台、人脸大数据平台、盐城市慧盾平台、盐城市感知大数据平台；</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2、支持人脸数据的接入，上传通行时间、人脸照片；</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3、支持车辆数据的接入，上传车牌号、车辆照片、通行时间等；</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4、支持第三方主流厂家的设备接入，并可正常工作显示视频图像；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5、支持视频数据的接入，上传GB28181协议上传视频至视频平台；</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6、CPU：不低于四核CPU，内存：不低于8GB内存，LAN1:10/100/1000/ Mbps Realtek，支持网络唤醒，LAN2:10/100/1000/ Mbps Realtek，支持网络唤醒；</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7、支持断点续传功能，网络中断后数据可存储在本地，网络恢复后可自动同步；</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8、支持对系统中的身份证号码、手机号码进行脱敏显示，中间部分以*显示；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9、支持防火墙放行端口配置功能，支持禁ping功能；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★10、支持在设备管理模块，展示设备的在线和离线状态，资源占用情况，对接设备的在线离线数量对比统计，最后心跳时间功能；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★11、支持在程序意外出错及崩溃时自动重启恢复功能；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★12、支持在与上级平台网络异常情况下，感知数据保存在本地，待网络恢复后自动同步上级平台功能；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★13、支持数据传输加密，设备通信报文中应不存在明文格式的用户数据信息；</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14、设备支持接入管理2000路视频监控点；</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★15、具有存储加密功能，仅本机及授权设备和软件可进行访问，非授权设备和软件无法访问样机存储的数据；</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★16、具备网络隔离功能，具有两个网口，每个网口可单独配置网络信息，通过外网网口进行访问应能获取到设备本机的数据信息，但不能访问样机通过内网接入的设备；</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17、具备云端远程重启功能；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18、具备云端远程一键升级功能。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标注★项须提供第三方检测报告复印件并加盖投标人公章。</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投标人须提供支持视频、人脸、车牌数据无缝对接上传至盐南公安局多维数据感知汇聚平台、视图库平台的承诺函（格式自拟）并加盖投标人公章。</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44AD9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AAD5468">
            <w:pPr>
              <w:jc w:val="center"/>
              <w:rPr>
                <w:rFonts w:hint="eastAsia" w:ascii="宋体" w:hAnsi="宋体" w:eastAsia="宋体" w:cs="宋体"/>
                <w:b w:val="0"/>
                <w:bCs/>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61</w:t>
            </w:r>
          </w:p>
        </w:tc>
      </w:tr>
      <w:tr w14:paraId="22479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807"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26B5C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B40CF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操作终端维修套装</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61820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含寻线仪、清灰设备，采购前需和使用单位确认</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E20A0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8189A05">
            <w:pPr>
              <w:jc w:val="center"/>
              <w:rPr>
                <w:rFonts w:hint="eastAsia" w:ascii="宋体" w:hAnsi="宋体" w:eastAsia="宋体" w:cs="宋体"/>
                <w:b w:val="0"/>
                <w:bCs/>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69EE3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847"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6DC70D87">
            <w:pPr>
              <w:keepNext w:val="0"/>
              <w:keepLines w:val="0"/>
              <w:widowControl/>
              <w:suppressLineNumbers w:val="0"/>
              <w:jc w:val="center"/>
              <w:textAlignment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综合指挥室大屏及会议系统建设</w:t>
            </w:r>
          </w:p>
        </w:tc>
      </w:tr>
      <w:tr w14:paraId="03869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81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41DB5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3F9B9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智能安全防护LED室内全彩屏（含LED屏支架，含不锈钢包边）</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E3BC5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p1.538室内全彩LED屏：1、像素构成1R.1G.1B，封装方式SMD表贴三合一，表面黑化处理，表面不反光，扫描方式：40扫；</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2、模组尺寸：320*160mm；屏体分辨率：208*104，模组重量：495g；</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3、光学性能：基色主波长误差为C级ΔλD≤5，视角（水平、垂直）：H≥170°V≥170°；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4、机械性能：平整度：≤0.2mm，箱体间缝隙≤0.1mm，像素中心距相对偏差&lt;3%；</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5、最大功耗：≤370W/㎡；平均功耗185W/㎡，模组功耗≤19W；能源效率：≥3cd/W；</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6、光学特性：亮度均匀性≥99%，白场色坐标符合SJ/T1114120175.10.5规定，亮度鉴别等级：</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7、色温：800-18000可调；</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8、电性能：换帧频率：60Hz；刷新频率：≥3840Hz支持通过配套控制软件调节刷新率设置选项；</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9、平均失效间隔工作时间：≥10000hrs；</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100、电源效率：效率＞85%；</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11、灯芯参数：灯芯的波长误差值在±lnm之内，每个灯芯的亮度误差在5%以内；</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12、白平衡亮度：0-700cd/㎡可调；亮度调节：0100%亮度可调，256级手动/自动调节。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AI显示安全网关设备规格：1、硬件主控芯片使用国产化芯片，内存8GB，存储32GB。支持最大分辨率：3840*2160@30fps；</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2、基于图像识别和深度机器学习的人工智能（AI）技术，针对视频流传输内容进行全自动智能分析和不良内容识别，支持对不良图像（色情视频、图片、网页等）和不良文字的实时过滤；</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支持自适应识别，无需指定识别类型，对不良内容全自动识别与防护，无须人工干预，及时屏蔽不良内容；支持本地智能识别和过滤功能，采用本地终端边缘计算技术，无须联网即可实现智能识别和过滤不良信息功能；支持8/10/12bit等常规色彩深度；支持RGB 4:4:4、YCbCr 4:4:4、YCbCr 4:2:2、YCbCr 4:2:0等常规视频流格式；支持GUI人机交互界面控制，操作更便捷。</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4、界面支持预置画面设置，支持预置画面的预检测，避免非法预置画面被误设置。</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0B320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m²</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73FC9D7">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16.58</w:t>
            </w:r>
          </w:p>
        </w:tc>
      </w:tr>
      <w:tr w14:paraId="3BF97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276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C49F2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A8A3B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LED发送卡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055E6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1、支持1路SL-DVI视频输入，1路HDMI1.3输入；</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2、支持AUDIO音频输入；</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3、支持4路千兆网口输出，单路网口最大带载为65万像素点；</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4、支持USB接口控制，支持UART控制接口，可级联多台进行统一控制；</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5、单张发送卡支持自定义分辨率，最宽最高为3840；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6、支持外接光探头，可以检测环境亮度，智能调节屏体亮度；</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7、支持逐点亮色度校正，对每个灯点的亮度和色度进行校正；</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8、支持双卡备份以及网线备份，双重保险。</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BC1DD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18F97B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w:t>
            </w:r>
          </w:p>
        </w:tc>
      </w:tr>
      <w:tr w14:paraId="1DD64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274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F28D9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B80F6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PLC智能远程配电柜</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FD484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带载：≥20kW配电柜，浪涌，时控（支持遥控），壁挂。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1、控制方式：手动+时控+干接点+电脑配电箱同启（PLC功能）；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2、手动控制：一键启停，分步上电、断电；</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3、时控控制：设置4组控制时间段；</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4、干接点：第3方远程通断控制；</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5、电脑同启：支持电脑启动电箱启动，电脑关闭电箱关闭；</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6、接线方式：上进下出；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7、显示模式：数码显示+时间显示。</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D563C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271B76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1D554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77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23BA4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745D7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混插拼接处理器</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D84D5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1、纯硬件插卡式架构设计，19英寸标准机架式安装，金属结构机箱；</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2、内置不小于7英寸触摸屏，可通过触摸屏进行监测状态查看、参数设置、固件升级、文件备份、预监回显等功能；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3、设备机箱规模最大支持40张输入卡、20张输出卡，可同时支持网口输出和光口输出；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4、单张输出板卡支持不少于16个图层，支持图层在输出接口间漫游，可进行图层参数设置；</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5、支持二合一10G光口输出卡，配合光电转换设备可直接连接LED显示屏显示；单卡带载可达2080万像素，支持独立模式，复制模式，备份模式三种工作模式；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6、IPC输入卡支持4K视频接入，单卡不低于16路视频解码输出；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7、设备应具备自我监测功能，可监测设备温度、电压、风扇在线状态，支持智能识别板卡接口组合，板卡和接口状态监测；</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8、支持屏幕背景图bkg显示；支持对输入添加文字或图片台标，文字与图片背景、位置可调；支持对输入添加OSD文字或图片，属性可调；</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9、支持不少于2000个场景，可设置为图片或视频，场景切换支持淡入淡出、直切效果；支持不少于4种屏幕画质调节模式；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10、支持对所有输入源同时预监，对所有输出进行回显（包含IP流回显）；</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11、支持用户权限分级管控，超级管理员可分配用户使用权限，支持多用户同时在线编辑、控制、上屏操作，可预览其他用户操作；</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12、支持实时和预编模式，实时模式可实现画面控制实时上屏显示，预编模式支持在软件端进行显示内容预编辑后，再上屏显示；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13、支持输入源画面任意截取，对截取的画面开窗调用，并可作为一个新的输入源，不影响原输入源的使用；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14、系统须具备良好的兼容性，拼接器配置软件至少需支持windows；</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15、搭配二含一网口输出卡，配合使用3D眼镜和外置发射器（内置3D片源），可在外接普通LED显示屏上显示3D效果；</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16、支持多种方式访问设备，包括有线和无线方式，客户端通过有线方式操作时，操作响应时间不大于60ms。</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59AC9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001375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3364E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96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465B7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655CB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单色LED字幕屏（2.88m*0.32）</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76FAD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P4.75，单色。</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FEF15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904F8F8">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1E70C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96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46B5B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8CF89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65寸电视(含壁挂支架）</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508B7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LCD显示，屏幕比例16:9，HDMI接口不少于2个。</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078D9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5B0ED89">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w:t>
            </w:r>
          </w:p>
        </w:tc>
      </w:tr>
      <w:tr w14:paraId="30D36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22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61182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B9EF5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吸顶音箱</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C2C77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1、低音单元：8"×1；高音单元：1"×1；</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2、频响范围：55Hz-20KHz；</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3、额定功率：80W，峰值功率：320W；</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4、标准阻抗：8Ω；</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5、灵敏度：94dB；</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6、最大声压级：113dB；</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7、定压功率：60/30/15/7.5W,100V/70V；</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8、覆盖角度（HxV）：100°x100°。</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B2D24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59407C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w:t>
            </w:r>
          </w:p>
        </w:tc>
      </w:tr>
      <w:tr w14:paraId="01E1A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34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CAFFC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4FFB1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二通道功率放大器</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98FDE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1、支持自动限幅输出、短路、过载、过温、开机延时等功能；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2、支持延时启动系统功能，保护音箱不受冲击而损坏；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3、支持立体声通道、并接、桥接输出转换；</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4、线路类型：classD；</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5、立体声功率输出：4*250W/8Ω，4*400W/4Ω；</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6、桥接功率输出：2*500W/8Ω，2*800W/4Ω；</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7、信噪比：80dB；</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8、总谐波失真：0.05%；</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9、输入阻抗：10KΩ；</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10、频率响应：20Hz-20KHz；</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11、阻尼系数：&gt;500。</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0CB67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DA8C56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75EA2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397"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AE64E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4163D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8进8出数字音频处理器</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251D7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1、支持8路平衡式话筒\线路输入，8路平衡式线路输出；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2、输入通道支持扩展器、压缩器、自动增益、闪避器、噪声门、噪声增益补偿、延时器等信号处理功能；输出通道支持高低通、延时器、限幅器等处理功能；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3、支持AEC（回声消除）、ANS（噪声抑制）、AutoMixer（自动混音）、AGC（自动增益控制）、AFC（自动反馈）、摄像跟踪、幻象供电等功能；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4、支持双向RS232、RS485和UDP协议中控控制功能；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5、支持IOS、Windows、Android、鸿蒙等系统控制终端；</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6、支持16组预设，每个预设独立工作；</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7、支持内置USB声卡；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输入动态范围：113dB、输出动态范围：115dB、频率响应范围：20～20kHz(±0.2dB）、总谐波失真（THD+N）：0.003%@1kHz，+4dBu、采样率：48KHz。</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8FAB4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BF68765">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68C5D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45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A2EFD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935FA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真分集一拖二无线手持话筒</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E94C4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1、真分集接收主机，空旷有效距离可以到达200—300米；</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2、主机大屏显示，电池电量，接收信号一目了然；</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3、具有一键扫频，一键锁频功能；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4、手持腰包可根据使用环境调节发射功率；</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5、主机电源键，操作按键，全部采用发光设计。一键飞梭旋钮，可调节频率和音量；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6、主机自带监听耳机插孔，可实时监听使用情况；</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7、主机屏幕白色，黄色双色显示，接收机与发射机同一频率屏幕显示白色字体，不同频率显示黄色字体；</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8、主机6段LED指示灯，接收信号，音频信号，电池电量一目了然。</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接收机技术参数：工作频率：500-980MHz，红外对频，频率同频技术，显示屏显示发射器电池电量，S/N信噪比：&gt;105dB，T.H.D失真：&lt;0.5%，频率回应：40Hz-18KHz，噪声锁定静噪控制+音频导航锁定静噪，发射器技术参数，频道：200频道，频带宽度：50MHz，频道间隔：250KHz，频率稳定度：±0.005%，使用电池：2节AA电池/5号电池</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10、可设置发射功率：高功率15mV=300米（电池可持续使用2小时），功率10mV=150-200米（电池可持续使用4～5小时）</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26791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E53AB20">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1902E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827"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0B3D7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0AD17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一拖四无线会议话筒</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30141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1、支持智能电池欠压预警显示；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2、数字导频，2048位对称加密算法杜绝监听；</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3、接收机发射机电量监控；</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4、一键自动搜频，智能数字信号场强FI检测，定点监控使用中的频率状况；</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5、主机自带锁键功能；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6、PLL锁相环频率合成技术动态音频压缩及自动电平控制电路；</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7、杂讯锁定静噪控制+音码导航锁定静噪控；</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8、一键静音/开启语音功能；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9、主机射频载波范围：632.00-698.70MHZ；</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10、主机频率响应：80HZ-15KHz(±3db）；</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11、动态范围：&gt;110db；</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12、系统失真/总谐波失真THD：&lt;0.5%；</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13、信噪比：S/N&gt;100db（A）；</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14、拾音器类型：电容/柱极体；</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15、咪芯指向性：超心形指向；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16、拾音灵敏度：&gt;-20dBM（1V）；</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17、拾音器音频响应：100HZ—18KHZ；</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18、增益：10db；</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19、电池：2000mAh锂电池/3.7V；</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B23AA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91187F5">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3D066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306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90AA6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D0EFE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智能天线分配器</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082AC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1、天线分配器是全频道的UHF天线分配器，它可以在多频道系统中导引天线讯号从一对天线到多台接收机；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2、分配器会放大射频讯号以弥补在分配过程中的衰减；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3、外置3安开关电源，可提供四组12v直流电给无线接收机；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4、单一台天线分配器主机可支援最多8个天线通道端口；</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5、天线主机频率响应500～950MHZ；</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6、阻抗：50欧姆；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7、工作频率范围：500-950MHz；</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8、天线类型：对数周期；</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9、增益：10dB±2db。</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46A8D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D2AD2DE">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7AA53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504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B1C2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21918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反馈抑制器</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E8792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1、会议系统中防啸叫的完美解决方案；</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2、2吋TFT彩屏，中英文可选；</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3、反馈加移频设计方案，移频4档可选；</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4、每通道设8个陷波器，工作频率20-20KHZ，自动扫描啸叫点并抑制；</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5、独特的噪声门功能可抑制系统微弱噪声干扰；</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6、输入压缩功能，消除反馈同时更可扩展人声动态；</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7、响应时间快中慢3速可定，更具人性化；</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8、模拟输入2CH-XLR和1/4“TRS（母）输入，电子平衡/不平衡；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9、输入阻抗平衡47Ω，不平衡20KΩ；</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10、最大线路电平输入+18dBμ；</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11、模拟输出2CH-XLR和1/4“TRS（母）输出，电子平衡/不平衡；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12、输出阻抗平衡&gt;120Ω，不平衡&gt;60Ω；</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13、最大输出电平+20dBμ；</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14、频率响应20Hz-20KHz，±0.3dB；</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15、信噪比&gt;105dB(A)；</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16、动态范围103dB；</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17、总谐波失真+噪声0.005％,1KHz。</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A0A67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0B34CB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2EBBE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6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92C67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D8154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8通道电源管理器</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777C2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1、支持时序控制设备开关，顺序间隔时间可选；</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2、支持8路功率电源输出，总负荷30A，支持过流保护；</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3、支持最大承受单路功率2KW，总功率8kW；</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4、支持前面板独立开关控制；</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5、支持RS232串口通讯协议。</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06CDB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C525109">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3604D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24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F5A0D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B3FA8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两人席位控制台（每套坐席含2个电源PDU）</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76324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坐席参数：</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1、每组尺寸不小于长2500*宽800*高750mm；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框架1.5厚优质冷轧钢板，前后门2.5厚实木颗粒板，后背板30150国标铝合金型材，柜体内独立标配1块托盘，侧板外延尺寸905mm，台面深度800mm，台面25厚实木颗粒聚氨酯手枕包边，侧板25厚高密度板环保烤漆)操作台台面白套黑边，侧板颜色白套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3、电源PDU参数：产品类型：19英寸标准安装，电气性能符合IEC标准，配置六位国标五孔，输入端插头形式采用国标三孔；</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4、额定电压/额定电流：220V/10A，6位，带电源开关及开关有灯光提醒。</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B1A65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F585F5D">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w:t>
            </w:r>
          </w:p>
        </w:tc>
      </w:tr>
      <w:tr w14:paraId="2CE9A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84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1C1B4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271BD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桌面多媒体信息插座</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42040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1、采用盒式结构，可以嵌入桌面；</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2、采用翻盖式开启；</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3、其面板材料采用铝合金板，表面采用阳极氧化拉丝一体成型工艺；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4、其内部可以提供多款信息接口及数据接口如：三孔电源、网络、电话、HDMI高清、VGA等。</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07681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DC1324D">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w:t>
            </w:r>
          </w:p>
        </w:tc>
      </w:tr>
      <w:tr w14:paraId="01BF1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5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0324F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051BB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五人席位席</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733A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1、每组尺寸不小于长4500*宽850*高750mm；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2、框架1.5厚优质冷轧钢板，前后门2.5厚实木颗粒板，后背板30150国标铝合金型材，柜体内独立标配1块托盘，台面25厚实木颗粒聚氨酯手枕包边，侧板25厚高密度板环保烤漆)操作台台面白套黑边，侧板颜色白套黑。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FCBDE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2462F0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51B0F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7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CDD03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51197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人体工程学椅</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20C4D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人体工学转椅：1、PP加纤背框，透气网布；</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2、PP连体固定扶手；</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3、高密度海绵坐垫；</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4、高硬度板材座板；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5、尼龙脚轮。</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0FA18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E088A2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w:t>
            </w:r>
          </w:p>
        </w:tc>
      </w:tr>
      <w:tr w14:paraId="7F4C9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7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5E7AF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4D0D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指挥席座椅</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73D4B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定制，牛皮材质，弓形椅。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F93CC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92068A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w:t>
            </w:r>
          </w:p>
        </w:tc>
      </w:tr>
      <w:tr w14:paraId="1426C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9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F9771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D5C63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静电地板（含配件)</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DA46E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1、规格：600×600mm，高度：150mm；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2、撑杆，螺丝，安装，等电位铜排（8米，标准规格：25mm×3mm紫铜排（TMY型），导电性能优异。四周外围闭环铜排）。</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47630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项</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85990E7">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5391D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0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DFC9E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081FC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音频线</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5429D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300芯金银线YRVB2*2.0（100米），话筒音频线（100米）。</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3DFB5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项</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057F4CD">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41ABB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22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DDE5B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F0C93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6类非屏蔽模块</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0B94A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1、产品描述：6类非屏蔽模块（180度）；</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2、标准：YD/T926.3，ISO/IEC11801:2008；ANSI/TIA-568-C.2；</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3、IDC：磷青铜，45°，防尘盖：透明PC材料，IDC与金针方向：180度；金针：磷青铜表面镀金，异形的金针空间排列，有效提升近端串音余量；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4、插头与插座插合次数：≥1000次，导线端接次数：≥250次；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5、打线方式：T568A/T568B，卡接导体线径：0.5mm～0.65mm，24AWG~22AWG。</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49DB0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B92574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28</w:t>
            </w:r>
          </w:p>
        </w:tc>
      </w:tr>
      <w:tr w14:paraId="393F0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22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1200D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0A543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双口面板</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CF2DF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1、产品描述：86信息插座面板；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2、信息插座与面板采用90度安装方式；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3、组合式结构，前后双层面板设计，外形美观，避免固定螺丝孔外露；</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4、端口带弹簧式自动回弹防尘门设计，防止灰尘等异物侵入；</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5、带有标识纸和标识盖，方便维护和使用；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6、端口数量：双口；</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7、面板尺寸：高度：86×宽度：86mm，材料：ABS。</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0BDCA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88FB57E">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14</w:t>
            </w:r>
          </w:p>
        </w:tc>
      </w:tr>
      <w:tr w14:paraId="47912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22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9835B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C86EA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六类非屏蔽网线</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53234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1、护套采用聚氯乙烯材料（PVC）材质；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2、阻抗：（f=1-250MHz)100±15%Ω3、工作电容：≤5.0nF/100米；</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3、额定传输速率（NVP）:≥68%；</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4、电缆直径：6.0±0.2mm；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5、绝缘电阻：≥5000MΩ/km(+20℃DC(100-500)；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6、抗拉力：≥13.5MPa/10MPa8、绝缘外径：0.9±0.1；</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7、导体材料和直径：无氧圆铜线（纯度99.99%）23AWG0.53±0.02mm；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8、最小弯曲半径：4倍电缆外径5725。</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47537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米</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F0F5883">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3000</w:t>
            </w:r>
          </w:p>
        </w:tc>
      </w:tr>
      <w:tr w14:paraId="1EC2C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22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E6EFA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2921F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大屏配套线缆、桥架等</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1EF58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1、弱电桥架30米，规格：200*100mm；厚度不小于1mm；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2、配管200米，规格：KBG25；</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3、86底盒，安装方便，固定牢固3、可明装或者暗装</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4、可以匹配所有86型面板；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5、42U标准机柜；</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6、配线架（含模块）5套；</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7、理线架10套；</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8、20米HDMI高清线2条；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9、10米HDMI高清线9条；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包含LED拼接屏主电源线，主网线及综合布线、设备安装、系统调试、人员培训等（详见设计图纸）。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59AF6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项</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50B2F2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7A164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4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DE4DA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E6522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接入交换机（每台含光模块2个）</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32C17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1、千兆三层管理交换机，包转发率148Mpps/222Mpps，交换容量758Gbps/7.58Tbps,48个千兆电口，4个千兆光口，VLAN:4K,MAC:16K,19英寸1U标准机架，金属外壳，挂耳默认自带</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光模块技术参数：SFP千兆光模块（1310nm,10km,LX,LC）。</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B4A84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377AF3D">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w:t>
            </w:r>
          </w:p>
        </w:tc>
      </w:tr>
      <w:tr w14:paraId="00A3F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0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08F8F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44E07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无线AP</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6FD5E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Wifi7，吸顶，2.5G网口，千兆。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注：AP根据场地面积和布局决定数量，一般50-80平米布一个</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14E66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3C4543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w:t>
            </w:r>
          </w:p>
        </w:tc>
      </w:tr>
      <w:tr w14:paraId="5F356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0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25D89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1EBF1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AC控制器</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72042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标准PoE供电，AP管理一体化企业级VPN路由器支持搭配2.5GAP使用上网行为管理。</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0F9A4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055C0A0">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2F684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6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50E2B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F587E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终端操作设备</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DBCFB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含27寸显示，键盘鼠标一套。</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1、CPU：不低于i513代性能；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2、显卡：不低于3060性能；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3、内存：不低于16G；</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4、硬盘：不低于1TB。</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C851A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40A22AE">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w:t>
            </w:r>
          </w:p>
        </w:tc>
      </w:tr>
      <w:tr w14:paraId="6E773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7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CE1D5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A0064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55寸电视（含壁挂支架）</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2F42C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LCD显示，屏幕比例16:9，HDMI接口不少于2个。</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68FF7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F2E056C">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2D49A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3995"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7CADE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46BB7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人脸门禁一体机</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66240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1、国密加密：内置国密SE密码模块，支持SM1、SM4加密方式加密处理；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2、屏幕参数：7英寸触摸显示屏，屏幕比例9:16，屏幕分辨率600*1024；</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3、摄像头参数：采用宽动态200万双目摄像头；</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4、认证方式：支持人脸、刷卡（国密CPU卡）、密码认证方式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5、人脸验证：采用深度学习算法，支持单人或多人识别（最多5人同时认证）功能；支持照片、视频防假；1:N人脸验证速度≤0.2s，人脸验证准确率≥99%；</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6、存储容量：本地支持1万人脸库、5万张卡，15万条事件记录；</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7、可视对讲：支持和云眸/云帆、4200客户端、室内机、管理机进行可视对讲；支持配置一键呼叫室内机或管理机；支持副门口机或围墙机模式；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8、视频预览：支持管理中心远程视频预览，支持接入NVR设备，实现视频监控录像，编码格式H.264；</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9、口罩检测：支持口罩检测模式，可配置提醒戴口罩模式、强制戴口罩模式，关联门禁控制；</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10、提醒戴口罩模式：未戴口罩可做身份验证，身份验证通过后提醒佩戴口罩；</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11、强制戴口罩模式：未戴口罩无法做身份验证，提醒佩戴口罩；</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12、识别界面可配：识别主界面的“呼叫”、“二维码”、“密码”的按键图标可分别配置是否显示；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13、认证结果显示可配：支持认证成功界面的“照片”、“姓名”、“工号”信息可配置是否显示；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14、认证结果语音自定义：集成文字转语音（TTS）和语音合成技术，认证成功和认证失败的语音可以分别配置4个时间段进行自定义播报，同时认证成功的语音可叠加播报姓名；</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15、工作模式：支持广告模式、简洁模式和主题模式；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16、广告模式：识别区域与广告区域分屏展示，支持图片（JPG格式，分辨率建议600*640，最多8张轮播）广告信息播放，图片切换时间可配置；</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17、简洁模式：识别界面不显示视频预览画面，仅显示背景图及比对结果，背景图片可自定义；</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18、外接读卡器：支持通过RS485外接1个国密读卡器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19、门禁计划模板：支持255组计划模板管理，128个周计划，1024个假日计划；支持常开、常闭时段管理；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20、组合认证：刷卡+密码、刷卡+刷脸、刷脸+密码等组合认证方式；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21、多重认证：支持多个人员认证（刷脸、刷卡等）通过后才开门；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22、报警功能：设备支持防拆报警、门被外力开启报警、胁迫卡和胁迫密码报警等；</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23、事件上传：在线状态下将设备认证结果及联动抓拍照片实时上传给平台，支持断网续传功能，设备离线状态下产生事件在与平台连接后会重新上传；</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24、WEB管理：支持Web端管理，可进行参数配置、事件查询、系统维护等操作。</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7B719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A062FC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w:t>
            </w:r>
          </w:p>
        </w:tc>
      </w:tr>
      <w:tr w14:paraId="681ED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84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57250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311C8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单门磁力锁（含2个开门按钮）</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3BD2E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1、最大静态直线拉力：280kg±5%；</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2、状态指示灯：红灯（开门状态）绿灯（上锁状态）；</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3、锁状态侦测信号（门磁）输出：NO/NC/COM接点；</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4、工作电压：12V/430mA(±10%）或24V/215mA(±10%)；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5、电源：可自行设定12VDC或24VDC。</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EC9AA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D71E589">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642D1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073"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348871AE">
            <w:pPr>
              <w:keepNext w:val="0"/>
              <w:keepLines w:val="0"/>
              <w:widowControl/>
              <w:suppressLineNumbers w:val="0"/>
              <w:jc w:val="center"/>
              <w:textAlignment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综合指挥室装饰装修提升改造</w:t>
            </w:r>
          </w:p>
        </w:tc>
      </w:tr>
      <w:tr w14:paraId="3F010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C74D1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E01CB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石材台阶面</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8AA86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1、600*600*18mm火烧面芝麻白石材铺贴</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2、干硬性水泥砂浆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3、石材切边、倒角、磨边等费用综合考虑在清单中</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4、工程量按展开面积计算</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7A251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8677CD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30.57</w:t>
            </w:r>
          </w:p>
        </w:tc>
      </w:tr>
      <w:tr w14:paraId="4AB23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03E98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67455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铺设鹅卵石</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39977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1、南侧小花池内铺设鹅卵石</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2、鹅卵石选样需经建设单位确认</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4D6FE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A7086C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2.41</w:t>
            </w:r>
          </w:p>
        </w:tc>
      </w:tr>
      <w:tr w14:paraId="0A07F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6F013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FDA97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石材楼地面</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CAB4D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1、南侧小花池大理石收边</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2、18mm芝麻白石材</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3、具体做法详见设计图纸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16963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2E57AF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0.15</w:t>
            </w:r>
          </w:p>
        </w:tc>
      </w:tr>
      <w:tr w14:paraId="1D0E9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CE476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54B4F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块料楼地面(750*1500灰色仿石材地砖)</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030AE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1、750*1500灰色高光仿石材地砖铺贴</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2、30厚1:2干硬性水泥砂浆粘结层、撒素水泥面</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3、15厚1:3水泥砂浆找平层压实搓毛</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4、部位：详见设计图纸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12DC9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C09F9A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131.92</w:t>
            </w:r>
          </w:p>
        </w:tc>
      </w:tr>
      <w:tr w14:paraId="4D6DE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81D27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733F2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块料楼地面(400*400灰色地砖)</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CEC63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1、400*400灰色地砖</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2、30厚1:2干硬性水泥砂浆粘结层、撒素水泥面</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3、15厚1:3水泥砂浆找平层压实搓毛</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4、部位：详见设计图纸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E3817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5C8F92B">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10.86</w:t>
            </w:r>
          </w:p>
        </w:tc>
      </w:tr>
      <w:tr w14:paraId="734D0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A4BDB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4C1F2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石材门槛</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12C51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1、18mm厚黑金沙石材门槛</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2、干硬性水泥砂浆粘贴</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3、部位：详见设计图纸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F4927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69C9C53">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1.04</w:t>
            </w:r>
          </w:p>
        </w:tc>
      </w:tr>
      <w:tr w14:paraId="42B8E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FB2EC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1F717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石材楼梯面层</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F7AD4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1、18mm云多拉灰石材</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2、干硬性水泥砂浆粘贴</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3、具体做法详见设计图纸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03D8A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40B32F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5.98</w:t>
            </w:r>
          </w:p>
        </w:tc>
      </w:tr>
      <w:tr w14:paraId="02C4B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7D46B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C22E9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竹、木（复合）地板</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14810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1、20mm厚自流平找平处理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2、铺设12mm厚强化地板（配套卡条、收口条等综合考虑在报价中）</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3、部位：2F备勤室</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D94A8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99D10C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37.99</w:t>
            </w:r>
          </w:p>
        </w:tc>
      </w:tr>
      <w:tr w14:paraId="116B5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960"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48A20F6C">
            <w:pPr>
              <w:keepNext w:val="0"/>
              <w:keepLines w:val="0"/>
              <w:widowControl/>
              <w:suppressLineNumbers w:val="0"/>
              <w:jc w:val="center"/>
              <w:textAlignment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综合指挥室墙、柱面装饰与隔断、幕墙提升改造</w:t>
            </w:r>
          </w:p>
        </w:tc>
      </w:tr>
      <w:tr w14:paraId="56B83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9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A579D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5793A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墙面基层板（钢架墙内外侧）</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C492A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1、15mm阻燃板基层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2、具体做法详见设计图纸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5DC06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9912517">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589.65</w:t>
            </w:r>
          </w:p>
        </w:tc>
      </w:tr>
      <w:tr w14:paraId="545C3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9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F314F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09016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墙面装饰板（石膏板）</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9DD12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1、面层材料品种、规格、颜色:9.5mm纸面石膏板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2、贴胶带纸、钉眼眯防锈漆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3、部位:室内乳胶漆墙面基层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94BDC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20CF713">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202.99</w:t>
            </w:r>
          </w:p>
        </w:tc>
      </w:tr>
      <w:tr w14:paraId="617DB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9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8A257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D7A66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墙面装饰板（综合指挥室墙面）</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84023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1、龙骨材料种类、规格、中距:30*30镀锌方管（间距详见图纸）</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2、基层材料种类、规格:15mm阻燃板基层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3、面层材料品种、规格、颜色:5mm厚哑光密拼碳晶板（颜色根据图纸）、局部1.0mm厚黑色哑光不锈钢收边条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4、压条材料种类、规格:配套压条、收口条综合考虑在报价中</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5、部位:综合指挥室E1、E2、E3、E4立面</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57D2F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77E08C0">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102.07</w:t>
            </w:r>
          </w:p>
        </w:tc>
      </w:tr>
      <w:tr w14:paraId="54D06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9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DCD85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92669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墙面装饰板（综合指挥室墙面）</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02C68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1、面层材料品种、规格、颜色:1.0mm厚黑色哑光不锈钢、高度H=300mm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2、部位:背景墙底部</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4C07D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BCFCC1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5.8</w:t>
            </w:r>
          </w:p>
        </w:tc>
      </w:tr>
      <w:tr w14:paraId="28620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9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7E0DD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5F633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墙面烤漆玻璃（综合指挥室墙面）</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5B6B8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1、面层材料品种、规格、颜色:12mm灰色烤漆玻璃</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2、部位:综合指挥室E2立面</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E263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EB99A33">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7.56</w:t>
            </w:r>
          </w:p>
        </w:tc>
      </w:tr>
      <w:tr w14:paraId="35677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9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2A5F2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2295B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综合指挥室内部金属踢脚线</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93940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1、60mm高1.0mm厚黑钛不锈钢踢脚线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2、部位：综合指挥室</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586BA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67A1800">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6.26</w:t>
            </w:r>
          </w:p>
        </w:tc>
      </w:tr>
      <w:tr w14:paraId="7D67B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9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7DC28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0F8E6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块料墙面</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9AA18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1、400*800墙砖</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2、胶泥粘贴</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3、部位：卫生间墙面</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04237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6238DA0">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25.35</w:t>
            </w:r>
          </w:p>
        </w:tc>
      </w:tr>
      <w:tr w14:paraId="00E61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98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2423E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4BEA6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综合指挥室外部金属踢脚线</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E39EC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1、60mm高1.0mm厚黑钛不锈钢踢脚线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2、9mm阻燃板基层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3、部位：除综合指挥室以外房间</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5611B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BBB3ED9">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78.04</w:t>
            </w:r>
          </w:p>
        </w:tc>
      </w:tr>
      <w:tr w14:paraId="164F2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46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F89A9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30E02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墙面装饰板（外墙）</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3478A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1、2.5mm厚铝板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2、镀锌方管龙骨基层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3、外立面</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4、具体做法详见设计图纸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5A801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96C1B10">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278.6</w:t>
            </w:r>
          </w:p>
        </w:tc>
      </w:tr>
      <w:tr w14:paraId="2D22F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491"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737A40BB">
            <w:pPr>
              <w:keepNext w:val="0"/>
              <w:keepLines w:val="0"/>
              <w:widowControl/>
              <w:suppressLineNumbers w:val="0"/>
              <w:jc w:val="center"/>
              <w:textAlignment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综合指挥室天棚系统提升改造</w:t>
            </w:r>
          </w:p>
        </w:tc>
      </w:tr>
      <w:tr w14:paraId="3F229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5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3C1A2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F7523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吊顶天棚（入口处）</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5E247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1、吊顶形式、吊杆规格、高度:Φ8全丝牙吊杆、高度综合考虑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2、龙骨材料种类、规格、中距:配套轻钢龙骨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3、面层材料品种、规格:双层9.5mm纸面石膏板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4、防护材料种类:钉眼眯防锈漆、贴胶带纸</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5、批腻子三遍、刷乳胶漆三遍</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13BB6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DCBB6AC">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19.86</w:t>
            </w:r>
          </w:p>
        </w:tc>
      </w:tr>
      <w:tr w14:paraId="6D982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5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4DCF3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0E593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吊顶天棚(综合指挥室)</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B884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1、吊顶形式、吊杆规格、高度:Φ8全丝牙吊杆、高度综合考虑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2、龙骨材料种类、规格、中距:配套轻钢龙骨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3、面层材料品种、规格:双层9.5mm纸面石膏板、局部透光膜、1.2mm黑色哑光不锈钢线条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4、灯槽部位15mm厚阻燃板基层、石膏板面层（灯槽综合考虑在本清单中报价）</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5、空调风口开孔、加固费用综合考虑在本清单中</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6、防护材料种类:钉眼眯防锈漆、贴胶带纸</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7、批腻子三遍、刷乳胶漆三遍</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CFE92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A685E3C">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89.45</w:t>
            </w:r>
          </w:p>
        </w:tc>
      </w:tr>
      <w:tr w14:paraId="52525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5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63DB0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E3B98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吊顶天棚(1F办公室、案管室+2F备勤室)</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906A5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1、吊顶形式、吊杆规格、高度:Φ8全丝牙吊杆、高度综合考虑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2、龙骨材料种类、规格、中距:配套轻钢龙骨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3、面层材料品种、规格:双层9.5mm纸面石膏板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4、空调风口开孔、加固费用综合考虑在本清单中</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5、防护材料种类:钉眼眯防锈漆、贴胶带纸</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6、批腻子三遍、刷乳胶漆三遍</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482E8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CA5A479">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73.59</w:t>
            </w:r>
          </w:p>
        </w:tc>
      </w:tr>
      <w:tr w14:paraId="10C30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5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99DB5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03226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吊顶天棚（卫生间）</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47655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1、吊顶形式、吊杆规格、高度:Φ8全丝牙吊杆、高度综合考虑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2、龙骨材料种类、规格、中距:配套轻钢龙骨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3、面层材料品种、规格:双层9.5mm防水纸面石膏板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4、防护材料种类:钉眼眯防锈漆、贴胶带纸</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5、批腻子三遍、刷乳胶漆三遍</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C9D84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A81BC0B">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9.46</w:t>
            </w:r>
          </w:p>
        </w:tc>
      </w:tr>
      <w:tr w14:paraId="5F511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5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AAB55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DF57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吊顶天棚（楼梯口处房间）</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34A1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1、吊顶形式、吊杆规格、高度:Φ8全丝牙吊杆、高度综合考虑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2、龙骨材料种类、规格、中距:配套轻钢龙骨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3、面层材料品种、规格:双层9.5mm纸面石膏板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4、防护材料种类:钉眼眯防锈漆、贴胶带纸</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5、批腻子三遍、刷乳胶漆三遍</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7F331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A9AB8C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6.22</w:t>
            </w:r>
          </w:p>
        </w:tc>
      </w:tr>
      <w:tr w14:paraId="2F93F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5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F0E64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2F1E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木窗帘盒</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36577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1、窗帘盒材质、规格:200*200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2、30*30木方龙骨、双层15mm阻燃板基层、9.5mm纸面石膏板面层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3、防护材料种类:钉眼眯防锈漆、贴胶带纸</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4、批腻子三遍、刷乳胶漆三遍</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540EC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3D6554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3.65</w:t>
            </w:r>
          </w:p>
        </w:tc>
      </w:tr>
      <w:tr w14:paraId="6DD7A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715"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5C083ED8">
            <w:pPr>
              <w:keepNext w:val="0"/>
              <w:keepLines w:val="0"/>
              <w:widowControl/>
              <w:suppressLineNumbers w:val="0"/>
              <w:jc w:val="center"/>
              <w:textAlignment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综合指挥室油漆、涂料、裱糊系统提升</w:t>
            </w:r>
          </w:p>
        </w:tc>
      </w:tr>
      <w:tr w14:paraId="2CEA0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3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569D7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A3E04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抹灰面油漆</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278F1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1、墙面白色乳胶漆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2、批腻子三遍、乳胶漆三遍</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47E71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C4AFB20">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192.99</w:t>
            </w:r>
          </w:p>
        </w:tc>
      </w:tr>
      <w:tr w14:paraId="73FF1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900"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63B78266">
            <w:pPr>
              <w:jc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门窗工程</w:t>
            </w:r>
          </w:p>
        </w:tc>
      </w:tr>
      <w:tr w14:paraId="50C3B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4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D5BD7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91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0FFCB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木质门带套</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9881B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1、门代号及洞口尺寸:820*2260mm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2、成品木质套装门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3、含门套、线条、门锁、铰链、门吸等一切五金件</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B1EE5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B30EFC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9.4</w:t>
            </w:r>
          </w:p>
        </w:tc>
      </w:tr>
      <w:tr w14:paraId="64F2B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34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0442F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92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63CE3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电动移门</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71869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1、门代号及洞口尺寸:1120*3200mm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2、单向电动移门、报价含配套电机、感应装置、五金件等</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C6F71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樘</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8241368">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w:t>
            </w:r>
          </w:p>
        </w:tc>
      </w:tr>
      <w:tr w14:paraId="4D1A0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86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E1B9F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93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17710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金属窗套</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02A6E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1、木龙骨、18mm细木工板、1.2mm不锈钢包窗套</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2、具体做法详见设计图纸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63E68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0F585D7">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22.6</w:t>
            </w:r>
          </w:p>
        </w:tc>
      </w:tr>
      <w:tr w14:paraId="12382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860"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29F06C2B">
            <w:pPr>
              <w:jc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楼地面装饰工程</w:t>
            </w:r>
          </w:p>
        </w:tc>
      </w:tr>
      <w:tr w14:paraId="61972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86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84D7F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94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14507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块料楼地面</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DA2AD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1、400*400灰色地砖</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2、30厚1:2干硬性水泥砂浆粘结层、撒素水泥面</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3、15厚1:3水泥砂浆找平层压实搓毛</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4、部位：详见设计图纸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95F6A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CB9D5D3">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23.4</w:t>
            </w:r>
          </w:p>
        </w:tc>
      </w:tr>
      <w:tr w14:paraId="7370F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86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27245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95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C4CBA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石材门槛</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16E20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1、18mm厚黑金沙石材门槛</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2、干硬性水泥砂浆粘贴</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3、部位：详见设计图纸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144D5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C21B198">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0.55</w:t>
            </w:r>
          </w:p>
        </w:tc>
      </w:tr>
      <w:tr w14:paraId="01D4A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86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93619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96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BB5DD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大理石挡水条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13C82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1、18mm天然古堡灰大理石挡水条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2、部位：详见设计图纸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0BB0C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5DB1C2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3.62</w:t>
            </w:r>
          </w:p>
        </w:tc>
      </w:tr>
      <w:tr w14:paraId="43656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86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9CCB1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97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F0183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石材楼地面</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3EF11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1、18mm天然古堡灰石材(面抽双向防滑槽、槽口宽10mm)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2、干硬性水泥砂浆粘贴</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3、部位：淋浴间</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38A45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56FDC9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2.88</w:t>
            </w:r>
          </w:p>
        </w:tc>
      </w:tr>
      <w:tr w14:paraId="173A9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860"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1F7D2843">
            <w:pPr>
              <w:jc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墙、柱面装饰与隔断、幕墙工程</w:t>
            </w:r>
          </w:p>
        </w:tc>
      </w:tr>
      <w:tr w14:paraId="0EA56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57ADFA">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98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64FDF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块料墙面</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E4CE3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1、400*800墙砖</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2、胶泥粘贴</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3、部位：卫生间墙面</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7A9C7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7543BDE">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77.58</w:t>
            </w:r>
          </w:p>
        </w:tc>
      </w:tr>
      <w:tr w14:paraId="1A253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0C5FC194">
            <w:pPr>
              <w:keepNext w:val="0"/>
              <w:keepLines w:val="0"/>
              <w:widowControl/>
              <w:suppressLineNumbers w:val="0"/>
              <w:jc w:val="center"/>
              <w:textAlignment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综合指挥室门窗系统提升改造</w:t>
            </w:r>
          </w:p>
        </w:tc>
      </w:tr>
      <w:tr w14:paraId="752BD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24E2C8">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99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F07D9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木质门带套</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DADD7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1、门代号及洞口尺寸:920*2200mm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2、成品木质套装门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3、含门套、线条、门锁、铰链、门吸等一切五金件</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F734E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74823B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4.05</w:t>
            </w:r>
          </w:p>
        </w:tc>
      </w:tr>
      <w:tr w14:paraId="67735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71797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100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31817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金属门套</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E83B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1、木龙骨、18mm细木工板、1.0mm黑色哑光不锈钢包门套</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2、具体做法详见设计图纸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54F2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E56C65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5.5</w:t>
            </w:r>
          </w:p>
        </w:tc>
      </w:tr>
      <w:tr w14:paraId="104D4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8F725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101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72A46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吊顶天棚</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8743A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1、300*600*0.8mm集成吊顶</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2、配套龙骨、吊顶</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398C4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A07C2E5">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25.56</w:t>
            </w:r>
          </w:p>
        </w:tc>
      </w:tr>
      <w:tr w14:paraId="297B1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7BB7BA8C">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其他装饰工程</w:t>
            </w:r>
          </w:p>
        </w:tc>
      </w:tr>
      <w:tr w14:paraId="4101D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E9FA2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102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53BF9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防窥磨砂膜</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4E215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1、3M防窥磨砂膜</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2、部位：详见设计图纸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0C93B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A490E35">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3.12</w:t>
            </w:r>
          </w:p>
        </w:tc>
      </w:tr>
      <w:tr w14:paraId="1B6DF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43A89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103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30ECE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镜面玻璃</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AC813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1、镜面玻璃品种、规格:5mm防爆银镜</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2、10mm宽不锈钢包边</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D6015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6F493C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5.55</w:t>
            </w:r>
          </w:p>
        </w:tc>
      </w:tr>
      <w:tr w14:paraId="2DA2E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C9031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104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E0A2F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成品隔断</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56E46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1、隔断材料品种、规格、颜色:成品抗倍特隔断板（18mm厚）</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2、部位:卫生间</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3、报价含拉手、金属底脚、铰链等一切五金件</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4、结算时工程量按板面面积计算</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090B6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A49F2E7">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7.7</w:t>
            </w:r>
          </w:p>
        </w:tc>
      </w:tr>
      <w:tr w14:paraId="0D4E8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03272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105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40FEA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洗漱台</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FD57B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1、18mm古堡灰大理石台面</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2、镀锌角钢龙骨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3、石材切边、倒角、磨边费用综合考虑在清单中</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918DD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CA50CB0">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5.1</w:t>
            </w:r>
          </w:p>
        </w:tc>
      </w:tr>
      <w:tr w14:paraId="58C99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48D56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106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63D88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人造石洗衣机柜台</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0AD11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1、15mm厚灰色人造石</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2、具体做法详见设计图纸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CE2DB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0EBFB88">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1.98</w:t>
            </w:r>
          </w:p>
        </w:tc>
      </w:tr>
      <w:tr w14:paraId="0A754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C4E0C5">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107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988B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成品保温帘</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053AE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1、成品保温帘</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2、含安装及配套五金件</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25075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9A083BB">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2.25</w:t>
            </w:r>
          </w:p>
        </w:tc>
      </w:tr>
      <w:tr w14:paraId="17F64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0D6442">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108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6E756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金属隔断</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DB1F1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1、定制淋浴隔断</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2、含配套五金件</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1C9B3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DA0C6BC">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7.96</w:t>
            </w:r>
          </w:p>
        </w:tc>
      </w:tr>
      <w:tr w14:paraId="0BE3B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91A8DA">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109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A7CF6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定制洗漱架柜</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6AD49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1、定制洗漱架柜</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2、下部定制PET柜门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3、具体做法详见设计图纸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AD171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7E7B42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5.07</w:t>
            </w:r>
          </w:p>
        </w:tc>
      </w:tr>
      <w:tr w14:paraId="025A1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577"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2E8077D3">
            <w:pPr>
              <w:keepNext w:val="0"/>
              <w:keepLines w:val="0"/>
              <w:widowControl/>
              <w:suppressLineNumbers w:val="0"/>
              <w:jc w:val="center"/>
              <w:textAlignment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综合指挥室（钢结构系统）提升改造</w:t>
            </w:r>
          </w:p>
        </w:tc>
      </w:tr>
      <w:tr w14:paraId="33923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D7570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6840D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地脚螺栓</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93A74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1、螺栓种类 :Q235B钢制作</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 :M24,L=0.9</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BF092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t</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69B9DE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0.205</w:t>
            </w:r>
          </w:p>
        </w:tc>
      </w:tr>
      <w:tr w14:paraId="5BA52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24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A9D46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F7818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空腹钢柱</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9CF8E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1、钢材品种、规格 :箱型钢Q235B</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2、单根柱重量 :3t内</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3、螺栓种类 :连接点注明采用高强螺栓连接的采用10.9级摩擦型高强螺栓 ，未注明的螺栓均采用普通C级螺栓</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4、探伤要求 :符合设计及相关规范要求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5、除锈要求 :符合设计要求 ，达到的Sa2.5级</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6、投标人报价含连接的螺栓及钢构件制作、安装、运输等一切费用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7、备注说明 :具体做法按设计图纸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32B14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t</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D5022D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6.152</w:t>
            </w:r>
          </w:p>
        </w:tc>
      </w:tr>
      <w:tr w14:paraId="7AE2D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222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55438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CE050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钢梁</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7E35C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1、单根柱重量 :3t内</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2、螺栓种类 :连接点注明采用高强螺栓连接的采用10.9级摩擦型高强螺栓 ，未注明的螺栓均采用普通C级螺栓</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3、探伤要求 :符合设计及相关规范要求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4、除锈要求 :符合设计要求 ，达到的Sa2.5级</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5、投标人报价含连接的螺栓及钢构件制作、安装、运输等一切费用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6、备注说明 :具体做法按设计图纸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A9706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t</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C122C68">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12.895</w:t>
            </w:r>
          </w:p>
        </w:tc>
      </w:tr>
      <w:tr w14:paraId="0CE81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246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781CD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E9F9C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钢梯</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81258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1、钢材品种、规格 :Q235B</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2、钢梯形式 :踏步式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3、螺栓种类 :连接点注明采用高强螺栓连接的采用10.9级摩擦型高强螺栓 ，未注明的螺栓均采用普通C级螺栓</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4、探伤要求 :符合设计及相关规范要求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5、除锈要求 :符合设计要求 ，达到的Sa2.5级</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6、投标人报价含连接的螺栓及钢构件制作、安装、运输等一切费用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7、备注说明 :具体做法按设计图纸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7CEE6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t</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E3F76D7">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2.158</w:t>
            </w:r>
          </w:p>
        </w:tc>
      </w:tr>
      <w:tr w14:paraId="42111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4EE57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5B706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钢板楼板</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F8E71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1、压型楼承板采用YX-75-230-690( Ⅰ)-1.2（镀锌）,具体做法详尽05SG522。</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2、该综合单价中含栓钉等费用</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1FECD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8A67FA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212.76</w:t>
            </w:r>
          </w:p>
        </w:tc>
      </w:tr>
      <w:tr w14:paraId="2F6F5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563E4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7238D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钢柱金属面油漆</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D421A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1、部位 ：钢柱</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2、耐火极限2.5h ，非膨胀防火涂料20mm厚</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3、具体做法详见设计图纸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92B5F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ADE487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76.23</w:t>
            </w:r>
          </w:p>
        </w:tc>
      </w:tr>
      <w:tr w14:paraId="385CF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D862C1">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116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A9503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钢梁金属面油漆</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94315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1、部位 ：钢梁</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2、耐火极限1.5h ，膨胀防火涂料7mm厚</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3、具体做法详见设计图纸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17D80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D29817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355.48</w:t>
            </w:r>
          </w:p>
        </w:tc>
      </w:tr>
      <w:tr w14:paraId="79683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2768F6">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117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3851A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钢板楼板金属面油漆</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2352B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1、部位 ：钢板楼板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2、耐火极限1.0h ，膨胀防火涂料7mm厚</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3、具体做法详见设计图纸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BF55D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C8D7DC9">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212.76</w:t>
            </w:r>
          </w:p>
        </w:tc>
      </w:tr>
      <w:tr w14:paraId="4B6B6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0F2DFD">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118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28176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金属面油漆</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29A13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1、环氧富锌漆2遍</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2、具体做法详见设计图纸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A9237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80023C8">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644.47</w:t>
            </w:r>
          </w:p>
        </w:tc>
      </w:tr>
      <w:tr w14:paraId="70D17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383C1A">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119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66145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脚手架</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C8659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1、结算时按项计入 ，综合单价不调</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27C2F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项</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104944C">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58B7A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590"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06FDA0C2">
            <w:pPr>
              <w:keepNext w:val="0"/>
              <w:keepLines w:val="0"/>
              <w:widowControl/>
              <w:suppressLineNumbers w:val="0"/>
              <w:jc w:val="center"/>
              <w:textAlignment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 xml:space="preserve">综合指挥室（土建系统）提升改造  </w:t>
            </w:r>
          </w:p>
        </w:tc>
      </w:tr>
      <w:tr w14:paraId="4DA50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602"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20E84B78">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土石方工程</w:t>
            </w:r>
          </w:p>
        </w:tc>
      </w:tr>
      <w:tr w14:paraId="2C03B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CD08F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120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3CBF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平整场地</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A332E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1、土壤类别 :一、二类土</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2、弃土运距 :综合考虑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3、取土运距 :综合考虑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949DF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AB08F20">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156.62</w:t>
            </w:r>
          </w:p>
        </w:tc>
      </w:tr>
      <w:tr w14:paraId="297B4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2AB00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121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C68B5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挖基坑土方</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79B9A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1、土壤类别 :一、二类土</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2、挖土深度 :1.5m以内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62807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C11A6B3">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72.52</w:t>
            </w:r>
          </w:p>
        </w:tc>
      </w:tr>
      <w:tr w14:paraId="645CC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2B9A0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122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5630A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回填方</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FA5D2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1、密实度要求 :满足相关规范要求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2、填方材料品种 :综合考虑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3、填方粒径要求 :满足相关规范要求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4、填方来源、运距 :综合考虑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89ECA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867BD07">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44.95</w:t>
            </w:r>
          </w:p>
        </w:tc>
      </w:tr>
      <w:tr w14:paraId="75165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F32C7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123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6A79E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余方弃置</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4862C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1、废弃料品种 :综合考虑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2、运距 :综合考虑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36DC6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B54BF7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27.57</w:t>
            </w:r>
          </w:p>
        </w:tc>
      </w:tr>
      <w:tr w14:paraId="7967D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49B960B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混凝土及钢筋混凝土工程</w:t>
            </w:r>
          </w:p>
        </w:tc>
      </w:tr>
      <w:tr w14:paraId="58E3E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B42A2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124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255D6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垫层</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C494B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1、混凝土种类 :预拌砼</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2、混凝土强度等级 :C15</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E3893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F0C30A9">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6.13</w:t>
            </w:r>
          </w:p>
        </w:tc>
      </w:tr>
      <w:tr w14:paraId="3B3D2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6FF85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125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B1DCE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独立基础</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F6FC9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1、混凝土种类 :预拌砼</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2、混凝土强度等级 :C35</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A5E03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3FDD268">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20.11</w:t>
            </w:r>
          </w:p>
        </w:tc>
      </w:tr>
      <w:tr w14:paraId="01241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FF0BC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126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EE6A6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矩形柱</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8D6D6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1、混凝土种类 :预拌砼</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2、混凝土强度等级 :C35</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BD400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8E2D7CD">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1.34</w:t>
            </w:r>
          </w:p>
        </w:tc>
      </w:tr>
      <w:tr w14:paraId="053C3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518202">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127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701A7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其他构件A</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B92B1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C40微膨胀自流性细石砼二次灌浆</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D3745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261FAB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0.26</w:t>
            </w:r>
          </w:p>
        </w:tc>
      </w:tr>
      <w:tr w14:paraId="69903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C4988C">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128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9976B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其他构件B</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C7038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C15混凝土包脚</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820AE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0B68E8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1.54</w:t>
            </w:r>
          </w:p>
        </w:tc>
      </w:tr>
      <w:tr w14:paraId="69523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BA6BD0">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129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3D5C4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有梁板</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8AE05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1、混凝土种类 :预拌砼</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2、混凝土强度等级 :C35</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69421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7A2121C">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21.92</w:t>
            </w:r>
          </w:p>
        </w:tc>
      </w:tr>
      <w:tr w14:paraId="68210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871EC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130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0F74A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现浇构件钢筋A</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23FA1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1、钢筋种类、规格 :HRB400-12以内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35C43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t</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2E1DDE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2.535</w:t>
            </w:r>
          </w:p>
        </w:tc>
      </w:tr>
      <w:tr w14:paraId="269FE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54FC9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131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92D8E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现浇构件钢筋B</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BCA20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1、钢筋种类、规格 :HRB400-25以内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DFF25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t</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B11BBF5">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0.567</w:t>
            </w:r>
          </w:p>
        </w:tc>
      </w:tr>
      <w:tr w14:paraId="27E64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B1153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132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4B567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植筋A</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0AE1F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1、植筋孔径 : Φ 12</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2、钻孔方向 :综合考虑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3、钻孔深度 :满足图纸及相关规范要求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4、结构胶种类 :满足图纸及相关规范要求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FEACD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根</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D33F0F0">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36</w:t>
            </w:r>
          </w:p>
        </w:tc>
      </w:tr>
      <w:tr w14:paraId="2B1AF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DD7E3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133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73C8F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植筋B</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0AAA2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1、植筋孔径 : Φ 10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2、钻孔方向 :综合考虑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3、钻孔深度 :满足图纸及相关规范要求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4、结构胶种类 :满足图纸及相关规范要求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E8372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根</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5C6884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90</w:t>
            </w:r>
          </w:p>
        </w:tc>
      </w:tr>
      <w:tr w14:paraId="44204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E9A83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134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2CC0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凿毛</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18C5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1、新旧混凝土接触面凿毛 ，刷界面剂一道</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64DAD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DAF190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w:t>
            </w:r>
          </w:p>
        </w:tc>
      </w:tr>
      <w:tr w14:paraId="3B35B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2E794BFE">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门窗工程</w:t>
            </w:r>
          </w:p>
        </w:tc>
      </w:tr>
      <w:tr w14:paraId="06218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DAEC3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135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B03E5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全玻自由门</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07DFB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1、铝合金玻璃门 ，玻璃5+9+5mm钢化中空玻璃</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2、具体做法详见设计图纸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447EF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BD6DDD3">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2.86</w:t>
            </w:r>
          </w:p>
        </w:tc>
      </w:tr>
      <w:tr w14:paraId="0511A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69E928">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136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8DF69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电子感应门</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DE61B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1、电动移门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2、具体做法详见设计图纸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287BA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7B664C3">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8.05</w:t>
            </w:r>
          </w:p>
        </w:tc>
      </w:tr>
      <w:tr w14:paraId="285E2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3FDA88">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137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9E18B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金属（塑钢、断桥）窗</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E8B99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1、铝合金窗 ，玻璃 ：5+9+5mm钢化中空玻璃</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2、具体做法详见设计图纸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23246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F1D782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72.86</w:t>
            </w:r>
          </w:p>
        </w:tc>
      </w:tr>
      <w:tr w14:paraId="044FD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590"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1642D8BB">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屋面及防水工程</w:t>
            </w:r>
          </w:p>
        </w:tc>
      </w:tr>
      <w:tr w14:paraId="18FFC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56DEBD">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138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B1B21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屋面刚性层</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55CDE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1、20厚水泥砂浆保护层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2、4.0厚自粘聚合物改性沥青防水卷材 (PY)聚酯胎</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3、1.5厚聚氨酯防水涂料</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4、50厚C30细石混凝土 (内配单层双向C6@250)</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FF5BA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4C3821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149.58</w:t>
            </w:r>
          </w:p>
        </w:tc>
      </w:tr>
      <w:tr w14:paraId="3ED7E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515"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6D5691A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楼地面装饰工程</w:t>
            </w:r>
          </w:p>
        </w:tc>
      </w:tr>
      <w:tr w14:paraId="56AE7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69799E">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139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2D015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细石混凝土楼地面A</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31A03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1、40厚C20细石混凝土</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2、聚氨酯三遍涂膜防水层,厚1.8(一刚二柔)</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3、60厚C15混凝土</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4、100厚碎砖夯实</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5、素土夯实</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6、部位 ：卫生间</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F9D07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1BC549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3.02</w:t>
            </w:r>
          </w:p>
        </w:tc>
      </w:tr>
      <w:tr w14:paraId="614CA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ACE10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140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F06FE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细石混凝土楼地面B</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0A07E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1、60厚C15混凝土</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2、100厚碎砖夯实</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3、素土夯实</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4、部位：  除卫生间（含室外平台）</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36564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278594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160.24</w:t>
            </w:r>
          </w:p>
        </w:tc>
      </w:tr>
      <w:tr w14:paraId="40424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173F5D9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墙、柱面装饰与隔断、幕墙工程</w:t>
            </w:r>
          </w:p>
        </w:tc>
      </w:tr>
      <w:tr w14:paraId="3A187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1919C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141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CDF71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钢架外墙</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F056F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1、具体做法详见设计图纸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D27A1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9C0ACF8">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217.93</w:t>
            </w:r>
          </w:p>
        </w:tc>
      </w:tr>
      <w:tr w14:paraId="27383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3DFC5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142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4756F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钢架内墙</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9D6F7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1、具体做法详见设计图纸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4A327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A37D297">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77.2</w:t>
            </w:r>
          </w:p>
        </w:tc>
      </w:tr>
      <w:tr w14:paraId="66100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16CCA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143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C1B93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墙面涂膜防水</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5EC1E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1、1.5mm厚JS-Ⅱ型聚合物水泥防水涂料</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FE1CE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E63E7A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29.37</w:t>
            </w:r>
          </w:p>
        </w:tc>
      </w:tr>
      <w:tr w14:paraId="00474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FCB0E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144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B12DD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综合脚手架</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0CC14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1、结算时按项计入 ，综合单价不调整</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3C5D7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项</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567D5C9">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097F2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627"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6B018BE7">
            <w:pPr>
              <w:keepNext w:val="0"/>
              <w:keepLines w:val="0"/>
              <w:widowControl/>
              <w:suppressLineNumbers w:val="0"/>
              <w:jc w:val="center"/>
              <w:textAlignment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综合指挥室卫生间提升改造</w:t>
            </w:r>
          </w:p>
        </w:tc>
      </w:tr>
      <w:tr w14:paraId="2FC3B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590"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1E2801EE">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土石方工程</w:t>
            </w:r>
          </w:p>
        </w:tc>
      </w:tr>
      <w:tr w14:paraId="6D044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386C0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145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D3E2B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平整场地</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4C9A9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1、土壤类别 :一、二类土</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2、弃土运距 :综合考虑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3、取土运距 :综合考虑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F2AFC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B5C517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32.8</w:t>
            </w:r>
          </w:p>
        </w:tc>
      </w:tr>
      <w:tr w14:paraId="08A9F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9ADB1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146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BC25B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挖沟槽土方</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C2414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1、土壤类别 :一、二类土</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2、挖土深度 :1.5m以内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1A68E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A84EA7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32.14</w:t>
            </w:r>
          </w:p>
        </w:tc>
      </w:tr>
      <w:tr w14:paraId="50D4C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524999">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147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6673C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回填方</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5D5AD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1、密实度要求 :满足相关规范要求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2、填方材料品种 :综合考虑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3、填方粒径要求 :满足相关规范要求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4、填方来源、运距 :综合考虑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6C90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3BC7B5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21.52</w:t>
            </w:r>
          </w:p>
        </w:tc>
      </w:tr>
      <w:tr w14:paraId="18DEB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87DFAE">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148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B0EF4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余方弃置</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574EF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1、废弃料品种 :综合考虑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2、运距 :综合考虑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1B126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4DC8F2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10.62</w:t>
            </w:r>
          </w:p>
        </w:tc>
      </w:tr>
      <w:tr w14:paraId="58037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603"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6756F73B">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砌筑工程</w:t>
            </w:r>
          </w:p>
        </w:tc>
      </w:tr>
      <w:tr w14:paraId="4BEC0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808D35">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149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BF2E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砖基础</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45ABB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1、MU15混凝土实心砖</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2、M10水泥砂浆砌筑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741B5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0470ABB">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3.68</w:t>
            </w:r>
          </w:p>
        </w:tc>
      </w:tr>
      <w:tr w14:paraId="72FD6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6E1E9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150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84691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多孔砖墙</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8B375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1、MU10烧结多孔砖</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2、M7.5混合砂浆砌筑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3、外墙240mm</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924F5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583FE4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14.23</w:t>
            </w:r>
          </w:p>
        </w:tc>
      </w:tr>
      <w:tr w14:paraId="11794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7805C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151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69E6A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多孔砖墙</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1F9CC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1、MU10烧结多孔砖</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2、M7.5混合砂浆砌筑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3、内墙120mm</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47AAD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7DDD2CE">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1.77</w:t>
            </w:r>
          </w:p>
        </w:tc>
      </w:tr>
      <w:tr w14:paraId="01E70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8514D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152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050E2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零星砌砖</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D5A81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1、蹲坑抬高部位</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A3E3D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33659DD">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0.62</w:t>
            </w:r>
          </w:p>
        </w:tc>
      </w:tr>
      <w:tr w14:paraId="271AA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5EB1EEA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混凝土及钢筋混凝土工程</w:t>
            </w:r>
          </w:p>
        </w:tc>
      </w:tr>
      <w:tr w14:paraId="6FF9D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374D0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153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517C9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垫层</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60629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1、混凝土种类 :预拌砼</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2、混凝土强度等级 :C20</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2DC10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F2E9A4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2.39</w:t>
            </w:r>
          </w:p>
        </w:tc>
      </w:tr>
      <w:tr w14:paraId="41162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359AA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154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776D5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带形基础</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804D9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1、混凝土种类 :预拌砼</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2、混凝土强度等级 :C25</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561EA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C22986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5.09</w:t>
            </w:r>
          </w:p>
        </w:tc>
      </w:tr>
      <w:tr w14:paraId="332CE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FA5A0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155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552EA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构造柱</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F31CB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1、混凝土种类 :预拌砼</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2、混凝土强度等级 :C25</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F1F31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462567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1.86</w:t>
            </w:r>
          </w:p>
        </w:tc>
      </w:tr>
      <w:tr w14:paraId="4730D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4ED41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156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EAFAB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圈梁</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C10B9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1、混凝土种类 :预拌砼</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2、混凝土强度等级 :C25</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03B57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2C4B0A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2.02</w:t>
            </w:r>
          </w:p>
        </w:tc>
      </w:tr>
      <w:tr w14:paraId="7C821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CC3247">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157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14AC3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过梁</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0455C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1、混凝土种类 :预拌砼</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2、混凝土强度等级 :C25</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40D6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43F261D">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0.28</w:t>
            </w:r>
          </w:p>
        </w:tc>
      </w:tr>
      <w:tr w14:paraId="0CEB1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5233FA">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158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2EB8D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平板</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CD06C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1、混凝土种类 :预拌砼</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2、混凝土强度等级 :C25</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87A57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66B7D0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3.94</w:t>
            </w:r>
          </w:p>
        </w:tc>
      </w:tr>
      <w:tr w14:paraId="249FE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26D7C0">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159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DAF73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有梁板</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641C6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1、混凝土种类 :预拌砼</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2、混凝土强度等级 :C25</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3、卫生间止水带</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97D2E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E5FFB6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1.18</w:t>
            </w:r>
          </w:p>
        </w:tc>
      </w:tr>
      <w:tr w14:paraId="59AB9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50EDD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160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C15D8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现浇构件钢筋A</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036CD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1、钢筋种类、规格 :HRB400-12以内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D0D4A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t</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40AA07C">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0.841</w:t>
            </w:r>
          </w:p>
        </w:tc>
      </w:tr>
      <w:tr w14:paraId="52D76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F812F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161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ABE65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现浇构件钢筋B</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5C283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1、钢筋种类、规格 :HRB400-25以内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D9A05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t</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626916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0.036</w:t>
            </w:r>
          </w:p>
        </w:tc>
      </w:tr>
      <w:tr w14:paraId="7165E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765"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482E9C0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金属结构工程</w:t>
            </w:r>
          </w:p>
        </w:tc>
      </w:tr>
      <w:tr w14:paraId="60BE8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57FFB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162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D6BD3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墙面网格布</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D8FB9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1、墙面满铺网格布一道</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BDFA4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6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00B2A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89.87</w:t>
            </w:r>
          </w:p>
        </w:tc>
        <w:tc>
          <w:tcPr>
            <w:tcW w:w="2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85EBAB">
            <w:pPr>
              <w:jc w:val="center"/>
              <w:rPr>
                <w:rFonts w:hint="eastAsia" w:ascii="宋体" w:hAnsi="宋体" w:eastAsia="宋体" w:cs="宋体"/>
                <w:b w:val="0"/>
                <w:i w:val="0"/>
                <w:iCs w:val="0"/>
                <w:color w:val="auto"/>
                <w:sz w:val="21"/>
                <w:szCs w:val="21"/>
                <w:u w:val="none"/>
              </w:rPr>
            </w:pPr>
          </w:p>
        </w:tc>
      </w:tr>
      <w:tr w14:paraId="23621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5CF5F32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门窗工程</w:t>
            </w:r>
          </w:p>
        </w:tc>
      </w:tr>
      <w:tr w14:paraId="0F285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22778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163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0E5A5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金属（塑钢、断桥）窗</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999A6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1、铝合金窗 ，玻璃 ：5+9+5mm钢化中空玻璃</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2、具体做法详见设计图纸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11308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477F63E">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4.68</w:t>
            </w:r>
          </w:p>
        </w:tc>
      </w:tr>
      <w:tr w14:paraId="4CB7E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640"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56370240">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屋面及防水工程</w:t>
            </w:r>
          </w:p>
        </w:tc>
      </w:tr>
      <w:tr w14:paraId="560FB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47DD1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164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4DA5F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屋面刚性层</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8E23E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1、20厚水泥砂浆保护层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2、4.0厚自粘聚合物改性沥青防水卷材 (PY)聚酯胎</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3、1.5厚聚氨酯防水涂料</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4、最薄处30厚泡沫混凝土找坡层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81DC8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E0F8E00">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26.44</w:t>
            </w:r>
          </w:p>
        </w:tc>
      </w:tr>
      <w:tr w14:paraId="62E8C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665"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743710A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楼地面装饰工程</w:t>
            </w:r>
          </w:p>
        </w:tc>
      </w:tr>
      <w:tr w14:paraId="33D47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A46EFD">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165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F954A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细石混凝土楼地面</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8FCAC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1、40厚C20细石混凝土</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2、聚氨酯三遍涂膜防水层,厚1.8(一刚二柔)</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3、60厚C15混凝土</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4、100厚碎砖夯实</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5、素土夯实</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6、部位：卫生间</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26C93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BE9BFE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25.51</w:t>
            </w:r>
          </w:p>
        </w:tc>
      </w:tr>
      <w:tr w14:paraId="7070D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727"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4C08117D">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墙、柱面装饰与隔断、幕墙工程</w:t>
            </w:r>
          </w:p>
        </w:tc>
      </w:tr>
      <w:tr w14:paraId="6A1E7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2F80B6">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166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058E4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墙面一般抹灰A</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2546A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1、2.0mm厚JS-Ⅱ型聚合物水泥防水涂料</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2、15厚1:3水泥砂浆打底</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3、部位：内墙</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69D75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9573290">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89.87</w:t>
            </w:r>
          </w:p>
        </w:tc>
      </w:tr>
      <w:tr w14:paraId="4AE32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E3A5C7">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167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46500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墙面一般抹灰B</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38F37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1、3~5厚抹面胶浆层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2、1.5mm厚JS-Ⅱ型聚合物水泥防水涂料</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3、15厚1 :3水泥防水砂浆(掺5%避水浆)找平层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4、找平层抹灰前满挂一层热镀锌电焊网(规格C0.9,网孔12.7X12.7),不同材料交接处,须附加一层300mm宽的金属网 (热镀锌电焊网,两边各延伸150mm)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5、基层墙体(专用砂浆砌筑)及混凝土梁、柱(做界面剂处理)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6、部位：外墙</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1EEF8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8CCDC3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99.61</w:t>
            </w:r>
          </w:p>
        </w:tc>
      </w:tr>
      <w:tr w14:paraId="7EF87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780"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1A82C7F8">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油漆、涂料、裱糊工程</w:t>
            </w:r>
          </w:p>
        </w:tc>
      </w:tr>
      <w:tr w14:paraId="184ED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163F82">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168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F5965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墙面喷刷涂料</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7DCDD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1、真石漆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2、柔性耐水腻子</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71CB1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C826FAC">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99.61</w:t>
            </w:r>
          </w:p>
        </w:tc>
      </w:tr>
      <w:tr w14:paraId="58126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728"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418F8B">
            <w:pPr>
              <w:keepNext w:val="0"/>
              <w:keepLines w:val="0"/>
              <w:widowControl/>
              <w:suppressLineNumbers w:val="0"/>
              <w:jc w:val="center"/>
              <w:textAlignment w:val="center"/>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综合指挥室内部系统安装</w:t>
            </w:r>
          </w:p>
        </w:tc>
      </w:tr>
      <w:tr w14:paraId="67293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703"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517D2E2B">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电气、防雷系统</w:t>
            </w:r>
          </w:p>
        </w:tc>
      </w:tr>
      <w:tr w14:paraId="1257F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2A015D">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169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632AC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1AL配电箱</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8D44F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1、名称:配电箱</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2、型号:1AL箱</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3、安装方式:明装</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4、接线端子材质、规格:符合规范要求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5、未尽之处满足设计及验收要求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902AA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F93EBBB">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603D8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DD577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170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F0A8C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1AL-1配电箱</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826BF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1、名称:配电箱</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2、型号:1AL-1箱</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3、安装方式:明装</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4、接线端子材质、规格:符合规范要求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5、未尽之处满足设计及验收要求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2213C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5AB404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1B69A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27731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171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76D20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1AL-2配电箱</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20292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1、名称:配电箱</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2、型号:1AL-2箱</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3、安装方式:明装</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4、接线端子材质、规格:符合规范要求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5、未尽之处满足设计及验收要求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80E25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F85F11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5523C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9A2FD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172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36523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1AE非集中控制型配电箱</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33657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1、名称:1AE非集中控制型应急照明箱</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2、安装方式:明装</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3、接线端子材质、规格:符合规范要求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4、未尽之处满足设计及验收要求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D7F89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55F65A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286F7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2CE22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173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B49CB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PVC16配管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88A59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1、名称:电线管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2、规格:PVC16</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3、配置形式:综合考虑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4、包含安装管道的相关配套费用，最终满足验收要求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3C301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6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3B44A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14.18</w:t>
            </w:r>
          </w:p>
        </w:tc>
        <w:tc>
          <w:tcPr>
            <w:tcW w:w="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8C00DA">
            <w:pPr>
              <w:jc w:val="center"/>
              <w:rPr>
                <w:rFonts w:hint="eastAsia" w:ascii="宋体" w:hAnsi="宋体" w:eastAsia="宋体" w:cs="宋体"/>
                <w:b w:val="0"/>
                <w:i w:val="0"/>
                <w:iCs w:val="0"/>
                <w:color w:val="auto"/>
                <w:sz w:val="21"/>
                <w:szCs w:val="21"/>
                <w:u w:val="none"/>
              </w:rPr>
            </w:pPr>
          </w:p>
        </w:tc>
      </w:tr>
      <w:tr w14:paraId="16724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23D0D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174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B7A9C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PVC20配管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2683B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1、名称:电线管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2、规格:PVC20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3、配置形式:综合考虑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4、包含安装管道的相关配套费用，最终满足验收要求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A1CFC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994F345">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342.76</w:t>
            </w:r>
          </w:p>
        </w:tc>
      </w:tr>
      <w:tr w14:paraId="52AB3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F57DEC">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175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65F92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JDG16配管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1B021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1、名称:电线管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2、规格:JDG16</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3、配置形式:综合考虑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4、包含安装管道的相关配套费用，最终满足验收要求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85574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BBE1B4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46.48</w:t>
            </w:r>
          </w:p>
        </w:tc>
      </w:tr>
      <w:tr w14:paraId="56E2C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D4518">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176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E2BE7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JDG20配管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8E9DF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1、名称:电线管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2、规格:JDG20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3、配置形式:综合考虑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4、包含安装管道的相关配套费用，最终满足验收要求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DE46B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9CC5DFC">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108.34</w:t>
            </w:r>
          </w:p>
        </w:tc>
      </w:tr>
      <w:tr w14:paraId="5ADBF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93EB9F">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177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90599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SC20配管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796DB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1、名称:电线管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2、规格:SC20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3、配置形式:综合考虑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4、包含安装管道的相关配套费用，最终满足验收要求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7E8A9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3EFABB0">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16.93</w:t>
            </w:r>
          </w:p>
        </w:tc>
      </w:tr>
      <w:tr w14:paraId="5E164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7A1FC1">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178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50334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SC32配管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F56CB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1、名称:电线管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2、规格:SC32</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3、配置形式:综合考虑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4、包含安装管道的相关配套费用，最终满足验收要求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D6CF5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05872DD">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9.02</w:t>
            </w:r>
          </w:p>
        </w:tc>
      </w:tr>
      <w:tr w14:paraId="13C29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DEA26C">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179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D6477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SC40配管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70B10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1、名称:电线管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2、规格:SC40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3、配置形式:综合考虑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4、包含安装管道的相关配套费用，最终满足验收要求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7FD87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D8F6C3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42.81</w:t>
            </w:r>
          </w:p>
        </w:tc>
      </w:tr>
      <w:tr w14:paraId="5C7D4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E7F9E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180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E9DFF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SC50配管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8E556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1、名称:电线管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2、规格:SC50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3、配置形式:综合考虑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4、包含安装管道的相关配套费用，最终满足验收要求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9C868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E4D1B53">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15.06</w:t>
            </w:r>
          </w:p>
        </w:tc>
      </w:tr>
      <w:tr w14:paraId="44B8D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0F369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181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8BD82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SC80配管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03581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1、名称:电气配管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2、规格:SC80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3、配置形式:综合考虑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4、包含安装管道的相关配套费用，最终满足验收要求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2AA21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06B535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4.58</w:t>
            </w:r>
          </w:p>
        </w:tc>
      </w:tr>
      <w:tr w14:paraId="63D91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C00FB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182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A5104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金属软管20配管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77236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1、名称:电线管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2、规格:金属软管20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3、配置形式:综合考虑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8CA56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18D05B8">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43.16</w:t>
            </w:r>
          </w:p>
        </w:tc>
      </w:tr>
      <w:tr w14:paraId="37230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F113A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183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41D73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BV-2.5mm2配线</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25046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1、名称:铜芯电线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2、规格:BV-2.5mm2</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3、配线形式:综合考虑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E1158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0260E5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1156.98</w:t>
            </w:r>
          </w:p>
        </w:tc>
      </w:tr>
      <w:tr w14:paraId="335C8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69CE0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184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53F26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BV-4.0mm2配线</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33A0A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1、名称:铜芯电线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2、规格:BV-4.0mm2</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3、配线形式:综合考虑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1A586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2FD203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524.01</w:t>
            </w:r>
          </w:p>
        </w:tc>
      </w:tr>
      <w:tr w14:paraId="3824C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7032FD">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185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A849A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ZN-BV-2.5mm2配线</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D83E4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1、名称:铜芯电线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2、规格:ZN-BV-2.5mm2</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3、配线形式:综合考虑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5D005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7EBA1D8">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10.89</w:t>
            </w:r>
          </w:p>
        </w:tc>
      </w:tr>
      <w:tr w14:paraId="3D1B2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5A5927">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186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AE168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ZN-RVS-2*2.5mm2配线</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10EAB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1、名称:铜芯电线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2、规格:ZN-RVS-2*2.5mm2</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3、配线形式:综合考虑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919AF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963D0BE">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54.11</w:t>
            </w:r>
          </w:p>
        </w:tc>
      </w:tr>
      <w:tr w14:paraId="4F2B9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88C677">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187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B3ADF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YJV-3×4mm2电力电缆</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28325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1、名称:铜芯电缆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2、规格:YJV-3×4mm2</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3、敷设方式、部位:综合考虑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4、包含配套电缆接头的安装费</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197E2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CD0F73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18.38</w:t>
            </w:r>
          </w:p>
        </w:tc>
      </w:tr>
      <w:tr w14:paraId="41EB7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74C869">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188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5C56D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YJV-5×6mm2电力电缆</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BDCB8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1、名称:铜芯电缆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2、规格:YJV-5×6mm2</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3、敷设方式、部位:综合考虑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4、包含配套电缆接头的安装费</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1B6B2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3463FAC">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42.94</w:t>
            </w:r>
          </w:p>
        </w:tc>
      </w:tr>
      <w:tr w14:paraId="44536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BBC6DE">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189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CDB50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YJV-5×10mm2电力电缆</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E5994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1、名称:铜芯电缆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2、规格:YJV-5×10mm2</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3、敷设方式、部位:综合考虑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4、包含配套电缆接头的安装费</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A642D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8DA1E0D">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15.41</w:t>
            </w:r>
          </w:p>
        </w:tc>
      </w:tr>
      <w:tr w14:paraId="693E2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DE4BA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190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1A755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YJV-5×16mm2电力电缆</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E2885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1、名称:铜芯电缆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2、规格:YJV-5×16mm2</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3、敷设方式、部位:综合考虑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4、包含配套电缆接头的安装费</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E39D7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196DB1C">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10.62</w:t>
            </w:r>
          </w:p>
        </w:tc>
      </w:tr>
      <w:tr w14:paraId="74207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AB6D2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191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123BA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LED平板灯</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E8FAF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1、名称:LED平板灯</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2、规格:300mm*600mm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3、安装方式:嵌入式安装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F339C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28E173E">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w:t>
            </w:r>
          </w:p>
        </w:tc>
      </w:tr>
      <w:tr w14:paraId="53CCA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6B2DA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192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EEAC9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LED射灯</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947AA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1、名称:LED射灯</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2、规格:80mm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3、安装形式:嵌入式</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34633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768AF3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27</w:t>
            </w:r>
          </w:p>
        </w:tc>
      </w:tr>
      <w:tr w14:paraId="11F93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3830A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193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957A2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LED筒灯</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6CD45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1、名称:LED筒灯</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2、规格:φ115mm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3、安装形式:嵌入式</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0D660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25"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E8497A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35</w:t>
            </w:r>
          </w:p>
        </w:tc>
      </w:tr>
      <w:tr w14:paraId="3BE08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93699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194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3CCB6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格栅射灯</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06BE7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1、名称:格栅射灯</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2、功率:230*40(选样)</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3、安装形式:嵌入式</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B4BC2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C94F167">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w:t>
            </w:r>
          </w:p>
        </w:tc>
      </w:tr>
      <w:tr w14:paraId="19071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86E4D4">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195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5D774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LED灯带</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75BF3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1、名称:LED灯带</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2、功率:根据选样</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239C0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7E0A76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137.77</w:t>
            </w:r>
          </w:p>
        </w:tc>
      </w:tr>
      <w:tr w14:paraId="5A057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7D7E9A">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196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AC066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LED线性灯</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57564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1、名称:LED线性灯</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2、功率:根据选样</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0E813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740909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32.37</w:t>
            </w:r>
          </w:p>
        </w:tc>
      </w:tr>
      <w:tr w14:paraId="01F92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E0F6A9">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197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D44DE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天棚灯</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CA26D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1、名称:半圆球吸顶灯</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2、规格:天棚灯</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45A9D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6F02575">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595E3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2FFB22">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198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DF36D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楼梯口灯</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5A0A9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1、名称:半圆球吸顶灯</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2、规格:楼梯口</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0805C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2101C30">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w:t>
            </w:r>
          </w:p>
        </w:tc>
      </w:tr>
      <w:tr w14:paraId="040B5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F382CA">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199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BD591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寝室灯</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BC98F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1、名称:吸顶灯</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2、规格:寝室</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BFB01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A7CDF7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w:t>
            </w:r>
          </w:p>
        </w:tc>
      </w:tr>
      <w:tr w14:paraId="40135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89282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200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B17E0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安全出口灯</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A081F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1、名称:A类灯具安全出口</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2、安装形式:综合考虑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0FA26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EEBB0B3">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w:t>
            </w:r>
          </w:p>
        </w:tc>
      </w:tr>
      <w:tr w14:paraId="1A9DA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4596F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201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FB1B5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应急出口灯</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C3E8D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1、名称:A类灯具应急出口</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2、安装形式:综合考虑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5DC5F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641276E">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590DA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540B0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202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C695E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方向标志灯</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7493C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1、名称:A类灯具方向标志灯</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2、安装形式:综合考虑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6A8D8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C4E96A8">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w:t>
            </w:r>
          </w:p>
        </w:tc>
      </w:tr>
      <w:tr w14:paraId="0691A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E3803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203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667F4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壁挂应急照明灯</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9106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1、名称:A型壁挂应急照明灯</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2、安装形式:综合考虑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EC4CD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31ED717">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w:t>
            </w:r>
          </w:p>
        </w:tc>
      </w:tr>
      <w:tr w14:paraId="40393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732FB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204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5E031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应急照明灯</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7636D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1、名称:A类灯具应急照明</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2、安装形式:综合考虑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A88DF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65A1A49">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w:t>
            </w:r>
          </w:p>
        </w:tc>
      </w:tr>
      <w:tr w14:paraId="62223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D819B3">
            <w:pPr>
              <w:keepNext w:val="0"/>
              <w:keepLines w:val="0"/>
              <w:widowControl/>
              <w:suppressLineNumbers w:val="0"/>
              <w:jc w:val="center"/>
              <w:textAlignment w:val="center"/>
              <w:rPr>
                <w:rFonts w:hint="default"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205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1E747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排风扇</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65CD5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1、名称:排风扇</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2、型号:300mm*300mm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3、规格:大功率，满足要求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4、包含配套软管、通风管费用，具体样式、规格等需提供样品，经建设单位认同后方可采购安装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4EC02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1BE595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w:t>
            </w:r>
          </w:p>
        </w:tc>
      </w:tr>
      <w:tr w14:paraId="47564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53D66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lang w:val="en-US"/>
              </w:rPr>
            </w:pPr>
            <w:r>
              <w:rPr>
                <w:rFonts w:hint="eastAsia" w:ascii="宋体" w:hAnsi="宋体" w:eastAsia="宋体" w:cs="宋体"/>
                <w:b w:val="0"/>
                <w:i w:val="0"/>
                <w:iCs w:val="0"/>
                <w:color w:val="auto"/>
                <w:kern w:val="0"/>
                <w:sz w:val="21"/>
                <w:szCs w:val="21"/>
                <w:u w:val="none"/>
                <w:lang w:val="en-US" w:eastAsia="zh-CN" w:bidi="ar"/>
              </w:rPr>
              <w:t>206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F65DD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单联单控照明开关</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ADE83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1、名称:单联单控开关</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2、安装方式:暗装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6C07C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7934849">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w:t>
            </w:r>
          </w:p>
        </w:tc>
      </w:tr>
      <w:tr w14:paraId="737EB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DE34E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207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68D51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双联单控照明开关</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90D3F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1、名称:双联单控开关</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2、安装方式:暗装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AF8CD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3673C0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w:t>
            </w:r>
          </w:p>
        </w:tc>
      </w:tr>
      <w:tr w14:paraId="403EF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96322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208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8742D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三联单控照明开关</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4F6E6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1、名称:三联单控开关</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2、安装方式:暗装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EEA27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8DE542E">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05535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95633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209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95100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双联双控照明开关</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66604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1、名称:双联双控开关</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2、安装方式:暗装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63FA1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719F4B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w:t>
            </w:r>
          </w:p>
        </w:tc>
      </w:tr>
      <w:tr w14:paraId="156A4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302D7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210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608BF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三联双控照明开关</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6B8CF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1、名称:三联双控开关</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2、安装方式:暗装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DF251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096C40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w:t>
            </w:r>
          </w:p>
        </w:tc>
      </w:tr>
      <w:tr w14:paraId="3D74C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BC048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211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5A2D6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五孔插座</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7A0E7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1、名称:五孔插座</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2、安装方式:暗装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A3BF5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8E9C9A5">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54</w:t>
            </w:r>
          </w:p>
        </w:tc>
      </w:tr>
      <w:tr w14:paraId="2AA20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66D0C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212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F905A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热水器插座</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811D4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1、名称:热水器插座</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2、安装方式:暗装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99774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FE1E155">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w:t>
            </w:r>
          </w:p>
        </w:tc>
      </w:tr>
      <w:tr w14:paraId="7AE99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3FFF6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213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44734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五孔地面插座</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B866B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1、名称:五孔地面插座</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2、安装方式:暗装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AA88E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78346BD">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w:t>
            </w:r>
          </w:p>
        </w:tc>
      </w:tr>
      <w:tr w14:paraId="33FA1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40656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214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4EFA6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接线盒</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F34C7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1、名称:接线盒</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2、材质:钢质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3、安装形式:综合考虑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5379C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BBB7F75">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31</w:t>
            </w:r>
          </w:p>
        </w:tc>
      </w:tr>
      <w:tr w14:paraId="3D9E6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B17BA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215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D932D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开关盒</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3C74A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1、名称:开关盒</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2、材质:钢质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3、安装形式:综合考虑</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A76C6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529DB3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75</w:t>
            </w:r>
          </w:p>
        </w:tc>
      </w:tr>
      <w:tr w14:paraId="19137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F16C7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216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0294E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送配电系统调试</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F986B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1、名称:送配电系统调试</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2、型号:1kv</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F0606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系统</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D396E7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50D9A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9AF25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217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2A019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避雷网</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19530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1、名称:避雷网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2、材质:热镀锌圆钢</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3、规格:φ10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4、其余未尽事宜,需满足设计、相关规范及实际验收需求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0F840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848071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99.76</w:t>
            </w:r>
          </w:p>
        </w:tc>
      </w:tr>
      <w:tr w14:paraId="3EB2B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E573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218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E3826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避雷引下线</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D47AF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1、名称:避雷引下线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2、安装形式:利用建筑物</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3、断接卡子、箱材质、规格:包含接地测试端子</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4、其余未尽事宜,需满足设计、相关规范及实际验收需求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980BC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7BEC04C">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41.11</w:t>
            </w:r>
          </w:p>
        </w:tc>
      </w:tr>
      <w:tr w14:paraId="28A8E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E8231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219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DA4F7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均压环</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17E15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1、名称:基础梁钢筋焊接</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2、利用主筋进行焊接，无基础梁部分采用40X4热镀锌扁钢作为接地连接线，土壤内采用不锈钢材质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3、其余未尽事宜,需满足设计、相关规范及实际验收需求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338AA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630CEAD">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84.15</w:t>
            </w:r>
          </w:p>
        </w:tc>
      </w:tr>
      <w:tr w14:paraId="47F6A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5F6C2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220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28888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接地母线A</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07CA7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1、名称:接地母线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2、规格:不锈钢-40*4mm</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8CBB4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D429A0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8.74</w:t>
            </w:r>
          </w:p>
        </w:tc>
      </w:tr>
      <w:tr w14:paraId="563E8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ED4AE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221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FBB3B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接地母线B</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8B8DA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1、名称:接地母线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2、规格:不锈钢-50*5mm</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18EA0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B03A5E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1.11</w:t>
            </w:r>
          </w:p>
        </w:tc>
      </w:tr>
      <w:tr w14:paraId="618C8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BB08F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222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826C5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总等电位箱</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0C038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1、名称:总等电位箱</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2、规格:铜排</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CD72C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DDA7E3C">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65B6B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DA01C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223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A23AC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分等电位箱</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86D0F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1、名称:分等电位箱</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2、规格:铜排</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58D9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D2E682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w:t>
            </w:r>
          </w:p>
        </w:tc>
      </w:tr>
      <w:tr w14:paraId="75B01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51801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224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E6D5B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接地钢板安装</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2D106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1、名称:接地钢板安装</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2、规格:-100*100*10mm</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0292C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9CC721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w:t>
            </w:r>
          </w:p>
        </w:tc>
      </w:tr>
      <w:tr w14:paraId="4B275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A47EA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225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4BA73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接地电阻测试</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E1154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1、名称:接地电阻测试</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075A8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系统</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339BDF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07ECE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79FCD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226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B2B61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土方及破除费用</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00FA3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1、综合考虑室外部分的土方及零星破除修复等相关费用</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E735B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9156E9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33</w:t>
            </w:r>
          </w:p>
        </w:tc>
      </w:tr>
      <w:tr w14:paraId="4946B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740"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77F1755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给排水系统</w:t>
            </w:r>
          </w:p>
        </w:tc>
      </w:tr>
      <w:tr w14:paraId="299E0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183FB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227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56A95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DN50钢塑复合管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F73F4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1、材质:钢塑复合管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2、规格:DN50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3、连接形式:螺纹连接</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4、压力试验及吹、洗设计要求:满足规范要求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5、综合考虑支撑架费用，未尽之处满足设计及验收要求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092EC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CB6085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7.09</w:t>
            </w:r>
          </w:p>
        </w:tc>
      </w:tr>
      <w:tr w14:paraId="7F7D3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E955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228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7CACA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DN32钢塑复合管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B59FC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1、材质:钢塑复合管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2、规格:DN32</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3、连接形式:螺纹连接</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4、压力试验及吹、洗设计要求:满足规范要求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5、综合考虑支撑架费用，未尽之处满足设计及验收要求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FDA5A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C910FB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8.42</w:t>
            </w:r>
          </w:p>
        </w:tc>
      </w:tr>
      <w:tr w14:paraId="4B2CC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64BB1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229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6CBEA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DN20钢塑复合管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20345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1、材质:钢塑复合管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2、规格:DN20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3、连接形式:螺纹连接</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4、压力试验及吹、洗设计要求:满足规范要求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5、综合考虑支撑架费用，未尽之处满足设计及验收要求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35A8A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9AEBA6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3.15</w:t>
            </w:r>
          </w:p>
        </w:tc>
      </w:tr>
      <w:tr w14:paraId="02A65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0387B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230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A0FF4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DN50PPR给水管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D4DA1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1、材质:PPR给水管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2、规格:DN50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3、连接形式:热熔连接</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4、压力试验及吹、洗设计要求:满足规范要求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5、其余未尽事宜,需满足设计、相关规范及实际验收需求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4BF46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037B293">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6.54</w:t>
            </w:r>
          </w:p>
        </w:tc>
      </w:tr>
      <w:tr w14:paraId="75131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445DE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231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D8FD5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DN40PPR给水管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6CDE5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1、材质:PPR给水管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2、规格:DN40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3、连接形式:热熔连接</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4、压力试验及吹、洗设计要求:满足规范要求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5、其余未尽事宜,需满足设计、相关规范及实际验收需求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5D45D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D4A04DC">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3.05</w:t>
            </w:r>
          </w:p>
        </w:tc>
      </w:tr>
      <w:tr w14:paraId="7F2CC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43164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232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7CD99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DN25PPR给水管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CC379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1、材质:PPR给水管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2、规格:DN25</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3、连接形式:热熔连接</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4、压力试验及吹、洗设计要求:满足规范要求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5、其余未尽事宜,需满足设计、相关规范及实际验收需求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E8978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7EDCB40">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5.26</w:t>
            </w:r>
          </w:p>
        </w:tc>
      </w:tr>
      <w:tr w14:paraId="34287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7D47C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233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9F894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DN20PPR给水管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DACD3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1、材质:PPR给水管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2、规格:DN20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3、连接形式:热熔连接</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4、压力试验及吹、洗设计要求:满足规范要求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5、其余未尽事宜,需满足设计、相关规范及实际验收需求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8F0D8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9C7F9F0">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8.66</w:t>
            </w:r>
          </w:p>
        </w:tc>
      </w:tr>
      <w:tr w14:paraId="3FB7A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D448B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234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DAA55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DN15PPR给水管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49C69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1、材质:PPR给水管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2、规格:DN15</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3、连接形式:热熔连接</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4、压力试验及吹、洗设计要求:满足规范要求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5、其余未尽事宜,需满足设计、相关规范及实际验收需求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3FC6D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8E03199">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46.01</w:t>
            </w:r>
          </w:p>
        </w:tc>
      </w:tr>
      <w:tr w14:paraId="7506F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E162D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235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1017F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DN15PPRR热水管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6CF81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1、材质:PPRR热水管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2、规格:DN15</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3、连接形式:热熔连接</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4、压力试验及吹、洗设计要求:满足规范要求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5、其余未尽事宜,需满足设计、相关规范及实际验收需求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3E819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4A96F7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17.98</w:t>
            </w:r>
          </w:p>
        </w:tc>
      </w:tr>
      <w:tr w14:paraId="39226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D099D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236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2A103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给水管墙面开槽</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16139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1、名称:给水管墙面开槽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3、综合考虑给水支管施工时所涉及到墙面开洞、开槽、恢复等增加费用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4、其余未尽事宜,需满足设计、相关规范及实际验收需求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1A090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026C0C5">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54.33</w:t>
            </w:r>
          </w:p>
        </w:tc>
      </w:tr>
      <w:tr w14:paraId="716A1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F906C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237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2A53E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DN100PVC-U排水管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DB318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1、材质:PVC-U排水管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2、规格:DN100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3、连接形式:粘接，含阻火圈安装</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4、压力试验及吹、洗设计要求:满足规范要求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5、其余未尽事宜,需满足设计、相关规范及实际验收需求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83686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2E3DE4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11.01</w:t>
            </w:r>
          </w:p>
        </w:tc>
      </w:tr>
      <w:tr w14:paraId="19F09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917D7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238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AF7DE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DN75PVC-U排水管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00CC5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1、材质:PVC-U排水管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2、规格:DN75</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3、连接形式:粘接</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4、压力试验及吹、洗设计要求:满足规范要求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5、其余未尽事宜,需满足设计、相关规范及实际验收需求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49B5E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C286CED">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25.72</w:t>
            </w:r>
          </w:p>
        </w:tc>
      </w:tr>
      <w:tr w14:paraId="388EC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EFFB7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239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43E26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DN50PVC-U排水管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BBD03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1、材质:PVC-U排水管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2、规格:DN50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3、连接形式:粘接</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4、压力试验及吹、洗设计要求:满足规范要求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5、其余未尽事宜,需满足设计、相关规范及实际验收需求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53BE0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B2E2D07">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13.49</w:t>
            </w:r>
          </w:p>
        </w:tc>
      </w:tr>
      <w:tr w14:paraId="23921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A9605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240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B8A00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DN50螺纹水表</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A9FD4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1、名称:螺纹水表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2、型号、规格:DN50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3、连接形式:螺纹连接</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BCDB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CBB1F09">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437C5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6CDE8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241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4A3FB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DN32螺纹水表</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C6435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1、名称:螺纹水表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2、型号、规格:DN32</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3、连接形式:螺纹连接</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39CF4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DD6E02C">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235E2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0C3F6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242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11BFE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螺纹阀门(DN50)</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A84EA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1、名称:闸阀</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2、规格:DN50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3、连接形式:螺纹连接</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D227A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6F1ED48">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w:t>
            </w:r>
          </w:p>
        </w:tc>
      </w:tr>
      <w:tr w14:paraId="68813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55FAA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243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D46B6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螺纹阀门(DN32)</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414E7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1、名称:闸阀</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2、规格:DN32</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3、连接形式:螺纹连接</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A8005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CFB786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0FEAD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A70F8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244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831D7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螺纹阀门(DN20)</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C77CF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1、名称:闸阀</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2、规格:DN20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3、连接形式:螺纹连接</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5CABA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CB34DE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w:t>
            </w:r>
          </w:p>
        </w:tc>
      </w:tr>
      <w:tr w14:paraId="2683D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9A99B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245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C7BD5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自动排气阀（含截止阀）</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36C52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1、名称:自动排气阀（含截止阀）</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2、规格:DN15</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3、连接形式:螺纹连接</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0043D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1638F2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7CDDF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74A3D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246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A2AF5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不锈钢地漏</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EDB26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1、名称:不锈钢地漏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2、型号、规格:DN50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3、具体样式、规格等需提供样品，经建设单位认同后方可采购安装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B15BA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40E0E09">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7</w:t>
            </w:r>
          </w:p>
        </w:tc>
      </w:tr>
      <w:tr w14:paraId="52E6E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85281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247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5779E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洗衣机专用地漏</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9A7C8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1、名称:洗衣机专用地漏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2、型号、规格:DN50</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3、具体样式、规格等需提供样品，经建设单位认同后方可采购安装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3C4B5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16C40DB">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w:t>
            </w:r>
          </w:p>
        </w:tc>
      </w:tr>
      <w:tr w14:paraId="0DF6A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18503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248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32D22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大便器</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E920A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1、名称:蹲便器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2、材质:陶瓷</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3、附件名称、数量:包含全套配件费用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4、具体样式、规格等需提供样品，经建设单位认同后方可采购安装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075AB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组</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F96892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w:t>
            </w:r>
          </w:p>
        </w:tc>
      </w:tr>
      <w:tr w14:paraId="47E4A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0DC17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249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EE89A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洗脸盆</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8482E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1、名称:洗脸盆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2、材质:陶瓷</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3、附件名称、数量:包含全套配件费用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4、具体样式、规格等需提供样品，经建设单位认同后方可采购安装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89075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组</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7281130">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w:t>
            </w:r>
          </w:p>
        </w:tc>
      </w:tr>
      <w:tr w14:paraId="01373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71CE7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250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B6353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小便器</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F8C1D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1、名称:小便斗(感应式)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2、材质:陶瓷</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3、附件名称、数量:包含全套配件费用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4、具体样式、规格等需提供样品，经建设单位认同后方可采购安装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09C98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组</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1AFDEB7">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w:t>
            </w:r>
          </w:p>
        </w:tc>
      </w:tr>
      <w:tr w14:paraId="1C736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DFB67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251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5F3A1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淋浴器</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3F8EE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1、名称:淋浴器（套装）</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2、材质:精铜铸造，表面镀铬银处理</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3、附件名称、数量:包含全套配件费用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4、具体样式、规格等需提供样品，经建设单位认同后方可采购安装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046F4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F59CBC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w:t>
            </w:r>
          </w:p>
        </w:tc>
      </w:tr>
      <w:tr w14:paraId="1756D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DFCB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252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4D161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洗涤盆</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AB6F9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1、名称:拖把池（含水龙头）</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2、材质:陶瓷</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3、附件名称、数量:包含全套配件费用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4、具体样式、规格等需提供样品，经建设单位认同后方可采购安装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378DC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组</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9A41A33">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1CFDA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57A70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253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830B5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电热水器</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87510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1、名称:电热水器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2、规格:80L</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3、安装方式:挂装，包含配套阀门等材料的安装</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4、具体样式、规格等需提供样品，经建设单位认同后方可采购安装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4FAB0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959BF18">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w:t>
            </w:r>
          </w:p>
        </w:tc>
      </w:tr>
      <w:tr w14:paraId="13E7A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52755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254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44AD4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小厨宝</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E56D4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1、名称:小厨宝</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2、规格:7L</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3、安装方式:挂装，包含配套阀门等材料的安装</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4、具体样式、规格等需提供样品，经建设单位认同后方可采购安装</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92EE1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0B21ED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w:t>
            </w:r>
          </w:p>
        </w:tc>
      </w:tr>
      <w:tr w14:paraId="247A1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C561F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255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88438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给排水系统套管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89EFB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1、名称:给排水系统套管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2、规格:综合考虑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3、具体满足设计及规范要求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A778C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系统</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1F9884D">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3B456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8B43A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256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C7FAD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土方及破除费用</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88FCC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1、综合考虑室外部分的土方及零星破除修复等相关费用</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22BD3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BC6709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6</w:t>
            </w:r>
          </w:p>
        </w:tc>
      </w:tr>
      <w:tr w14:paraId="05156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702"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70C03B3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通风空调系统</w:t>
            </w:r>
          </w:p>
        </w:tc>
      </w:tr>
      <w:tr w14:paraId="79693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57F73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257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FE913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风管式室内机A</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731DB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1、名称:风管式室内机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2、规格:制冷量:4KW 制热量:5KW</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3、安装形式:吊顶式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4、清单内综合考虑配套设备软接、冷凝水管及保温、支架及刷漆、信号管线、线控器、接线盒、设备检查接线等相关费用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5、无论室内、外机的位置是否调整，均不调整任何费用</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42E08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85CF0F3">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303A2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56592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258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696D7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风管式室内机B</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64193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1、名称:风管式室内机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2、规格:制冷量:5.6KW 制热量:6.3KW</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3、安装形式:吊顶式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4、清单内综合考虑配套设备软接、冷凝水管及保温、支架及刷漆、信号管线、线控器、接线盒、设备检查接线等相关费用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5、无论室内机的位置是否调整，均不调整任何费用</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24DB7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FB12C6B">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6D8E0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2FE93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259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AF9FC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风管式室内机C</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1F05F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1、名称:风管式室内机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2、规格:制冷量:6.3KW 制热量:7.1KW</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3、安装形式:吊顶式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4、清单内综合考虑配套设备软接、冷凝水管及保温、支架及刷漆、信号管线、线控器、接线盒、设备检查接线等相关费用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5、无论室内机的位置是否调整，均不调整任何费用</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65107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C1F15D8">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w:t>
            </w:r>
          </w:p>
        </w:tc>
      </w:tr>
      <w:tr w14:paraId="79D6B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E4B03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260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E4208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一拖一风管机</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89F10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1、名称:一拖一风管机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2、规格:制冷量:7.2KW 制热量:8.0KW</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3、安装形式:吊顶式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4、清单内综合考虑配套设备软接、铜管、冷凝水管及保温、支架及刷漆、信号管线、线控器、接线盒、设备检查接线等相关费用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5、无论室内外机的位置是否调整，均不调整任何费用</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7F9D4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EB93DF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107AF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B18E3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261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F8DEC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变频多联室外机</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09D6D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1、名称:变频多联室外机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2、规格:制冷量:33.5KW 制热量37.5KW</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3、安装形式:落地式</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4、清单内综合考虑与室内机连接的冷媒管、冷媒、分歧器、连接线、管道保温、设备固定、设备检查接线等相关费用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5、无论室内外机的的位置是否调整，费用均不做调整</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45966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451EEEC">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53553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E10AB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262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3BAEE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1.5匹壁挂机</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3C7FE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1、名称:1.5匹壁挂机</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2、规格:制冷量:3.5KW 制热量4.0KW</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3、安装形式:分体式空调</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4、清单内综合考虑与室内机连接的冷媒管、冷媒、连接线、管道保温、设备固定、设备检查接线等相关费用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5、无论室内外机的的位置是否调整，费用均不做调整</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8FFB7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CD3C14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6156E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2EA89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263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5597E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轴流通风机</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E71BF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1、名称:排风扇</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2、规格:风量:150m^3/h，功率:30W,配止回阀</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3、包含软管等配套费用</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9E430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台</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D7909E3">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w:t>
            </w:r>
          </w:p>
        </w:tc>
      </w:tr>
      <w:tr w14:paraId="0A315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328B6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264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E12C2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防雨百叶风口</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3ECEB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1、名称:防雨百叶风口</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2、规格:150mm*150mm，,内衬防虫网</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3、类型:未尽之处满足设计及规范要求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64085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930D67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w:t>
            </w:r>
          </w:p>
        </w:tc>
      </w:tr>
      <w:tr w14:paraId="20A8F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BFD02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265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DD941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格栅风口A</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3ADA6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1、名称:格栅风口</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2、规格:500*150mm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3、类型:未尽之处满足设计及规范要求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6A99B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A920949">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57197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9A33C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266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381F0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格栅风口B</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6C4FC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1、名称:格栅风口</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2、规格:500*200mm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3、类型:未尽之处满足设计及规范要求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D36D3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9229F75">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6014B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44C8C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267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C0A09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格栅风口C</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C5A19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1、名称:格栅风口</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2、规格:600*150mm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3、类型:未尽之处满足设计及规范要求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9391D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18C5087">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5EE6D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94522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268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6F1F3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格栅风口D</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8BAFC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1、名称:格栅风口</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2、规格:600*200mm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3、类型:未尽之处满足设计及规范要求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121A1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E88C75E">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37A72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CB204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269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58250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格栅风口E</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A1BF5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1、名称:格栅风口</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2、规格:800*150mm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3、类型:未尽之处满足设计及规范要求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3881E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969D41D">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w:t>
            </w:r>
          </w:p>
        </w:tc>
      </w:tr>
      <w:tr w14:paraId="5642E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3463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270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CE3D2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格栅风口F</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CEBE0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1、名称:格栅风口</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2、规格:800*200mm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3、类型:未尽之处满足设计及规范要求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E0C24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1F397D3">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w:t>
            </w:r>
          </w:p>
        </w:tc>
      </w:tr>
      <w:tr w14:paraId="631E7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F9A4E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271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4A6BC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碳钢通风管道A</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273AF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1、材质:镀锌钢板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2、形状:矩形</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3、规格:周长≤800mm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4、板材厚度:δ0.5</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137DE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85F7E10">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2.17</w:t>
            </w:r>
          </w:p>
        </w:tc>
      </w:tr>
      <w:tr w14:paraId="3C359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E01C6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272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33420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碳钢通风管道B</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90627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1、材质:镀锌钢板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2、形状:矩形</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3、规格:周长≤2000mm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4、板材厚度:δ0.75</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387B7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5B986AB">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33.29</w:t>
            </w:r>
          </w:p>
        </w:tc>
      </w:tr>
      <w:tr w14:paraId="5903C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921A7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273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9FB89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通风管道绝热</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5BAAE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1、绝热材料品种:夹筋铝箔离心玻璃纤维保温板</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2、绝热厚度:40mm</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D0CFF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m3</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8DE7E8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0.35</w:t>
            </w:r>
          </w:p>
        </w:tc>
      </w:tr>
      <w:tr w14:paraId="2C810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7C140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274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07E41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通风工程检测、调试</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64802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1、包含本工程相应的所有检测、调试等费用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2、满足规范要求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C3653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项</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CE8E87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42982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502" w:hRule="atLeast"/>
        </w:trPr>
        <w:tc>
          <w:tcPr>
            <w:tcW w:w="84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10063D05">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bCs/>
                <w:i w:val="0"/>
                <w:iCs w:val="0"/>
                <w:color w:val="auto"/>
                <w:kern w:val="0"/>
                <w:sz w:val="21"/>
                <w:szCs w:val="21"/>
                <w:u w:val="none"/>
                <w:lang w:val="en-US" w:eastAsia="zh-CN" w:bidi="ar"/>
              </w:rPr>
              <w:t>指挥中心（家具布置）工程</w:t>
            </w:r>
          </w:p>
        </w:tc>
      </w:tr>
      <w:tr w14:paraId="0B15E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F812A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275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8183C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防窥磨砂膜</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84968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1、3M防窥磨砂膜</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2、部位：详见设计图纸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F46F7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EB3B3C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3.38</w:t>
            </w:r>
          </w:p>
        </w:tc>
      </w:tr>
      <w:tr w14:paraId="26606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ECFFD8">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276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B84D6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镜面玻璃</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16E69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1、镜面玻璃品种、规格:5mm防爆银镜</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2、10mm宽不锈钢包边</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A2F66A">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69C11C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1.9</w:t>
            </w:r>
          </w:p>
        </w:tc>
      </w:tr>
      <w:tr w14:paraId="1DF4F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24CBC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277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7C272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窗帘A</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15835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1、PVC印花卷帘</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2、印花内容需经建设单位确认后方可实施</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3、采购前采购前需和使用单位确认</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20498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DB41F4E">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31.88</w:t>
            </w:r>
          </w:p>
        </w:tc>
      </w:tr>
      <w:tr w14:paraId="7642E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4C70C7">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278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64A02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窗帘B</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D94D8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1、阻燃布艺窗帘，含窗帘轨道</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2、结算按展开面积计算</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5CFC3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354314F">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19.44</w:t>
            </w:r>
          </w:p>
        </w:tc>
      </w:tr>
      <w:tr w14:paraId="6E1F5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20103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279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7C9A4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成品隔断</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7F6BD8">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1、隔断材料品种、规格、颜色:成品抗倍特隔断板（18mm厚）</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2、部位:卫生间</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3、报价含拉手、金属底脚、铰链等一切五金件</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4、结算时工程量按板面面积计算</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35C9A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46E42E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0.44</w:t>
            </w:r>
          </w:p>
        </w:tc>
      </w:tr>
      <w:tr w14:paraId="01107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45889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280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E9D25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洗漱台</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2F1995">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1、18mm古堡灰大理石台面</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2、镀锌角钢龙骨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3、底部定制柜体及PET柜门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4、结算时工程量按延长米计算</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3AB78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9171DE4">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1.3</w:t>
            </w:r>
          </w:p>
        </w:tc>
      </w:tr>
      <w:tr w14:paraId="4982D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08D3C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281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E5E36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亚克力字A</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6D698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1、定制亚克力字，字高约135mm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2、字体内容：新河派出所辖区电子示意图</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3、具体样式需满足建设单位要求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4、采购前采购前需和使用单位确认</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E9FAC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3F7D229">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12</w:t>
            </w:r>
          </w:p>
        </w:tc>
      </w:tr>
      <w:tr w14:paraId="5C4F9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34654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282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E2BA62">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亚克力字B</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DCD1A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1、定制亚克力字，字高约300mm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2、字体内容：盐南新河</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3、具体样式需满足建设单位要求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BCB931">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3BCC7A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w:t>
            </w:r>
          </w:p>
        </w:tc>
      </w:tr>
      <w:tr w14:paraId="3845F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ADB96D">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283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035D1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亚克力字C</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389CE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1、定制亚克力字，字高约380mm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2、字体内容：综合指挥室</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3、具体样式需满足建设单位要求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4、采购前采购前需和使用单位确认</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9156B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588B3A3">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w:t>
            </w:r>
          </w:p>
        </w:tc>
      </w:tr>
      <w:tr w14:paraId="6DD42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2CCA05">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284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5061D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警徽LOGO</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AE17D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1、定制警徽LOGO</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2、高度约H=880mm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3、具体样式需满足建设单位要求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4、采购前采购前需和使用单位确认</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C8D75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06C585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3E963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63DF9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285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A7E529">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防撞条</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65F504">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1、定制防撞条</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2、具体样式需满足建设单位要求</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FC1D23">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5DDC026">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5.26</w:t>
            </w:r>
          </w:p>
        </w:tc>
      </w:tr>
      <w:tr w14:paraId="27F5C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D9627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286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C8931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钢化玻璃扶手</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A8E35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1、定制12mm厚钢化玻璃扶手</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2、50*50mm实木扶手、底部200*200mm镀锌钢板、M12化学锚栓固定</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3、具体做法详见设计图纸</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422CE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43A6667">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2.44</w:t>
            </w:r>
          </w:p>
        </w:tc>
      </w:tr>
      <w:tr w14:paraId="3BF57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0EB1D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287</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726D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木壁柜</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D28EDC">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1、定制木壁柜（楼梯下口）</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2、20mm厚PET柜门、柜体板材厚度不低于18mm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3、含门锁、铰链、拉手等一切五金件</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4、具体做法详见设计图纸</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5、采购前采购前需和使用单位确认</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1C146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018D627">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1.76</w:t>
            </w:r>
          </w:p>
        </w:tc>
      </w:tr>
      <w:tr w14:paraId="0AF4E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C054B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288</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68B556">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文件柜</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A17A9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1、成品定制文件柜</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2、20mm厚PET柜门、柜体板材厚度不低于18mm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3、含门锁、铰链、拉手等一切五金件</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4、具体做法详见设计图纸</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5、采购前采购前需和使用单位确认</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CF56B4">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32A5538">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3.19</w:t>
            </w:r>
          </w:p>
        </w:tc>
      </w:tr>
      <w:tr w14:paraId="044F4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F2D88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289</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7FF88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矮柜</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20EC3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1、成品定制矮柜H=850mm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2、大理石台面、20mm厚PET柜门、柜体板材厚度不低于18mm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3、含门锁、铰链、拉手等一切五金件</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4、具体做法详见设计图纸</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5、采购前采购前需和使用单位确认</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DC3B1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BCC786A">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2.51</w:t>
            </w:r>
          </w:p>
        </w:tc>
      </w:tr>
      <w:tr w14:paraId="0F456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EABF8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290</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74DA6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衣柜</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A70957">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1、成品定制衣柜</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2、20mm厚PET柜门、柜体板材厚度不低于18mm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3、含门锁、铰链、拉手等一切五金件</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4、具体做法详见设计图纸</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5、采购前采购前需和使用单位确认</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1CBDA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B047533">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13.68</w:t>
            </w:r>
          </w:p>
        </w:tc>
      </w:tr>
      <w:tr w14:paraId="7A903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5190B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291</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C23A1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书柜</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5CA193">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1、成品定制书柜</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2、柜体板材厚度不低于18mm（无柜门）</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3、含配套五金件</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4、具体做法详见设计图纸</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5、采购前采购前需和使用单位确认</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55EB12">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16D31B3">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1.53</w:t>
            </w:r>
          </w:p>
        </w:tc>
      </w:tr>
      <w:tr w14:paraId="18A13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022D9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292</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FC78DD">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智能卷宗柜</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BAA9B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1、成品智能卷宗柜</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2、具体样式、颜色等需满足建设单位要求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3、采购前采购前需和使用单位确认</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E947C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m2</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FCD76D5">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4.4</w:t>
            </w:r>
          </w:p>
        </w:tc>
      </w:tr>
      <w:tr w14:paraId="6F568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816D3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293</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6302DA">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上下床</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24935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1、成品上下床（每组2个床位）</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2、单人床位尺寸：1200mm*2000mm</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3、E0级环保标准实木多层板免漆板，三聚氰胺装饰纸贴面（颜色可选），优质PVC机械封边，品牌五金配件具体样式根据建设单位要求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4、样式满足建设单位要求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5、采购前采购前需和使用单位确认</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17BF60">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组</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B6D1FF1">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w:t>
            </w:r>
          </w:p>
        </w:tc>
      </w:tr>
      <w:tr w14:paraId="5B330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D481DC">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294</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9B4B11">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床头柜</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2289DE">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1、成品床头柜</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2、E0级环保标准实木多层板免漆板，三聚氰胺装饰纸贴面（颜色可选），优质PVC机械封边，品牌五金配件具体样式根据建设单位要求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3、样式满足建设单位要求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4、采购前采购前需和使用单位确认</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2659C9">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个</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C0BA729">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w:t>
            </w:r>
          </w:p>
        </w:tc>
      </w:tr>
      <w:tr w14:paraId="25F44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D4B2AE">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295</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D1CE7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办公桌椅</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A0DCC0">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1、成品办公桌椅</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2、部位：2F备勤室</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3、具体样式满足建设单位要求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4、采购前采购前需和使用单位确认</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9CCEE6">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套</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62CDF3B">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w:t>
            </w:r>
          </w:p>
        </w:tc>
      </w:tr>
      <w:tr w14:paraId="0B2C1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11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08D06B">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296</w:t>
            </w:r>
          </w:p>
        </w:tc>
        <w:tc>
          <w:tcPr>
            <w:tcW w:w="12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C6DB1B">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办公桌（2人位）</w:t>
            </w:r>
          </w:p>
        </w:tc>
        <w:tc>
          <w:tcPr>
            <w:tcW w:w="47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E4679F">
            <w:pPr>
              <w:keepNext w:val="0"/>
              <w:keepLines w:val="0"/>
              <w:widowControl/>
              <w:suppressLineNumbers w:val="0"/>
              <w:jc w:val="left"/>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1、成品办公桌</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2、部位：1F综合指挥室</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3、具体样式满足建设单位要求</w:t>
            </w:r>
            <w:r>
              <w:rPr>
                <w:rFonts w:hint="eastAsia" w:ascii="宋体" w:hAnsi="宋体" w:eastAsia="宋体" w:cs="宋体"/>
                <w:b w:val="0"/>
                <w:i w:val="0"/>
                <w:iCs w:val="0"/>
                <w:color w:val="auto"/>
                <w:kern w:val="0"/>
                <w:sz w:val="21"/>
                <w:szCs w:val="21"/>
                <w:u w:val="none"/>
                <w:lang w:val="en-US" w:eastAsia="zh-CN" w:bidi="ar"/>
              </w:rPr>
              <w:br w:type="textWrapping"/>
            </w:r>
            <w:r>
              <w:rPr>
                <w:rFonts w:hint="eastAsia" w:ascii="宋体" w:hAnsi="宋体" w:eastAsia="宋体" w:cs="宋体"/>
                <w:b w:val="0"/>
                <w:i w:val="0"/>
                <w:iCs w:val="0"/>
                <w:color w:val="auto"/>
                <w:kern w:val="0"/>
                <w:sz w:val="21"/>
                <w:szCs w:val="21"/>
                <w:u w:val="none"/>
                <w:lang w:val="en-US" w:eastAsia="zh-CN" w:bidi="ar"/>
              </w:rPr>
              <w:t>4、采购前采购前需和使用单位确认</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5A70F">
            <w:pPr>
              <w:keepNext w:val="0"/>
              <w:keepLines w:val="0"/>
              <w:widowControl/>
              <w:suppressLineNumbers w:val="0"/>
              <w:jc w:val="center"/>
              <w:textAlignment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张</w:t>
            </w:r>
          </w:p>
        </w:tc>
        <w:tc>
          <w:tcPr>
            <w:tcW w:w="91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D104792">
            <w:pPr>
              <w:jc w:val="center"/>
              <w:rPr>
                <w:rFonts w:hint="eastAsia" w:ascii="宋体" w:hAnsi="宋体" w:eastAsia="宋体" w:cs="宋体"/>
                <w:b w:val="0"/>
                <w:i w:val="0"/>
                <w:iCs w:val="0"/>
                <w:color w:val="auto"/>
                <w:sz w:val="21"/>
                <w:szCs w:val="21"/>
                <w:u w:val="none"/>
              </w:rPr>
            </w:pPr>
            <w:r>
              <w:rPr>
                <w:rFonts w:hint="eastAsia" w:ascii="宋体" w:hAnsi="宋体" w:eastAsia="宋体" w:cs="宋体"/>
                <w:b w:val="0"/>
                <w:i w:val="0"/>
                <w:iCs w:val="0"/>
                <w:color w:val="auto"/>
                <w:kern w:val="0"/>
                <w:sz w:val="21"/>
                <w:szCs w:val="21"/>
                <w:u w:val="none"/>
                <w:lang w:val="en-US" w:eastAsia="zh-CN" w:bidi="ar"/>
              </w:rPr>
              <w:t>4</w:t>
            </w:r>
          </w:p>
        </w:tc>
      </w:tr>
    </w:tbl>
    <w:p w14:paraId="0FD2FD20">
      <w:pPr>
        <w:keepNext w:val="0"/>
        <w:keepLines w:val="0"/>
        <w:pageBreakBefore w:val="0"/>
        <w:widowControl w:val="0"/>
        <w:kinsoku/>
        <w:wordWrap/>
        <w:overflowPunct/>
        <w:topLinePunct w:val="0"/>
        <w:bidi w:val="0"/>
        <w:spacing w:line="360" w:lineRule="auto"/>
        <w:jc w:val="left"/>
        <w:rPr>
          <w:rFonts w:hint="eastAsia" w:ascii="宋体" w:hAnsi="宋体" w:eastAsia="宋体" w:cs="宋体"/>
          <w:b/>
          <w:bCs/>
          <w:color w:val="auto"/>
          <w:sz w:val="21"/>
          <w:szCs w:val="21"/>
          <w:lang w:val="en-US" w:eastAsia="zh-CN"/>
        </w:rPr>
      </w:pPr>
    </w:p>
    <w:tbl>
      <w:tblPr>
        <w:tblStyle w:val="12"/>
        <w:tblW w:w="8679" w:type="dxa"/>
        <w:tblInd w:w="-14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27"/>
        <w:gridCol w:w="1476"/>
        <w:gridCol w:w="6176"/>
      </w:tblGrid>
      <w:tr w14:paraId="4AD4F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867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99BD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前端点位清单</w:t>
            </w:r>
          </w:p>
        </w:tc>
      </w:tr>
      <w:tr w14:paraId="755AF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27" w:type="dxa"/>
            <w:tcBorders>
              <w:top w:val="single" w:color="000000" w:sz="4" w:space="0"/>
              <w:left w:val="single" w:color="000000" w:sz="4" w:space="0"/>
              <w:bottom w:val="nil"/>
              <w:right w:val="single" w:color="000000" w:sz="4" w:space="0"/>
            </w:tcBorders>
            <w:shd w:val="clear" w:color="auto" w:fill="auto"/>
            <w:vAlign w:val="center"/>
          </w:tcPr>
          <w:p w14:paraId="327EB028">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1476" w:type="dxa"/>
            <w:tcBorders>
              <w:top w:val="single" w:color="000000" w:sz="4" w:space="0"/>
              <w:left w:val="single" w:color="000000" w:sz="4" w:space="0"/>
              <w:bottom w:val="nil"/>
              <w:right w:val="single" w:color="000000" w:sz="4" w:space="0"/>
            </w:tcBorders>
            <w:shd w:val="clear" w:color="auto" w:fill="auto"/>
            <w:vAlign w:val="center"/>
          </w:tcPr>
          <w:p w14:paraId="79504B6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辖区</w:t>
            </w:r>
          </w:p>
        </w:tc>
        <w:tc>
          <w:tcPr>
            <w:tcW w:w="6176" w:type="dxa"/>
            <w:tcBorders>
              <w:top w:val="single" w:color="000000" w:sz="4" w:space="0"/>
              <w:left w:val="single" w:color="000000" w:sz="4" w:space="0"/>
              <w:bottom w:val="nil"/>
              <w:right w:val="single" w:color="000000" w:sz="4" w:space="0"/>
            </w:tcBorders>
            <w:shd w:val="clear" w:color="auto" w:fill="auto"/>
            <w:vAlign w:val="center"/>
          </w:tcPr>
          <w:p w14:paraId="0ECC4CF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点位名称</w:t>
            </w:r>
          </w:p>
        </w:tc>
      </w:tr>
      <w:tr w14:paraId="1C1BE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728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AB0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黄海派出所</w:t>
            </w:r>
          </w:p>
        </w:tc>
        <w:tc>
          <w:tcPr>
            <w:tcW w:w="6176" w:type="dxa"/>
            <w:tcBorders>
              <w:top w:val="single" w:color="000000" w:sz="4" w:space="0"/>
              <w:left w:val="single" w:color="000000" w:sz="4" w:space="0"/>
              <w:bottom w:val="nil"/>
              <w:right w:val="single" w:color="000000" w:sz="4" w:space="0"/>
            </w:tcBorders>
            <w:shd w:val="clear" w:color="auto" w:fill="auto"/>
            <w:vAlign w:val="center"/>
          </w:tcPr>
          <w:p w14:paraId="335F402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王家味饭店汽车出入口</w:t>
            </w:r>
          </w:p>
        </w:tc>
      </w:tr>
      <w:tr w14:paraId="2D8A0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E0F2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92C3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44B2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慰平医院东南侧大铁门</w:t>
            </w:r>
          </w:p>
        </w:tc>
      </w:tr>
      <w:tr w14:paraId="759B1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003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AD6F0">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BE33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君启花园北侧沿街门市东头</w:t>
            </w:r>
          </w:p>
        </w:tc>
      </w:tr>
      <w:tr w14:paraId="4487E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ECA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C49F5">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8942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君启花园北侧沿街门市西头</w:t>
            </w:r>
          </w:p>
        </w:tc>
      </w:tr>
      <w:tr w14:paraId="06650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0C7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08A0C">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C023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东进装饰城南门</w:t>
            </w:r>
          </w:p>
        </w:tc>
      </w:tr>
      <w:tr w14:paraId="44F9C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768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8035E">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4DAD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原利群超市现雅家乐超市南侧车库出入口</w:t>
            </w:r>
          </w:p>
        </w:tc>
      </w:tr>
      <w:tr w14:paraId="34642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286B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DF1E4">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D437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黄海派出所东侧江苏银行</w:t>
            </w:r>
          </w:p>
        </w:tc>
      </w:tr>
      <w:tr w14:paraId="47DDA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28C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B954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7C5C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盐中西门</w:t>
            </w:r>
          </w:p>
        </w:tc>
      </w:tr>
      <w:tr w14:paraId="22709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45B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0E0C9">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7A90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宝龙南侧潮街东侧第一巷口</w:t>
            </w:r>
          </w:p>
        </w:tc>
      </w:tr>
      <w:tr w14:paraId="0604F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9797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B54FE">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8D32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宝龙南侧潮街北侧第二巷口</w:t>
            </w:r>
          </w:p>
        </w:tc>
      </w:tr>
      <w:tr w14:paraId="766FB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C74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B1F43">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D0A4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宝龙南侧潮街北侧第三巷口</w:t>
            </w:r>
          </w:p>
        </w:tc>
      </w:tr>
      <w:tr w14:paraId="2B52E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436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BCADF">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B0C7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宝龙南侧潮街北侧西头</w:t>
            </w:r>
          </w:p>
        </w:tc>
      </w:tr>
      <w:tr w14:paraId="7509E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CA9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09DA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5BCE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宝龙南侧潮街东头</w:t>
            </w:r>
          </w:p>
        </w:tc>
      </w:tr>
      <w:tr w14:paraId="054E9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0B32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B9D2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9DA2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宝龙东广场人民路上出租车待客停车区域南头</w:t>
            </w:r>
          </w:p>
        </w:tc>
      </w:tr>
      <w:tr w14:paraId="38254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EF44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9935C">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E469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宝龙东广场人民路上出租车待客停车区域北头</w:t>
            </w:r>
          </w:p>
        </w:tc>
      </w:tr>
      <w:tr w14:paraId="1D365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FC89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B743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BE1C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钱江商业街与宝龙广场交界处红绿灯东侧</w:t>
            </w:r>
          </w:p>
        </w:tc>
      </w:tr>
      <w:tr w14:paraId="5DCE1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6AE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4EBC8">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493C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钱江商业街与宝龙广场交界处红绿灯西侧</w:t>
            </w:r>
          </w:p>
        </w:tc>
      </w:tr>
      <w:tr w14:paraId="35D44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D8A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A34EE">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061F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卓盛大厦点位调整</w:t>
            </w:r>
          </w:p>
        </w:tc>
      </w:tr>
      <w:tr w14:paraId="540FE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4C4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93A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伍佑</w:t>
            </w: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AD3F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洋桥北区13号</w:t>
            </w:r>
          </w:p>
        </w:tc>
      </w:tr>
      <w:tr w14:paraId="4B42B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815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CBE3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7605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伍佑便民菜场停车场东北角</w:t>
            </w:r>
          </w:p>
        </w:tc>
      </w:tr>
      <w:tr w14:paraId="77D4A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08B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C4D65">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7AA2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伍佑便民菜场停车场西南角</w:t>
            </w:r>
          </w:p>
        </w:tc>
      </w:tr>
      <w:tr w14:paraId="5A794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428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E9EF8">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47B8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鹏润花园</w:t>
            </w:r>
          </w:p>
        </w:tc>
      </w:tr>
      <w:tr w14:paraId="79D87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C181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C8E39">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C190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鹏润花园南门菜市场西</w:t>
            </w:r>
          </w:p>
        </w:tc>
      </w:tr>
      <w:tr w14:paraId="1BD03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487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E166E">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325D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鹏润花园南门菜市场东</w:t>
            </w:r>
          </w:p>
        </w:tc>
      </w:tr>
      <w:tr w14:paraId="6A2CE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6E07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A427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D69B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金棠名邸东门出口处</w:t>
            </w:r>
          </w:p>
        </w:tc>
      </w:tr>
      <w:tr w14:paraId="2C7F9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6F9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ABFF3">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CA8B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金棠名邸东门入口处</w:t>
            </w:r>
          </w:p>
        </w:tc>
      </w:tr>
      <w:tr w14:paraId="06BB0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F59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DD820">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5276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永明悦来府西门非机动车出入口</w:t>
            </w:r>
          </w:p>
        </w:tc>
      </w:tr>
      <w:tr w14:paraId="4465F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253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8F73F">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7C42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一组农庄河与洋桥交界口</w:t>
            </w:r>
          </w:p>
        </w:tc>
      </w:tr>
      <w:tr w14:paraId="2B20D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2BF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227A0">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5B49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伍东二组生产河路口</w:t>
            </w:r>
          </w:p>
        </w:tc>
      </w:tr>
      <w:tr w14:paraId="34F1F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6FB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1DCA7">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CC22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伍东中路西伏河排涝河北路口</w:t>
            </w:r>
          </w:p>
        </w:tc>
      </w:tr>
      <w:tr w14:paraId="32377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D03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FA20C">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6CB4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伍东三组南环路路北路口</w:t>
            </w:r>
          </w:p>
        </w:tc>
      </w:tr>
      <w:tr w14:paraId="70D2C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9D8B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7E86C">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FF4E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东伏河与伍东中路向南100米（伍东三组南环路路南路口）</w:t>
            </w:r>
          </w:p>
        </w:tc>
      </w:tr>
      <w:tr w14:paraId="43719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66D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3EEF1">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13B0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伍佑花木场门口</w:t>
            </w:r>
          </w:p>
        </w:tc>
      </w:tr>
      <w:tr w14:paraId="58254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B28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B635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9E91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黄巷中铁二十四局门口</w:t>
            </w:r>
          </w:p>
        </w:tc>
      </w:tr>
      <w:tr w14:paraId="2037D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99C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1454F">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5947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黄巷中铁二十四局东侧十字路口1（黄巷草莓园西侧公路）</w:t>
            </w:r>
          </w:p>
        </w:tc>
      </w:tr>
      <w:tr w14:paraId="6973B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ECA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19BD3">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9D33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黄巷中铁二十四局东侧十字路口</w:t>
            </w:r>
          </w:p>
        </w:tc>
      </w:tr>
      <w:tr w14:paraId="6A73A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045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91653">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609F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科城南路与人民路交界（G343与老204国道交界）</w:t>
            </w:r>
          </w:p>
        </w:tc>
      </w:tr>
      <w:tr w14:paraId="74A8A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2EC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B587F">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3FC5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西环路兴旺钓鱼场</w:t>
            </w:r>
          </w:p>
        </w:tc>
      </w:tr>
      <w:tr w14:paraId="6C10D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14D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61AAC">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6A0E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园区路（东头）</w:t>
            </w:r>
          </w:p>
        </w:tc>
      </w:tr>
      <w:tr w14:paraId="75416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1020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FCAA1">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3867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宏心五组与宏武路交界（宏武路与宏心西路交界处向西第二个路口）</w:t>
            </w:r>
          </w:p>
        </w:tc>
      </w:tr>
      <w:tr w14:paraId="70AE1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691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90D9C">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1914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武林村一组东农庄路与宏武路交界处</w:t>
            </w:r>
          </w:p>
        </w:tc>
      </w:tr>
      <w:tr w14:paraId="1EA1B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BD1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36FB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F213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武林村一组农庄路与宏武路交界处</w:t>
            </w:r>
          </w:p>
        </w:tc>
      </w:tr>
      <w:tr w14:paraId="1631C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91E0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1A2DE">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5FBA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G204蚌蜒河中桥被30米处</w:t>
            </w:r>
          </w:p>
        </w:tc>
      </w:tr>
      <w:tr w14:paraId="103C7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B7C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A14AC">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140E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宏心西路杜家河桥西北150米处路口</w:t>
            </w:r>
          </w:p>
        </w:tc>
      </w:tr>
      <w:tr w14:paraId="39E36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C3E8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6C0C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585A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宏心西路杜家河桥西北300米处十字路口</w:t>
            </w:r>
          </w:p>
        </w:tc>
      </w:tr>
      <w:tr w14:paraId="1DC69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1DA6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EDBD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1125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渔家小院（原武林小学）门东西路与204国道交界处</w:t>
            </w:r>
          </w:p>
        </w:tc>
      </w:tr>
      <w:tr w14:paraId="4F586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7A1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1F980">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2980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路西头桥头东</w:t>
            </w:r>
          </w:p>
        </w:tc>
      </w:tr>
      <w:tr w14:paraId="2EC5D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F34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2620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D06D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永明悦来府</w:t>
            </w:r>
          </w:p>
        </w:tc>
      </w:tr>
      <w:tr w14:paraId="1EBC6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71A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F0A6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936F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珠溪铭苑</w:t>
            </w:r>
          </w:p>
        </w:tc>
      </w:tr>
      <w:tr w14:paraId="25FF4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A03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20614">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BA1C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经贸学校西南门</w:t>
            </w:r>
          </w:p>
        </w:tc>
      </w:tr>
      <w:tr w14:paraId="6D0C1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230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6B971">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75ED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经贸学校西北门</w:t>
            </w:r>
          </w:p>
        </w:tc>
      </w:tr>
      <w:tr w14:paraId="6E5ED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9F1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359D8">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B801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公铭路与容胜路橡胶厂</w:t>
            </w:r>
          </w:p>
        </w:tc>
      </w:tr>
      <w:tr w14:paraId="6C9F6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568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F8AE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3CB4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步湖路与开放大道西北侧</w:t>
            </w:r>
          </w:p>
        </w:tc>
      </w:tr>
      <w:tr w14:paraId="06D2F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FE1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C232A">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07D4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大地名居西门转盘</w:t>
            </w:r>
          </w:p>
        </w:tc>
      </w:tr>
      <w:tr w14:paraId="45168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AE0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D09C3">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51E0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大地名居西门转盘南侧丁字路口</w:t>
            </w:r>
          </w:p>
        </w:tc>
      </w:tr>
      <w:tr w14:paraId="65956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996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1575C">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D317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大地名居南主路西段</w:t>
            </w:r>
          </w:p>
        </w:tc>
      </w:tr>
      <w:tr w14:paraId="50569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AC5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88E9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476E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大地名居南主路东段</w:t>
            </w:r>
          </w:p>
        </w:tc>
      </w:tr>
      <w:tr w14:paraId="7B032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F472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F4E3E">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2BF6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大地名居南主路东端小桥西侧</w:t>
            </w:r>
          </w:p>
        </w:tc>
      </w:tr>
      <w:tr w14:paraId="19CC7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1B5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AA8F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B110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大地名居南主路东端小桥东侧</w:t>
            </w:r>
          </w:p>
        </w:tc>
      </w:tr>
      <w:tr w14:paraId="1EAFF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7C1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0708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FF1A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大地名居南主路东端小桥东侧北丁字路口</w:t>
            </w:r>
          </w:p>
        </w:tc>
      </w:tr>
      <w:tr w14:paraId="0B4CC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690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9CD1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F6BF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大地名居北主路东端顶头南侧</w:t>
            </w:r>
          </w:p>
        </w:tc>
      </w:tr>
      <w:tr w14:paraId="41A1D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518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DCDD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9B75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大地名居北主路东端顶头</w:t>
            </w:r>
          </w:p>
        </w:tc>
      </w:tr>
      <w:tr w14:paraId="38659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AED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36297">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5704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大地名居北主路中端</w:t>
            </w:r>
          </w:p>
        </w:tc>
      </w:tr>
      <w:tr w14:paraId="101DA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B25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9E925">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2123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大地名居北主路西端</w:t>
            </w:r>
          </w:p>
        </w:tc>
      </w:tr>
      <w:tr w14:paraId="0E8B3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9D5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DF551">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0906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大地名居西门转盘北侧</w:t>
            </w:r>
          </w:p>
        </w:tc>
      </w:tr>
      <w:tr w14:paraId="6FE8E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F4A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BE20A">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A02E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华东师范大学西门口</w:t>
            </w:r>
          </w:p>
        </w:tc>
      </w:tr>
      <w:tr w14:paraId="02FA0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AE7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67</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A345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科城派出所</w:t>
            </w: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6048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南海未来城未来广场（朴树下）</w:t>
            </w:r>
          </w:p>
        </w:tc>
      </w:tr>
      <w:tr w14:paraId="0664A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96E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549A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C859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新市局大楼东门入口</w:t>
            </w:r>
          </w:p>
        </w:tc>
      </w:tr>
      <w:tr w14:paraId="48A76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B246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F15E9">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DC45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康居路初中南门入口</w:t>
            </w:r>
          </w:p>
        </w:tc>
      </w:tr>
      <w:tr w14:paraId="768E6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EFC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0E7B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4D66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康居路初中北门入口</w:t>
            </w:r>
          </w:p>
        </w:tc>
      </w:tr>
      <w:tr w14:paraId="5283D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FA4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C439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7943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财富港大兔酒馆</w:t>
            </w:r>
          </w:p>
        </w:tc>
      </w:tr>
      <w:tr w14:paraId="70CF9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5223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58B89">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8040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财富港存民谣酒馆</w:t>
            </w:r>
          </w:p>
        </w:tc>
      </w:tr>
      <w:tr w14:paraId="1AE01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B0E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9F9D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8698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M会员店西南门入口</w:t>
            </w:r>
          </w:p>
        </w:tc>
      </w:tr>
      <w:tr w14:paraId="7CF87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D5F7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7612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302A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M会员店东南门入口</w:t>
            </w:r>
          </w:p>
        </w:tc>
      </w:tr>
      <w:tr w14:paraId="557E3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EFF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CCCAA">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4DB1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M会员店西北门入口</w:t>
            </w:r>
          </w:p>
        </w:tc>
      </w:tr>
      <w:tr w14:paraId="11798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201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87015">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C8AF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少年宫西入口</w:t>
            </w:r>
          </w:p>
        </w:tc>
      </w:tr>
      <w:tr w14:paraId="434B0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971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549C9">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0780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新市局大楼南门入口</w:t>
            </w:r>
          </w:p>
        </w:tc>
      </w:tr>
      <w:tr w14:paraId="0975A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7CE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E348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6028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海棠园金茂府2号楼西侧</w:t>
            </w:r>
          </w:p>
        </w:tc>
      </w:tr>
      <w:tr w14:paraId="251E0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6D1B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79</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DEF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新河派出所</w:t>
            </w: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F8E3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新河新村1区398号</w:t>
            </w:r>
          </w:p>
        </w:tc>
      </w:tr>
      <w:tr w14:paraId="5B84F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67A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8A213">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4AC9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新河新村1区72号</w:t>
            </w:r>
          </w:p>
        </w:tc>
      </w:tr>
      <w:tr w14:paraId="6B1DA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261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80919">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092D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新河新村1区352号</w:t>
            </w:r>
          </w:p>
        </w:tc>
      </w:tr>
      <w:tr w14:paraId="16980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BAC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5D30C">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8882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新墩花园东区22号楼</w:t>
            </w:r>
          </w:p>
        </w:tc>
      </w:tr>
      <w:tr w14:paraId="288ED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73B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ACD8A">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74DB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文墩新村51号</w:t>
            </w:r>
          </w:p>
        </w:tc>
      </w:tr>
      <w:tr w14:paraId="3585B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18B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4C5E5">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8DF6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文墩新村九支渠桥交汇处铁门</w:t>
            </w:r>
          </w:p>
        </w:tc>
      </w:tr>
      <w:tr w14:paraId="069A3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679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C62F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3FC5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新墩花园西区6号楼</w:t>
            </w:r>
          </w:p>
        </w:tc>
      </w:tr>
      <w:tr w14:paraId="0535E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3C05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3D98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2377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新墩花园西区北南门</w:t>
            </w:r>
          </w:p>
        </w:tc>
      </w:tr>
      <w:tr w14:paraId="76DD2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CA78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DA473">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5314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新业别墅北小区内部道路东侧</w:t>
            </w:r>
          </w:p>
        </w:tc>
      </w:tr>
      <w:tr w14:paraId="0B81F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D9E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E2A94">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82D2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新河商业街商贸城82号和98号之间</w:t>
            </w:r>
          </w:p>
        </w:tc>
      </w:tr>
      <w:tr w14:paraId="36DC0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9DD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44E6C">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E764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水厂北侧外面河道</w:t>
            </w:r>
          </w:p>
        </w:tc>
      </w:tr>
      <w:tr w14:paraId="0C351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E93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13A0A">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4520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新业别墅北小区内部道路北侧</w:t>
            </w:r>
          </w:p>
        </w:tc>
      </w:tr>
      <w:tr w14:paraId="28FAD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BCD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F77F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A8AB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新业别墅与串场河交界出口</w:t>
            </w:r>
          </w:p>
        </w:tc>
      </w:tr>
      <w:tr w14:paraId="7346C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AEE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4365E">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2D77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新业别墅南小区公厕门口</w:t>
            </w:r>
          </w:p>
        </w:tc>
      </w:tr>
      <w:tr w14:paraId="4CACB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986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1722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02DF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新业别墅篮球场</w:t>
            </w:r>
          </w:p>
        </w:tc>
      </w:tr>
      <w:tr w14:paraId="21E8D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3FD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529B1">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1F96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伏河路与三墩村各路口交界1</w:t>
            </w:r>
          </w:p>
        </w:tc>
      </w:tr>
      <w:tr w14:paraId="7996A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D10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628BC">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9902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伏河路与新都路交界</w:t>
            </w:r>
          </w:p>
        </w:tc>
      </w:tr>
      <w:tr w14:paraId="69E3F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A88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BBC0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21B0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开放大道与夏碧路交界</w:t>
            </w:r>
          </w:p>
        </w:tc>
      </w:tr>
      <w:tr w14:paraId="20160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E5B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C86CF">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D72D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文港路与夏碧路交界</w:t>
            </w:r>
          </w:p>
        </w:tc>
      </w:tr>
      <w:tr w14:paraId="53685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749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98</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046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新都派出所</w:t>
            </w: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4226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娱乐社区卫生院熊氏早点北门</w:t>
            </w:r>
          </w:p>
        </w:tc>
      </w:tr>
      <w:tr w14:paraId="55DF8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F2D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5FEC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56CA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华林文印南向北</w:t>
            </w:r>
          </w:p>
        </w:tc>
      </w:tr>
      <w:tr w14:paraId="26E29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AC2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C834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E239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华夏路与尧舜路交汇口</w:t>
            </w:r>
          </w:p>
        </w:tc>
      </w:tr>
      <w:tr w14:paraId="481A6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A2E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F00D0">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DD89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尧舜路8-14号</w:t>
            </w:r>
          </w:p>
        </w:tc>
      </w:tr>
      <w:tr w14:paraId="0532C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E05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7C09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224B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杏林大酒店</w:t>
            </w:r>
          </w:p>
        </w:tc>
      </w:tr>
      <w:tr w14:paraId="4089B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88E7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C7044">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FED7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开元路咸货火锅</w:t>
            </w:r>
          </w:p>
        </w:tc>
      </w:tr>
      <w:tr w14:paraId="4DC38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502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E566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E9A3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开元路有意思</w:t>
            </w:r>
          </w:p>
        </w:tc>
      </w:tr>
      <w:tr w14:paraId="09D71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CEF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8C7C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F86D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开元路4-5号</w:t>
            </w:r>
          </w:p>
        </w:tc>
      </w:tr>
      <w:tr w14:paraId="0624E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414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A939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2318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开元路8-6号</w:t>
            </w:r>
          </w:p>
        </w:tc>
      </w:tr>
      <w:tr w14:paraId="534B3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E01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571A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9B48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福裕路010号路灯杆</w:t>
            </w:r>
          </w:p>
        </w:tc>
      </w:tr>
      <w:tr w14:paraId="69DC8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29DC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CFAD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1E1E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恒荣世家幼儿园北门</w:t>
            </w:r>
          </w:p>
        </w:tc>
      </w:tr>
      <w:tr w14:paraId="56F5D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8DE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F036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281F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福裕路13-8号</w:t>
            </w:r>
          </w:p>
        </w:tc>
      </w:tr>
      <w:tr w14:paraId="5B3F5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90A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638FE">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D17C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文星书店</w:t>
            </w:r>
          </w:p>
        </w:tc>
      </w:tr>
      <w:tr w14:paraId="1C31E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AA8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81EE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1ED9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康乐苑西门外商业街最北头</w:t>
            </w:r>
          </w:p>
        </w:tc>
      </w:tr>
      <w:tr w14:paraId="4C827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A50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3C9D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9705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康乐苑西门外商业街路旁北侧最北头</w:t>
            </w:r>
          </w:p>
        </w:tc>
      </w:tr>
      <w:tr w14:paraId="5A8FF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92D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8A3AE">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208E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康乐苑西门外</w:t>
            </w:r>
          </w:p>
        </w:tc>
      </w:tr>
      <w:tr w14:paraId="7108A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210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D01BE">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3FF4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康乐苑西门外商业街路旁南侧最南头</w:t>
            </w:r>
          </w:p>
        </w:tc>
      </w:tr>
      <w:tr w14:paraId="2570F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FDE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68268">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F459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康乐苑西门外北侧打边炉对面</w:t>
            </w:r>
          </w:p>
        </w:tc>
      </w:tr>
      <w:tr w14:paraId="0EA43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2161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ED6A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1717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魔力月光西北广场</w:t>
            </w:r>
          </w:p>
        </w:tc>
      </w:tr>
      <w:tr w14:paraId="10CAD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238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2C73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A7E1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魔力月光西广场塔斯汀附近</w:t>
            </w:r>
          </w:p>
        </w:tc>
      </w:tr>
      <w:tr w14:paraId="1282E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A02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AEFF5">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CB9F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魔力月光西广场麦当劳附近</w:t>
            </w:r>
          </w:p>
        </w:tc>
      </w:tr>
      <w:tr w14:paraId="70E6C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477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B4D37">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C056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凤鸣缇香商业街ALPARTY附近</w:t>
            </w:r>
          </w:p>
        </w:tc>
      </w:tr>
      <w:tr w14:paraId="52AB1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285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BD520">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690C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云邦国际南出口处</w:t>
            </w:r>
          </w:p>
        </w:tc>
      </w:tr>
      <w:tr w14:paraId="74A3D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322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FE26A">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A2F9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云邦国际北出入口</w:t>
            </w:r>
          </w:p>
        </w:tc>
      </w:tr>
      <w:tr w14:paraId="24878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0EC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704C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908C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云邦国际南出入口</w:t>
            </w:r>
          </w:p>
        </w:tc>
      </w:tr>
      <w:tr w14:paraId="59D1D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69A5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5D54C">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481B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云邦国际京东电器大楼西南角</w:t>
            </w:r>
          </w:p>
        </w:tc>
      </w:tr>
      <w:tr w14:paraId="679C7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581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92351">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E306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金大洋南门外</w:t>
            </w:r>
          </w:p>
        </w:tc>
      </w:tr>
      <w:tr w14:paraId="1BAFE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625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125</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41A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娱乐场所</w:t>
            </w: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DA73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金鹰天地一号楼</w:t>
            </w:r>
          </w:p>
        </w:tc>
      </w:tr>
      <w:tr w14:paraId="3BE1B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E10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D8514">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2A4B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金鹰天地一号楼负一层</w:t>
            </w:r>
          </w:p>
        </w:tc>
      </w:tr>
      <w:tr w14:paraId="46FE7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A08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64FC4">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C5EB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金鹰天河二号楼</w:t>
            </w:r>
          </w:p>
        </w:tc>
      </w:tr>
      <w:tr w14:paraId="4B556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18E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2898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9F2D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金鹰天地二号楼负一层</w:t>
            </w:r>
          </w:p>
        </w:tc>
      </w:tr>
      <w:tr w14:paraId="38676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45C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86E47">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B1D4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云川台球俱乐部</w:t>
            </w:r>
          </w:p>
        </w:tc>
      </w:tr>
      <w:tr w14:paraId="67684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046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E047C">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18C8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赤道酒吧北</w:t>
            </w:r>
          </w:p>
        </w:tc>
      </w:tr>
      <w:tr w14:paraId="1F8C2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F1B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C29EF">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0386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赤道酒吧</w:t>
            </w:r>
          </w:p>
        </w:tc>
      </w:tr>
      <w:tr w14:paraId="72E83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BAA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94F6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FAF0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赤道酒吧后</w:t>
            </w:r>
          </w:p>
        </w:tc>
      </w:tr>
      <w:tr w14:paraId="2C347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2F0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2532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8DEC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南附医东北角大楼西北角</w:t>
            </w:r>
          </w:p>
        </w:tc>
      </w:tr>
      <w:tr w14:paraId="065AD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286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66E4A">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A0CB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宝龙东广场北角</w:t>
            </w:r>
          </w:p>
        </w:tc>
      </w:tr>
      <w:tr w14:paraId="25A59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9AC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545BC">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96D1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宝龙东广场南角</w:t>
            </w:r>
          </w:p>
        </w:tc>
      </w:tr>
      <w:tr w14:paraId="2F9FF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0523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0F37A">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990F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M会员店内部出入口</w:t>
            </w:r>
          </w:p>
        </w:tc>
      </w:tr>
      <w:tr w14:paraId="20A8A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C07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BD0B0">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28B8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中南城出口5台设备替换</w:t>
            </w:r>
          </w:p>
        </w:tc>
      </w:tr>
      <w:tr w14:paraId="03E25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88E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138</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D521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开放式住宅</w:t>
            </w: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F96B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三产开发带(三号地块)</w:t>
            </w:r>
          </w:p>
        </w:tc>
      </w:tr>
      <w:tr w14:paraId="2CB04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AC5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42AC7">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BEE6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黄海商住楼(黄海家属区)</w:t>
            </w:r>
          </w:p>
        </w:tc>
      </w:tr>
      <w:tr w14:paraId="0F5BE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304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39288">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61C1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三产组团</w:t>
            </w:r>
          </w:p>
        </w:tc>
      </w:tr>
      <w:tr w14:paraId="45F62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C90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2937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52D2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拆迁办开发楼</w:t>
            </w:r>
          </w:p>
        </w:tc>
      </w:tr>
      <w:tr w14:paraId="49729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19E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3E853">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05D6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中坪饮料厂宿舍楼</w:t>
            </w:r>
          </w:p>
        </w:tc>
      </w:tr>
      <w:tr w14:paraId="4FA2A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BEA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EC9B3">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1DF7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凯凯旅社楼</w:t>
            </w:r>
          </w:p>
        </w:tc>
      </w:tr>
      <w:tr w14:paraId="6F6C4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CB6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D3373">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C6BD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凯凯旅社楼2</w:t>
            </w:r>
          </w:p>
        </w:tc>
      </w:tr>
      <w:tr w14:paraId="64714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F92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9D6C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0CF9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社区商住楼</w:t>
            </w:r>
          </w:p>
        </w:tc>
      </w:tr>
      <w:tr w14:paraId="27A5B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8FA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146</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7E2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串场河高空</w:t>
            </w: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5489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金融城16号楼</w:t>
            </w:r>
          </w:p>
        </w:tc>
      </w:tr>
      <w:tr w14:paraId="3A917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3F6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60E7F">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7079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金色水岸4号楼</w:t>
            </w:r>
          </w:p>
        </w:tc>
      </w:tr>
      <w:tr w14:paraId="432F9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78E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C953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8629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晶都悦府1号楼</w:t>
            </w:r>
          </w:p>
        </w:tc>
      </w:tr>
      <w:tr w14:paraId="275EA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090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FF9A5">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7B07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玲珑河畔5号楼</w:t>
            </w:r>
          </w:p>
        </w:tc>
      </w:tr>
      <w:tr w14:paraId="50AF3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4689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3573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D1A4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阳光御园17号楼</w:t>
            </w:r>
          </w:p>
        </w:tc>
      </w:tr>
      <w:tr w14:paraId="33BD2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28B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151</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C9D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闸口</w:t>
            </w: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FB28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通榆河大桥南</w:t>
            </w:r>
          </w:p>
        </w:tc>
      </w:tr>
      <w:tr w14:paraId="2E823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212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378E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F329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通榆大桥</w:t>
            </w:r>
          </w:p>
        </w:tc>
      </w:tr>
      <w:tr w14:paraId="2DEDE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08A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FBD5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27B0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伍佑大桥</w:t>
            </w:r>
          </w:p>
        </w:tc>
      </w:tr>
      <w:tr w14:paraId="231A5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0DA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2089A">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CE18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伍佑港闸站门口</w:t>
            </w:r>
          </w:p>
        </w:tc>
      </w:tr>
      <w:tr w14:paraId="3B89E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41E3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155</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6976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边界</w:t>
            </w: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3B3C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伍佑水产公司村部与便仓交界处</w:t>
            </w:r>
          </w:p>
        </w:tc>
      </w:tr>
      <w:tr w14:paraId="0F01D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CC34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9FE60">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42E2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公荡九组与亭湖边界</w:t>
            </w:r>
          </w:p>
        </w:tc>
      </w:tr>
      <w:tr w14:paraId="43905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0EC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463EA">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B00F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通榆河大桥世纪大道段</w:t>
            </w:r>
          </w:p>
        </w:tc>
      </w:tr>
      <w:tr w14:paraId="36FF2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015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92143">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09D7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通榆河大桥盐渎路段</w:t>
            </w:r>
          </w:p>
        </w:tc>
      </w:tr>
      <w:tr w14:paraId="57426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647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C18F4">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B029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通榆河大桥新都路段</w:t>
            </w:r>
          </w:p>
        </w:tc>
      </w:tr>
      <w:tr w14:paraId="6929E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C49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26828">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CB61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宏心四组与亭湖边界</w:t>
            </w:r>
          </w:p>
        </w:tc>
      </w:tr>
      <w:tr w14:paraId="6DD74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BD3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E668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FE06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步湖路与盐都边界</w:t>
            </w:r>
          </w:p>
        </w:tc>
      </w:tr>
      <w:tr w14:paraId="0FA73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73C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CDB9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A4E6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盐南高新区污水处理厂</w:t>
            </w:r>
          </w:p>
        </w:tc>
      </w:tr>
      <w:tr w14:paraId="69C2C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ECE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ABDDA">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DE21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南环路与通榆河交界</w:t>
            </w:r>
          </w:p>
        </w:tc>
      </w:tr>
      <w:tr w14:paraId="3454C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DAD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57388">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B1AC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伍佑大桥东南</w:t>
            </w:r>
          </w:p>
        </w:tc>
      </w:tr>
      <w:tr w14:paraId="5B12A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11E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23BC9">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C379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彭家舍</w:t>
            </w:r>
          </w:p>
        </w:tc>
      </w:tr>
      <w:tr w14:paraId="53045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0BA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54A1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A748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公荡七组</w:t>
            </w:r>
          </w:p>
        </w:tc>
      </w:tr>
      <w:tr w14:paraId="737D2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5258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A23EF">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120C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公荡七组西</w:t>
            </w:r>
          </w:p>
        </w:tc>
      </w:tr>
      <w:tr w14:paraId="2C9C5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A40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168</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FDF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市局需求</w:t>
            </w: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AEC0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市局。诉讼服务中心高空</w:t>
            </w:r>
          </w:p>
        </w:tc>
      </w:tr>
      <w:tr w14:paraId="3229B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E9D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00324">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E20B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市局。诉讼服务中心</w:t>
            </w:r>
          </w:p>
        </w:tc>
      </w:tr>
      <w:tr w14:paraId="4E324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1393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70BD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FA65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市局。交通银行城中支行</w:t>
            </w:r>
          </w:p>
        </w:tc>
      </w:tr>
      <w:tr w14:paraId="75535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545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3CBB4">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0E0F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市局。中国人保盐城中心支公司凤凰汇北楼10楼</w:t>
            </w:r>
          </w:p>
        </w:tc>
      </w:tr>
      <w:tr w14:paraId="14F01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CE9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DBF29">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7810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市局要求，南金鹰西北门</w:t>
            </w:r>
          </w:p>
        </w:tc>
      </w:tr>
      <w:tr w14:paraId="24D5F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6AA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9B247">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EB0E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市局新大楼北门</w:t>
            </w:r>
          </w:p>
        </w:tc>
      </w:tr>
      <w:tr w14:paraId="6E579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42C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B2B2A">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9C2B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奥体一号公寓楼1栋</w:t>
            </w:r>
          </w:p>
        </w:tc>
      </w:tr>
      <w:tr w14:paraId="01186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A45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0A47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55E3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大数据字母楼南楼</w:t>
            </w:r>
          </w:p>
        </w:tc>
      </w:tr>
      <w:tr w14:paraId="037AF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4D9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30FB8">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6DE6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市局新大楼西南角</w:t>
            </w:r>
          </w:p>
        </w:tc>
      </w:tr>
      <w:tr w14:paraId="74748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5D1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5672E">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8C0E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市局新大楼东南角</w:t>
            </w:r>
          </w:p>
        </w:tc>
      </w:tr>
      <w:tr w14:paraId="29E0D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2956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317D3">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8249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串场中路与青年路高架交汇处</w:t>
            </w:r>
          </w:p>
        </w:tc>
      </w:tr>
      <w:tr w14:paraId="3D2D1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910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0165A">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7599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市局。魔力月光南侧7号楼</w:t>
            </w:r>
          </w:p>
        </w:tc>
      </w:tr>
      <w:tr w14:paraId="17C19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EB5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180</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7B9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公寓补盲</w:t>
            </w: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2487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魔力月光公寓6号楼负一层</w:t>
            </w:r>
          </w:p>
        </w:tc>
      </w:tr>
      <w:tr w14:paraId="5739C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3C0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BF9DA">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F992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魔力月光公寓7号楼负一层</w:t>
            </w:r>
          </w:p>
        </w:tc>
      </w:tr>
      <w:tr w14:paraId="7EF97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D91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F5C1F">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0C1C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明珠苑北区11号楼入口</w:t>
            </w:r>
          </w:p>
        </w:tc>
      </w:tr>
      <w:tr w14:paraId="53C62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347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682D1">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1981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汇景大厦</w:t>
            </w:r>
          </w:p>
        </w:tc>
      </w:tr>
      <w:tr w14:paraId="05A59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05E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3687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B849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大数据南区人才公寓</w:t>
            </w:r>
          </w:p>
        </w:tc>
      </w:tr>
      <w:tr w14:paraId="03BC0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7DDE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41930">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2C79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盐城市盐南高新区戴庄路37号中南世纪城荣城2栋北侧出口处</w:t>
            </w:r>
          </w:p>
        </w:tc>
      </w:tr>
      <w:tr w14:paraId="2D44C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1A3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F8467">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560A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中南世纪城13期-16号楼</w:t>
            </w:r>
          </w:p>
        </w:tc>
      </w:tr>
      <w:tr w14:paraId="532EF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1EA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62CFF">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33BC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万科翡翠云台31栋</w:t>
            </w:r>
          </w:p>
        </w:tc>
      </w:tr>
      <w:tr w14:paraId="581F6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F0E7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10FD5">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AE5D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中南世纪城景城二区17栋</w:t>
            </w:r>
          </w:p>
        </w:tc>
      </w:tr>
      <w:tr w14:paraId="0A8C0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7B9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BA53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E92D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中南三期7号楼1单元</w:t>
            </w:r>
          </w:p>
        </w:tc>
      </w:tr>
      <w:tr w14:paraId="3E4A8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3985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59CA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1F4A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中南三期7号楼2单元</w:t>
            </w:r>
          </w:p>
        </w:tc>
      </w:tr>
      <w:tr w14:paraId="42A0B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CE2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22465">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370D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中南三期7号楼3单元</w:t>
            </w:r>
          </w:p>
        </w:tc>
      </w:tr>
      <w:tr w14:paraId="26E8B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DDF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840E8">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D66A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金庭苑公寓楼</w:t>
            </w:r>
          </w:p>
        </w:tc>
      </w:tr>
      <w:tr w14:paraId="787EC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861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050C1">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0A2E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紫薇曼哈顿</w:t>
            </w:r>
          </w:p>
        </w:tc>
      </w:tr>
      <w:tr w14:paraId="3B869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824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90CFF">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EAD4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丽都怡园1号楼入口</w:t>
            </w:r>
          </w:p>
        </w:tc>
      </w:tr>
      <w:tr w14:paraId="03325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3CE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DCFC3">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79AA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丽都怡园2号楼入口</w:t>
            </w:r>
          </w:p>
        </w:tc>
      </w:tr>
      <w:tr w14:paraId="21FEB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69B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C1E9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5058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橡树湾乐美公寓</w:t>
            </w:r>
          </w:p>
        </w:tc>
      </w:tr>
      <w:tr w14:paraId="1F2DD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401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9021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F899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奥体一号公寓楼</w:t>
            </w:r>
          </w:p>
        </w:tc>
      </w:tr>
      <w:tr w14:paraId="1B177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81D7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333A7">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E192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中江外滩城公寓楼（51号楼）</w:t>
            </w:r>
          </w:p>
        </w:tc>
      </w:tr>
      <w:tr w14:paraId="2180F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78E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A0B6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1569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中南九期17号楼</w:t>
            </w:r>
          </w:p>
        </w:tc>
      </w:tr>
      <w:tr w14:paraId="68176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C02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7CFB5">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FAEE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丽都怡园1号楼地下车库出口</w:t>
            </w:r>
          </w:p>
        </w:tc>
      </w:tr>
      <w:tr w14:paraId="38D30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F0A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537E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F391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丽都怡园2号楼地下车库入口</w:t>
            </w:r>
          </w:p>
        </w:tc>
      </w:tr>
      <w:tr w14:paraId="6920A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252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AC7AF">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D1B0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凤凰汇3栋入口</w:t>
            </w:r>
          </w:p>
        </w:tc>
      </w:tr>
      <w:tr w14:paraId="4F7A7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81B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735BE">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B97E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凤凰汇2栋入口</w:t>
            </w:r>
          </w:p>
        </w:tc>
      </w:tr>
      <w:tr w14:paraId="0C420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95F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E09C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25A2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明珠苑北区11号楼地下车库</w:t>
            </w:r>
          </w:p>
        </w:tc>
      </w:tr>
      <w:tr w14:paraId="36456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AEA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1348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EC09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汇景大厦南入口</w:t>
            </w:r>
          </w:p>
        </w:tc>
      </w:tr>
      <w:tr w14:paraId="4B888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346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0FAD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ED6D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大数据产业园菁英公寓人行入口</w:t>
            </w:r>
          </w:p>
        </w:tc>
      </w:tr>
      <w:tr w14:paraId="0E39E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0DA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C6921">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2E30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大数据产业园菁英公寓北侧地下车库入口</w:t>
            </w:r>
          </w:p>
        </w:tc>
      </w:tr>
      <w:tr w14:paraId="07569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DF8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55FE5">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2D22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万科翡翠云台31栋负一楼入口</w:t>
            </w:r>
          </w:p>
        </w:tc>
      </w:tr>
      <w:tr w14:paraId="0F7AE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A476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BDA9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44F2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橡树湾乐美公寓地下主出入口</w:t>
            </w:r>
          </w:p>
        </w:tc>
      </w:tr>
      <w:tr w14:paraId="0FCB6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739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C3D0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D83D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盐城市盐南高新区戴庄路37号中南世纪城荣城2栋负一楼</w:t>
            </w:r>
          </w:p>
        </w:tc>
      </w:tr>
      <w:tr w14:paraId="11B53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6AC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9152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AC46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盐城市盐南高新区戴庄路37号中南世纪城荣城2栋负二楼</w:t>
            </w:r>
          </w:p>
        </w:tc>
      </w:tr>
      <w:tr w14:paraId="1A185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B44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7D624">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564C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中南世纪城13期-16号楼</w:t>
            </w:r>
          </w:p>
        </w:tc>
      </w:tr>
      <w:tr w14:paraId="71FB3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A9E0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1E96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F4F1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中南世纪城珺城2栋一单元地下</w:t>
            </w:r>
          </w:p>
        </w:tc>
      </w:tr>
      <w:tr w14:paraId="29179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C58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A69A7">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B7FA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中南世纪城珺城2栋二单元东地下</w:t>
            </w:r>
          </w:p>
        </w:tc>
      </w:tr>
      <w:tr w14:paraId="6A003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B33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42AE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C5D8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中南世纪城珺城2栋二单元西地下</w:t>
            </w:r>
          </w:p>
        </w:tc>
      </w:tr>
      <w:tr w14:paraId="69D85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3D4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D5774">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764A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中南世纪城珺城1栋西地下</w:t>
            </w:r>
          </w:p>
        </w:tc>
      </w:tr>
      <w:tr w14:paraId="60A4A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557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BF64C">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0FA7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中南世纪城珺城1栋东地下</w:t>
            </w:r>
          </w:p>
        </w:tc>
      </w:tr>
      <w:tr w14:paraId="1CF39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862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2A975">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7A08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大有境银座负一层</w:t>
            </w:r>
          </w:p>
        </w:tc>
      </w:tr>
      <w:tr w14:paraId="3E4B8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594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F1D71">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F349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大有境银座负二层</w:t>
            </w:r>
          </w:p>
        </w:tc>
      </w:tr>
      <w:tr w14:paraId="79515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AFE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6C5CE">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C9BB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大有境鼎座负一层</w:t>
            </w:r>
          </w:p>
        </w:tc>
      </w:tr>
      <w:tr w14:paraId="4C75F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663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C6329">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4538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大有境鼎座负二层</w:t>
            </w:r>
          </w:p>
        </w:tc>
      </w:tr>
      <w:tr w14:paraId="02E55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66E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9A3D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BDEA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大有境金座负一层</w:t>
            </w:r>
          </w:p>
        </w:tc>
      </w:tr>
      <w:tr w14:paraId="22EFC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1AD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38B3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46D2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大有境金座负二层</w:t>
            </w:r>
          </w:p>
        </w:tc>
      </w:tr>
      <w:tr w14:paraId="0A3EF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C34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17178">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7AAE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魔力月光公寓6号楼负一层小货梯</w:t>
            </w:r>
          </w:p>
        </w:tc>
      </w:tr>
      <w:tr w14:paraId="61BE4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A21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E6B2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2AB0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魔力月光公寓7号楼负一层小货梯</w:t>
            </w:r>
          </w:p>
        </w:tc>
      </w:tr>
      <w:tr w14:paraId="52304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6243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2271E">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E7B7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财富港东楼</w:t>
            </w:r>
          </w:p>
        </w:tc>
      </w:tr>
      <w:tr w14:paraId="6FC2E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918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2DCB7">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182F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财富港西楼</w:t>
            </w:r>
          </w:p>
        </w:tc>
      </w:tr>
      <w:tr w14:paraId="7ED5A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006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DD0C0">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0CCF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财富港西楼负一层</w:t>
            </w:r>
          </w:p>
        </w:tc>
      </w:tr>
      <w:tr w14:paraId="4D199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169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229</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7BA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盐南普通住宅</w:t>
            </w: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465F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学林雅苑北门朝北</w:t>
            </w:r>
          </w:p>
        </w:tc>
      </w:tr>
      <w:tr w14:paraId="41EB1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D662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C0F25">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3C48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大宇花苑北门</w:t>
            </w:r>
          </w:p>
        </w:tc>
      </w:tr>
      <w:tr w14:paraId="3A970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904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052B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92D9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悦珑湾铂府东门</w:t>
            </w:r>
          </w:p>
        </w:tc>
      </w:tr>
      <w:tr w14:paraId="410DB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AAD6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F00FA">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C100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悦珑湾铂府南门机动车</w:t>
            </w:r>
          </w:p>
        </w:tc>
      </w:tr>
      <w:tr w14:paraId="20FD5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61D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E3D68">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2889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悦珑湾铂府南门人行</w:t>
            </w:r>
          </w:p>
        </w:tc>
      </w:tr>
      <w:tr w14:paraId="7CBB5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623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1ADF0">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1E29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大宇花苑南门</w:t>
            </w:r>
          </w:p>
        </w:tc>
      </w:tr>
      <w:tr w14:paraId="2BD4C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D88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15653">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F3E7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万科瑧园（聚拢东方）-南门机动车道</w:t>
            </w:r>
          </w:p>
        </w:tc>
      </w:tr>
      <w:tr w14:paraId="31F7C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750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33EB5">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F59A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中环紫郡-北门</w:t>
            </w:r>
          </w:p>
        </w:tc>
      </w:tr>
      <w:tr w14:paraId="42FFE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961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1E5C1">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1898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新丰花园-北门</w:t>
            </w:r>
          </w:p>
        </w:tc>
      </w:tr>
      <w:tr w14:paraId="5013B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BC0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94075">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9F7C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香苑小区-南门</w:t>
            </w:r>
          </w:p>
        </w:tc>
      </w:tr>
      <w:tr w14:paraId="28016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580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F516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FB6B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香苑西园-东门</w:t>
            </w:r>
          </w:p>
        </w:tc>
      </w:tr>
      <w:tr w14:paraId="4BD31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40B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AAB4E">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794C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宏图伟厦嘉园-西门</w:t>
            </w:r>
          </w:p>
        </w:tc>
      </w:tr>
      <w:tr w14:paraId="5E5EA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88B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8E32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8948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恒荣世家-北门</w:t>
            </w:r>
          </w:p>
        </w:tc>
      </w:tr>
      <w:tr w14:paraId="6FACE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064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CBF2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2B53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高力金色果缘-东中门</w:t>
            </w:r>
          </w:p>
        </w:tc>
      </w:tr>
      <w:tr w14:paraId="56753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3A4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81424">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9FCB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凤凰汇天泽府-东门</w:t>
            </w:r>
          </w:p>
        </w:tc>
      </w:tr>
      <w:tr w14:paraId="34E06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2D94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6D72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AFEA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大宇花苑-东</w:t>
            </w:r>
          </w:p>
        </w:tc>
      </w:tr>
      <w:tr w14:paraId="5CBA7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609B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F76E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8CCD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城南印象花园-西门</w:t>
            </w:r>
          </w:p>
        </w:tc>
      </w:tr>
      <w:tr w14:paraId="2715B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1F5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7E578">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E293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锦盛豪庭（南郡东区）-西门</w:t>
            </w:r>
          </w:p>
        </w:tc>
      </w:tr>
      <w:tr w14:paraId="26462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643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4209F">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C7EB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鹏润花园-南区北人行</w:t>
            </w:r>
          </w:p>
        </w:tc>
      </w:tr>
      <w:tr w14:paraId="7953F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516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5A7D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EAB3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金棠名邸-北主入口</w:t>
            </w:r>
          </w:p>
        </w:tc>
      </w:tr>
      <w:tr w14:paraId="5C319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8DC4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99D6C">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9E8B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中南世纪城悦城二区-南门地下停车场</w:t>
            </w:r>
          </w:p>
        </w:tc>
      </w:tr>
      <w:tr w14:paraId="44122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2DA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82570">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91C8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中南世纪城悦城二区-西门</w:t>
            </w:r>
          </w:p>
        </w:tc>
      </w:tr>
      <w:tr w14:paraId="0F252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3246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8DBB0">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A75D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中南世纪城荣城-西门</w:t>
            </w:r>
          </w:p>
        </w:tc>
      </w:tr>
      <w:tr w14:paraId="3ACCB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3F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C447A">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7A36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中南世纪城荣城二区-西门</w:t>
            </w:r>
          </w:p>
        </w:tc>
      </w:tr>
      <w:tr w14:paraId="5AE3C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DAF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CF814">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ED2E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中南世纪城荣城二区-东门</w:t>
            </w:r>
          </w:p>
        </w:tc>
      </w:tr>
      <w:tr w14:paraId="22D07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74D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9DE87">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A1DF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中南世纪城康城-北门</w:t>
            </w:r>
          </w:p>
        </w:tc>
      </w:tr>
      <w:tr w14:paraId="574E7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AE7F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903E0">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8550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中南世纪城康城-东门</w:t>
            </w:r>
          </w:p>
        </w:tc>
      </w:tr>
      <w:tr w14:paraId="30D3C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3E08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D5B9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D3A8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中南世纪城康城-东南门</w:t>
            </w:r>
          </w:p>
        </w:tc>
      </w:tr>
      <w:tr w14:paraId="649FF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98E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F8CAE">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FAA4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中南世纪城康城-南门</w:t>
            </w:r>
          </w:p>
        </w:tc>
      </w:tr>
      <w:tr w14:paraId="53069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665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8BDE9">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0F60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中南世纪城珺城-南门</w:t>
            </w:r>
          </w:p>
        </w:tc>
      </w:tr>
      <w:tr w14:paraId="52BA8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2BD8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90699">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91BF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中南世纪城珺城-西门</w:t>
            </w:r>
          </w:p>
        </w:tc>
      </w:tr>
      <w:tr w14:paraId="3B72B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482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B2B3A">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B52B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海兴中央公园小区-东门</w:t>
            </w:r>
          </w:p>
        </w:tc>
      </w:tr>
      <w:tr w14:paraId="21433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E99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57861">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1195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伍冈花园-北门</w:t>
            </w:r>
          </w:p>
        </w:tc>
      </w:tr>
      <w:tr w14:paraId="20E1E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076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AAB7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89AA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望府景园-西门</w:t>
            </w:r>
          </w:p>
        </w:tc>
      </w:tr>
      <w:tr w14:paraId="5CC8A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ECC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185D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A73A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万悦花园-北区南</w:t>
            </w:r>
          </w:p>
        </w:tc>
      </w:tr>
      <w:tr w14:paraId="61914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999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D89D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248C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万悦花园-南区北</w:t>
            </w:r>
          </w:p>
        </w:tc>
      </w:tr>
      <w:tr w14:paraId="72DDC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318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6C63F">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DDB3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中海万锦北园-西出口</w:t>
            </w:r>
          </w:p>
        </w:tc>
      </w:tr>
      <w:tr w14:paraId="07A3E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89A1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1DA07">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42A4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荣悦华府-北门</w:t>
            </w:r>
          </w:p>
        </w:tc>
      </w:tr>
      <w:tr w14:paraId="60C9C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D80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9C187">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B426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璀璨天城-北区东门</w:t>
            </w:r>
          </w:p>
        </w:tc>
      </w:tr>
      <w:tr w14:paraId="0F236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BE8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5E29D">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91A5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奥体一号-东门</w:t>
            </w:r>
          </w:p>
        </w:tc>
      </w:tr>
      <w:tr w14:paraId="6BB55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50D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85998">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0F99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奥体一号-西门</w:t>
            </w:r>
          </w:p>
        </w:tc>
      </w:tr>
      <w:tr w14:paraId="4A5A3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219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C033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B704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奥体一号-消防门</w:t>
            </w:r>
          </w:p>
        </w:tc>
      </w:tr>
      <w:tr w14:paraId="024BA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FD0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514C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676A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奥体一号-南门</w:t>
            </w:r>
          </w:p>
        </w:tc>
      </w:tr>
      <w:tr w14:paraId="095C0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3BB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04261">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B25E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奥体玫瑰园A区-西门</w:t>
            </w:r>
          </w:p>
        </w:tc>
      </w:tr>
      <w:tr w14:paraId="122CF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73E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57241">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936A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奥体玫瑰园A区-西北门</w:t>
            </w:r>
          </w:p>
        </w:tc>
      </w:tr>
      <w:tr w14:paraId="3DF97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FFE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5164E">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7EEF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中江嘉城-西小门1</w:t>
            </w:r>
          </w:p>
        </w:tc>
      </w:tr>
      <w:tr w14:paraId="666A8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A5C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7C5A7">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9D47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中江嘉城-西小门2</w:t>
            </w:r>
          </w:p>
        </w:tc>
      </w:tr>
      <w:tr w14:paraId="25DB1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6C1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6A533">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719C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明日家园-东北小门</w:t>
            </w:r>
          </w:p>
        </w:tc>
      </w:tr>
      <w:tr w14:paraId="3240F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447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A3107">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FCB6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兴邦蓝海公园-东门</w:t>
            </w:r>
          </w:p>
        </w:tc>
      </w:tr>
      <w:tr w14:paraId="4192E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C7F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5DEDA">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57B3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兴邦蓝海公园-南门人行</w:t>
            </w:r>
          </w:p>
        </w:tc>
      </w:tr>
      <w:tr w14:paraId="27452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1D3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FB58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B93C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新佳城-南门北侧</w:t>
            </w:r>
          </w:p>
        </w:tc>
      </w:tr>
      <w:tr w14:paraId="60557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0B2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8EDF8">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CA4B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龙湖天奕-西门</w:t>
            </w:r>
          </w:p>
        </w:tc>
      </w:tr>
      <w:tr w14:paraId="11B67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9A1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D0373">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6489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龙湖天奕-北门</w:t>
            </w:r>
          </w:p>
        </w:tc>
      </w:tr>
      <w:tr w14:paraId="465BA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91E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17064">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67F0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玲珑河畔-东门</w:t>
            </w:r>
          </w:p>
        </w:tc>
      </w:tr>
      <w:tr w14:paraId="25EB2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B4F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7EAB5">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4D5B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玲珑河畔-南门</w:t>
            </w:r>
          </w:p>
        </w:tc>
      </w:tr>
      <w:tr w14:paraId="7E557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FAE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101C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BB12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海棠金茂府-东北门</w:t>
            </w:r>
          </w:p>
        </w:tc>
      </w:tr>
      <w:tr w14:paraId="4C698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365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CFAEE">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27B3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海棠金茂府-南门</w:t>
            </w:r>
          </w:p>
        </w:tc>
      </w:tr>
      <w:tr w14:paraId="0712F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C944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91DD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B093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君启花园-北门</w:t>
            </w:r>
          </w:p>
        </w:tc>
      </w:tr>
      <w:tr w14:paraId="21A90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1AD2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68C9F">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5EEF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君启花园-西门</w:t>
            </w:r>
          </w:p>
        </w:tc>
      </w:tr>
      <w:tr w14:paraId="2E8B4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390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82259">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D1DE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海富花园-南门（2）</w:t>
            </w:r>
          </w:p>
        </w:tc>
      </w:tr>
      <w:tr w14:paraId="6AD25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829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D993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B45F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万科瑧园（聚拢东方）-北门</w:t>
            </w:r>
          </w:p>
        </w:tc>
      </w:tr>
      <w:tr w14:paraId="5A9DF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40DF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6D155">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4B0A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万科瑧园（聚拢东方）-南门非机动车道</w:t>
            </w:r>
          </w:p>
        </w:tc>
      </w:tr>
      <w:tr w14:paraId="166D2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AD8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3444C">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E54A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万科璞园（星汇东方）-北门</w:t>
            </w:r>
          </w:p>
        </w:tc>
      </w:tr>
      <w:tr w14:paraId="178C0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A38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6DA44">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0CA1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万科璞园（星汇东方）-西门</w:t>
            </w:r>
          </w:p>
        </w:tc>
      </w:tr>
      <w:tr w14:paraId="52593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011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D6371">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631D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盐城金地中心樾府-东门</w:t>
            </w:r>
          </w:p>
        </w:tc>
      </w:tr>
      <w:tr w14:paraId="23C4B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53A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0AE56">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B27D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盐城金地中心樾府-南门人行</w:t>
            </w:r>
          </w:p>
        </w:tc>
      </w:tr>
      <w:tr w14:paraId="2FFB2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B06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295</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CC307">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E35E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盐城金地中心樾府-南门车库</w:t>
            </w:r>
          </w:p>
        </w:tc>
      </w:tr>
      <w:tr w14:paraId="5CED2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5E3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296</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166FE">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464F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金棠名邸-北地下车库</w:t>
            </w:r>
          </w:p>
        </w:tc>
      </w:tr>
      <w:tr w14:paraId="5505F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AB20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297</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A3944">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C0AB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鹏润花园-南区北地下车库</w:t>
            </w:r>
          </w:p>
        </w:tc>
      </w:tr>
      <w:tr w14:paraId="34752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C26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298</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23F3A">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EBD6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兴邦蓝海公园-南门地下出库</w:t>
            </w:r>
          </w:p>
        </w:tc>
      </w:tr>
      <w:tr w14:paraId="05791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EBD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299</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6D949">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7047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新佳城-南门西侧</w:t>
            </w:r>
          </w:p>
        </w:tc>
      </w:tr>
      <w:tr w14:paraId="0145F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41B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300</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54F6C">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BB5E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新佳城-南门地下车库入口</w:t>
            </w:r>
          </w:p>
        </w:tc>
      </w:tr>
      <w:tr w14:paraId="6B991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B72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301</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645AC">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FE2E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金水湾北门</w:t>
            </w:r>
          </w:p>
        </w:tc>
      </w:tr>
      <w:tr w14:paraId="34218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391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302</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B0EE2">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BC0F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中南世纪城悦城二区-南门人行</w:t>
            </w:r>
          </w:p>
        </w:tc>
      </w:tr>
      <w:tr w14:paraId="2A8EA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47D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303</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46C0B">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51D3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中南世纪城悦城二区-西南门</w:t>
            </w:r>
          </w:p>
        </w:tc>
      </w:tr>
      <w:tr w14:paraId="30327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BDA8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304</w:t>
            </w: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A901F">
            <w:pPr>
              <w:jc w:val="center"/>
              <w:rPr>
                <w:rFonts w:hint="eastAsia" w:ascii="宋体" w:hAnsi="宋体" w:eastAsia="宋体" w:cs="宋体"/>
                <w:i w:val="0"/>
                <w:iCs w:val="0"/>
                <w:color w:val="auto"/>
                <w:sz w:val="21"/>
                <w:szCs w:val="21"/>
                <w:u w:val="none"/>
              </w:rPr>
            </w:pPr>
          </w:p>
        </w:tc>
        <w:tc>
          <w:tcPr>
            <w:tcW w:w="6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8D57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中南世纪城景城一期-南门</w:t>
            </w:r>
          </w:p>
        </w:tc>
      </w:tr>
    </w:tbl>
    <w:p w14:paraId="51DE1BB2">
      <w:pPr>
        <w:keepNext w:val="0"/>
        <w:keepLines w:val="0"/>
        <w:pageBreakBefore w:val="0"/>
        <w:widowControl w:val="0"/>
        <w:kinsoku/>
        <w:wordWrap/>
        <w:overflowPunct/>
        <w:topLinePunct w:val="0"/>
        <w:bidi w:val="0"/>
        <w:spacing w:line="360" w:lineRule="auto"/>
        <w:ind w:firstLine="422" w:firstLineChars="200"/>
        <w:jc w:val="left"/>
        <w:rPr>
          <w:rFonts w:hint="default"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注：电子版图纸</w:t>
      </w:r>
    </w:p>
    <w:p w14:paraId="4A149BCF">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通过网盘分享的文件：（CAD版本）盐城市公安局盐南高新技术产业开发区分局智慧安防村居三期图纸.zip</w:t>
      </w:r>
    </w:p>
    <w:p w14:paraId="4223E9B8">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eastAsia="宋体" w:cs="宋体"/>
          <w:b/>
          <w:bCs/>
          <w:color w:val="auto"/>
          <w:sz w:val="21"/>
          <w:szCs w:val="21"/>
          <w:highlight w:val="none"/>
          <w:lang w:val="en-US" w:eastAsia="zh-CN"/>
        </w:rPr>
      </w:pPr>
      <w:r>
        <w:rPr>
          <w:rFonts w:hint="eastAsia" w:ascii="宋体" w:hAnsi="宋体" w:cs="宋体"/>
          <w:b/>
          <w:bCs w:val="0"/>
          <w:color w:val="auto"/>
          <w:sz w:val="21"/>
          <w:szCs w:val="21"/>
          <w:highlight w:val="none"/>
          <w:lang w:val="en-US" w:eastAsia="zh-CN"/>
        </w:rPr>
        <w:t>链接:https://pan.baidu.com/s/1Mt8XjRnVrW5l6M7GeR-18Q?pwd=nw2u 提取码: nw2u</w:t>
      </w:r>
    </w:p>
    <w:p w14:paraId="1061839A">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三</w:t>
      </w:r>
      <w:r>
        <w:rPr>
          <w:rFonts w:hint="eastAsia" w:ascii="宋体" w:hAnsi="宋体" w:eastAsia="宋体" w:cs="宋体"/>
          <w:b/>
          <w:bCs/>
          <w:color w:val="auto"/>
          <w:sz w:val="21"/>
          <w:szCs w:val="21"/>
          <w:lang w:eastAsia="zh-CN"/>
        </w:rPr>
        <w:t>、相关要求</w:t>
      </w:r>
    </w:p>
    <w:p w14:paraId="2E013DD0">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1.工期要求：</w:t>
      </w:r>
      <w:r>
        <w:rPr>
          <w:rFonts w:hint="eastAsia" w:ascii="宋体" w:hAnsi="宋体" w:eastAsia="宋体" w:cs="宋体"/>
          <w:color w:val="auto"/>
          <w:sz w:val="21"/>
          <w:szCs w:val="21"/>
          <w:lang w:eastAsia="zh-CN"/>
        </w:rPr>
        <w:t>90日历天（具体开工日期以采购人通知为准）。</w:t>
      </w:r>
    </w:p>
    <w:p w14:paraId="73C15C59">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2.付款方式：</w:t>
      </w:r>
    </w:p>
    <w:p w14:paraId="6B2EE642">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2.1合同签订后10个工作日内（自收到发票之日起），甲方支付乙方合同价的30%作为预付款；</w:t>
      </w:r>
    </w:p>
    <w:p w14:paraId="24DED88D">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2.2项目供货完毕，安装、调试结束并通过甲方验收合格后，可付至合同款的60%，项目变更减少的按实际完成工程量付款，增加工程量变更、签证部分在审计结论出具之前暂不付款；</w:t>
      </w:r>
    </w:p>
    <w:p w14:paraId="4DB3D069">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2.3竣工验收合格后，区里相关部门实施一审，按审定价的70%支付，余款待区里相关审计部门二审结束后或盐城市审计局政府审计结束后，可按审计价的97%付款。质保金待质保期满经移交验收合格后，根据考核条款扣除相关考核金（扣完为止）最终结清。</w:t>
      </w:r>
    </w:p>
    <w:p w14:paraId="22CD0353">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2.4对盐城市审计局未出具政府审计报告但已出具经复核结束《审计结果函》，且明确提出建设单位可按审计结果办理相关价款结算的，视同最终政府审计报告办理结算。</w:t>
      </w:r>
    </w:p>
    <w:p w14:paraId="0F7E137A">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对市审计局未出具政府审计报告但已出具未经复核《审计结果函》的，按市审计局的付款建议且不高于80%付款。</w:t>
      </w:r>
    </w:p>
    <w:p w14:paraId="73D01BF8">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每次付款前乙方需开具合法有效的增值税专票（开具付款金额）给采购人，以上付款均无银行利息，一律通过银行结转。</w:t>
      </w:r>
    </w:p>
    <w:p w14:paraId="57A65C78">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lang w:val="en-US" w:eastAsia="zh-CN"/>
        </w:rPr>
        <w:t>四</w:t>
      </w:r>
      <w:r>
        <w:rPr>
          <w:rFonts w:hint="eastAsia" w:ascii="宋体" w:hAnsi="宋体" w:eastAsia="宋体" w:cs="宋体"/>
          <w:b/>
          <w:bCs/>
          <w:color w:val="auto"/>
          <w:sz w:val="21"/>
          <w:szCs w:val="21"/>
          <w:lang w:eastAsia="zh-CN"/>
        </w:rPr>
        <w:t>、质量要求：</w:t>
      </w:r>
      <w:r>
        <w:rPr>
          <w:rFonts w:hint="eastAsia" w:ascii="宋体" w:hAnsi="宋体" w:eastAsia="宋体" w:cs="宋体"/>
          <w:color w:val="auto"/>
          <w:sz w:val="21"/>
          <w:szCs w:val="21"/>
          <w:lang w:eastAsia="zh-CN"/>
        </w:rPr>
        <w:t>合格，须满足招标方各项要求。</w:t>
      </w:r>
    </w:p>
    <w:p w14:paraId="22C5912A">
      <w:pPr>
        <w:pStyle w:val="26"/>
        <w:keepNext w:val="0"/>
        <w:keepLines w:val="0"/>
        <w:pageBreakBefore w:val="0"/>
        <w:widowControl w:val="0"/>
        <w:kinsoku/>
        <w:wordWrap/>
        <w:overflowPunct/>
        <w:topLinePunct w:val="0"/>
        <w:bidi w:val="0"/>
        <w:spacing w:line="360" w:lineRule="auto"/>
        <w:ind w:left="0" w:firstLine="422" w:firstLineChars="200"/>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五</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项目要求：</w:t>
      </w:r>
    </w:p>
    <w:p w14:paraId="013E62C7">
      <w:pPr>
        <w:keepNext w:val="0"/>
        <w:keepLines w:val="0"/>
        <w:pageBreakBefore w:val="0"/>
        <w:widowControl w:val="0"/>
        <w:kinsoku/>
        <w:wordWrap/>
        <w:overflowPunct/>
        <w:topLinePunct w:val="0"/>
        <w:bidi w:val="0"/>
        <w:spacing w:line="360" w:lineRule="auto"/>
        <w:ind w:firstLine="422" w:firstLineChars="200"/>
        <w:jc w:val="left"/>
        <w:textAlignment w:val="baseline"/>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lang w:eastAsia="zh-CN"/>
        </w:rPr>
        <w:t>.质量及其他要求：</w:t>
      </w:r>
    </w:p>
    <w:p w14:paraId="4D5391BA">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.1质量保证：项目验收后合格</w:t>
      </w:r>
      <w:r>
        <w:rPr>
          <w:rFonts w:hint="eastAsia" w:ascii="宋体" w:hAnsi="宋体" w:eastAsia="宋体" w:cs="宋体"/>
          <w:b/>
          <w:bCs/>
          <w:color w:val="auto"/>
          <w:sz w:val="21"/>
          <w:szCs w:val="21"/>
          <w:lang w:eastAsia="zh-CN"/>
        </w:rPr>
        <w:t>叁年</w:t>
      </w:r>
      <w:r>
        <w:rPr>
          <w:rFonts w:hint="eastAsia" w:ascii="宋体" w:hAnsi="宋体" w:eastAsia="宋体" w:cs="宋体"/>
          <w:color w:val="auto"/>
          <w:sz w:val="21"/>
          <w:szCs w:val="21"/>
          <w:lang w:eastAsia="zh-CN"/>
        </w:rPr>
        <w:t>免费维保。在免费保修内，非人为破坏，投标人应负责免费更换保修；</w:t>
      </w:r>
    </w:p>
    <w:p w14:paraId="4A0BCCFC">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.2服务要求：投标人在收到维护、维修通知后，</w:t>
      </w:r>
      <w:r>
        <w:rPr>
          <w:rFonts w:hint="eastAsia" w:ascii="宋体" w:hAnsi="宋体" w:eastAsia="宋体" w:cs="宋体"/>
          <w:color w:val="auto"/>
          <w:sz w:val="21"/>
          <w:szCs w:val="21"/>
          <w:u w:val="single"/>
          <w:lang w:eastAsia="zh-CN"/>
        </w:rPr>
        <w:t>1</w:t>
      </w:r>
      <w:r>
        <w:rPr>
          <w:rFonts w:hint="eastAsia" w:ascii="宋体" w:hAnsi="宋体" w:eastAsia="宋体" w:cs="宋体"/>
          <w:color w:val="auto"/>
          <w:sz w:val="21"/>
          <w:szCs w:val="21"/>
          <w:lang w:eastAsia="zh-CN"/>
        </w:rPr>
        <w:t>小时内做出响应，并在1个工作日内提出解决方案并得到招标人认可后，按期保质维修到位。如未及时响应或未及时提出解决方案或未按期解决，招标人有权委托第三方维修，维修费用由投标人承担；</w:t>
      </w:r>
    </w:p>
    <w:p w14:paraId="0413DEF6">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eastAsia="宋体" w:cs="宋体"/>
          <w:color w:val="auto"/>
          <w:sz w:val="21"/>
          <w:szCs w:val="21"/>
          <w:lang w:eastAsia="zh-CN"/>
        </w:rPr>
      </w:pPr>
      <w:r>
        <w:rPr>
          <w:rFonts w:hint="eastAsia" w:ascii="宋体" w:hAnsi="宋体" w:eastAsia="宋体" w:cs="宋体"/>
          <w:b/>
          <w:color w:val="auto"/>
          <w:sz w:val="21"/>
          <w:szCs w:val="21"/>
          <w:lang w:val="en-US" w:eastAsia="zh-CN"/>
        </w:rPr>
        <w:t>1</w:t>
      </w:r>
      <w:r>
        <w:rPr>
          <w:rFonts w:hint="eastAsia" w:ascii="宋体" w:hAnsi="宋体" w:eastAsia="宋体" w:cs="宋体"/>
          <w:b/>
          <w:color w:val="auto"/>
          <w:sz w:val="21"/>
          <w:szCs w:val="21"/>
          <w:lang w:eastAsia="zh-CN"/>
        </w:rPr>
        <w:t>.3签订合同时本项目经理资格证书须交于招标人管理。</w:t>
      </w:r>
    </w:p>
    <w:p w14:paraId="7D531F00">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lang w:eastAsia="zh-CN"/>
        </w:rPr>
        <w:t>.4特别说明（要求）：投标人必须严格遵守有关操作规定（行业服务规范等）与安全规定等相关规定，做好施工人员实名制管理工作，加强对施工人员的安全教育，并为施工人员交纳人身意外伤害保险。服务期（服务期包括施工期、质保期）内，产生的任何安全事故（含对第三方产生的损害）均由投标人负责及承担，与招标人无关（详见附件：</w:t>
      </w:r>
      <w:r>
        <w:rPr>
          <w:rFonts w:hint="eastAsia" w:ascii="宋体" w:hAnsi="宋体" w:eastAsia="宋体" w:cs="宋体"/>
          <w:b/>
          <w:bCs/>
          <w:color w:val="auto"/>
          <w:kern w:val="2"/>
          <w:sz w:val="21"/>
          <w:szCs w:val="21"/>
          <w:lang w:eastAsia="zh-CN"/>
        </w:rPr>
        <w:t>安全生产合同</w:t>
      </w:r>
      <w:r>
        <w:rPr>
          <w:rFonts w:hint="eastAsia" w:ascii="宋体" w:hAnsi="宋体" w:eastAsia="宋体" w:cs="宋体"/>
          <w:b/>
          <w:bCs/>
          <w:color w:val="auto"/>
          <w:sz w:val="21"/>
          <w:szCs w:val="21"/>
          <w:lang w:eastAsia="zh-CN"/>
        </w:rPr>
        <w:t>）。</w:t>
      </w:r>
    </w:p>
    <w:p w14:paraId="77A43CC4">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.5投标人须严格落实在投标文件中所提供的“实施方案”等，有1项未落的违约金按照合同价的1%扣款处理，有2项及以上未落实的招标人有权解除合同，同时由此造成的损失均由投标人承担。</w:t>
      </w:r>
    </w:p>
    <w:p w14:paraId="50B3B354">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.6中标通知书发出后30日内须与招标人签订合同，合同签订后</w:t>
      </w:r>
      <w:r>
        <w:rPr>
          <w:rFonts w:hint="eastAsia" w:ascii="宋体" w:hAnsi="宋体" w:eastAsia="宋体" w:cs="宋体"/>
          <w:color w:val="auto"/>
          <w:sz w:val="21"/>
          <w:szCs w:val="21"/>
          <w:lang w:val="en-US" w:eastAsia="zh-CN"/>
        </w:rPr>
        <w:t>90</w:t>
      </w:r>
      <w:r>
        <w:rPr>
          <w:rFonts w:hint="eastAsia" w:ascii="宋体" w:hAnsi="宋体" w:eastAsia="宋体" w:cs="宋体"/>
          <w:color w:val="auto"/>
          <w:sz w:val="21"/>
          <w:szCs w:val="21"/>
          <w:lang w:eastAsia="zh-CN"/>
        </w:rPr>
        <w:t>天内须竣工并申请采购人验收，超过工期完成的，违约金按照合同价的2‰/日扣款处理，在限期内未完成的招标人将直接委托第三方代为赶工，所发生的实际费用由投标人承担，同时接受招标人以每次10000元的经济处罚，相关费用直接从应付工程款项中扣除。拒绝执行上述条款的，招标人有权清退招标人，同时由此造成的损失均由投标人承担，并承担违约责任。</w:t>
      </w:r>
    </w:p>
    <w:p w14:paraId="79AADEF4">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lang w:eastAsia="zh-CN"/>
        </w:rPr>
        <w:t>.现场踏勘</w:t>
      </w:r>
    </w:p>
    <w:p w14:paraId="35EE11CE">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1根据现场的实际情况将本工程可预见的相关费用自行考虑到投标报价中。招标人向投标人提供的有关现场的数据和资料，是招标人现有的能够被投标人利用的资料，招标人对投标人做出的任何推论、理解和结论均不负责任。</w:t>
      </w:r>
      <w:r>
        <w:rPr>
          <w:rFonts w:hint="eastAsia" w:ascii="宋体" w:hAnsi="宋体" w:eastAsia="宋体" w:cs="宋体"/>
          <w:b/>
          <w:bCs/>
          <w:color w:val="auto"/>
          <w:sz w:val="21"/>
          <w:szCs w:val="21"/>
          <w:u w:val="single"/>
          <w:lang w:eastAsia="zh-CN"/>
        </w:rPr>
        <w:t>因本项目报价需联系现场实际情况，所以各投标人投标前应踏勘现场以了解项目实际情况（包括进出场道路及施工作业面情况、采购人需达成的施工效果等）。现场踏勘时须确保完全了解项目情况，并充分考虑各项足以影响承包价格的情况。本项目施工时场内、外矛盾由施工单位自行解决并承担费用，中标后不得以未踏勘现场或踏勘现场不细致而消极怠工或要求增加费用。投标人的现场踏勘行为有任何费用、责任须自行承担，不得因此使采招标人承担有关的责任和蒙受损失。</w:t>
      </w:r>
    </w:p>
    <w:p w14:paraId="0D0DDACC">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eastAsia="宋体" w:cs="宋体"/>
          <w:b/>
          <w:bCs/>
          <w:color w:val="auto"/>
          <w:sz w:val="21"/>
          <w:szCs w:val="21"/>
          <w:u w:val="single"/>
          <w:lang w:eastAsia="zh-CN"/>
        </w:rPr>
      </w:pPr>
      <w:r>
        <w:rPr>
          <w:rFonts w:hint="eastAsia" w:ascii="宋体" w:hAnsi="宋体" w:eastAsia="宋体" w:cs="宋体"/>
          <w:b/>
          <w:bCs/>
          <w:color w:val="auto"/>
          <w:sz w:val="21"/>
          <w:szCs w:val="21"/>
          <w:u w:val="single"/>
          <w:lang w:eastAsia="zh-CN"/>
        </w:rPr>
        <w:t>踏勘地点:（人民南路5号）；</w:t>
      </w:r>
    </w:p>
    <w:p w14:paraId="43396587">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eastAsia="宋体" w:cs="宋体"/>
          <w:b/>
          <w:bCs/>
          <w:color w:val="auto"/>
          <w:sz w:val="21"/>
          <w:szCs w:val="21"/>
          <w:u w:val="single"/>
          <w:lang w:eastAsia="zh-CN"/>
        </w:rPr>
      </w:pPr>
      <w:r>
        <w:rPr>
          <w:rFonts w:hint="eastAsia" w:ascii="宋体" w:hAnsi="宋体" w:eastAsia="宋体" w:cs="宋体"/>
          <w:b/>
          <w:bCs/>
          <w:color w:val="auto"/>
          <w:sz w:val="21"/>
          <w:szCs w:val="21"/>
          <w:u w:val="single"/>
          <w:lang w:eastAsia="zh-CN"/>
        </w:rPr>
        <w:t>联系人：杭警官  电话：</w:t>
      </w:r>
      <w:r>
        <w:rPr>
          <w:rFonts w:hint="eastAsia" w:ascii="宋体" w:hAnsi="宋体" w:eastAsia="宋体" w:cs="宋体"/>
          <w:b/>
          <w:bCs/>
          <w:color w:val="auto"/>
          <w:sz w:val="21"/>
          <w:szCs w:val="21"/>
          <w:u w:val="single"/>
          <w:lang w:val="en-US" w:eastAsia="zh-CN"/>
        </w:rPr>
        <w:t>18751427548</w:t>
      </w:r>
    </w:p>
    <w:p w14:paraId="0DE638BF">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.2供应商踏勘现场发生的费用自理，自行承担在踏勘现场中所发生的人员伤亡和财产损失。</w:t>
      </w:r>
    </w:p>
    <w:p w14:paraId="2C5EE5C6">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.3投标人于202</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eastAsia="zh-CN"/>
        </w:rPr>
        <w:t>年</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lang w:eastAsia="zh-CN"/>
        </w:rPr>
        <w:t>月</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eastAsia="zh-CN"/>
        </w:rPr>
        <w:t>日</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lang w:eastAsia="zh-CN"/>
        </w:rPr>
        <w:t>202</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eastAsia="zh-CN"/>
        </w:rPr>
        <w:t>年</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lang w:eastAsia="zh-CN"/>
        </w:rPr>
        <w:t>月</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lang w:eastAsia="zh-CN"/>
        </w:rPr>
        <w:t>日至采购项目现场进行勘察，投标人应当充分了解项目位置、情况、道路、储存空间、装卸限制及任何其它足以影响报价的情况，并根据现场的实际情况将可预见的相关费用（包括地方矛盾）自行考虑到投标报价中。</w:t>
      </w:r>
    </w:p>
    <w:p w14:paraId="400A8205">
      <w:pPr>
        <w:tabs>
          <w:tab w:val="left" w:pos="720"/>
          <w:tab w:val="left" w:pos="1080"/>
        </w:tabs>
        <w:spacing w:line="520" w:lineRule="exact"/>
        <w:ind w:firstLine="480"/>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lang w:eastAsia="zh-CN"/>
        </w:rPr>
        <w:t>.投标报价要求</w:t>
      </w:r>
    </w:p>
    <w:p w14:paraId="0AFF0846">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lang w:eastAsia="zh-CN"/>
        </w:rPr>
        <w:t>.1投标报价为投标人在投标文件中提出的各项支付金额的总和。投标报价应包括投标人在承诺工期内，达到投标人所承诺的质量标准，为完成本工程采购文件及招标清单所确定的招标范围内的全部内容，所需要支付的一切费用和拟获得的利润、税金，并考虑了应承担的风险。凡漏项或少计均视为已包含在本次投标报价的范围内，采购人不再另行增加费用，竣工结算时综合单价不调整，工程量按实结算。</w:t>
      </w:r>
    </w:p>
    <w:p w14:paraId="666024E7">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cs="宋体"/>
          <w:b/>
          <w:bCs w:val="0"/>
          <w:color w:val="auto"/>
          <w:sz w:val="21"/>
          <w:szCs w:val="21"/>
          <w:lang w:val="en-US" w:eastAsia="zh-CN"/>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2投标报价的方式：固定单价报价。合同采用“固定单价合同”，以体现风险共担的原则。由采购人提供招标清单，投标人以招标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p>
    <w:p w14:paraId="646D1F07">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eastAsia="宋体" w:cs="宋体"/>
          <w:b/>
          <w:bCs w:val="0"/>
          <w:color w:val="auto"/>
          <w:sz w:val="21"/>
          <w:szCs w:val="21"/>
          <w:lang w:val="zh-CN" w:eastAsia="zh-CN"/>
        </w:rPr>
      </w:pPr>
      <w:r>
        <w:rPr>
          <w:rFonts w:hint="eastAsia" w:ascii="宋体" w:hAnsi="宋体" w:cs="宋体"/>
          <w:b/>
          <w:bCs w:val="0"/>
          <w:color w:val="auto"/>
          <w:sz w:val="21"/>
          <w:szCs w:val="21"/>
          <w:lang w:val="en-US" w:eastAsia="zh-CN"/>
        </w:rPr>
        <w:t>4.</w:t>
      </w:r>
      <w:r>
        <w:rPr>
          <w:rFonts w:hint="eastAsia" w:ascii="宋体" w:hAnsi="宋体" w:eastAsia="宋体" w:cs="宋体"/>
          <w:b/>
          <w:bCs w:val="0"/>
          <w:color w:val="auto"/>
          <w:sz w:val="21"/>
          <w:szCs w:val="21"/>
          <w:lang w:val="zh-CN" w:eastAsia="zh-CN"/>
        </w:rPr>
        <w:t>运营商链路租赁要求</w:t>
      </w:r>
    </w:p>
    <w:p w14:paraId="0DBD084B">
      <w:pPr>
        <w:tabs>
          <w:tab w:val="left" w:pos="720"/>
          <w:tab w:val="left" w:pos="1080"/>
        </w:tabs>
        <w:spacing w:line="520" w:lineRule="exact"/>
        <w:ind w:firstLine="480"/>
        <w:rPr>
          <w:rFonts w:hint="eastAsia" w:ascii="宋体" w:hAnsi="宋体" w:eastAsia="宋体" w:cs="宋体"/>
          <w:b/>
          <w:color w:val="auto"/>
          <w:sz w:val="21"/>
          <w:szCs w:val="21"/>
          <w:highlight w:val="none"/>
          <w:lang w:val="en-US" w:eastAsia="zh-CN"/>
        </w:rPr>
      </w:pPr>
      <w:r>
        <w:rPr>
          <w:rFonts w:hint="eastAsia" w:ascii="宋体" w:hAnsi="宋体" w:eastAsia="宋体" w:cs="宋体"/>
          <w:bCs/>
          <w:i/>
          <w:iCs/>
          <w:color w:val="auto"/>
          <w:sz w:val="21"/>
          <w:szCs w:val="21"/>
          <w:u w:val="single"/>
          <w:lang w:val="zh-CN"/>
        </w:rPr>
        <w:t>带宽规划：根据本项目的点位定义标准，按每个点位带宽需求来定。本项目采用后台集中存储，运营商需保证各条链路峰值数据量的需求。同时能根据业务带宽使用情况进行优化调整，保证各前端监控点网络顺畅，本项目运营商所采用的路由、猫等网络交换设备需为全新，不得使用老旧设备影响网络，相关费用各投标人综合考虑进投标报价。（投标时提供该项内容单独承诺书原件扫描件（格式自拟），否则按未实质性响应处理）</w:t>
      </w:r>
    </w:p>
    <w:p w14:paraId="3FCD7279">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六、</w:t>
      </w:r>
      <w:r>
        <w:rPr>
          <w:rFonts w:hint="eastAsia" w:ascii="宋体" w:hAnsi="宋体" w:eastAsia="宋体" w:cs="宋体"/>
          <w:b/>
          <w:color w:val="auto"/>
          <w:sz w:val="21"/>
          <w:szCs w:val="21"/>
          <w:highlight w:val="none"/>
          <w:lang w:eastAsia="zh-CN"/>
        </w:rPr>
        <w:t>业绩</w:t>
      </w:r>
    </w:p>
    <w:p w14:paraId="6D780425">
      <w:pPr>
        <w:tabs>
          <w:tab w:val="left" w:pos="720"/>
          <w:tab w:val="left" w:pos="1080"/>
        </w:tabs>
        <w:spacing w:line="520" w:lineRule="exact"/>
        <w:ind w:firstLine="48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eastAsia="zh-CN"/>
        </w:rPr>
        <w:t>年</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CN" w:eastAsia="zh-CN"/>
        </w:rPr>
        <w:t>月1日以来（以合同签订日期为准），投标人具有类似智能化项目业绩的</w:t>
      </w:r>
      <w:r>
        <w:rPr>
          <w:rFonts w:hint="eastAsia" w:ascii="宋体" w:hAnsi="宋体" w:eastAsia="宋体" w:cs="宋体"/>
          <w:color w:val="auto"/>
          <w:sz w:val="21"/>
          <w:szCs w:val="21"/>
          <w:highlight w:val="none"/>
          <w:lang w:val="en-US" w:eastAsia="zh-CN"/>
        </w:rPr>
        <w:t>优先</w:t>
      </w:r>
      <w:r>
        <w:rPr>
          <w:rFonts w:hint="eastAsia" w:ascii="宋体" w:hAnsi="宋体" w:eastAsia="宋体" w:cs="宋体"/>
          <w:color w:val="auto"/>
          <w:sz w:val="21"/>
          <w:szCs w:val="21"/>
          <w:highlight w:val="none"/>
          <w:lang w:val="zh-CN"/>
        </w:rPr>
        <w:t>。</w:t>
      </w:r>
    </w:p>
    <w:p w14:paraId="7B705BF1">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七、企业实力</w:t>
      </w:r>
    </w:p>
    <w:p w14:paraId="14BA2ED7">
      <w:pPr>
        <w:tabs>
          <w:tab w:val="left" w:pos="720"/>
          <w:tab w:val="left" w:pos="1080"/>
        </w:tabs>
        <w:spacing w:line="520" w:lineRule="exact"/>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为了择优选择中标人，体现企业实力，</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lang w:val="en-US" w:eastAsia="zh-CN"/>
        </w:rPr>
        <w:t>具有投标人具有服务质量服务认证证书、</w:t>
      </w:r>
      <w:r>
        <w:rPr>
          <w:rFonts w:hint="eastAsia" w:ascii="宋体" w:hAnsi="宋体" w:eastAsia="宋体" w:cs="宋体"/>
          <w:color w:val="auto"/>
          <w:sz w:val="21"/>
          <w:szCs w:val="21"/>
          <w:highlight w:val="none"/>
          <w:vertAlign w:val="baseline"/>
          <w:lang w:val="en-US" w:eastAsia="zh-CN"/>
        </w:rPr>
        <w:t>培训管理体系认证证书、</w:t>
      </w:r>
      <w:r>
        <w:rPr>
          <w:rFonts w:hint="eastAsia" w:ascii="宋体" w:hAnsi="宋体" w:eastAsia="宋体" w:cs="宋体"/>
          <w:color w:val="auto"/>
          <w:sz w:val="21"/>
          <w:szCs w:val="21"/>
          <w:highlight w:val="none"/>
          <w:lang w:val="en-US" w:eastAsia="zh-CN"/>
        </w:rPr>
        <w:t>数字资产服务认证证书等级为五星级</w:t>
      </w:r>
      <w:r>
        <w:rPr>
          <w:rFonts w:hint="eastAsia" w:ascii="宋体" w:hAnsi="宋体" w:eastAsia="宋体" w:cs="宋体"/>
          <w:color w:val="auto"/>
          <w:sz w:val="21"/>
          <w:szCs w:val="21"/>
          <w:highlight w:val="none"/>
          <w:vertAlign w:val="baseline"/>
          <w:lang w:val="en-US" w:eastAsia="zh-CN"/>
        </w:rPr>
        <w:t>，认证范围包含：计算机信息系统运维</w:t>
      </w:r>
      <w:r>
        <w:rPr>
          <w:rFonts w:hint="eastAsia" w:ascii="宋体" w:hAnsi="宋体" w:eastAsia="宋体" w:cs="宋体"/>
          <w:color w:val="auto"/>
          <w:sz w:val="21"/>
          <w:szCs w:val="21"/>
          <w:highlight w:val="none"/>
          <w:lang w:val="en-US" w:eastAsia="zh-CN"/>
        </w:rPr>
        <w:t>、</w:t>
      </w:r>
      <w:r>
        <w:rPr>
          <w:rFonts w:hint="eastAsia" w:ascii="宋体" w:hAnsi="宋体" w:eastAsia="宋体" w:cs="宋体"/>
          <w:b/>
          <w:bCs/>
          <w:color w:val="auto"/>
          <w:sz w:val="21"/>
          <w:szCs w:val="21"/>
          <w:highlight w:val="none"/>
          <w:vertAlign w:val="baseline"/>
          <w:lang w:val="en-US" w:eastAsia="zh-CN"/>
        </w:rPr>
        <w:t>质量管理体系认证证书（建设施工行业质量管理体系符合ISO9001），认证范围包含：电子与智能化工程施工、建筑装修装饰工程施工、</w:t>
      </w:r>
      <w:r>
        <w:rPr>
          <w:rFonts w:hint="eastAsia" w:ascii="宋体" w:hAnsi="宋体" w:eastAsia="宋体" w:cs="宋体"/>
          <w:color w:val="auto"/>
          <w:sz w:val="21"/>
          <w:szCs w:val="21"/>
          <w:highlight w:val="none"/>
          <w:lang w:val="en-US" w:eastAsia="zh-CN"/>
        </w:rPr>
        <w:t>具有视频监控故障自动判断及主动巡检类软件著作权、基于智能视频安全数据防护系统类系统软件著作权证书的优先。</w:t>
      </w:r>
    </w:p>
    <w:p w14:paraId="7D47D15B">
      <w:pPr>
        <w:pStyle w:val="34"/>
        <w:numPr>
          <w:ilvl w:val="0"/>
          <w:numId w:val="0"/>
        </w:numPr>
        <w:ind w:left="420" w:leftChars="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八、人员配备</w:t>
      </w:r>
    </w:p>
    <w:p w14:paraId="73427E12">
      <w:pPr>
        <w:pStyle w:val="17"/>
        <w:keepNext w:val="0"/>
        <w:keepLines w:val="0"/>
        <w:pageBreakBefore w:val="0"/>
        <w:widowControl w:val="0"/>
        <w:spacing w:line="360" w:lineRule="auto"/>
        <w:ind w:firstLine="482"/>
        <w:rPr>
          <w:rFonts w:hint="eastAsia" w:ascii="宋体" w:hAnsi="宋体" w:cs="宋体" w:eastAsiaTheme="minorEastAsia"/>
          <w:color w:val="auto"/>
          <w:kern w:val="2"/>
          <w:sz w:val="21"/>
          <w:szCs w:val="21"/>
          <w:highlight w:val="yellow"/>
          <w:lang w:val="en-US" w:eastAsia="zh-CN" w:bidi="ar-SA"/>
        </w:rPr>
      </w:pPr>
      <w:r>
        <w:rPr>
          <w:rFonts w:hint="eastAsia" w:ascii="宋体" w:hAnsi="宋体" w:cs="宋体" w:eastAsiaTheme="minorEastAsia"/>
          <w:color w:val="auto"/>
          <w:kern w:val="2"/>
          <w:sz w:val="21"/>
          <w:szCs w:val="21"/>
          <w:highlight w:val="none"/>
          <w:lang w:val="en-US" w:eastAsia="zh-CN" w:bidi="ar-SA"/>
        </w:rPr>
        <w:t>为了确保项目的顺利实施，在项目实施过程中，投标人应高度重视专业人员的配备工作，确保各个环节都有相应的专业人才进行精准对接和高效执行。投标人为本项目配备丰富的服务团队，技术负责人具有人社部门颁发的信息系统项目管理师证书（软考）、具有人社部门颁发的网络工程师证书（软考）、具有正高级工程师（信息与通信专业）职称证书的优先；项目组成员(除技术负责人外)具有人社部门颁发的网络工程师证书（软考）、人社部门颁发的系统集成项目管理工程师（软考）、人社部门颁发的信息系统管理工程师（软考）、人社部门颁发的高级系统架构设计师（软考）、人社部门颁发的网络规划设计师证书（软考）、高级工程师（互联网与信息系统·信息化专业）职称证书的优先。</w:t>
      </w:r>
    </w:p>
    <w:p w14:paraId="5A4DCB16">
      <w:pPr>
        <w:pStyle w:val="17"/>
        <w:keepNext w:val="0"/>
        <w:keepLines w:val="0"/>
        <w:pageBreakBefore w:val="0"/>
        <w:widowControl w:val="0"/>
        <w:spacing w:line="360" w:lineRule="auto"/>
        <w:ind w:firstLine="48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九、实施方案</w:t>
      </w:r>
    </w:p>
    <w:p w14:paraId="7CE58793">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bidi="ar"/>
        </w:rPr>
      </w:pPr>
      <w:bookmarkStart w:id="173" w:name="OLE_LINK3"/>
      <w:r>
        <w:rPr>
          <w:rFonts w:hint="eastAsia" w:ascii="宋体" w:hAnsi="宋体" w:eastAsia="宋体" w:cs="宋体"/>
          <w:b w:val="0"/>
          <w:bCs/>
          <w:color w:val="auto"/>
          <w:sz w:val="21"/>
          <w:szCs w:val="21"/>
          <w:highlight w:val="none"/>
          <w:lang w:val="en-US" w:eastAsia="zh-CN" w:bidi="ar"/>
        </w:rPr>
        <w:t>1.</w:t>
      </w:r>
      <w:r>
        <w:rPr>
          <w:rFonts w:hint="eastAsia" w:ascii="宋体" w:hAnsi="宋体" w:eastAsia="宋体" w:cs="宋体"/>
          <w:b w:val="0"/>
          <w:bCs/>
          <w:color w:val="auto"/>
          <w:sz w:val="21"/>
          <w:szCs w:val="21"/>
          <w:highlight w:val="none"/>
          <w:lang w:bidi="ar"/>
        </w:rPr>
        <w:t>总体概述</w:t>
      </w:r>
    </w:p>
    <w:p w14:paraId="2BC5EA8F">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bidi="ar"/>
        </w:rPr>
      </w:pPr>
      <w:r>
        <w:rPr>
          <w:rFonts w:hint="eastAsia" w:ascii="宋体" w:hAnsi="宋体" w:eastAsia="宋体" w:cs="宋体"/>
          <w:color w:val="auto"/>
          <w:sz w:val="21"/>
          <w:szCs w:val="21"/>
          <w:highlight w:val="none"/>
          <w:lang w:val="en-US" w:eastAsia="zh-CN"/>
        </w:rPr>
        <w:t>投标人应根据采购需求和本项目实际，制订相应的服务方案至少包含以下内容：</w:t>
      </w:r>
    </w:p>
    <w:p w14:paraId="33A1C796">
      <w:pPr>
        <w:keepNext w:val="0"/>
        <w:keepLines w:val="0"/>
        <w:pageBreakBefore w:val="0"/>
        <w:widowControl w:val="0"/>
        <w:numPr>
          <w:ilvl w:val="0"/>
          <w:numId w:val="2"/>
        </w:numPr>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bidi="ar"/>
        </w:rPr>
      </w:pPr>
      <w:r>
        <w:rPr>
          <w:rFonts w:hint="eastAsia" w:ascii="宋体" w:hAnsi="宋体" w:eastAsia="宋体" w:cs="宋体"/>
          <w:b w:val="0"/>
          <w:bCs/>
          <w:color w:val="auto"/>
          <w:sz w:val="21"/>
          <w:szCs w:val="21"/>
          <w:highlight w:val="none"/>
          <w:lang w:bidi="ar"/>
        </w:rPr>
        <w:t>技术复杂性及其解决方案</w:t>
      </w:r>
    </w:p>
    <w:p w14:paraId="78CE4DA9">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多系统异构对接复杂：需对接公安视频平台、综治平台、网格平台、物联感知平台、雪亮工程、第三方设备厂商协议等，平台接口不统一、数据格式不一致。</w:t>
      </w:r>
    </w:p>
    <w:p w14:paraId="4E61A140">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智能化算法部署复杂：包含人脸、车辆、行为分析、异常事件检测、周界入侵、烟火识别等多算法并发，对算力、网络、存储要求高。</w:t>
      </w:r>
    </w:p>
    <w:p w14:paraId="3BB6295A">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大规模设备接入复杂：摄像机、门禁、对讲、报警、地磁、烟感、一键报警等多类型设备统一接入、统一管理、统一联动。</w:t>
      </w:r>
    </w:p>
    <w:p w14:paraId="1E83916D">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网络环境复杂：村居分布广、点位分散、部分区域无光纤、无线信号弱、带宽不足、供电不稳定。</w:t>
      </w:r>
    </w:p>
    <w:p w14:paraId="09BADCDD">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bidi="ar"/>
        </w:rPr>
      </w:pPr>
      <w:r>
        <w:rPr>
          <w:rFonts w:hint="eastAsia" w:ascii="宋体" w:hAnsi="宋体" w:eastAsia="宋体" w:cs="宋体"/>
          <w:color w:val="auto"/>
          <w:sz w:val="21"/>
          <w:szCs w:val="21"/>
          <w:highlight w:val="none"/>
          <w:lang w:val="en-US" w:eastAsia="zh-CN"/>
        </w:rPr>
        <w:t>数据安全与等保要求高：涉及公安视频、公民信息、视频图像信息，必须满足网络安全等级保护要求。</w:t>
      </w:r>
    </w:p>
    <w:p w14:paraId="5793C539">
      <w:pPr>
        <w:keepNext w:val="0"/>
        <w:keepLines w:val="0"/>
        <w:pageBreakBefore w:val="0"/>
        <w:widowControl w:val="0"/>
        <w:numPr>
          <w:ilvl w:val="0"/>
          <w:numId w:val="2"/>
        </w:numPr>
        <w:kinsoku/>
        <w:wordWrap/>
        <w:overflowPunct/>
        <w:topLinePunct w:val="0"/>
        <w:bidi w:val="0"/>
        <w:spacing w:line="360" w:lineRule="auto"/>
        <w:ind w:left="0" w:leftChars="0" w:firstLine="420" w:firstLineChars="200"/>
        <w:jc w:val="left"/>
        <w:rPr>
          <w:rFonts w:hint="eastAsia" w:ascii="宋体" w:hAnsi="宋体" w:eastAsia="宋体" w:cs="宋体"/>
          <w:b w:val="0"/>
          <w:bCs/>
          <w:color w:val="auto"/>
          <w:sz w:val="21"/>
          <w:szCs w:val="21"/>
          <w:highlight w:val="none"/>
          <w:lang w:bidi="ar"/>
        </w:rPr>
      </w:pPr>
      <w:r>
        <w:rPr>
          <w:rFonts w:hint="eastAsia" w:ascii="宋体" w:hAnsi="宋体" w:eastAsia="宋体" w:cs="宋体"/>
          <w:b w:val="0"/>
          <w:bCs/>
          <w:color w:val="auto"/>
          <w:sz w:val="21"/>
          <w:szCs w:val="21"/>
          <w:highlight w:val="none"/>
          <w:lang w:bidi="ar"/>
        </w:rPr>
        <w:t>重点及其解决方案</w:t>
      </w:r>
    </w:p>
    <w:p w14:paraId="638CB8CC">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设备安装点位精准性:覆盖重点路段、出入口、楼道口、围墙周界、盲区全覆盖。</w:t>
      </w:r>
    </w:p>
    <w:p w14:paraId="66A7F9F0">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与公安平台深度联动:视频回传、告警上送、数据共享、指挥调度联动。</w:t>
      </w:r>
    </w:p>
    <w:p w14:paraId="675DA8D0">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施工安全与居民配合:村居人流大、老人小孩多，施工不扰民、不破坏环境。</w:t>
      </w:r>
    </w:p>
    <w:p w14:paraId="194DAE85">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系统稳定性与长期运维7×24小时稳定运行，故障率低。</w:t>
      </w:r>
    </w:p>
    <w:p w14:paraId="657FE2D1">
      <w:pPr>
        <w:keepNext w:val="0"/>
        <w:keepLines w:val="0"/>
        <w:pageBreakBefore w:val="0"/>
        <w:widowControl w:val="0"/>
        <w:numPr>
          <w:ilvl w:val="0"/>
          <w:numId w:val="2"/>
        </w:numPr>
        <w:kinsoku/>
        <w:wordWrap/>
        <w:overflowPunct/>
        <w:topLinePunct w:val="0"/>
        <w:bidi w:val="0"/>
        <w:spacing w:line="360" w:lineRule="auto"/>
        <w:ind w:left="0" w:leftChars="0" w:firstLine="420" w:firstLineChars="200"/>
        <w:jc w:val="left"/>
        <w:rPr>
          <w:rFonts w:hint="eastAsia" w:ascii="宋体" w:hAnsi="宋体" w:eastAsia="宋体" w:cs="宋体"/>
          <w:b w:val="0"/>
          <w:bCs/>
          <w:color w:val="auto"/>
          <w:sz w:val="21"/>
          <w:szCs w:val="21"/>
          <w:highlight w:val="none"/>
          <w:lang w:bidi="ar"/>
        </w:rPr>
      </w:pPr>
      <w:r>
        <w:rPr>
          <w:rFonts w:hint="eastAsia" w:ascii="宋体" w:hAnsi="宋体" w:eastAsia="宋体" w:cs="宋体"/>
          <w:b w:val="0"/>
          <w:bCs/>
          <w:color w:val="auto"/>
          <w:sz w:val="21"/>
          <w:szCs w:val="21"/>
          <w:highlight w:val="none"/>
          <w:lang w:bidi="ar"/>
        </w:rPr>
        <w:t>装饰部分效果图</w:t>
      </w:r>
    </w:p>
    <w:p w14:paraId="3BC793AE">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根据采购人提供的设计图给出合理的</w:t>
      </w:r>
      <w:r>
        <w:rPr>
          <w:rFonts w:hint="eastAsia" w:ascii="宋体" w:hAnsi="宋体" w:eastAsia="宋体" w:cs="宋体"/>
          <w:b w:val="0"/>
          <w:bCs/>
          <w:color w:val="auto"/>
          <w:sz w:val="21"/>
          <w:szCs w:val="21"/>
          <w:highlight w:val="none"/>
          <w:lang w:bidi="ar"/>
        </w:rPr>
        <w:t>装饰部分效果图</w:t>
      </w:r>
      <w:r>
        <w:rPr>
          <w:rFonts w:hint="eastAsia" w:ascii="宋体" w:hAnsi="宋体" w:eastAsia="宋体" w:cs="宋体"/>
          <w:b w:val="0"/>
          <w:bCs/>
          <w:color w:val="auto"/>
          <w:sz w:val="21"/>
          <w:szCs w:val="21"/>
          <w:highlight w:val="none"/>
          <w:lang w:eastAsia="zh-CN" w:bidi="ar"/>
        </w:rPr>
        <w:t>及方案。</w:t>
      </w:r>
    </w:p>
    <w:p w14:paraId="302BDC51">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bidi="ar"/>
        </w:rPr>
      </w:pPr>
      <w:r>
        <w:rPr>
          <w:rFonts w:hint="eastAsia" w:ascii="宋体" w:hAnsi="宋体" w:eastAsia="宋体" w:cs="宋体"/>
          <w:b w:val="0"/>
          <w:bCs/>
          <w:color w:val="auto"/>
          <w:sz w:val="21"/>
          <w:szCs w:val="21"/>
          <w:highlight w:val="none"/>
          <w:lang w:val="en-US" w:eastAsia="zh-CN" w:bidi="ar"/>
        </w:rPr>
        <w:t>2.</w:t>
      </w:r>
      <w:r>
        <w:rPr>
          <w:rFonts w:hint="eastAsia" w:ascii="宋体" w:hAnsi="宋体" w:eastAsia="宋体" w:cs="宋体"/>
          <w:b w:val="0"/>
          <w:bCs/>
          <w:color w:val="auto"/>
          <w:sz w:val="21"/>
          <w:szCs w:val="21"/>
          <w:highlight w:val="none"/>
          <w:lang w:bidi="ar"/>
        </w:rPr>
        <w:t>质量保证措施</w:t>
      </w:r>
    </w:p>
    <w:p w14:paraId="7871BF62">
      <w:pPr>
        <w:keepNext w:val="0"/>
        <w:keepLines w:val="0"/>
        <w:pageBreakBefore w:val="0"/>
        <w:widowControl w:val="0"/>
        <w:numPr>
          <w:ilvl w:val="0"/>
          <w:numId w:val="0"/>
        </w:numPr>
        <w:kinsoku/>
        <w:wordWrap/>
        <w:overflowPunct/>
        <w:topLinePunct w:val="0"/>
        <w:bidi w:val="0"/>
        <w:spacing w:line="360" w:lineRule="auto"/>
        <w:ind w:leftChars="200"/>
        <w:jc w:val="left"/>
        <w:rPr>
          <w:color w:val="auto"/>
        </w:rPr>
      </w:pPr>
      <w:r>
        <w:rPr>
          <w:rFonts w:hint="eastAsia" w:ascii="宋体" w:hAnsi="宋体" w:eastAsia="宋体" w:cs="宋体"/>
          <w:b w:val="0"/>
          <w:bCs/>
          <w:color w:val="auto"/>
          <w:sz w:val="21"/>
          <w:szCs w:val="21"/>
          <w:highlight w:val="none"/>
          <w:lang w:eastAsia="zh-CN" w:bidi="ar"/>
        </w:rPr>
        <w:t>（</w:t>
      </w:r>
      <w:r>
        <w:rPr>
          <w:rFonts w:hint="eastAsia" w:ascii="宋体" w:hAnsi="宋体" w:eastAsia="宋体" w:cs="宋体"/>
          <w:b w:val="0"/>
          <w:bCs/>
          <w:color w:val="auto"/>
          <w:sz w:val="21"/>
          <w:szCs w:val="21"/>
          <w:highlight w:val="none"/>
          <w:lang w:val="en-US" w:eastAsia="zh-CN" w:bidi="ar"/>
        </w:rPr>
        <w:t>1</w:t>
      </w:r>
      <w:r>
        <w:rPr>
          <w:rFonts w:hint="eastAsia" w:ascii="宋体" w:hAnsi="宋体" w:eastAsia="宋体" w:cs="宋体"/>
          <w:b w:val="0"/>
          <w:bCs/>
          <w:color w:val="auto"/>
          <w:sz w:val="21"/>
          <w:szCs w:val="21"/>
          <w:highlight w:val="none"/>
          <w:lang w:eastAsia="zh-CN" w:bidi="ar"/>
        </w:rPr>
        <w:t>）</w:t>
      </w:r>
      <w:r>
        <w:rPr>
          <w:rFonts w:hint="eastAsia" w:ascii="宋体" w:hAnsi="宋体" w:eastAsia="宋体" w:cs="宋体"/>
          <w:b w:val="0"/>
          <w:bCs/>
          <w:color w:val="auto"/>
          <w:sz w:val="21"/>
          <w:szCs w:val="21"/>
          <w:highlight w:val="none"/>
          <w:lang w:bidi="ar"/>
        </w:rPr>
        <w:t>质量追溯</w:t>
      </w:r>
    </w:p>
    <w:p w14:paraId="7E09A76C">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设备材料溯源管控：所有安防设备、线缆、辅材均从原厂及授权渠道采购，100%提供原厂合格证、检测报告、授权证书、质保凭证。建立设备台账，详细记录设备型号、序列号、出厂批次、进场时间、安装点位、责任人，做到一机一档、点位对应、全程可溯，杜绝三无产品、翻新设备进场。</w:t>
      </w:r>
    </w:p>
    <w:p w14:paraId="2C8D3D4E">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施工工序溯源管控：将整体施工划分为勘察、布线、安装、固定、调试、验收6大工序，每道工序实行“施工自检+质检员复检+监理抽检”三级查验制度。每道工序留存施工照片、视频、验收记录，标注施工人员、施工时间、验收结果，工序合格率100%方可进入下一环节，杜绝工序遗留质量问题。</w:t>
      </w:r>
    </w:p>
    <w:p w14:paraId="673ADAD9">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责任溯源管控：实行岗位责任制，明确项目经理、技术负责人、施工员、质检员、运维员岗位职责，所有施工、调试、整改记录签字归档。出现质量问题可精准追溯至具体岗位、具体责任人，同步建立考核追责机制，保障施工质量标准化。</w:t>
      </w:r>
    </w:p>
    <w:p w14:paraId="176D3354">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eastAsia="zh-CN" w:bidi="ar"/>
        </w:rPr>
      </w:pPr>
      <w:r>
        <w:rPr>
          <w:rFonts w:hint="eastAsia" w:ascii="宋体" w:hAnsi="宋体" w:eastAsia="宋体" w:cs="宋体"/>
          <w:color w:val="auto"/>
          <w:sz w:val="21"/>
          <w:szCs w:val="21"/>
          <w:highlight w:val="none"/>
          <w:lang w:val="en-US" w:eastAsia="zh-CN"/>
        </w:rPr>
        <w:t>资料归档溯源管控：项目全过程资料电子化+纸质双存档，包含勘察资料、设备资料、施工记录、检测数据、整改记录、验收资料，资料完整率100%，保存期限不低于5年，满足公安及业主单位核查、追溯需求。</w:t>
      </w:r>
    </w:p>
    <w:p w14:paraId="28815532">
      <w:pPr>
        <w:keepNext w:val="0"/>
        <w:keepLines w:val="0"/>
        <w:pageBreakBefore w:val="0"/>
        <w:widowControl w:val="0"/>
        <w:numPr>
          <w:ilvl w:val="0"/>
          <w:numId w:val="0"/>
        </w:numPr>
        <w:kinsoku/>
        <w:wordWrap/>
        <w:overflowPunct/>
        <w:topLinePunct w:val="0"/>
        <w:bidi w:val="0"/>
        <w:spacing w:line="360" w:lineRule="auto"/>
        <w:ind w:left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eastAsia="zh-CN" w:bidi="ar"/>
        </w:rPr>
        <w:t>（</w:t>
      </w:r>
      <w:r>
        <w:rPr>
          <w:rFonts w:hint="eastAsia" w:ascii="宋体" w:hAnsi="宋体" w:eastAsia="宋体" w:cs="宋体"/>
          <w:b w:val="0"/>
          <w:bCs/>
          <w:color w:val="auto"/>
          <w:sz w:val="21"/>
          <w:szCs w:val="21"/>
          <w:highlight w:val="none"/>
          <w:lang w:val="en-US" w:eastAsia="zh-CN" w:bidi="ar"/>
        </w:rPr>
        <w:t>2</w:t>
      </w:r>
      <w:r>
        <w:rPr>
          <w:rFonts w:hint="eastAsia" w:ascii="宋体" w:hAnsi="宋体" w:eastAsia="宋体" w:cs="宋体"/>
          <w:b w:val="0"/>
          <w:bCs/>
          <w:color w:val="auto"/>
          <w:sz w:val="21"/>
          <w:szCs w:val="21"/>
          <w:highlight w:val="none"/>
          <w:lang w:eastAsia="zh-CN" w:bidi="ar"/>
        </w:rPr>
        <w:t>）</w:t>
      </w:r>
      <w:r>
        <w:rPr>
          <w:rFonts w:hint="eastAsia" w:ascii="宋体" w:hAnsi="宋体" w:eastAsia="宋体" w:cs="宋体"/>
          <w:b w:val="0"/>
          <w:bCs/>
          <w:color w:val="auto"/>
          <w:sz w:val="21"/>
          <w:szCs w:val="21"/>
          <w:highlight w:val="none"/>
          <w:lang w:bidi="ar"/>
        </w:rPr>
        <w:t>应急与补救措施</w:t>
      </w:r>
    </w:p>
    <w:p w14:paraId="72F8A78C">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质量隐患预警机制：施工期间质检员每日全覆盖巡检，试运行期间技术人员每日远程排查，质量隐患发现响应时间≤30分钟，对轻微工艺瑕疵、设备轻微异常立即记录备案，限时整改。</w:t>
      </w:r>
    </w:p>
    <w:p w14:paraId="05A45139">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一般质量问题补救：针对布线不规范、设备角度偏差、画面轻微卡顿等一般问题，接到问题反馈后1小时内到场处置，2小时内完成整改修复，整改后复检通过率100%。</w:t>
      </w:r>
    </w:p>
    <w:p w14:paraId="55AC95A8">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重大质量问题补救：针对设备故障、系统兼容异常、施工工艺不合格等重大问题，立即暂停对应点位施工/运行，启动备品备件替换机制，4小时内完成故障设备更换、工艺返工，24小时内完成系统调试恢复，同步出具问题分析报告、整改方案及预防措施。</w:t>
      </w:r>
    </w:p>
    <w:p w14:paraId="22627142">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rPr>
        <w:t>质量返工保障机制：所有质量问题返工整改不额外增加业主任何费用，返工后严格执行双重验收标准，确保整改部位质量优于原标准，杜绝同类问题二次发生。</w:t>
      </w:r>
    </w:p>
    <w:p w14:paraId="518F93A0">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3.</w:t>
      </w:r>
      <w:r>
        <w:rPr>
          <w:rFonts w:hint="eastAsia" w:ascii="宋体" w:hAnsi="宋体" w:eastAsia="宋体" w:cs="宋体"/>
          <w:b w:val="0"/>
          <w:bCs/>
          <w:color w:val="auto"/>
          <w:sz w:val="21"/>
          <w:szCs w:val="21"/>
          <w:highlight w:val="none"/>
          <w:lang w:bidi="ar"/>
        </w:rPr>
        <w:t>项目验收方案</w:t>
      </w:r>
    </w:p>
    <w:p w14:paraId="105B260E">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(1)验收依据</w:t>
      </w:r>
    </w:p>
    <w:p w14:paraId="5026657F">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严格依据本项目招标文件、采购合同、国家《安全防范工程技术标准》《视频安防监控系统工程设计规范》及公安平台对接相关标准开展验收工作。</w:t>
      </w:r>
    </w:p>
    <w:p w14:paraId="07075CA2">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(2)验收阶段划分及量化标准</w:t>
      </w:r>
    </w:p>
    <w:p w14:paraId="0F4B806E">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a.进场材料设备验收</w:t>
      </w:r>
    </w:p>
    <w:p w14:paraId="00C34D38">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所有设备、辅材进场后，联合业主、监理开展开箱验收，核对设备型号、数量、参数、资质文件，设备参数匹配率100%、资料齐全率100%、外观完好率100%，不合格设备当场退回，严禁入场。</w:t>
      </w:r>
    </w:p>
    <w:p w14:paraId="7B9B0178">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b.分项工程验收</w:t>
      </w:r>
    </w:p>
    <w:p w14:paraId="75E32599">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针对布线施工、设备安装、供电组网、平台部署、算法调试等分项工程逐一验收。量化标准：布线工艺合格率100%、设备安装牢固率100%、网络传输稳定率100%、点位全覆盖无盲区。每分项验收合格后方可进入下一施工环节，留存完整验收记录。</w:t>
      </w:r>
    </w:p>
    <w:p w14:paraId="2048B459">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c.系统联调验收</w:t>
      </w:r>
    </w:p>
    <w:p w14:paraId="0E791FCF">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完成整体施工后，开展全系统联调测试，包含视频监控、智能分析、告警推送、平台对接、联动处置等全功能测试。量化标准：设备在线率≥98%、视频流畅无卡顿、智能算法准确率≥95%、告警推送准确率100%、公安平台对接成功率100%。</w:t>
      </w:r>
    </w:p>
    <w:p w14:paraId="1CB67C07">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d.试运行验收</w:t>
      </w:r>
    </w:p>
    <w:p w14:paraId="58FC8EE6">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系统连续试运行7天，24小时不间断监测系统运行状态，每日生成运行日志。试运行期间系统无重大故障，轻微故障修复率100%，运行稳定率100%，试运行合格后出具试运行报告。</w:t>
      </w:r>
    </w:p>
    <w:p w14:paraId="7F198325">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e.最终竣工验收</w:t>
      </w:r>
    </w:p>
    <w:p w14:paraId="08CA4C09">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汇总所有分项验收资料、试运行资料、竣工图纸、培训记录等，向业主及主管部门提交竣工验收申请。配合完成整体核验、现场抽查、功能复测，确保项目整体达标率100%，完全满足采购需求及公安安防管控要求，顺利通过正式验收。</w:t>
      </w:r>
    </w:p>
    <w:p w14:paraId="63C3839C">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(3)验收资料交付</w:t>
      </w:r>
    </w:p>
    <w:p w14:paraId="5FE3118C">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rPr>
        <w:t>验收前完整交付竣工图纸、设备清单、检测报告、操作手册、运维手册、培训记录、全过程施工资料等，资料完整、规范、可归档，满足业主存档及审计要求。</w:t>
      </w:r>
    </w:p>
    <w:p w14:paraId="3B131CEA">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4.应急预案处置方案</w:t>
      </w:r>
    </w:p>
    <w:p w14:paraId="299B7037">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（1）应急预案</w:t>
      </w:r>
    </w:p>
    <w:p w14:paraId="76E98642">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我方针对项目运行期间可能出现的设备故障、网络中断、系统瘫痪、突发舆情、极端天气、重大活动保障等各类突发情况，建立统一指挥、快速响应、分级处置、闭环管理的应急处置体系。成立专项应急小组，明确组长、技术专员、运维专员、现场处置专员岗位职责，24小时待命，确保各类突发事件快速响应、高效处置、快速恢复。</w:t>
      </w:r>
    </w:p>
    <w:p w14:paraId="36830A9E">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（2）防范措施</w:t>
      </w:r>
    </w:p>
    <w:p w14:paraId="7E6FD2EB">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设备安全防范：所有户外设备采用IP66及以上防护等级，统一安装防雷、防水、防破坏装置，定期开展除尘、紧固、接地检测，每月1次全覆盖设备巡检，提前排查老化、松动、故障隐患。</w:t>
      </w:r>
    </w:p>
    <w:p w14:paraId="4CBFA9D1">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网络系统防范：优化网络架构，配置网络冗余备份，定期检测带宽、丢包、延迟数据，封堵网络漏洞，落实等保2.0安全要求，杜绝网络攻击、数据泄露、网络中断问题。</w:t>
      </w:r>
    </w:p>
    <w:p w14:paraId="54389B64">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电力保障防范：关键点位设备配备稳压电源、后备电源，偏远点位采用复合供电方案，定期检测供电线路及设备供电状态，杜绝断电停机问题。</w:t>
      </w:r>
    </w:p>
    <w:p w14:paraId="4F6C851F">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人员值守防范：日常安排运维人员轮值值守，建立隐患台账，实行“发现-整改-复核”闭环管理，隐患整改清零率100%。</w:t>
      </w:r>
    </w:p>
    <w:p w14:paraId="3869B31D">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（3）故障响应及处理</w:t>
      </w:r>
    </w:p>
    <w:p w14:paraId="38AFEE89">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建立三级故障分级处置机制，明确各类故障响应、处置、恢复时效，全程量化管控：</w:t>
      </w:r>
    </w:p>
    <w:p w14:paraId="34438229">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一级故障（一般性故障）：包含单点位画面模糊、轻微卡顿、临时离线等不影响整体系统运行的故障。处置标准：30分钟内远程响应，2小时内现场处置完毕，故障清零率100%。</w:t>
      </w:r>
    </w:p>
    <w:p w14:paraId="39F53B86">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二级故障（重要故障）：包含多点位设备离线、局部网络中断、部分智能算法失效等影响局部安防功能的故障。处置标准：15分钟内响应，4小时内完成修复恢复运行，同步提交故障分析报告。</w:t>
      </w:r>
    </w:p>
    <w:p w14:paraId="250839D9">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三级故障（重大故障）：包含整体系统瘫痪、核心平台宕机、大面积设备离线、数据异常等重大问题。处置标准：5分钟内应急响应，立即启动备用系统及备品备件，2小时内恢复核心功能，4小时内完全修复，24小时内提交完整应急处置报告及整改预防方案。</w:t>
      </w:r>
    </w:p>
    <w:p w14:paraId="25C1F76F">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（4）重大活动及节假日保障措施等内容。</w:t>
      </w:r>
    </w:p>
    <w:p w14:paraId="42A5A786">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前置排查保障：重大节庆、安保专项活动、法定节假日前3天，完成全点位、全系统全覆盖排查，对设备、网络、供电、平台功能逐一检测，所有隐患提前清零，保障系统零故障待命。</w:t>
      </w:r>
    </w:p>
    <w:p w14:paraId="06187371">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专人值守保障：节假日及重大活动期间，实行7×24小时双人在岗值守制度，配备专项应急技术人员，全程监控系统运行状态，实时处置突发问题。</w:t>
      </w:r>
    </w:p>
    <w:p w14:paraId="1B0E4CD5">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备品备件保障：提前储备足量摄像头、交换机、电源、线缆等备品备件，就近存放，保障突发故障可快速替换修复。</w:t>
      </w:r>
    </w:p>
    <w:p w14:paraId="50C8A6B1">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联动值守保障：主动对接辖区公安、社区综治部门，建立应急联动机制，实时同步系统运行状态，配合完成安防保障、应急处置工作，确保重大期间安防系统100%稳定运行、零故障、零疏漏。</w:t>
      </w:r>
    </w:p>
    <w:p w14:paraId="3BD7EEEE">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事后复盘总结：重大活动及节假日结束后，立即开展保障工作复盘，梳理运行数据，优化保障方案，形成长效保障机制。</w:t>
      </w:r>
    </w:p>
    <w:p w14:paraId="4B14B288">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5.售后服务方案</w:t>
      </w:r>
    </w:p>
    <w:p w14:paraId="16392429">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（1）售后服务体系</w:t>
      </w:r>
    </w:p>
    <w:p w14:paraId="42F1BC5D">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远程运维中心：设立专属远程运维后台，7×24小时实时监测项目设备在线状态、系统运行数据，自动预警故障问题，实现大部分故障远程排查、远程修复，无需现场到场。</w:t>
      </w:r>
    </w:p>
    <w:p w14:paraId="5EB45434">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本地驻场服务点：项目交付后安排专职人员本地化驻场服务，负责日常巡检、设备维护、现场故障处置、用户培训等常态化服务工作。</w:t>
      </w:r>
    </w:p>
    <w:p w14:paraId="368F3CA2">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应急抢修小组：组建专项应急抢修队伍，配备专用车辆、工具、备品备件，专门负责突发重大故障、紧急情况的现场处置工作。</w:t>
      </w:r>
    </w:p>
    <w:p w14:paraId="7010FED7">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总部技术支撑中心：技术团队，提供算法优化、平台升级、系统扩容、疑难问题攻坚等高端技术支撑，解决各类复杂技术问题。</w:t>
      </w:r>
    </w:p>
    <w:p w14:paraId="01A9069E">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（2）售后服务承诺和保证</w:t>
      </w:r>
    </w:p>
    <w:p w14:paraId="6C73F7B8">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质保期服务承诺：本项目所有设备、系统提供完整质保服务，质保期内免费维修、免费更换故障设备、免费系统升级、免费技术支持，无任何隐形费用。</w:t>
      </w:r>
    </w:p>
    <w:p w14:paraId="29948348">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响应时效承诺：7×24小时售后服务热线全天候畅通，一般故障30分钟内响应、2小时内到场、4小时内修复；重大故障5分钟内响应、立即到场处置、4小时内恢复核心功能。</w:t>
      </w:r>
    </w:p>
    <w:p w14:paraId="47444BB5">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巡检服务承诺：质保期内每月1次全覆盖现场巡检，每季度1次系统深度检测优化，每年1次全系统升级调试，出具正式巡检报告，隐患排查整改率100%。</w:t>
      </w:r>
    </w:p>
    <w:p w14:paraId="33177710">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培训服务承诺：免费为业主操作人员、管理人员提供多轮实操培训，包含基础操作、故障排查、系统管理、日常维护等内容，确保全员熟练操作，考核通过率100%。</w:t>
      </w:r>
    </w:p>
    <w:p w14:paraId="280A989B">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升级服务承诺：质保期内免费提供平台软件迭代、算法优化、功能升级服务，适配公安安防最新管控需求。</w:t>
      </w:r>
    </w:p>
    <w:p w14:paraId="020D74BA">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质保期后服务承诺：质保期满后，终身提供成本价维修、设备更换及技术支持，持续保障系统稳定运行。</w:t>
      </w:r>
    </w:p>
    <w:p w14:paraId="4AE75F11">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（3）售后服务队伍</w:t>
      </w:r>
    </w:p>
    <w:p w14:paraId="6662F0D0">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售后服务负责人：统筹项目所有售后工作，负责服务调度、问题协调、进度管控、客户对接，保障售后工作闭环落地。</w:t>
      </w:r>
    </w:p>
    <w:p w14:paraId="458B4558">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驻场运维工程师：全程本地化驻场，负责日常巡检、设备维护、现场故障处置、用户答疑、资料更新等常态化工作。</w:t>
      </w:r>
    </w:p>
    <w:p w14:paraId="50FB3207">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远程技术工程师：7×24小时远程值守，负责系统监测、远程调试、故障预判、软件升级、数据运维等工作。</w:t>
      </w:r>
    </w:p>
    <w:p w14:paraId="705AFBA3">
      <w:pPr>
        <w:keepNext w:val="0"/>
        <w:keepLines w:val="0"/>
        <w:pageBreakBefore w:val="0"/>
        <w:widowControl w:val="0"/>
        <w:kinsoku/>
        <w:wordWrap/>
        <w:overflowPunct/>
        <w:topLinePunct w:val="0"/>
        <w:bidi w:val="0"/>
        <w:spacing w:line="360" w:lineRule="auto"/>
        <w:ind w:firstLine="420" w:firstLineChars="200"/>
        <w:jc w:val="left"/>
        <w:rPr>
          <w:color w:val="auto"/>
        </w:rPr>
      </w:pPr>
      <w:r>
        <w:rPr>
          <w:rFonts w:hint="eastAsia" w:ascii="宋体" w:hAnsi="宋体" w:eastAsia="宋体" w:cs="宋体"/>
          <w:b w:val="0"/>
          <w:bCs/>
          <w:color w:val="auto"/>
          <w:sz w:val="21"/>
          <w:szCs w:val="21"/>
          <w:highlight w:val="none"/>
          <w:lang w:val="en-US" w:eastAsia="zh-CN" w:bidi="ar"/>
        </w:rPr>
        <w:t>应急抢修专员：专职负责突发故障、重大活动保障、紧急抢修工作，随时待命，快速处置各类突发问题。</w:t>
      </w:r>
    </w:p>
    <w:p w14:paraId="4EA9416C">
      <w:pPr>
        <w:keepNext w:val="0"/>
        <w:keepLines w:val="0"/>
        <w:pageBreakBefore w:val="0"/>
        <w:widowControl w:val="0"/>
        <w:kinsoku/>
        <w:wordWrap/>
        <w:overflowPunct/>
        <w:topLinePunct w:val="0"/>
        <w:bidi w:val="0"/>
        <w:spacing w:line="360" w:lineRule="auto"/>
        <w:ind w:firstLine="420" w:firstLineChars="200"/>
        <w:jc w:val="left"/>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技术支撑团队：总部核心技术团队提供后台支撑，解决算法、平台对接、系统兼容等疑难技术问题。</w:t>
      </w:r>
    </w:p>
    <w:p w14:paraId="4C1B6FD6">
      <w:pPr>
        <w:keepNext w:val="0"/>
        <w:keepLines w:val="0"/>
        <w:pageBreakBefore w:val="0"/>
        <w:widowControl w:val="0"/>
        <w:kinsoku/>
        <w:wordWrap/>
        <w:overflowPunct/>
        <w:topLinePunct w:val="0"/>
        <w:bidi w:val="0"/>
        <w:spacing w:line="360" w:lineRule="auto"/>
        <w:ind w:firstLine="420" w:firstLineChars="200"/>
        <w:jc w:val="left"/>
        <w:rPr>
          <w:rFonts w:hint="eastAsia" w:cs="宋体"/>
          <w:b/>
          <w:bCs/>
          <w:color w:val="auto"/>
          <w:lang w:val="en-US" w:eastAsia="zh-CN"/>
        </w:rPr>
      </w:pPr>
      <w:r>
        <w:rPr>
          <w:rFonts w:hint="eastAsia" w:ascii="宋体" w:hAnsi="宋体" w:eastAsia="宋体" w:cs="宋体"/>
          <w:b w:val="0"/>
          <w:bCs/>
          <w:color w:val="auto"/>
          <w:sz w:val="21"/>
          <w:szCs w:val="21"/>
          <w:highlight w:val="none"/>
          <w:lang w:val="en-US" w:eastAsia="zh-CN" w:bidi="ar"/>
        </w:rPr>
        <w:t>所有售后人员上岗前均经过专项培训及项目交底，熟悉本项目设备点位、系统架构、平台功能及公安对接规范，具备独立处置各类故障的能力，全力保障项目长期稳定运行。</w:t>
      </w:r>
    </w:p>
    <w:p w14:paraId="3FC4EE39">
      <w:pPr>
        <w:keepNext w:val="0"/>
        <w:keepLines w:val="0"/>
        <w:pageBreakBefore w:val="0"/>
        <w:widowControl w:val="0"/>
        <w:tabs>
          <w:tab w:val="left" w:pos="720"/>
          <w:tab w:val="left" w:pos="1080"/>
        </w:tabs>
        <w:spacing w:line="440" w:lineRule="exact"/>
        <w:ind w:firstLine="482"/>
        <w:rPr>
          <w:rFonts w:hint="eastAsia" w:asciiTheme="minorEastAsia" w:hAnsiTheme="minorEastAsia" w:eastAsiaTheme="minorEastAsia" w:cstheme="minorEastAsia"/>
          <w:b w:val="0"/>
          <w:bCs/>
          <w:color w:val="auto"/>
          <w:sz w:val="21"/>
          <w:szCs w:val="21"/>
          <w:highlight w:val="none"/>
          <w:lang w:eastAsia="zh-CN"/>
        </w:rPr>
      </w:pPr>
      <w:r>
        <w:rPr>
          <w:rFonts w:hint="eastAsia" w:asciiTheme="minorEastAsia" w:hAnsiTheme="minorEastAsia" w:cstheme="minorEastAsia"/>
          <w:b/>
          <w:color w:val="auto"/>
          <w:sz w:val="21"/>
          <w:szCs w:val="21"/>
          <w:highlight w:val="none"/>
          <w:lang w:val="en-US" w:eastAsia="zh-CN"/>
        </w:rPr>
        <w:t>十、</w:t>
      </w:r>
      <w:r>
        <w:rPr>
          <w:rFonts w:hint="eastAsia" w:asciiTheme="minorEastAsia" w:hAnsiTheme="minorEastAsia" w:eastAsiaTheme="minorEastAsia" w:cstheme="minorEastAsia"/>
          <w:b/>
          <w:color w:val="auto"/>
          <w:sz w:val="21"/>
          <w:szCs w:val="21"/>
          <w:highlight w:val="none"/>
          <w:lang w:val="en-US" w:eastAsia="zh-CN"/>
        </w:rPr>
        <w:t>样品评测</w:t>
      </w:r>
    </w:p>
    <w:p w14:paraId="3FD052F4">
      <w:pPr>
        <w:keepNext w:val="0"/>
        <w:keepLines w:val="0"/>
        <w:pageBreakBefore w:val="0"/>
        <w:widowControl w:val="0"/>
        <w:kinsoku/>
        <w:wordWrap/>
        <w:overflowPunct/>
        <w:topLinePunct w:val="0"/>
        <w:bidi w:val="0"/>
        <w:spacing w:line="360" w:lineRule="auto"/>
        <w:ind w:firstLine="420" w:firstLineChars="200"/>
        <w:jc w:val="left"/>
        <w:rPr>
          <w:rFonts w:hint="eastAsia" w:cs="宋体"/>
          <w:b/>
          <w:bCs/>
          <w:color w:val="auto"/>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本项目投标过程中要求投标人根据招标文件设备技术要求，提供所投产品设备样机（400万双镜头结构化相机）进行测试，样机提供一台，测试内容如下：</w:t>
      </w:r>
    </w:p>
    <w:p w14:paraId="0E12EBA1">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color w:val="auto"/>
          <w:kern w:val="2"/>
          <w:sz w:val="24"/>
          <w:highlight w:val="none"/>
        </w:rPr>
      </w:pPr>
      <w:r>
        <w:rPr>
          <w:rFonts w:hint="eastAsia" w:asciiTheme="minorEastAsia" w:hAnsiTheme="minorEastAsia" w:cstheme="minorEastAsia"/>
          <w:b/>
          <w:color w:val="auto"/>
          <w:sz w:val="21"/>
          <w:szCs w:val="21"/>
          <w:highlight w:val="none"/>
          <w:lang w:val="en-US" w:eastAsia="zh-CN"/>
        </w:rPr>
        <w:t>1.</w:t>
      </w:r>
      <w:r>
        <w:rPr>
          <w:rFonts w:hint="eastAsia" w:asciiTheme="minorEastAsia" w:hAnsiTheme="minorEastAsia" w:eastAsiaTheme="minorEastAsia" w:cstheme="minorEastAsia"/>
          <w:b/>
          <w:color w:val="auto"/>
          <w:sz w:val="21"/>
          <w:szCs w:val="21"/>
          <w:highlight w:val="none"/>
        </w:rPr>
        <w:t>视频质量</w:t>
      </w:r>
      <w:r>
        <w:rPr>
          <w:rFonts w:hint="eastAsia" w:asciiTheme="minorEastAsia" w:hAnsiTheme="minorEastAsia" w:cstheme="minorEastAsia"/>
          <w:b/>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评测视频清晰度，分辨率，观察人脸特征、车辆号牌及外部特征等，可放大3-5倍查看实际效果等进行辅助测试；视频质量，观察是否存在明显跳帧，黑屏、白屏、画面缺失、偏色、逆光过爆、拖影等问题。演示时提供测试时间段白天和夜间有人员、车辆通行的各2分钟视频录像。</w:t>
      </w:r>
    </w:p>
    <w:p w14:paraId="248D07EC">
      <w:pPr>
        <w:keepNext w:val="0"/>
        <w:keepLines w:val="0"/>
        <w:pageBreakBefore w:val="0"/>
        <w:widowControl w:val="0"/>
        <w:kinsoku/>
        <w:wordWrap/>
        <w:overflowPunct/>
        <w:topLinePunct w:val="0"/>
        <w:bidi w:val="0"/>
        <w:spacing w:line="360" w:lineRule="auto"/>
        <w:ind w:firstLine="422"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2</w:t>
      </w:r>
      <w:r>
        <w:rPr>
          <w:rFonts w:hint="eastAsia" w:asciiTheme="minorEastAsia" w:hAnsiTheme="minorEastAsia" w:cstheme="minorEastAsia"/>
          <w:b/>
          <w:color w:val="auto"/>
          <w:sz w:val="21"/>
          <w:szCs w:val="21"/>
          <w:highlight w:val="none"/>
          <w:lang w:val="en-US" w:eastAsia="zh-CN"/>
        </w:rPr>
        <w:t>.</w:t>
      </w:r>
      <w:r>
        <w:rPr>
          <w:rFonts w:hint="eastAsia" w:asciiTheme="minorEastAsia" w:hAnsiTheme="minorEastAsia" w:eastAsiaTheme="minorEastAsia" w:cstheme="minorEastAsia"/>
          <w:b/>
          <w:color w:val="auto"/>
          <w:sz w:val="21"/>
          <w:szCs w:val="21"/>
          <w:highlight w:val="none"/>
        </w:rPr>
        <w:t>录像质量</w:t>
      </w:r>
      <w:r>
        <w:rPr>
          <w:rFonts w:hint="eastAsia" w:asciiTheme="minorEastAsia" w:hAnsiTheme="minorEastAsia" w:cstheme="minorEastAsia"/>
          <w:b/>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评测视频录像的稳定性，是否存在录像丢失。演示时提供平台测试相机录像监测数据录屏。</w:t>
      </w:r>
    </w:p>
    <w:p w14:paraId="082D2E4F">
      <w:pPr>
        <w:keepNext w:val="0"/>
        <w:keepLines w:val="0"/>
        <w:pageBreakBefore w:val="0"/>
        <w:widowControl w:val="0"/>
        <w:kinsoku/>
        <w:wordWrap/>
        <w:overflowPunct/>
        <w:topLinePunct w:val="0"/>
        <w:bidi w:val="0"/>
        <w:spacing w:line="360" w:lineRule="auto"/>
        <w:ind w:firstLine="422"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b/>
          <w:color w:val="auto"/>
          <w:sz w:val="21"/>
          <w:szCs w:val="21"/>
          <w:highlight w:val="none"/>
          <w:lang w:val="en-US" w:eastAsia="zh-CN"/>
        </w:rPr>
        <w:t>3.</w:t>
      </w:r>
      <w:r>
        <w:rPr>
          <w:rFonts w:hint="eastAsia" w:asciiTheme="minorEastAsia" w:hAnsiTheme="minorEastAsia" w:eastAsiaTheme="minorEastAsia" w:cstheme="minorEastAsia"/>
          <w:b/>
          <w:color w:val="auto"/>
          <w:sz w:val="21"/>
          <w:szCs w:val="21"/>
          <w:highlight w:val="none"/>
        </w:rPr>
        <w:t>抓拍数量</w:t>
      </w:r>
      <w:r>
        <w:rPr>
          <w:rFonts w:hint="eastAsia" w:asciiTheme="minorEastAsia" w:hAnsiTheme="minorEastAsia" w:cstheme="minorEastAsia"/>
          <w:b/>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通过视频联网平台，分人脸、人体、机动车、非机动车计算测试期间内抓拍总量。演示时提供联网平台数据抓拍量截图。</w:t>
      </w:r>
    </w:p>
    <w:p w14:paraId="7CBF43FA">
      <w:pPr>
        <w:keepNext w:val="0"/>
        <w:keepLines w:val="0"/>
        <w:pageBreakBefore w:val="0"/>
        <w:widowControl w:val="0"/>
        <w:kinsoku/>
        <w:wordWrap/>
        <w:overflowPunct/>
        <w:topLinePunct w:val="0"/>
        <w:bidi w:val="0"/>
        <w:spacing w:line="360" w:lineRule="auto"/>
        <w:ind w:firstLine="422" w:firstLineChars="200"/>
        <w:jc w:val="left"/>
        <w:rPr>
          <w:rFonts w:hint="eastAsia" w:asciiTheme="minorEastAsia" w:hAnsiTheme="minorEastAsia" w:cstheme="minorEastAsia"/>
          <w:color w:val="auto"/>
          <w:sz w:val="21"/>
          <w:szCs w:val="21"/>
          <w:highlight w:val="none"/>
          <w:lang w:eastAsia="zh-CN"/>
        </w:rPr>
      </w:pPr>
      <w:r>
        <w:rPr>
          <w:rFonts w:hint="eastAsia" w:asciiTheme="minorEastAsia" w:hAnsiTheme="minorEastAsia" w:cstheme="minorEastAsia"/>
          <w:b/>
          <w:color w:val="auto"/>
          <w:sz w:val="21"/>
          <w:szCs w:val="21"/>
          <w:highlight w:val="none"/>
          <w:lang w:val="en-US" w:eastAsia="zh-CN"/>
        </w:rPr>
        <w:t>4.</w:t>
      </w:r>
      <w:r>
        <w:rPr>
          <w:rFonts w:hint="eastAsia" w:asciiTheme="minorEastAsia" w:hAnsiTheme="minorEastAsia" w:eastAsiaTheme="minorEastAsia" w:cstheme="minorEastAsia"/>
          <w:b/>
          <w:color w:val="auto"/>
          <w:sz w:val="21"/>
          <w:szCs w:val="21"/>
          <w:highlight w:val="none"/>
        </w:rPr>
        <w:t>抓拍质量</w:t>
      </w:r>
      <w:r>
        <w:rPr>
          <w:rFonts w:hint="eastAsia" w:asciiTheme="minorEastAsia" w:hAnsiTheme="minorEastAsia" w:cstheme="minorEastAsia"/>
          <w:b/>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人像图片低质量评测</w:t>
      </w:r>
      <w:r>
        <w:rPr>
          <w:rFonts w:hint="eastAsia" w:asciiTheme="minorEastAsia" w:hAnsi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人像图片解析质量（</w:t>
      </w:r>
      <w:r>
        <w:rPr>
          <w:rFonts w:hint="eastAsia" w:asciiTheme="minorEastAsia" w:hAnsiTheme="minorEastAsia" w:cstheme="minorEastAsia"/>
          <w:color w:val="auto"/>
          <w:sz w:val="21"/>
          <w:szCs w:val="21"/>
          <w:highlight w:val="none"/>
          <w:lang w:val="en-US" w:eastAsia="zh-CN"/>
        </w:rPr>
        <w:t>以解析平台人像建模为准</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cstheme="minorEastAsia"/>
          <w:color w:val="auto"/>
          <w:sz w:val="21"/>
          <w:szCs w:val="21"/>
          <w:highlight w:val="none"/>
          <w:lang w:eastAsia="zh-CN"/>
        </w:rPr>
        <w:t>。</w:t>
      </w:r>
    </w:p>
    <w:p w14:paraId="4B0FB7C0">
      <w:pPr>
        <w:keepNext w:val="0"/>
        <w:keepLines w:val="0"/>
        <w:pageBreakBefore w:val="0"/>
        <w:widowControl w:val="0"/>
        <w:kinsoku/>
        <w:wordWrap/>
        <w:overflowPunct/>
        <w:topLinePunct w:val="0"/>
        <w:bidi w:val="0"/>
        <w:spacing w:line="360" w:lineRule="auto"/>
        <w:ind w:firstLine="422" w:firstLineChars="200"/>
        <w:jc w:val="left"/>
        <w:rPr>
          <w:rFonts w:hint="eastAsia" w:cs="宋体"/>
          <w:b/>
          <w:bCs/>
          <w:color w:val="auto"/>
          <w:lang w:val="en-US" w:eastAsia="zh-CN"/>
        </w:rPr>
      </w:pPr>
      <w:r>
        <w:rPr>
          <w:rFonts w:hint="eastAsia" w:asciiTheme="minorEastAsia" w:hAnsiTheme="minorEastAsia" w:eastAsiaTheme="minorEastAsia" w:cstheme="minorEastAsia"/>
          <w:b/>
          <w:bCs/>
          <w:color w:val="auto"/>
          <w:sz w:val="21"/>
          <w:szCs w:val="21"/>
          <w:highlight w:val="none"/>
        </w:rPr>
        <w:t>5</w:t>
      </w:r>
      <w:r>
        <w:rPr>
          <w:rFonts w:hint="eastAsia" w:asciiTheme="minorEastAsia" w:hAnsiTheme="minorEastAsia" w:cstheme="minorEastAsia"/>
          <w:b/>
          <w:bCs/>
          <w:color w:val="auto"/>
          <w:sz w:val="21"/>
          <w:szCs w:val="21"/>
          <w:highlight w:val="none"/>
          <w:lang w:val="en-US" w:eastAsia="zh-CN"/>
        </w:rPr>
        <w:t>.</w:t>
      </w:r>
      <w:r>
        <w:rPr>
          <w:rFonts w:hint="eastAsia" w:asciiTheme="minorEastAsia" w:hAnsiTheme="minorEastAsia" w:eastAsiaTheme="minorEastAsia" w:cstheme="minorEastAsia"/>
          <w:b/>
          <w:color w:val="auto"/>
          <w:sz w:val="21"/>
          <w:szCs w:val="21"/>
          <w:highlight w:val="none"/>
        </w:rPr>
        <w:t>特殊场景抓拍压力测试</w:t>
      </w:r>
      <w:r>
        <w:rPr>
          <w:rFonts w:hint="eastAsia" w:asciiTheme="minorEastAsia" w:hAnsiTheme="minorEastAsia" w:cstheme="minorEastAsia"/>
          <w:b/>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在人员通行集中区域或模拟人员集中快速通过，测试实际抓拍人数（以解析平台数据为准）。提供解析平台可置信图片数。</w:t>
      </w:r>
    </w:p>
    <w:p w14:paraId="71749AB4">
      <w:pPr>
        <w:keepNext w:val="0"/>
        <w:keepLines w:val="0"/>
        <w:pageBreakBefore w:val="0"/>
        <w:widowControl w:val="0"/>
        <w:kinsoku/>
        <w:wordWrap/>
        <w:overflowPunct/>
        <w:topLinePunct w:val="0"/>
        <w:bidi w:val="0"/>
        <w:spacing w:line="360" w:lineRule="auto"/>
        <w:ind w:firstLine="422" w:firstLineChars="200"/>
        <w:jc w:val="left"/>
        <w:rPr>
          <w:rFonts w:hint="eastAsia" w:ascii="宋体" w:hAnsi="宋体" w:eastAsia="宋体" w:cs="宋体"/>
          <w:b/>
          <w:bCs/>
          <w:color w:val="auto"/>
          <w:lang w:eastAsia="zh-CN"/>
        </w:rPr>
      </w:pPr>
      <w:r>
        <w:rPr>
          <w:rFonts w:hint="eastAsia" w:cs="宋体"/>
          <w:b/>
          <w:bCs/>
          <w:color w:val="auto"/>
          <w:lang w:val="en-US" w:eastAsia="zh-CN"/>
        </w:rPr>
        <w:t>十</w:t>
      </w:r>
      <w:bookmarkEnd w:id="173"/>
      <w:r>
        <w:rPr>
          <w:rFonts w:hint="eastAsia" w:cs="宋体"/>
          <w:b/>
          <w:bCs/>
          <w:color w:val="auto"/>
          <w:lang w:val="en-US" w:eastAsia="zh-CN"/>
        </w:rPr>
        <w:t>一、</w:t>
      </w:r>
      <w:r>
        <w:rPr>
          <w:rFonts w:hint="eastAsia" w:ascii="宋体" w:hAnsi="宋体" w:eastAsia="宋体" w:cs="宋体"/>
          <w:b/>
          <w:bCs/>
          <w:color w:val="auto"/>
          <w:lang w:eastAsia="zh-CN"/>
        </w:rPr>
        <w:t>采购标的对应的中小企业划分标准所属行业一览表</w:t>
      </w:r>
    </w:p>
    <w:tbl>
      <w:tblPr>
        <w:tblStyle w:val="12"/>
        <w:tblW w:w="7857" w:type="dxa"/>
        <w:jc w:val="center"/>
        <w:tblCellSpacing w:w="0" w:type="dxa"/>
        <w:tblLayout w:type="fixed"/>
        <w:tblCellMar>
          <w:top w:w="0" w:type="dxa"/>
          <w:left w:w="108" w:type="dxa"/>
          <w:bottom w:w="0" w:type="dxa"/>
          <w:right w:w="108" w:type="dxa"/>
        </w:tblCellMar>
      </w:tblPr>
      <w:tblGrid>
        <w:gridCol w:w="932"/>
        <w:gridCol w:w="3291"/>
        <w:gridCol w:w="3634"/>
      </w:tblGrid>
      <w:tr w14:paraId="5C81A8F1">
        <w:tblPrEx>
          <w:tblCellMar>
            <w:top w:w="0" w:type="dxa"/>
            <w:left w:w="108" w:type="dxa"/>
            <w:bottom w:w="0" w:type="dxa"/>
            <w:right w:w="108" w:type="dxa"/>
          </w:tblCellMar>
        </w:tblPrEx>
        <w:trPr>
          <w:tblCellSpacing w:w="0" w:type="dxa"/>
          <w:jc w:val="center"/>
        </w:trPr>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BA2AB">
            <w:pPr>
              <w:pStyle w:val="11"/>
              <w:keepNext w:val="0"/>
              <w:keepLines w:val="0"/>
              <w:pageBreakBefore w:val="0"/>
              <w:widowControl w:val="0"/>
              <w:kinsoku/>
              <w:wordWrap/>
              <w:overflowPunct/>
              <w:topLinePunct w:val="0"/>
              <w:bidi w:val="0"/>
              <w:spacing w:beforeAutospacing="0" w:afterAutospacing="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序号</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AC582">
            <w:pPr>
              <w:pStyle w:val="11"/>
              <w:keepNext w:val="0"/>
              <w:keepLines w:val="0"/>
              <w:pageBreakBefore w:val="0"/>
              <w:widowControl w:val="0"/>
              <w:kinsoku/>
              <w:wordWrap/>
              <w:overflowPunct/>
              <w:topLinePunct w:val="0"/>
              <w:bidi w:val="0"/>
              <w:spacing w:beforeAutospacing="0" w:afterAutospacing="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采购标的</w:t>
            </w:r>
          </w:p>
        </w:tc>
        <w:tc>
          <w:tcPr>
            <w:tcW w:w="3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AD801">
            <w:pPr>
              <w:pStyle w:val="11"/>
              <w:keepNext w:val="0"/>
              <w:keepLines w:val="0"/>
              <w:pageBreakBefore w:val="0"/>
              <w:widowControl w:val="0"/>
              <w:kinsoku/>
              <w:wordWrap/>
              <w:overflowPunct/>
              <w:topLinePunct w:val="0"/>
              <w:bidi w:val="0"/>
              <w:spacing w:beforeAutospacing="0" w:afterAutospacing="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对应中小企业划分标准所属行业</w:t>
            </w:r>
          </w:p>
        </w:tc>
      </w:tr>
      <w:tr w14:paraId="4A6ABC60">
        <w:tblPrEx>
          <w:tblCellMar>
            <w:top w:w="0" w:type="dxa"/>
            <w:left w:w="108" w:type="dxa"/>
            <w:bottom w:w="0" w:type="dxa"/>
            <w:right w:w="108" w:type="dxa"/>
          </w:tblCellMar>
        </w:tblPrEx>
        <w:trPr>
          <w:trHeight w:val="291" w:hRule="atLeast"/>
          <w:tblCellSpacing w:w="0" w:type="dxa"/>
          <w:jc w:val="center"/>
        </w:trPr>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38038">
            <w:pPr>
              <w:pStyle w:val="11"/>
              <w:keepNext w:val="0"/>
              <w:keepLines w:val="0"/>
              <w:pageBreakBefore w:val="0"/>
              <w:widowControl w:val="0"/>
              <w:kinsoku/>
              <w:wordWrap/>
              <w:overflowPunct/>
              <w:topLinePunct w:val="0"/>
              <w:bidi w:val="0"/>
              <w:spacing w:beforeAutospacing="0" w:afterAutospacing="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A54B3">
            <w:pPr>
              <w:pStyle w:val="11"/>
              <w:keepNext w:val="0"/>
              <w:keepLines w:val="0"/>
              <w:pageBreakBefore w:val="0"/>
              <w:widowControl w:val="0"/>
              <w:kinsoku/>
              <w:wordWrap/>
              <w:overflowPunct/>
              <w:topLinePunct w:val="0"/>
              <w:bidi w:val="0"/>
              <w:spacing w:beforeAutospacing="0" w:afterAutospacing="0"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盐城市公安局盐南高新技术产业开发区分局智慧安防村居三期项目</w:t>
            </w:r>
          </w:p>
        </w:tc>
        <w:tc>
          <w:tcPr>
            <w:tcW w:w="3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3A423">
            <w:pPr>
              <w:pStyle w:val="11"/>
              <w:keepNext w:val="0"/>
              <w:keepLines w:val="0"/>
              <w:pageBreakBefore w:val="0"/>
              <w:widowControl w:val="0"/>
              <w:kinsoku/>
              <w:wordWrap/>
              <w:overflowPunct/>
              <w:topLinePunct w:val="0"/>
              <w:bidi w:val="0"/>
              <w:spacing w:beforeAutospacing="0" w:afterAutospacing="0" w:line="360" w:lineRule="auto"/>
              <w:jc w:val="center"/>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软件和信息技术服务业</w:t>
            </w:r>
          </w:p>
        </w:tc>
      </w:tr>
    </w:tbl>
    <w:p w14:paraId="7D0190B2">
      <w:pPr>
        <w:jc w:val="center"/>
        <w:rPr>
          <w:rFonts w:hint="eastAsia" w:ascii="黑体" w:hAnsi="宋体" w:eastAsia="黑体" w:cs="黑体"/>
          <w:color w:val="auto"/>
          <w:sz w:val="44"/>
          <w:szCs w:val="44"/>
          <w:highlight w:val="none"/>
        </w:rPr>
      </w:pPr>
      <w:bookmarkStart w:id="174" w:name="_Toc120614281"/>
    </w:p>
    <w:p w14:paraId="0EFFE336">
      <w:pPr>
        <w:jc w:val="center"/>
        <w:rPr>
          <w:rFonts w:hint="eastAsia" w:ascii="黑体" w:hAnsi="宋体" w:eastAsia="黑体" w:cs="黑体"/>
          <w:color w:val="auto"/>
          <w:sz w:val="44"/>
          <w:szCs w:val="44"/>
          <w:highlight w:val="none"/>
        </w:rPr>
      </w:pPr>
    </w:p>
    <w:p w14:paraId="563322DC">
      <w:pPr>
        <w:jc w:val="center"/>
        <w:rPr>
          <w:rFonts w:hint="eastAsia" w:ascii="黑体" w:hAnsi="宋体" w:eastAsia="黑体" w:cs="黑体"/>
          <w:color w:val="auto"/>
          <w:sz w:val="44"/>
          <w:szCs w:val="44"/>
          <w:highlight w:val="none"/>
        </w:rPr>
      </w:pPr>
    </w:p>
    <w:p w14:paraId="701DD2CA">
      <w:pPr>
        <w:jc w:val="center"/>
        <w:rPr>
          <w:rFonts w:hint="eastAsia" w:ascii="黑体" w:hAnsi="宋体" w:eastAsia="黑体" w:cs="黑体"/>
          <w:color w:val="auto"/>
          <w:sz w:val="44"/>
          <w:szCs w:val="44"/>
          <w:highlight w:val="none"/>
        </w:rPr>
      </w:pPr>
    </w:p>
    <w:p w14:paraId="274C4111">
      <w:pPr>
        <w:jc w:val="center"/>
        <w:rPr>
          <w:rFonts w:hint="eastAsia" w:ascii="黑体" w:hAnsi="宋体" w:eastAsia="黑体" w:cs="黑体"/>
          <w:color w:val="auto"/>
          <w:sz w:val="44"/>
          <w:szCs w:val="44"/>
          <w:highlight w:val="none"/>
        </w:rPr>
      </w:pPr>
    </w:p>
    <w:p w14:paraId="27FBFC55">
      <w:pPr>
        <w:jc w:val="center"/>
        <w:rPr>
          <w:rFonts w:hint="eastAsia" w:ascii="黑体" w:hAnsi="宋体" w:eastAsia="黑体" w:cs="黑体"/>
          <w:color w:val="auto"/>
          <w:sz w:val="44"/>
          <w:szCs w:val="44"/>
          <w:highlight w:val="none"/>
        </w:rPr>
      </w:pPr>
    </w:p>
    <w:p w14:paraId="752DBA06">
      <w:pPr>
        <w:jc w:val="center"/>
        <w:rPr>
          <w:rFonts w:hint="eastAsia" w:ascii="黑体" w:hAnsi="宋体" w:eastAsia="黑体" w:cs="黑体"/>
          <w:color w:val="auto"/>
          <w:sz w:val="44"/>
          <w:szCs w:val="44"/>
          <w:highlight w:val="none"/>
        </w:rPr>
      </w:pPr>
    </w:p>
    <w:p w14:paraId="377EF55D">
      <w:pPr>
        <w:jc w:val="center"/>
        <w:rPr>
          <w:rFonts w:hint="eastAsia" w:ascii="黑体" w:hAnsi="宋体" w:eastAsia="黑体" w:cs="黑体"/>
          <w:color w:val="auto"/>
          <w:sz w:val="44"/>
          <w:szCs w:val="44"/>
          <w:highlight w:val="none"/>
        </w:rPr>
      </w:pPr>
    </w:p>
    <w:p w14:paraId="0BBB5103">
      <w:pPr>
        <w:jc w:val="center"/>
        <w:rPr>
          <w:rFonts w:hint="eastAsia" w:ascii="黑体" w:hAnsi="宋体" w:eastAsia="黑体" w:cs="黑体"/>
          <w:color w:val="auto"/>
          <w:sz w:val="44"/>
          <w:szCs w:val="44"/>
          <w:highlight w:val="none"/>
        </w:rPr>
      </w:pPr>
    </w:p>
    <w:p w14:paraId="5CA892E1">
      <w:pPr>
        <w:jc w:val="center"/>
        <w:rPr>
          <w:rFonts w:hint="eastAsia" w:ascii="黑体" w:hAnsi="宋体" w:eastAsia="黑体" w:cs="黑体"/>
          <w:color w:val="auto"/>
          <w:sz w:val="44"/>
          <w:szCs w:val="44"/>
          <w:highlight w:val="none"/>
        </w:rPr>
      </w:pPr>
    </w:p>
    <w:p w14:paraId="4080BB10">
      <w:pPr>
        <w:jc w:val="center"/>
        <w:rPr>
          <w:rFonts w:hint="eastAsia" w:ascii="黑体" w:hAnsi="宋体" w:eastAsia="黑体" w:cs="黑体"/>
          <w:color w:val="auto"/>
          <w:sz w:val="44"/>
          <w:szCs w:val="44"/>
          <w:highlight w:val="none"/>
        </w:rPr>
      </w:pPr>
    </w:p>
    <w:p w14:paraId="4A5DDC6D">
      <w:pPr>
        <w:jc w:val="center"/>
        <w:rPr>
          <w:rFonts w:hint="eastAsia" w:ascii="黑体" w:hAnsi="宋体" w:eastAsia="黑体" w:cs="黑体"/>
          <w:color w:val="auto"/>
          <w:sz w:val="44"/>
          <w:szCs w:val="44"/>
          <w:highlight w:val="none"/>
        </w:rPr>
      </w:pPr>
    </w:p>
    <w:p w14:paraId="4A35B8F1">
      <w:pPr>
        <w:jc w:val="center"/>
        <w:rPr>
          <w:rFonts w:hint="eastAsia" w:ascii="黑体" w:hAnsi="宋体" w:eastAsia="黑体" w:cs="黑体"/>
          <w:color w:val="auto"/>
          <w:sz w:val="44"/>
          <w:szCs w:val="44"/>
          <w:highlight w:val="none"/>
        </w:rPr>
      </w:pPr>
    </w:p>
    <w:p w14:paraId="42D9A9D4">
      <w:pPr>
        <w:jc w:val="center"/>
        <w:rPr>
          <w:rFonts w:hint="eastAsia" w:ascii="黑体" w:hAnsi="宋体" w:eastAsia="黑体" w:cs="黑体"/>
          <w:color w:val="auto"/>
          <w:sz w:val="44"/>
          <w:szCs w:val="44"/>
          <w:highlight w:val="none"/>
        </w:rPr>
      </w:pPr>
    </w:p>
    <w:p w14:paraId="65CE9A4D">
      <w:pPr>
        <w:jc w:val="center"/>
        <w:rPr>
          <w:rFonts w:hint="eastAsia" w:ascii="黑体" w:hAnsi="宋体" w:eastAsia="黑体" w:cs="黑体"/>
          <w:color w:val="auto"/>
          <w:sz w:val="44"/>
          <w:szCs w:val="44"/>
          <w:highlight w:val="none"/>
        </w:rPr>
      </w:pPr>
    </w:p>
    <w:p w14:paraId="3D00AD75">
      <w:pPr>
        <w:jc w:val="both"/>
        <w:rPr>
          <w:rFonts w:hint="eastAsia" w:ascii="黑体" w:hAnsi="宋体" w:eastAsia="黑体" w:cs="黑体"/>
          <w:color w:val="auto"/>
          <w:sz w:val="44"/>
          <w:szCs w:val="44"/>
          <w:highlight w:val="none"/>
        </w:rPr>
      </w:pPr>
    </w:p>
    <w:p w14:paraId="4F52B17C">
      <w:pPr>
        <w:jc w:val="center"/>
        <w:rPr>
          <w:color w:val="auto"/>
          <w:highlight w:val="none"/>
        </w:rPr>
      </w:pPr>
      <w:r>
        <w:rPr>
          <w:rFonts w:hint="eastAsia" w:ascii="黑体" w:hAnsi="宋体" w:eastAsia="黑体" w:cs="黑体"/>
          <w:color w:val="auto"/>
          <w:sz w:val="44"/>
          <w:szCs w:val="44"/>
          <w:highlight w:val="none"/>
        </w:rPr>
        <w:t>第五章 </w:t>
      </w:r>
      <w:r>
        <w:rPr>
          <w:rFonts w:hint="eastAsia" w:ascii="黑体" w:hAnsi="宋体" w:eastAsia="黑体" w:cs="黑体"/>
          <w:b/>
          <w:color w:val="auto"/>
          <w:sz w:val="44"/>
          <w:szCs w:val="44"/>
          <w:highlight w:val="none"/>
        </w:rPr>
        <w:t>评标方法与评标标准</w:t>
      </w:r>
    </w:p>
    <w:p w14:paraId="668FEA9F">
      <w:pPr>
        <w:keepNext w:val="0"/>
        <w:keepLines w:val="0"/>
        <w:pageBreakBefore w:val="0"/>
        <w:widowControl w:val="0"/>
        <w:kinsoku/>
        <w:wordWrap/>
        <w:overflowPunct/>
        <w:topLinePunct w:val="0"/>
        <w:autoSpaceDE/>
        <w:autoSpaceDN/>
        <w:bidi w:val="0"/>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一、定标原则</w:t>
      </w:r>
    </w:p>
    <w:p w14:paraId="2C328EAE">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bCs/>
          <w:color w:val="auto"/>
          <w:sz w:val="21"/>
          <w:szCs w:val="21"/>
          <w:highlight w:val="none"/>
        </w:rPr>
        <w:t>本项目采用</w:t>
      </w:r>
      <w:r>
        <w:rPr>
          <w:rFonts w:hint="eastAsia" w:ascii="宋体" w:hAnsi="宋体" w:eastAsia="宋体" w:cs="宋体"/>
          <w:bCs/>
          <w:color w:val="auto"/>
          <w:sz w:val="21"/>
          <w:szCs w:val="21"/>
          <w:highlight w:val="none"/>
          <w:u w:val="single"/>
        </w:rPr>
        <w:t>综合评分</w:t>
      </w:r>
      <w:r>
        <w:rPr>
          <w:rFonts w:hint="eastAsia" w:ascii="宋体" w:hAnsi="宋体" w:eastAsia="宋体" w:cs="宋体"/>
          <w:bCs/>
          <w:color w:val="auto"/>
          <w:sz w:val="21"/>
          <w:szCs w:val="21"/>
          <w:highlight w:val="none"/>
        </w:rPr>
        <w:t>法。</w:t>
      </w:r>
      <w:r>
        <w:rPr>
          <w:rFonts w:hint="eastAsia" w:ascii="宋体" w:hAnsi="宋体" w:eastAsia="宋体" w:cs="宋体"/>
          <w:color w:val="auto"/>
          <w:kern w:val="0"/>
          <w:sz w:val="21"/>
          <w:szCs w:val="21"/>
          <w:highlight w:val="none"/>
        </w:rPr>
        <w:t>评标结果按评审后得分由高到低顺序排列。得分相同的，按投标报价由低到高顺序排列。得分且投标报价相同的</w:t>
      </w:r>
      <w:r>
        <w:rPr>
          <w:rFonts w:hint="eastAsia" w:ascii="宋体" w:hAnsi="宋体" w:eastAsia="宋体" w:cs="宋体"/>
          <w:color w:val="auto"/>
          <w:kern w:val="0"/>
          <w:sz w:val="21"/>
          <w:szCs w:val="21"/>
          <w:highlight w:val="none"/>
          <w:lang w:val="en-US" w:eastAsia="zh-CN"/>
        </w:rPr>
        <w:t>并列</w:t>
      </w:r>
      <w:r>
        <w:rPr>
          <w:rFonts w:hint="eastAsia" w:ascii="宋体" w:hAnsi="宋体" w:eastAsia="宋体" w:cs="宋体"/>
          <w:color w:val="auto"/>
          <w:kern w:val="0"/>
          <w:sz w:val="21"/>
          <w:szCs w:val="21"/>
          <w:highlight w:val="none"/>
        </w:rPr>
        <w:t>。投标文件满足招标文件全部实质性要求，且按照评审因素的量化指标评审得分最高的投标人为排名第一的中标候选人，本项目选取1名中标候选人。</w:t>
      </w:r>
    </w:p>
    <w:p w14:paraId="2A7125E0">
      <w:pPr>
        <w:pStyle w:val="11"/>
        <w:keepNext w:val="0"/>
        <w:keepLines w:val="0"/>
        <w:pageBreakBefore w:val="0"/>
        <w:widowControl w:val="0"/>
        <w:kinsoku/>
        <w:wordWrap/>
        <w:overflowPunct/>
        <w:topLinePunct w:val="0"/>
        <w:autoSpaceDE/>
        <w:autoSpaceDN/>
        <w:bidi w:val="0"/>
        <w:spacing w:before="120" w:beforeAutospacing="0" w:after="120" w:afterAutospacing="0" w:line="360" w:lineRule="auto"/>
        <w:ind w:firstLine="441"/>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政府采购政策功能落实</w:t>
      </w:r>
    </w:p>
    <w:p w14:paraId="7BAAA33E">
      <w:pPr>
        <w:pStyle w:val="11"/>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1、小微型企业价格扣除</w:t>
      </w:r>
    </w:p>
    <w:p w14:paraId="187A4FA4">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（1）本项目不专门面向中小企业采购，对</w:t>
      </w:r>
      <w:r>
        <w:rPr>
          <w:rFonts w:hint="eastAsia" w:ascii="宋体" w:hAnsi="宋体" w:eastAsia="宋体" w:cs="宋体"/>
          <w:color w:val="auto"/>
          <w:sz w:val="21"/>
          <w:szCs w:val="21"/>
          <w:highlight w:val="none"/>
          <w:lang w:val="en-US" w:eastAsia="zh-CN"/>
        </w:rPr>
        <w:t>符合规定的</w:t>
      </w:r>
      <w:r>
        <w:rPr>
          <w:rFonts w:hint="eastAsia" w:ascii="宋体" w:hAnsi="宋体" w:eastAsia="宋体" w:cs="宋体"/>
          <w:color w:val="auto"/>
          <w:sz w:val="21"/>
          <w:szCs w:val="21"/>
          <w:highlight w:val="none"/>
        </w:rPr>
        <w:t>小型和微型企业</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rPr>
        <w:t>给予20%的扣除价格。</w:t>
      </w:r>
    </w:p>
    <w:p w14:paraId="393B146D">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（2）供应商需按照采购文件的要求提供相应的《</w:t>
      </w:r>
      <w:r>
        <w:rPr>
          <w:rFonts w:hint="eastAsia" w:ascii="宋体" w:hAnsi="宋体" w:eastAsia="宋体" w:cs="宋体"/>
          <w:color w:val="auto"/>
          <w:sz w:val="21"/>
          <w:szCs w:val="21"/>
          <w:highlight w:val="none"/>
          <w:lang w:val="en-US" w:eastAsia="zh-CN"/>
        </w:rPr>
        <w:t>中小</w:t>
      </w:r>
      <w:r>
        <w:rPr>
          <w:rFonts w:hint="eastAsia" w:ascii="宋体" w:hAnsi="宋体" w:eastAsia="宋体" w:cs="宋体"/>
          <w:color w:val="auto"/>
          <w:sz w:val="21"/>
          <w:szCs w:val="21"/>
          <w:highlight w:val="none"/>
        </w:rPr>
        <w:t>企业声明函》。</w:t>
      </w:r>
    </w:p>
    <w:p w14:paraId="07751C33">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（3）企业标准请参照《关于印发中小企业划型标准规定的通知》（工信部联企业</w:t>
      </w:r>
      <w:r>
        <w:rPr>
          <w:rFonts w:hint="eastAsia" w:ascii="宋体" w:hAnsi="宋体" w:eastAsia="宋体" w:cs="宋体"/>
          <w:color w:val="auto"/>
          <w:sz w:val="21"/>
          <w:szCs w:val="21"/>
          <w:highlight w:val="none"/>
          <w:lang w:eastAsia="zh-CN"/>
        </w:rPr>
        <w:t>〔2011〕300号</w:t>
      </w:r>
      <w:r>
        <w:rPr>
          <w:rFonts w:hint="eastAsia" w:ascii="宋体" w:hAnsi="宋体" w:eastAsia="宋体" w:cs="宋体"/>
          <w:color w:val="auto"/>
          <w:sz w:val="21"/>
          <w:szCs w:val="21"/>
          <w:highlight w:val="none"/>
        </w:rPr>
        <w:t>）文件规定自行填写。</w:t>
      </w:r>
    </w:p>
    <w:p w14:paraId="2DCA9D8F">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2、残疾人福利单位价格扣除</w:t>
      </w:r>
    </w:p>
    <w:p w14:paraId="0E8D4170">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（1）本项目对残疾人福利性单位视同小型、微型企业，给予</w:t>
      </w:r>
      <w:r>
        <w:rPr>
          <w:rFonts w:hint="eastAsia" w:ascii="宋体" w:hAnsi="宋体" w:eastAsia="宋体" w:cs="宋体"/>
          <w:color w:val="auto"/>
          <w:sz w:val="21"/>
          <w:szCs w:val="21"/>
          <w:highlight w:val="none"/>
          <w:u w:val="single"/>
        </w:rPr>
        <w:t>20%</w:t>
      </w:r>
      <w:r>
        <w:rPr>
          <w:rFonts w:hint="eastAsia" w:ascii="宋体" w:hAnsi="宋体" w:eastAsia="宋体" w:cs="宋体"/>
          <w:color w:val="auto"/>
          <w:sz w:val="21"/>
          <w:szCs w:val="21"/>
          <w:highlight w:val="none"/>
        </w:rPr>
        <w:t>的价格扣除</w:t>
      </w:r>
      <w:r>
        <w:rPr>
          <w:rFonts w:hint="eastAsia" w:ascii="宋体" w:hAnsi="宋体" w:eastAsia="宋体" w:cs="宋体"/>
          <w:color w:val="auto"/>
          <w:sz w:val="21"/>
          <w:szCs w:val="21"/>
          <w:highlight w:val="none"/>
          <w:lang w:eastAsia="zh-CN"/>
        </w:rPr>
        <w:t>。</w:t>
      </w:r>
    </w:p>
    <w:p w14:paraId="441B7F16">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（2）残疾人福利单位需按照采购文件的要求提供《残疾人福利性单位声明函》。</w:t>
      </w:r>
    </w:p>
    <w:p w14:paraId="574A996A">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（3）残疾人福利单位标准请参照《关于促进残疾人就业政府采购政策的通知》（财库〔2017〕141号）。</w:t>
      </w:r>
    </w:p>
    <w:p w14:paraId="500E9357">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3、监狱和戒毒企业价格扣除</w:t>
      </w:r>
    </w:p>
    <w:p w14:paraId="78CD3014">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（1）本项目对监狱和戒毒企业（简称监狱企业）视同小型、微型企业，给予</w:t>
      </w:r>
      <w:r>
        <w:rPr>
          <w:rFonts w:hint="eastAsia" w:ascii="宋体" w:hAnsi="宋体" w:eastAsia="宋体" w:cs="宋体"/>
          <w:color w:val="auto"/>
          <w:sz w:val="21"/>
          <w:szCs w:val="21"/>
          <w:highlight w:val="none"/>
          <w:u w:val="single"/>
        </w:rPr>
        <w:t>20%</w:t>
      </w:r>
      <w:r>
        <w:rPr>
          <w:rFonts w:hint="eastAsia" w:ascii="宋体" w:hAnsi="宋体" w:eastAsia="宋体" w:cs="宋体"/>
          <w:color w:val="auto"/>
          <w:sz w:val="21"/>
          <w:szCs w:val="21"/>
          <w:highlight w:val="none"/>
        </w:rPr>
        <w:t>的价格扣除</w:t>
      </w:r>
      <w:r>
        <w:rPr>
          <w:rFonts w:hint="eastAsia" w:ascii="宋体" w:hAnsi="宋体" w:eastAsia="宋体" w:cs="宋体"/>
          <w:color w:val="auto"/>
          <w:sz w:val="21"/>
          <w:szCs w:val="21"/>
          <w:highlight w:val="none"/>
          <w:lang w:eastAsia="zh-CN"/>
        </w:rPr>
        <w:t>。</w:t>
      </w:r>
    </w:p>
    <w:p w14:paraId="759EF746">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1CA36D0F">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（3）监狱企业标准请参照《关于政府采购支持监狱企业发展有关问题的通知》（财库</w:t>
      </w:r>
      <w:r>
        <w:rPr>
          <w:rFonts w:hint="eastAsia" w:ascii="宋体" w:hAnsi="宋体" w:eastAsia="宋体" w:cs="宋体"/>
          <w:color w:val="auto"/>
          <w:sz w:val="21"/>
          <w:szCs w:val="21"/>
          <w:highlight w:val="none"/>
          <w:lang w:eastAsia="zh-CN"/>
        </w:rPr>
        <w:t>〔2014〕68号</w:t>
      </w:r>
      <w:r>
        <w:rPr>
          <w:rFonts w:hint="eastAsia" w:ascii="宋体" w:hAnsi="宋体" w:eastAsia="宋体" w:cs="宋体"/>
          <w:color w:val="auto"/>
          <w:sz w:val="21"/>
          <w:szCs w:val="21"/>
          <w:highlight w:val="none"/>
        </w:rPr>
        <w:t>）。</w:t>
      </w:r>
    </w:p>
    <w:p w14:paraId="5AB6C78C">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4、残疾人福利单位、监狱企业属于小型、微型企业的，不重复享受政策。</w:t>
      </w:r>
    </w:p>
    <w:p w14:paraId="5C8243AF">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rPr>
        <w:t>6%</w:t>
      </w:r>
      <w:r>
        <w:rPr>
          <w:rFonts w:hint="eastAsia" w:ascii="宋体" w:hAnsi="宋体" w:eastAsia="宋体" w:cs="宋体"/>
          <w:color w:val="auto"/>
          <w:sz w:val="21"/>
          <w:szCs w:val="21"/>
          <w:highlight w:val="none"/>
        </w:rPr>
        <w:t>的价格扣除，用扣除后的价格参与评审。</w:t>
      </w:r>
    </w:p>
    <w:p w14:paraId="4608FE61">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6、联合体各方均为小型、微型企业（残疾人福利单位、监狱企业）的，联合体享受20%的价格扣除</w:t>
      </w:r>
      <w:r>
        <w:rPr>
          <w:rFonts w:hint="eastAsia" w:ascii="宋体" w:hAnsi="宋体" w:eastAsia="宋体" w:cs="宋体"/>
          <w:color w:val="auto"/>
          <w:sz w:val="21"/>
          <w:szCs w:val="21"/>
          <w:highlight w:val="none"/>
          <w:lang w:eastAsia="zh-CN"/>
        </w:rPr>
        <w:t>。</w:t>
      </w:r>
    </w:p>
    <w:p w14:paraId="28F003F6">
      <w:pPr>
        <w:keepNext w:val="0"/>
        <w:keepLines w:val="0"/>
        <w:pageBreakBefore w:val="0"/>
        <w:widowControl w:val="0"/>
        <w:kinsoku/>
        <w:wordWrap/>
        <w:overflowPunct/>
        <w:topLinePunct w:val="0"/>
        <w:autoSpaceDE/>
        <w:autoSpaceDN/>
        <w:bidi w:val="0"/>
        <w:snapToGrid w:val="0"/>
        <w:spacing w:line="360" w:lineRule="auto"/>
        <w:ind w:firstLine="422" w:firstLineChars="200"/>
        <w:rPr>
          <w:rFonts w:hint="eastAsia" w:ascii="宋体" w:hAnsi="宋体" w:eastAsia="宋体" w:cs="宋体"/>
          <w:b/>
          <w:bCs/>
          <w:color w:val="auto"/>
          <w:sz w:val="21"/>
          <w:szCs w:val="21"/>
        </w:rPr>
      </w:pPr>
      <w:r>
        <w:rPr>
          <w:rFonts w:hint="eastAsia" w:ascii="宋体" w:hAnsi="宋体" w:eastAsia="宋体" w:cs="宋体"/>
          <w:b/>
          <w:bCs/>
          <w:color w:val="auto"/>
          <w:sz w:val="21"/>
          <w:szCs w:val="21"/>
        </w:rPr>
        <w:t>7、采购本国产品的支持政策</w:t>
      </w:r>
    </w:p>
    <w:p w14:paraId="7ED836E6">
      <w:pPr>
        <w:keepNext w:val="0"/>
        <w:keepLines w:val="0"/>
        <w:pageBreakBefore w:val="0"/>
        <w:widowControl w:val="0"/>
        <w:kinsoku/>
        <w:wordWrap/>
        <w:overflowPunct/>
        <w:topLinePunct w:val="0"/>
        <w:autoSpaceDE/>
        <w:autoSpaceDN/>
        <w:bidi w:val="0"/>
        <w:snapToGrid w:val="0"/>
        <w:spacing w:line="360" w:lineRule="auto"/>
        <w:ind w:firstLine="422" w:firstLineChars="200"/>
        <w:rPr>
          <w:rFonts w:hint="eastAsia" w:ascii="宋体" w:hAnsi="宋体" w:eastAsia="宋体" w:cs="宋体"/>
          <w:b/>
          <w:bCs/>
          <w:color w:val="auto"/>
          <w:sz w:val="21"/>
          <w:szCs w:val="21"/>
        </w:rPr>
      </w:pPr>
      <w:r>
        <w:rPr>
          <w:rFonts w:hint="eastAsia" w:ascii="宋体" w:hAnsi="宋体" w:eastAsia="宋体" w:cs="宋体"/>
          <w:b/>
          <w:bCs/>
          <w:color w:val="auto"/>
          <w:sz w:val="21"/>
          <w:szCs w:val="21"/>
        </w:rPr>
        <w:t>7.1本项目政府采购活动中既有本国产品又有非本国产品参与竞争的，依法对本国产品给予价格评审优惠，对本国产品的报价给予</w:t>
      </w:r>
      <w:r>
        <w:rPr>
          <w:rFonts w:hint="eastAsia" w:ascii="宋体" w:hAnsi="宋体" w:eastAsia="宋体" w:cs="宋体"/>
          <w:b/>
          <w:bCs/>
          <w:color w:val="auto"/>
          <w:sz w:val="21"/>
          <w:szCs w:val="21"/>
          <w:u w:val="single"/>
        </w:rPr>
        <w:t>20%</w:t>
      </w:r>
      <w:r>
        <w:rPr>
          <w:rFonts w:hint="eastAsia" w:ascii="宋体" w:hAnsi="宋体" w:eastAsia="宋体" w:cs="宋体"/>
          <w:b/>
          <w:bCs/>
          <w:color w:val="auto"/>
          <w:sz w:val="21"/>
          <w:szCs w:val="21"/>
        </w:rPr>
        <w:t>的价格扣除，用扣除后的价格参与评审。</w:t>
      </w:r>
    </w:p>
    <w:p w14:paraId="3F4F60AA">
      <w:pPr>
        <w:keepNext w:val="0"/>
        <w:keepLines w:val="0"/>
        <w:pageBreakBefore w:val="0"/>
        <w:widowControl w:val="0"/>
        <w:kinsoku/>
        <w:wordWrap/>
        <w:overflowPunct/>
        <w:topLinePunct w:val="0"/>
        <w:autoSpaceDE/>
        <w:autoSpaceDN/>
        <w:bidi w:val="0"/>
        <w:snapToGrid w:val="0"/>
        <w:spacing w:line="360" w:lineRule="auto"/>
        <w:ind w:firstLine="422" w:firstLineChars="200"/>
        <w:rPr>
          <w:rFonts w:hint="eastAsia" w:ascii="宋体" w:hAnsi="宋体" w:eastAsia="宋体" w:cs="宋体"/>
          <w:b/>
          <w:bCs/>
          <w:color w:val="auto"/>
          <w:sz w:val="21"/>
          <w:szCs w:val="21"/>
        </w:rPr>
      </w:pPr>
      <w:r>
        <w:rPr>
          <w:rFonts w:hint="eastAsia" w:ascii="宋体" w:hAnsi="宋体" w:eastAsia="宋体" w:cs="宋体"/>
          <w:b/>
          <w:bCs/>
          <w:color w:val="auto"/>
          <w:sz w:val="21"/>
          <w:szCs w:val="21"/>
        </w:rPr>
        <w:t>7.2当采购项目或者采购包中含有多种产品，供应商为该采购项目或者采购包提供的符合本国产品标准的产品成本之和占该供应商提供的全部产品成本之和的比例达到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1"/>
          <w:szCs w:val="21"/>
          <w:u w:val="single"/>
        </w:rPr>
        <w:t>80%</w:t>
      </w:r>
      <w:r>
        <w:rPr>
          <w:rFonts w:hint="eastAsia" w:ascii="宋体" w:hAnsi="宋体" w:eastAsia="宋体" w:cs="宋体"/>
          <w:b/>
          <w:bCs/>
          <w:color w:val="auto"/>
          <w:sz w:val="21"/>
          <w:szCs w:val="21"/>
        </w:rPr>
        <w:t>以上时（供应商需在“第六章投标文件格式”的“投标分项报价表”中填写比例数值），依法对该供应商提供的全部产品给予价格评审优惠，即对该供应商提供的全部产品的总报价给予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1"/>
          <w:szCs w:val="21"/>
          <w:u w:val="single"/>
        </w:rPr>
        <w:t>20%</w:t>
      </w:r>
      <w:r>
        <w:rPr>
          <w:rFonts w:hint="eastAsia" w:ascii="宋体" w:hAnsi="宋体" w:eastAsia="宋体" w:cs="宋体"/>
          <w:b/>
          <w:bCs/>
          <w:color w:val="auto"/>
          <w:sz w:val="21"/>
          <w:szCs w:val="21"/>
        </w:rPr>
        <w:t>的价格扣除，用扣除后的价格参与评审。供应商未填写比例数值，或比例数值</w:t>
      </w:r>
      <w:r>
        <w:rPr>
          <w:rFonts w:hint="eastAsia" w:ascii="宋体" w:hAnsi="宋体" w:eastAsia="宋体" w:cs="宋体"/>
          <w:b/>
          <w:bCs/>
          <w:color w:val="auto"/>
          <w:sz w:val="21"/>
          <w:szCs w:val="21"/>
          <w:highlight w:val="none"/>
        </w:rPr>
        <w:t>未达到</w:t>
      </w:r>
      <w:r>
        <w:rPr>
          <w:rFonts w:hint="eastAsia" w:ascii="宋体" w:hAnsi="宋体" w:eastAsia="宋体" w:cs="宋体"/>
          <w:b/>
          <w:bCs/>
          <w:color w:val="auto"/>
          <w:sz w:val="21"/>
          <w:szCs w:val="21"/>
        </w:rPr>
        <w:t>80%的，将不享受本国产品价格评审优惠。</w:t>
      </w:r>
    </w:p>
    <w:p w14:paraId="7A74A732">
      <w:pPr>
        <w:keepNext w:val="0"/>
        <w:keepLines w:val="0"/>
        <w:pageBreakBefore w:val="0"/>
        <w:widowControl w:val="0"/>
        <w:kinsoku/>
        <w:wordWrap/>
        <w:overflowPunct/>
        <w:topLinePunct w:val="0"/>
        <w:autoSpaceDE/>
        <w:autoSpaceDN/>
        <w:bidi w:val="0"/>
        <w:snapToGrid w:val="0"/>
        <w:spacing w:line="360" w:lineRule="auto"/>
        <w:ind w:firstLine="422" w:firstLineChars="200"/>
        <w:rPr>
          <w:rFonts w:hint="eastAsia" w:ascii="宋体" w:hAnsi="宋体" w:eastAsia="宋体" w:cs="宋体"/>
          <w:b/>
          <w:bCs/>
          <w:color w:val="auto"/>
          <w:sz w:val="21"/>
          <w:szCs w:val="21"/>
        </w:rPr>
      </w:pPr>
      <w:r>
        <w:rPr>
          <w:rFonts w:hint="eastAsia" w:ascii="宋体" w:hAnsi="宋体" w:eastAsia="宋体" w:cs="宋体"/>
          <w:b/>
          <w:bCs/>
          <w:color w:val="auto"/>
          <w:sz w:val="21"/>
          <w:szCs w:val="21"/>
        </w:rPr>
        <w:t>7.3供应商需按照招标文件的要求提供《关于符合本国产品标准的声明函》（以下简称《声明函》），如不提供将不享受本国产品价格评审优惠。</w:t>
      </w:r>
    </w:p>
    <w:p w14:paraId="3CCAA339">
      <w:pPr>
        <w:keepNext w:val="0"/>
        <w:keepLines w:val="0"/>
        <w:pageBreakBefore w:val="0"/>
        <w:widowControl w:val="0"/>
        <w:kinsoku/>
        <w:wordWrap/>
        <w:overflowPunct/>
        <w:topLinePunct w:val="0"/>
        <w:autoSpaceDE/>
        <w:autoSpaceDN/>
        <w:bidi w:val="0"/>
        <w:snapToGrid w:val="0"/>
        <w:spacing w:line="360" w:lineRule="auto"/>
        <w:ind w:firstLine="422" w:firstLineChars="200"/>
        <w:rPr>
          <w:rFonts w:hint="eastAsia" w:ascii="宋体" w:hAnsi="宋体" w:eastAsia="宋体" w:cs="宋体"/>
          <w:b/>
          <w:bCs/>
          <w:color w:val="auto"/>
          <w:sz w:val="21"/>
          <w:szCs w:val="21"/>
        </w:rPr>
      </w:pPr>
      <w:r>
        <w:rPr>
          <w:rFonts w:hint="eastAsia" w:ascii="宋体" w:hAnsi="宋体" w:eastAsia="宋体" w:cs="宋体"/>
          <w:b/>
          <w:bCs/>
          <w:color w:val="auto"/>
          <w:sz w:val="21"/>
          <w:szCs w:val="21"/>
        </w:rPr>
        <w:t>7.4供应商需在《声明函》中逐一、准确填写产品名称、厂名、生产厂址三项信息</w:t>
      </w:r>
      <w:r>
        <w:rPr>
          <w:rFonts w:hint="eastAsia" w:ascii="宋体" w:hAnsi="宋体" w:eastAsia="宋体" w:cs="宋体"/>
          <w:b/>
          <w:bCs/>
          <w:color w:val="auto"/>
          <w:sz w:val="21"/>
          <w:szCs w:val="21"/>
          <w:highlight w:val="none"/>
        </w:rPr>
        <w:t>（《声明函》中用</w:t>
      </w:r>
      <w:r>
        <w:rPr>
          <w:rFonts w:hint="eastAsia" w:ascii="宋体" w:hAnsi="宋体" w:eastAsia="宋体" w:cs="宋体"/>
          <w:b/>
          <w:bCs/>
          <w:color w:val="auto"/>
          <w:sz w:val="21"/>
          <w:szCs w:val="21"/>
          <w:highlight w:val="none"/>
          <w:lang w:val="en-US" w:eastAsia="zh-CN"/>
        </w:rPr>
        <w:t>横</w:t>
      </w:r>
      <w:r>
        <w:rPr>
          <w:rFonts w:hint="eastAsia" w:ascii="宋体" w:hAnsi="宋体" w:eastAsia="宋体" w:cs="宋体"/>
          <w:b/>
          <w:bCs/>
          <w:color w:val="auto"/>
          <w:sz w:val="21"/>
          <w:szCs w:val="21"/>
          <w:highlight w:val="none"/>
        </w:rPr>
        <w:t>线划除的地方无需填写</w:t>
      </w:r>
      <w:r>
        <w:rPr>
          <w:rFonts w:hint="eastAsia" w:ascii="宋体" w:hAnsi="宋体" w:eastAsia="宋体" w:cs="宋体"/>
          <w:b/>
          <w:bCs/>
          <w:color w:val="auto"/>
          <w:sz w:val="21"/>
          <w:szCs w:val="21"/>
        </w:rPr>
        <w:t>），三项信息中任意一项未填写的视为该项产品不符合本国产品标准，不享受本国产品价格评审优惠。</w:t>
      </w:r>
    </w:p>
    <w:p w14:paraId="5621DD79">
      <w:pPr>
        <w:keepNext w:val="0"/>
        <w:keepLines w:val="0"/>
        <w:pageBreakBefore w:val="0"/>
        <w:widowControl w:val="0"/>
        <w:kinsoku/>
        <w:wordWrap/>
        <w:overflowPunct/>
        <w:topLinePunct w:val="0"/>
        <w:autoSpaceDE/>
        <w:autoSpaceDN/>
        <w:bidi w:val="0"/>
        <w:snapToGrid w:val="0"/>
        <w:spacing w:line="360" w:lineRule="auto"/>
        <w:ind w:firstLine="422" w:firstLineChars="20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rPr>
        <w:t>7.5评标过程中，如发现供应商在《声明函》内容含义不明确、同类事项与投标（响应）文件表述不一致或者有明显文字错误等情况的，评标委员会应当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1"/>
          <w:szCs w:val="21"/>
          <w:lang w:val="en-US" w:eastAsia="zh-CN"/>
        </w:rPr>
        <w:t>在苏采云系统</w:t>
      </w:r>
      <w:r>
        <w:rPr>
          <w:rFonts w:hint="eastAsia" w:ascii="宋体" w:hAnsi="宋体" w:eastAsia="宋体" w:cs="宋体"/>
          <w:b/>
          <w:bCs/>
          <w:color w:val="auto"/>
          <w:sz w:val="21"/>
          <w:szCs w:val="21"/>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4DDDC1C">
      <w:pPr>
        <w:keepNext w:val="0"/>
        <w:keepLines w:val="0"/>
        <w:pageBreakBefore w:val="0"/>
        <w:widowControl w:val="0"/>
        <w:kinsoku/>
        <w:wordWrap/>
        <w:overflowPunct/>
        <w:topLinePunct w:val="0"/>
        <w:autoSpaceDE/>
        <w:autoSpaceDN/>
        <w:bidi w:val="0"/>
        <w:snapToGrid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SA"/>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1"/>
          <w:szCs w:val="21"/>
          <w:highlight w:val="none"/>
        </w:rPr>
        <w:t>如属政府强制采购产品未提供认证证书的或认证证书提供不全的将视为未实质性响应采购要求</w:t>
      </w:r>
      <w:r>
        <w:rPr>
          <w:rFonts w:hint="eastAsia" w:ascii="宋体" w:hAnsi="宋体" w:eastAsia="宋体" w:cs="宋体"/>
          <w:i/>
          <w:color w:val="auto"/>
          <w:kern w:val="0"/>
          <w:sz w:val="21"/>
          <w:szCs w:val="21"/>
          <w:highlight w:val="none"/>
        </w:rPr>
        <w:t>。</w:t>
      </w:r>
      <w:r>
        <w:rPr>
          <w:rFonts w:hint="eastAsia" w:ascii="宋体" w:hAnsi="宋体" w:eastAsia="宋体" w:cs="宋体"/>
          <w:color w:val="auto"/>
          <w:kern w:val="0"/>
          <w:sz w:val="21"/>
          <w:szCs w:val="21"/>
          <w:highlight w:val="none"/>
        </w:rPr>
        <w:t>其他条件相同情况下，应当优先采购节能产品、环境标志产品。</w:t>
      </w:r>
    </w:p>
    <w:p w14:paraId="7C3D34C2">
      <w:pPr>
        <w:pStyle w:val="11"/>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评标方法与评标标准</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6"/>
        <w:gridCol w:w="910"/>
        <w:gridCol w:w="6506"/>
      </w:tblGrid>
      <w:tr w14:paraId="3D18D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shd w:val="clear" w:color="auto" w:fill="auto"/>
            <w:vAlign w:val="center"/>
          </w:tcPr>
          <w:p w14:paraId="5D14611B">
            <w:pPr>
              <w:widowControl/>
              <w:spacing w:after="0" w:line="240" w:lineRule="auto"/>
              <w:jc w:val="center"/>
              <w:rPr>
                <w:rFonts w:hint="eastAsia" w:ascii="宋体" w:hAnsi="宋体" w:eastAsia="宋体" w:cs="宋体"/>
                <w:b/>
                <w:color w:val="auto"/>
                <w:kern w:val="2"/>
                <w:sz w:val="21"/>
                <w:szCs w:val="21"/>
                <w:lang w:val="en-US" w:eastAsia="zh-CN" w:bidi="ar"/>
              </w:rPr>
            </w:pPr>
            <w:r>
              <w:rPr>
                <w:rFonts w:hint="eastAsia" w:ascii="宋体" w:hAnsi="宋体" w:eastAsia="宋体" w:cs="宋体"/>
                <w:b/>
                <w:color w:val="auto"/>
                <w:sz w:val="21"/>
                <w:szCs w:val="21"/>
                <w:lang w:bidi="ar"/>
              </w:rPr>
              <w:t>评分项目</w:t>
            </w:r>
          </w:p>
        </w:tc>
        <w:tc>
          <w:tcPr>
            <w:tcW w:w="910" w:type="dxa"/>
            <w:shd w:val="clear" w:color="auto" w:fill="auto"/>
            <w:vAlign w:val="center"/>
          </w:tcPr>
          <w:p w14:paraId="3AB7FFF1">
            <w:pPr>
              <w:widowControl/>
              <w:spacing w:after="0" w:line="240" w:lineRule="auto"/>
              <w:jc w:val="center"/>
              <w:rPr>
                <w:rFonts w:hint="eastAsia" w:ascii="宋体" w:hAnsi="宋体" w:eastAsia="宋体" w:cs="宋体"/>
                <w:b/>
                <w:color w:val="auto"/>
                <w:kern w:val="2"/>
                <w:sz w:val="21"/>
                <w:szCs w:val="21"/>
                <w:lang w:val="en-US" w:eastAsia="zh-CN" w:bidi="ar"/>
              </w:rPr>
            </w:pPr>
            <w:r>
              <w:rPr>
                <w:rFonts w:hint="eastAsia" w:ascii="宋体" w:hAnsi="宋体" w:eastAsia="宋体" w:cs="宋体"/>
                <w:b/>
                <w:color w:val="auto"/>
                <w:sz w:val="21"/>
                <w:szCs w:val="21"/>
                <w:lang w:bidi="ar"/>
              </w:rPr>
              <w:t>分值</w:t>
            </w:r>
          </w:p>
        </w:tc>
        <w:tc>
          <w:tcPr>
            <w:tcW w:w="6506" w:type="dxa"/>
            <w:shd w:val="clear" w:color="auto" w:fill="auto"/>
            <w:vAlign w:val="center"/>
          </w:tcPr>
          <w:p w14:paraId="787B8FF4">
            <w:pPr>
              <w:widowControl/>
              <w:spacing w:after="0" w:line="240" w:lineRule="auto"/>
              <w:jc w:val="center"/>
              <w:rPr>
                <w:rFonts w:hint="eastAsia" w:ascii="宋体" w:hAnsi="宋体" w:eastAsia="宋体" w:cs="宋体"/>
                <w:b/>
                <w:color w:val="auto"/>
                <w:kern w:val="2"/>
                <w:sz w:val="21"/>
                <w:szCs w:val="21"/>
                <w:lang w:val="en-US" w:eastAsia="zh-CN" w:bidi="ar"/>
              </w:rPr>
            </w:pPr>
            <w:r>
              <w:rPr>
                <w:rFonts w:hint="eastAsia" w:ascii="宋体" w:hAnsi="宋体" w:eastAsia="宋体" w:cs="宋体"/>
                <w:b/>
                <w:color w:val="auto"/>
                <w:sz w:val="21"/>
                <w:szCs w:val="21"/>
                <w:lang w:bidi="ar"/>
              </w:rPr>
              <w:t>评分标准</w:t>
            </w:r>
          </w:p>
        </w:tc>
      </w:tr>
      <w:tr w14:paraId="45105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trPr>
        <w:tc>
          <w:tcPr>
            <w:tcW w:w="1106" w:type="dxa"/>
            <w:vAlign w:val="center"/>
          </w:tcPr>
          <w:p w14:paraId="051DF158">
            <w:pPr>
              <w:spacing w:after="0" w:line="240" w:lineRule="auto"/>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b/>
                <w:color w:val="auto"/>
                <w:sz w:val="21"/>
                <w:szCs w:val="21"/>
                <w:lang w:bidi="ar"/>
              </w:rPr>
              <w:t>投标报价</w:t>
            </w:r>
          </w:p>
        </w:tc>
        <w:tc>
          <w:tcPr>
            <w:tcW w:w="910" w:type="dxa"/>
            <w:shd w:val="clear" w:color="auto" w:fill="auto"/>
            <w:vAlign w:val="center"/>
          </w:tcPr>
          <w:p w14:paraId="52FB2945">
            <w:pPr>
              <w:widowControl/>
              <w:spacing w:after="0" w:line="240" w:lineRule="auto"/>
              <w:jc w:val="center"/>
              <w:rPr>
                <w:rFonts w:hint="eastAsia" w:ascii="宋体" w:hAnsi="宋体" w:eastAsia="宋体" w:cs="宋体"/>
                <w:b/>
                <w:color w:val="auto"/>
                <w:kern w:val="2"/>
                <w:sz w:val="21"/>
                <w:szCs w:val="21"/>
                <w:lang w:val="en-US" w:eastAsia="zh-CN" w:bidi="ar"/>
              </w:rPr>
            </w:pPr>
            <w:r>
              <w:rPr>
                <w:rFonts w:hint="eastAsia" w:ascii="宋体" w:hAnsi="宋体" w:eastAsia="宋体" w:cs="宋体"/>
                <w:b w:val="0"/>
                <w:bCs/>
                <w:color w:val="auto"/>
                <w:sz w:val="21"/>
                <w:szCs w:val="21"/>
                <w:lang w:val="en-US" w:eastAsia="zh-CN" w:bidi="ar"/>
              </w:rPr>
              <w:t>15分</w:t>
            </w:r>
          </w:p>
        </w:tc>
        <w:tc>
          <w:tcPr>
            <w:tcW w:w="6506" w:type="dxa"/>
            <w:shd w:val="clear" w:color="auto" w:fill="auto"/>
            <w:vAlign w:val="center"/>
          </w:tcPr>
          <w:p w14:paraId="7F727870">
            <w:pPr>
              <w:widowControl/>
              <w:spacing w:after="0" w:line="240" w:lineRule="auto"/>
              <w:jc w:val="left"/>
              <w:rPr>
                <w:rFonts w:hint="eastAsia" w:ascii="宋体" w:hAnsi="宋体" w:eastAsia="宋体" w:cs="宋体"/>
                <w:b w:val="0"/>
                <w:bCs/>
                <w:color w:val="auto"/>
                <w:sz w:val="21"/>
                <w:szCs w:val="21"/>
                <w:lang w:bidi="ar"/>
              </w:rPr>
            </w:pPr>
            <w:r>
              <w:rPr>
                <w:rFonts w:hint="eastAsia" w:ascii="宋体" w:hAnsi="宋体" w:eastAsia="宋体" w:cs="宋体"/>
                <w:b w:val="0"/>
                <w:bCs/>
                <w:color w:val="auto"/>
                <w:sz w:val="21"/>
                <w:szCs w:val="21"/>
                <w:lang w:bidi="ar"/>
              </w:rPr>
              <w:t>满足招标文件要求且投标价格最低的投标报价为评标基准价，其价格分为满分。其他投标人的价格分统一按照下列公式计算：</w:t>
            </w:r>
          </w:p>
          <w:p w14:paraId="2AA57C31">
            <w:pPr>
              <w:widowControl/>
              <w:spacing w:after="0" w:line="240" w:lineRule="auto"/>
              <w:jc w:val="left"/>
              <w:rPr>
                <w:rFonts w:hint="eastAsia" w:ascii="宋体" w:hAnsi="宋体" w:eastAsia="宋体" w:cs="宋体"/>
                <w:b/>
                <w:color w:val="auto"/>
                <w:kern w:val="2"/>
                <w:sz w:val="21"/>
                <w:szCs w:val="21"/>
                <w:lang w:val="en-US" w:eastAsia="zh-CN" w:bidi="ar"/>
              </w:rPr>
            </w:pPr>
            <w:r>
              <w:rPr>
                <w:rFonts w:hint="eastAsia" w:ascii="宋体" w:hAnsi="宋体" w:eastAsia="宋体" w:cs="宋体"/>
                <w:b w:val="0"/>
                <w:bCs/>
                <w:color w:val="auto"/>
                <w:sz w:val="21"/>
                <w:szCs w:val="21"/>
                <w:lang w:bidi="ar"/>
              </w:rPr>
              <w:t>投标报价得分=(评标基准价／投标报价)×</w:t>
            </w:r>
            <w:r>
              <w:rPr>
                <w:rFonts w:hint="eastAsia" w:ascii="宋体" w:hAnsi="宋体" w:eastAsia="宋体" w:cs="宋体"/>
                <w:b w:val="0"/>
                <w:bCs/>
                <w:color w:val="auto"/>
                <w:sz w:val="21"/>
                <w:szCs w:val="21"/>
                <w:lang w:val="en-US" w:eastAsia="zh-CN" w:bidi="ar"/>
              </w:rPr>
              <w:t>15</w:t>
            </w:r>
            <w:r>
              <w:rPr>
                <w:rFonts w:hint="eastAsia" w:ascii="宋体" w:hAnsi="宋体" w:eastAsia="宋体" w:cs="宋体"/>
                <w:b w:val="0"/>
                <w:bCs/>
                <w:color w:val="auto"/>
                <w:sz w:val="21"/>
                <w:szCs w:val="21"/>
                <w:lang w:bidi="ar"/>
              </w:rPr>
              <w:t>（该结果四舍五入，保留两位小数）</w:t>
            </w:r>
          </w:p>
        </w:tc>
      </w:tr>
      <w:tr w14:paraId="51426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trPr>
        <w:tc>
          <w:tcPr>
            <w:tcW w:w="1106" w:type="dxa"/>
            <w:vAlign w:val="center"/>
          </w:tcPr>
          <w:p w14:paraId="32116520">
            <w:pPr>
              <w:spacing w:after="0" w:line="240" w:lineRule="auto"/>
              <w:jc w:val="center"/>
              <w:rPr>
                <w:rFonts w:hint="default" w:ascii="宋体" w:hAnsi="宋体" w:eastAsia="宋体" w:cs="宋体"/>
                <w:b/>
                <w:color w:val="auto"/>
                <w:sz w:val="21"/>
                <w:szCs w:val="21"/>
                <w:lang w:val="en-US" w:eastAsia="zh-CN" w:bidi="ar"/>
              </w:rPr>
            </w:pPr>
            <w:r>
              <w:rPr>
                <w:rFonts w:hint="eastAsia" w:ascii="宋体" w:hAnsi="宋体" w:eastAsia="宋体" w:cs="宋体"/>
                <w:b/>
                <w:color w:val="auto"/>
                <w:sz w:val="21"/>
                <w:szCs w:val="21"/>
                <w:lang w:val="en-US" w:eastAsia="zh-CN" w:bidi="ar"/>
              </w:rPr>
              <w:t>技术参数</w:t>
            </w:r>
          </w:p>
        </w:tc>
        <w:tc>
          <w:tcPr>
            <w:tcW w:w="910" w:type="dxa"/>
            <w:shd w:val="clear" w:color="auto" w:fill="auto"/>
            <w:vAlign w:val="center"/>
          </w:tcPr>
          <w:p w14:paraId="4687E5DB">
            <w:pPr>
              <w:widowControl/>
              <w:spacing w:after="0" w:line="240" w:lineRule="auto"/>
              <w:jc w:val="center"/>
              <w:rPr>
                <w:rFonts w:hint="default" w:ascii="宋体" w:hAnsi="宋体" w:eastAsia="宋体" w:cs="宋体"/>
                <w:b w:val="0"/>
                <w:bCs/>
                <w:color w:val="auto"/>
                <w:sz w:val="21"/>
                <w:szCs w:val="21"/>
                <w:lang w:val="en-US" w:eastAsia="zh-CN" w:bidi="ar"/>
              </w:rPr>
            </w:pPr>
            <w:r>
              <w:rPr>
                <w:rFonts w:hint="eastAsia" w:ascii="宋体" w:hAnsi="宋体" w:eastAsia="宋体" w:cs="宋体"/>
                <w:b w:val="0"/>
                <w:bCs/>
                <w:color w:val="auto"/>
                <w:sz w:val="21"/>
                <w:szCs w:val="21"/>
                <w:lang w:val="en-US" w:eastAsia="zh-CN" w:bidi="ar"/>
              </w:rPr>
              <w:t>10分</w:t>
            </w:r>
          </w:p>
        </w:tc>
        <w:tc>
          <w:tcPr>
            <w:tcW w:w="6506" w:type="dxa"/>
            <w:shd w:val="clear" w:color="auto" w:fill="auto"/>
            <w:vAlign w:val="center"/>
          </w:tcPr>
          <w:p w14:paraId="4990EB23">
            <w:pPr>
              <w:widowControl/>
              <w:spacing w:after="0" w:line="240" w:lineRule="auto"/>
              <w:jc w:val="left"/>
              <w:rPr>
                <w:rFonts w:hint="eastAsia" w:ascii="宋体" w:hAnsi="宋体" w:eastAsia="宋体" w:cs="宋体"/>
                <w:b w:val="0"/>
                <w:bCs/>
                <w:color w:val="auto"/>
                <w:sz w:val="21"/>
                <w:szCs w:val="21"/>
                <w:lang w:bidi="ar"/>
              </w:rPr>
            </w:pPr>
            <w:r>
              <w:rPr>
                <w:rFonts w:hint="eastAsia" w:ascii="宋体" w:hAnsi="宋体" w:eastAsia="宋体" w:cs="宋体"/>
                <w:b w:val="0"/>
                <w:bCs/>
                <w:color w:val="auto"/>
                <w:sz w:val="21"/>
                <w:szCs w:val="21"/>
                <w:lang w:bidi="ar"/>
              </w:rPr>
              <w:t>根据所投产品的配置与性能指标、技术参数符合性、技术偏离项等对招标文件的响应程度对投标人进行打分。全部响应招标文件“技术要求”的，得满分10分；标注“★”的参数不满足要求的，每项扣0.5分，扣完为止。</w:t>
            </w:r>
          </w:p>
          <w:p w14:paraId="509B11B1">
            <w:pPr>
              <w:widowControl/>
              <w:spacing w:after="0" w:line="240" w:lineRule="auto"/>
              <w:jc w:val="left"/>
              <w:rPr>
                <w:rFonts w:hint="eastAsia" w:ascii="宋体" w:hAnsi="宋体" w:eastAsia="宋体" w:cs="宋体"/>
                <w:b w:val="0"/>
                <w:bCs/>
                <w:color w:val="auto"/>
                <w:sz w:val="21"/>
                <w:szCs w:val="21"/>
                <w:lang w:bidi="ar"/>
              </w:rPr>
            </w:pPr>
            <w:r>
              <w:rPr>
                <w:rFonts w:hint="eastAsia" w:ascii="宋体" w:hAnsi="宋体" w:eastAsia="宋体" w:cs="宋体"/>
                <w:b w:val="0"/>
                <w:bCs/>
                <w:color w:val="auto"/>
                <w:sz w:val="21"/>
                <w:szCs w:val="21"/>
                <w:lang w:bidi="ar"/>
              </w:rPr>
              <w:t>招标文件中要求提供证明材料的，投标人须提供证明材料原件的复印件或彩色扫描件，加盖投标人公章；未作要求的其他项参数以投标人提供的《技术要求响应及偏离表》为准。对通过提供虚假材料谋取中标的，货到验收技术参数与投标文件不符时，采购方可以拒收货、拒付款，并且供货方必须承担相应的法律责任。</w:t>
            </w:r>
          </w:p>
        </w:tc>
      </w:tr>
      <w:tr w14:paraId="39081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trPr>
        <w:tc>
          <w:tcPr>
            <w:tcW w:w="1106" w:type="dxa"/>
            <w:vAlign w:val="center"/>
          </w:tcPr>
          <w:p w14:paraId="0A916954">
            <w:pPr>
              <w:spacing w:after="0" w:line="240" w:lineRule="auto"/>
              <w:jc w:val="center"/>
              <w:rPr>
                <w:rFonts w:hint="eastAsia" w:ascii="宋体" w:hAnsi="宋体" w:eastAsia="宋体" w:cs="宋体"/>
                <w:b/>
                <w:color w:val="auto"/>
                <w:sz w:val="21"/>
                <w:szCs w:val="21"/>
                <w:lang w:val="en-US" w:eastAsia="zh-CN" w:bidi="ar"/>
              </w:rPr>
            </w:pPr>
            <w:r>
              <w:rPr>
                <w:rFonts w:hint="eastAsia" w:ascii="宋体" w:hAnsi="宋体" w:eastAsia="宋体" w:cs="宋体"/>
                <w:b/>
                <w:color w:val="auto"/>
                <w:sz w:val="21"/>
                <w:szCs w:val="21"/>
                <w:lang w:val="en-US" w:eastAsia="zh-CN" w:bidi="ar"/>
              </w:rPr>
              <w:t>样品</w:t>
            </w:r>
          </w:p>
          <w:p w14:paraId="5EC29447">
            <w:pPr>
              <w:spacing w:after="0" w:line="240" w:lineRule="auto"/>
              <w:jc w:val="center"/>
              <w:rPr>
                <w:rFonts w:hint="eastAsia" w:ascii="宋体" w:hAnsi="宋体" w:eastAsia="宋体" w:cs="宋体"/>
                <w:b/>
                <w:color w:val="auto"/>
                <w:sz w:val="21"/>
                <w:szCs w:val="21"/>
                <w:lang w:val="en-US" w:eastAsia="zh-CN" w:bidi="ar"/>
              </w:rPr>
            </w:pPr>
            <w:r>
              <w:rPr>
                <w:rFonts w:hint="eastAsia" w:ascii="宋体" w:hAnsi="宋体" w:eastAsia="宋体" w:cs="宋体"/>
                <w:b/>
                <w:color w:val="auto"/>
                <w:sz w:val="21"/>
                <w:szCs w:val="21"/>
                <w:lang w:val="en-US" w:eastAsia="zh-CN" w:bidi="ar"/>
              </w:rPr>
              <w:t>评测</w:t>
            </w:r>
          </w:p>
        </w:tc>
        <w:tc>
          <w:tcPr>
            <w:tcW w:w="910" w:type="dxa"/>
            <w:shd w:val="clear" w:color="auto" w:fill="auto"/>
            <w:vAlign w:val="center"/>
          </w:tcPr>
          <w:p w14:paraId="5DBD42B9">
            <w:pPr>
              <w:widowControl/>
              <w:spacing w:after="0" w:line="240" w:lineRule="auto"/>
              <w:jc w:val="center"/>
              <w:rPr>
                <w:rFonts w:hint="default"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15分</w:t>
            </w:r>
          </w:p>
        </w:tc>
        <w:tc>
          <w:tcPr>
            <w:tcW w:w="6506" w:type="dxa"/>
            <w:shd w:val="clear" w:color="auto" w:fill="auto"/>
            <w:vAlign w:val="center"/>
          </w:tcPr>
          <w:p w14:paraId="0B2F5BC5">
            <w:pPr>
              <w:keepNext w:val="0"/>
              <w:keepLines w:val="0"/>
              <w:pageBreakBefore w:val="0"/>
              <w:widowControl w:val="0"/>
              <w:kinsoku/>
              <w:wordWrap/>
              <w:overflowPunct/>
              <w:topLinePunct w:val="0"/>
              <w:autoSpaceDE/>
              <w:autoSpaceDN/>
              <w:bidi w:val="0"/>
              <w:adjustRightInd/>
              <w:snapToGrid/>
              <w:spacing w:after="0" w:line="240" w:lineRule="auto"/>
              <w:ind w:firstLine="422"/>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投标人根据招标文件设备技术要求，提供所投产品设备样机（</w:t>
            </w:r>
            <w:r>
              <w:rPr>
                <w:rFonts w:hint="eastAsia" w:asciiTheme="minorEastAsia" w:hAnsiTheme="minorEastAsia" w:eastAsiaTheme="minorEastAsia" w:cstheme="minorEastAsia"/>
                <w:b/>
                <w:color w:val="auto"/>
                <w:sz w:val="21"/>
                <w:szCs w:val="21"/>
                <w:highlight w:val="none"/>
                <w:lang w:val="en-US" w:eastAsia="zh-CN"/>
              </w:rPr>
              <w:t>400万双镜头结构化相机</w:t>
            </w:r>
            <w:r>
              <w:rPr>
                <w:rFonts w:hint="eastAsia" w:asciiTheme="minorEastAsia" w:hAnsiTheme="minorEastAsia" w:eastAsiaTheme="minorEastAsia" w:cstheme="minorEastAsia"/>
                <w:b/>
                <w:color w:val="auto"/>
                <w:sz w:val="21"/>
                <w:szCs w:val="21"/>
                <w:highlight w:val="none"/>
              </w:rPr>
              <w:t>）进行测试，样机提供一台，测试内容如下：</w:t>
            </w:r>
          </w:p>
          <w:p w14:paraId="2EC224E3">
            <w:pPr>
              <w:keepNext w:val="0"/>
              <w:keepLines w:val="0"/>
              <w:pageBreakBefore w:val="0"/>
              <w:widowControl w:val="0"/>
              <w:kinsoku/>
              <w:wordWrap/>
              <w:overflowPunct/>
              <w:topLinePunct w:val="0"/>
              <w:autoSpaceDE/>
              <w:autoSpaceDN/>
              <w:bidi w:val="0"/>
              <w:adjustRightInd/>
              <w:snapToGrid/>
              <w:spacing w:after="0" w:line="240" w:lineRule="auto"/>
              <w:ind w:firstLine="422" w:firstLineChars="200"/>
              <w:textAlignment w:val="auto"/>
              <w:rPr>
                <w:rFonts w:hint="eastAsia" w:ascii="宋体" w:hAnsi="宋体"/>
                <w:color w:val="auto"/>
                <w:kern w:val="2"/>
                <w:sz w:val="24"/>
                <w:highlight w:val="none"/>
              </w:rPr>
            </w:pPr>
            <w:r>
              <w:rPr>
                <w:rFonts w:hint="eastAsia" w:asciiTheme="minorEastAsia" w:hAnsiTheme="minorEastAsia" w:cstheme="minorEastAsia"/>
                <w:b/>
                <w:color w:val="auto"/>
                <w:sz w:val="21"/>
                <w:szCs w:val="21"/>
                <w:highlight w:val="none"/>
                <w:lang w:val="en-US" w:eastAsia="zh-CN"/>
              </w:rPr>
              <w:t>1、</w:t>
            </w:r>
            <w:r>
              <w:rPr>
                <w:rFonts w:hint="eastAsia" w:asciiTheme="minorEastAsia" w:hAnsiTheme="minorEastAsia" w:eastAsiaTheme="minorEastAsia" w:cstheme="minorEastAsia"/>
                <w:b/>
                <w:color w:val="auto"/>
                <w:sz w:val="21"/>
                <w:szCs w:val="21"/>
                <w:highlight w:val="none"/>
              </w:rPr>
              <w:t>视频质量（本项最高得</w:t>
            </w:r>
            <w:r>
              <w:rPr>
                <w:rFonts w:hint="eastAsia" w:asciiTheme="minorEastAsia" w:hAnsiTheme="minorEastAsia" w:cstheme="minorEastAsia"/>
                <w:b/>
                <w:color w:val="auto"/>
                <w:sz w:val="21"/>
                <w:szCs w:val="21"/>
                <w:highlight w:val="none"/>
                <w:lang w:val="en-US" w:eastAsia="zh-CN"/>
              </w:rPr>
              <w:t>2</w:t>
            </w:r>
            <w:r>
              <w:rPr>
                <w:rFonts w:hint="eastAsia" w:asciiTheme="minorEastAsia" w:hAnsiTheme="minorEastAsia" w:eastAsiaTheme="minorEastAsia" w:cstheme="minorEastAsia"/>
                <w:b/>
                <w:color w:val="auto"/>
                <w:sz w:val="21"/>
                <w:szCs w:val="21"/>
                <w:highlight w:val="none"/>
              </w:rPr>
              <w:t>分）。</w:t>
            </w:r>
            <w:r>
              <w:rPr>
                <w:rFonts w:hint="eastAsia" w:asciiTheme="minorEastAsia" w:hAnsiTheme="minorEastAsia" w:eastAsiaTheme="minorEastAsia" w:cstheme="minorEastAsia"/>
                <w:color w:val="auto"/>
                <w:sz w:val="21"/>
                <w:szCs w:val="21"/>
                <w:highlight w:val="none"/>
              </w:rPr>
              <w:t>评测视频清晰度，分辨率，观察人脸特征、车辆号牌及外部特征等，可放大3-5倍查看实际效果等进行辅助测试；视频质量，观察是否存在明显跳帧，黑屏、白屏、画面缺失、偏色、逆光过爆、拖影等问题。演示时提供测试时间段白天和夜间有人员、车辆通行的各2分钟视频录像，由评审专家现场评审：视频清晰度评测，人脸、车辆号牌等特征清晰可辨，特征明显、清晰度最高的得</w:t>
            </w:r>
            <w:r>
              <w:rPr>
                <w:rFonts w:hint="eastAsia" w:asciiTheme="minorEastAsia" w:hAnsi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分，特征基本清晰，清晰度较高者得</w:t>
            </w:r>
            <w:r>
              <w:rPr>
                <w:rFonts w:hint="eastAsia" w:asciiTheme="minorEastAsia" w:hAnsiTheme="minorEastAsia" w:cstheme="minorEastAsia"/>
                <w:color w:val="auto"/>
                <w:sz w:val="21"/>
                <w:szCs w:val="21"/>
                <w:highlight w:val="none"/>
                <w:lang w:val="en-US" w:eastAsia="zh-CN"/>
              </w:rPr>
              <w:t>0.5</w:t>
            </w:r>
            <w:r>
              <w:rPr>
                <w:rFonts w:hint="eastAsia" w:asciiTheme="minorEastAsia" w:hAnsiTheme="minorEastAsia" w:eastAsiaTheme="minorEastAsia" w:cstheme="minorEastAsia"/>
                <w:color w:val="auto"/>
                <w:sz w:val="21"/>
                <w:szCs w:val="21"/>
                <w:highlight w:val="none"/>
              </w:rPr>
              <w:t>分，特征难以辨晰的不得分；视频质量评测，不存在明显跳帧，黑屏、白屏、画面缺失、偏色、逆光过爆、拖影等问题的得</w:t>
            </w:r>
            <w:r>
              <w:rPr>
                <w:rFonts w:hint="eastAsia" w:asciiTheme="minorEastAsia" w:hAnsi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分，存在2项以下（含）视频质量问题的得</w:t>
            </w:r>
            <w:r>
              <w:rPr>
                <w:rFonts w:hint="eastAsia" w:asciiTheme="minorEastAsia" w:hAnsiTheme="minorEastAsia" w:cstheme="minorEastAsia"/>
                <w:color w:val="auto"/>
                <w:sz w:val="21"/>
                <w:szCs w:val="21"/>
                <w:highlight w:val="none"/>
                <w:lang w:val="en-US" w:eastAsia="zh-CN"/>
              </w:rPr>
              <w:t>0.5</w:t>
            </w:r>
            <w:r>
              <w:rPr>
                <w:rFonts w:hint="eastAsia" w:asciiTheme="minorEastAsia" w:hAnsiTheme="minorEastAsia" w:eastAsiaTheme="minorEastAsia" w:cstheme="minorEastAsia"/>
                <w:color w:val="auto"/>
                <w:sz w:val="21"/>
                <w:szCs w:val="21"/>
                <w:highlight w:val="none"/>
              </w:rPr>
              <w:t>分，存在3项（含）以上视频质量问题的不得分。</w:t>
            </w:r>
          </w:p>
          <w:p w14:paraId="35E60A0E">
            <w:pPr>
              <w:keepNext w:val="0"/>
              <w:keepLines w:val="0"/>
              <w:pageBreakBefore w:val="0"/>
              <w:widowControl w:val="0"/>
              <w:kinsoku/>
              <w:wordWrap/>
              <w:overflowPunct/>
              <w:topLinePunct w:val="0"/>
              <w:autoSpaceDE/>
              <w:autoSpaceDN/>
              <w:bidi w:val="0"/>
              <w:adjustRightInd/>
              <w:snapToGrid/>
              <w:spacing w:after="0" w:line="240" w:lineRule="auto"/>
              <w:ind w:firstLine="422"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2</w:t>
            </w:r>
            <w:r>
              <w:rPr>
                <w:rFonts w:hint="eastAsia" w:asciiTheme="minorEastAsia" w:hAnsiTheme="minorEastAsia" w:eastAsiaTheme="minorEastAsia" w:cstheme="minorEastAsia"/>
                <w:b/>
                <w:color w:val="auto"/>
                <w:sz w:val="21"/>
                <w:szCs w:val="21"/>
                <w:highlight w:val="none"/>
                <w:lang w:eastAsia="zh-CN"/>
              </w:rPr>
              <w:t>、</w:t>
            </w:r>
            <w:r>
              <w:rPr>
                <w:rFonts w:hint="eastAsia" w:asciiTheme="minorEastAsia" w:hAnsiTheme="minorEastAsia" w:eastAsiaTheme="minorEastAsia" w:cstheme="minorEastAsia"/>
                <w:b/>
                <w:color w:val="auto"/>
                <w:sz w:val="21"/>
                <w:szCs w:val="21"/>
                <w:highlight w:val="none"/>
              </w:rPr>
              <w:t>录像质量（本项最高得</w:t>
            </w:r>
            <w:r>
              <w:rPr>
                <w:rFonts w:hint="eastAsia" w:asciiTheme="minorEastAsia" w:hAnsiTheme="minorEastAsia" w:cstheme="minorEastAsia"/>
                <w:b/>
                <w:color w:val="auto"/>
                <w:sz w:val="21"/>
                <w:szCs w:val="21"/>
                <w:highlight w:val="none"/>
                <w:lang w:val="en-US" w:eastAsia="zh-CN"/>
              </w:rPr>
              <w:t>2</w:t>
            </w:r>
            <w:r>
              <w:rPr>
                <w:rFonts w:hint="eastAsia" w:asciiTheme="minorEastAsia" w:hAnsiTheme="minorEastAsia" w:eastAsiaTheme="minorEastAsia" w:cstheme="minorEastAsia"/>
                <w:b/>
                <w:color w:val="auto"/>
                <w:sz w:val="21"/>
                <w:szCs w:val="21"/>
                <w:highlight w:val="none"/>
              </w:rPr>
              <w:t>分）。</w:t>
            </w:r>
            <w:r>
              <w:rPr>
                <w:rFonts w:hint="eastAsia" w:asciiTheme="minorEastAsia" w:hAnsiTheme="minorEastAsia" w:eastAsiaTheme="minorEastAsia" w:cstheme="minorEastAsia"/>
                <w:color w:val="auto"/>
                <w:sz w:val="21"/>
                <w:szCs w:val="21"/>
                <w:highlight w:val="none"/>
              </w:rPr>
              <w:t>评测视频录像的稳定性，是否存在录像丢失。演示时提供平台测试相机录像监测数据录屏，由评审专家现场评审：相机视频录像连贯稳定得</w:t>
            </w:r>
            <w:r>
              <w:rPr>
                <w:rFonts w:hint="eastAsia" w:asciiTheme="minorEastAsia" w:hAnsi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分，录像偶有丢失近乎稳定得</w:t>
            </w:r>
            <w:r>
              <w:rPr>
                <w:rFonts w:hint="eastAsia" w:asciiTheme="minorEastAsia" w:hAnsi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分，录像不稳定、存在录像明显丢失现象不得分。</w:t>
            </w:r>
          </w:p>
          <w:p w14:paraId="03FEEB3A">
            <w:pPr>
              <w:keepNext w:val="0"/>
              <w:keepLines w:val="0"/>
              <w:pageBreakBefore w:val="0"/>
              <w:widowControl w:val="0"/>
              <w:numPr>
                <w:ilvl w:val="0"/>
                <w:numId w:val="3"/>
              </w:numPr>
              <w:spacing w:after="0" w:line="240" w:lineRule="auto"/>
              <w:ind w:firstLine="42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抓拍数量（本项最高得</w:t>
            </w:r>
            <w:r>
              <w:rPr>
                <w:rFonts w:hint="eastAsia" w:asciiTheme="minorEastAsia" w:hAnsiTheme="minorEastAsia" w:cstheme="minorEastAsia"/>
                <w:b/>
                <w:color w:val="auto"/>
                <w:sz w:val="21"/>
                <w:szCs w:val="21"/>
                <w:highlight w:val="none"/>
                <w:lang w:val="en-US" w:eastAsia="zh-CN"/>
              </w:rPr>
              <w:t>4</w:t>
            </w:r>
            <w:r>
              <w:rPr>
                <w:rFonts w:hint="eastAsia" w:asciiTheme="minorEastAsia" w:hAnsiTheme="minorEastAsia" w:eastAsiaTheme="minorEastAsia" w:cstheme="minorEastAsia"/>
                <w:b/>
                <w:color w:val="auto"/>
                <w:sz w:val="21"/>
                <w:szCs w:val="21"/>
                <w:highlight w:val="none"/>
              </w:rPr>
              <w:t>分）。</w:t>
            </w:r>
            <w:r>
              <w:rPr>
                <w:rFonts w:hint="eastAsia" w:asciiTheme="minorEastAsia" w:hAnsiTheme="minorEastAsia" w:eastAsiaTheme="minorEastAsia" w:cstheme="minorEastAsia"/>
                <w:color w:val="auto"/>
                <w:sz w:val="21"/>
                <w:szCs w:val="21"/>
                <w:highlight w:val="none"/>
              </w:rPr>
              <w:t>通过视频联网平台，分人脸、人体、机动车、非机动车计算测试期间内抓拍总量。演示时提供联网平台数据抓拍量截图，由评审专家现场评审：每项均以投标人抓拍数量图片最多者为参考标准，数量达95%（含）以上的得</w:t>
            </w:r>
            <w:r>
              <w:rPr>
                <w:rFonts w:hint="eastAsia" w:asciiTheme="minorEastAsia" w:hAnsi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分，数量达80%（含）-95%以上的得</w:t>
            </w:r>
            <w:r>
              <w:rPr>
                <w:rFonts w:hint="eastAsia" w:asciiTheme="minorEastAsia" w:hAnsi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分，低于80%不得分。</w:t>
            </w:r>
          </w:p>
          <w:p w14:paraId="7567D8D2">
            <w:pPr>
              <w:keepNext w:val="0"/>
              <w:keepLines w:val="0"/>
              <w:pageBreakBefore w:val="0"/>
              <w:widowControl w:val="0"/>
              <w:numPr>
                <w:ilvl w:val="0"/>
                <w:numId w:val="3"/>
              </w:numPr>
              <w:spacing w:after="0" w:line="240" w:lineRule="auto"/>
              <w:ind w:left="0" w:leftChars="0" w:firstLine="422" w:firstLineChars="0"/>
              <w:rPr>
                <w:rFonts w:hint="eastAsia" w:asciiTheme="minorEastAsia" w:hAnsiTheme="minorEastAsia" w:cstheme="minorEastAsia"/>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rPr>
              <w:t>抓拍质量。（本项最高得</w:t>
            </w:r>
            <w:r>
              <w:rPr>
                <w:rFonts w:hint="eastAsia" w:asciiTheme="minorEastAsia" w:hAnsiTheme="minorEastAsia" w:cstheme="minorEastAsia"/>
                <w:b/>
                <w:color w:val="auto"/>
                <w:sz w:val="21"/>
                <w:szCs w:val="21"/>
                <w:highlight w:val="none"/>
                <w:lang w:val="en-US" w:eastAsia="zh-CN"/>
              </w:rPr>
              <w:t>4</w:t>
            </w:r>
            <w:r>
              <w:rPr>
                <w:rFonts w:hint="eastAsia" w:asciiTheme="minorEastAsia" w:hAnsiTheme="minorEastAsia" w:eastAsiaTheme="minorEastAsia" w:cstheme="minorEastAsia"/>
                <w:b/>
                <w:color w:val="auto"/>
                <w:sz w:val="21"/>
                <w:szCs w:val="21"/>
                <w:highlight w:val="none"/>
              </w:rPr>
              <w:t>分）</w:t>
            </w:r>
            <w:r>
              <w:rPr>
                <w:rFonts w:hint="eastAsia" w:asciiTheme="minorEastAsia" w:hAnsiTheme="minorEastAsia" w:eastAsiaTheme="minorEastAsia" w:cstheme="minorEastAsia"/>
                <w:color w:val="auto"/>
                <w:sz w:val="21"/>
                <w:szCs w:val="21"/>
                <w:highlight w:val="none"/>
              </w:rPr>
              <w:t>人像图片低质量评测</w:t>
            </w:r>
            <w:r>
              <w:rPr>
                <w:rFonts w:hint="eastAsia" w:asciiTheme="minorEastAsia" w:hAnsi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人像图片解析质量（</w:t>
            </w:r>
            <w:r>
              <w:rPr>
                <w:rFonts w:hint="eastAsia" w:asciiTheme="minorEastAsia" w:hAnsiTheme="minorEastAsia" w:cstheme="minorEastAsia"/>
                <w:color w:val="auto"/>
                <w:sz w:val="21"/>
                <w:szCs w:val="21"/>
                <w:highlight w:val="none"/>
                <w:lang w:val="en-US" w:eastAsia="zh-CN"/>
              </w:rPr>
              <w:t>以解析平台人像建模为准</w:t>
            </w:r>
            <w:r>
              <w:rPr>
                <w:rFonts w:hint="eastAsia" w:asciiTheme="minorEastAsia" w:hAnsiTheme="minorEastAsia" w:eastAsiaTheme="minorEastAsia" w:cstheme="minorEastAsia"/>
                <w:color w:val="auto"/>
                <w:sz w:val="21"/>
                <w:szCs w:val="21"/>
                <w:highlight w:val="none"/>
              </w:rPr>
              <w:t>），由评审专家现场评审。人像图片低质量评测提供测试期间</w:t>
            </w:r>
            <w:r>
              <w:rPr>
                <w:rFonts w:hint="eastAsia" w:asciiTheme="minorEastAsia" w:hAnsiTheme="minorEastAsia" w:cstheme="minorEastAsia"/>
                <w:color w:val="auto"/>
                <w:sz w:val="21"/>
                <w:szCs w:val="21"/>
                <w:highlight w:val="none"/>
                <w:lang w:val="en-US" w:eastAsia="zh-CN"/>
              </w:rPr>
              <w:t>解析</w:t>
            </w:r>
            <w:r>
              <w:rPr>
                <w:rFonts w:hint="eastAsia" w:asciiTheme="minorEastAsia" w:hAnsiTheme="minorEastAsia" w:eastAsiaTheme="minorEastAsia" w:cstheme="minorEastAsia"/>
                <w:color w:val="auto"/>
                <w:sz w:val="21"/>
                <w:szCs w:val="21"/>
                <w:highlight w:val="none"/>
              </w:rPr>
              <w:t>平台低质量图片数截图，以低质量图片数最低者为标准，数量在1.05（含）倍以下的得</w:t>
            </w:r>
            <w:r>
              <w:rPr>
                <w:rFonts w:hint="eastAsia" w:asciiTheme="minorEastAsia" w:hAnsi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分，数量在1.05-1.2（含）倍的得</w:t>
            </w:r>
            <w:r>
              <w:rPr>
                <w:rFonts w:hint="eastAsia" w:asciiTheme="minorEastAsia" w:hAnsi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分，数量高于1.2倍的不得分</w:t>
            </w:r>
            <w:r>
              <w:rPr>
                <w:rFonts w:hint="eastAsia" w:asciiTheme="minorEastAsia" w:hAnsiTheme="minorEastAsia" w:cstheme="minorEastAsia"/>
                <w:color w:val="auto"/>
                <w:sz w:val="21"/>
                <w:szCs w:val="21"/>
                <w:highlight w:val="none"/>
                <w:lang w:eastAsia="zh-CN"/>
              </w:rPr>
              <w:t>。</w:t>
            </w:r>
          </w:p>
          <w:p w14:paraId="74EE1FD0">
            <w:pPr>
              <w:keepNext w:val="0"/>
              <w:keepLines w:val="0"/>
              <w:pageBreakBefore w:val="0"/>
              <w:widowControl w:val="0"/>
              <w:spacing w:after="0" w:line="240" w:lineRule="auto"/>
              <w:ind w:firstLine="42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5</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color w:val="auto"/>
                <w:sz w:val="21"/>
                <w:szCs w:val="21"/>
                <w:highlight w:val="none"/>
              </w:rPr>
              <w:t>特殊场景抓拍压力测试（本项最高得</w:t>
            </w:r>
            <w:r>
              <w:rPr>
                <w:rFonts w:hint="eastAsia" w:asciiTheme="minorEastAsia" w:hAnsiTheme="minorEastAsia" w:cstheme="minorEastAsia"/>
                <w:b/>
                <w:color w:val="auto"/>
                <w:sz w:val="21"/>
                <w:szCs w:val="21"/>
                <w:highlight w:val="none"/>
                <w:lang w:val="en-US" w:eastAsia="zh-CN"/>
              </w:rPr>
              <w:t>3</w:t>
            </w:r>
            <w:r>
              <w:rPr>
                <w:rFonts w:hint="eastAsia" w:asciiTheme="minorEastAsia" w:hAnsiTheme="minorEastAsia" w:eastAsiaTheme="minorEastAsia" w:cstheme="minorEastAsia"/>
                <w:b/>
                <w:color w:val="auto"/>
                <w:sz w:val="21"/>
                <w:szCs w:val="21"/>
                <w:highlight w:val="none"/>
              </w:rPr>
              <w:t>分）。</w:t>
            </w:r>
            <w:r>
              <w:rPr>
                <w:rFonts w:hint="eastAsia" w:asciiTheme="minorEastAsia" w:hAnsiTheme="minorEastAsia" w:eastAsiaTheme="minorEastAsia" w:cstheme="minorEastAsia"/>
                <w:color w:val="auto"/>
                <w:sz w:val="21"/>
                <w:szCs w:val="21"/>
                <w:highlight w:val="none"/>
              </w:rPr>
              <w:t>在人员通行集中区域或模拟人员集中快速通过，测试实际抓拍人数（以解析平台数据为准）。提供解析平台可置信图片数。由评审专家现场评审：以可置信图片最多者为标准，数量达95%（含）以上的得</w:t>
            </w:r>
            <w:r>
              <w:rPr>
                <w:rFonts w:hint="eastAsia" w:asciiTheme="minorEastAsia" w:hAnsi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分，数量达90%（含）-95%以上的得</w:t>
            </w:r>
            <w:r>
              <w:rPr>
                <w:rFonts w:hint="eastAsia" w:asciiTheme="minorEastAsia" w:hAnsi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分，数量达80%（含）-90%以上的得</w:t>
            </w:r>
            <w:r>
              <w:rPr>
                <w:rFonts w:hint="eastAsia" w:asciiTheme="minorEastAsia" w:hAnsi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分，低于80%不得分。</w:t>
            </w:r>
          </w:p>
          <w:p w14:paraId="5D0124B5">
            <w:pPr>
              <w:keepNext w:val="0"/>
              <w:keepLines w:val="0"/>
              <w:pageBreakBefore w:val="0"/>
              <w:widowControl w:val="0"/>
              <w:spacing w:after="0" w:line="240" w:lineRule="auto"/>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测</w:t>
            </w:r>
            <w:r>
              <w:rPr>
                <w:rFonts w:hint="eastAsia" w:asciiTheme="minorEastAsia" w:hAnsiTheme="minorEastAsia" w:eastAsiaTheme="minorEastAsia" w:cstheme="minorEastAsia"/>
                <w:color w:val="auto"/>
                <w:sz w:val="21"/>
                <w:szCs w:val="21"/>
                <w:highlight w:val="none"/>
              </w:rPr>
              <w:t>试说明：</w:t>
            </w:r>
          </w:p>
          <w:p w14:paraId="5BBFB7E2">
            <w:pPr>
              <w:keepNext w:val="0"/>
              <w:keepLines w:val="0"/>
              <w:pageBreakBefore w:val="0"/>
              <w:widowControl w:val="0"/>
              <w:numPr>
                <w:ilvl w:val="0"/>
                <w:numId w:val="4"/>
              </w:numPr>
              <w:spacing w:after="0" w:line="240" w:lineRule="auto"/>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投标人在2026年</w:t>
            </w:r>
            <w:r>
              <w:rPr>
                <w:rFonts w:hint="eastAsia" w:asciiTheme="minorEastAsia" w:hAnsi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cstheme="minorEastAsia"/>
                <w:color w:val="auto"/>
                <w:sz w:val="21"/>
                <w:szCs w:val="21"/>
                <w:highlight w:val="none"/>
                <w:lang w:val="en-US" w:eastAsia="zh-CN"/>
              </w:rPr>
              <w:t>09:00时</w:t>
            </w:r>
            <w:r>
              <w:rPr>
                <w:rFonts w:hint="eastAsia" w:asciiTheme="minorEastAsia" w:hAnsiTheme="minorEastAsia" w:eastAsiaTheme="minorEastAsia" w:cstheme="minorEastAsia"/>
                <w:color w:val="auto"/>
                <w:sz w:val="21"/>
                <w:szCs w:val="21"/>
                <w:highlight w:val="none"/>
              </w:rPr>
              <w:t>至2026年</w:t>
            </w:r>
            <w:r>
              <w:rPr>
                <w:rFonts w:hint="eastAsia" w:asciiTheme="minorEastAsia" w:hAnsi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cstheme="minorEastAsia"/>
                <w:color w:val="auto"/>
                <w:sz w:val="21"/>
                <w:szCs w:val="21"/>
                <w:highlight w:val="none"/>
                <w:lang w:val="en-US" w:eastAsia="zh-CN"/>
              </w:rPr>
              <w:t>11</w:t>
            </w: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cstheme="minorEastAsia"/>
                <w:color w:val="auto"/>
                <w:sz w:val="21"/>
                <w:szCs w:val="21"/>
                <w:highlight w:val="none"/>
                <w:lang w:val="en-US" w:eastAsia="zh-CN"/>
              </w:rPr>
              <w:t>18:00时</w:t>
            </w:r>
            <w:r>
              <w:rPr>
                <w:rFonts w:hint="eastAsia" w:asciiTheme="minorEastAsia" w:hAnsiTheme="minorEastAsia" w:eastAsiaTheme="minorEastAsia" w:cstheme="minorEastAsia"/>
                <w:color w:val="auto"/>
                <w:sz w:val="21"/>
                <w:szCs w:val="21"/>
                <w:highlight w:val="none"/>
              </w:rPr>
              <w:t>期间，至</w:t>
            </w:r>
            <w:r>
              <w:rPr>
                <w:rFonts w:hint="eastAsia" w:asciiTheme="minorEastAsia" w:hAnsiTheme="minorEastAsia" w:cstheme="minorEastAsia"/>
                <w:color w:val="auto"/>
                <w:sz w:val="21"/>
                <w:szCs w:val="21"/>
                <w:highlight w:val="none"/>
                <w:u w:val="single"/>
                <w:lang w:val="en-US" w:eastAsia="zh-CN"/>
              </w:rPr>
              <w:t>盐城市智禾项目管理有限公司</w:t>
            </w:r>
            <w:r>
              <w:rPr>
                <w:rFonts w:hint="eastAsia" w:asciiTheme="minorEastAsia" w:hAnsiTheme="minorEastAsia" w:eastAsiaTheme="minorEastAsia" w:cstheme="minorEastAsia"/>
                <w:color w:val="auto"/>
                <w:sz w:val="21"/>
                <w:szCs w:val="21"/>
                <w:highlight w:val="none"/>
              </w:rPr>
              <w:t>提交样品（联系人：</w:t>
            </w:r>
            <w:r>
              <w:rPr>
                <w:rFonts w:hint="eastAsia" w:asciiTheme="minorEastAsia" w:hAnsiTheme="minorEastAsia" w:cstheme="minorEastAsia"/>
                <w:color w:val="auto"/>
                <w:sz w:val="21"/>
                <w:szCs w:val="21"/>
                <w:highlight w:val="none"/>
                <w:u w:val="single"/>
                <w:lang w:val="en-US" w:eastAsia="zh-CN"/>
              </w:rPr>
              <w:t>杨女士</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cstheme="minorEastAsia"/>
                <w:color w:val="auto"/>
                <w:sz w:val="21"/>
                <w:szCs w:val="21"/>
                <w:highlight w:val="none"/>
                <w:u w:val="single"/>
                <w:lang w:val="en-US" w:eastAsia="zh-CN"/>
              </w:rPr>
              <w:t>电话13092197196</w:t>
            </w:r>
            <w:r>
              <w:rPr>
                <w:rFonts w:hint="eastAsia" w:asciiTheme="minorEastAsia" w:hAnsiTheme="minorEastAsia" w:eastAsiaTheme="minorEastAsia" w:cstheme="minorEastAsia"/>
                <w:color w:val="auto"/>
                <w:sz w:val="21"/>
                <w:szCs w:val="21"/>
                <w:highlight w:val="none"/>
              </w:rPr>
              <w:t>）；2026年</w:t>
            </w:r>
            <w:r>
              <w:rPr>
                <w:rFonts w:hint="eastAsia" w:asciiTheme="minorEastAsia" w:hAnsi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cstheme="minorEastAsia"/>
                <w:color w:val="auto"/>
                <w:sz w:val="21"/>
                <w:szCs w:val="21"/>
                <w:highlight w:val="none"/>
                <w:lang w:val="en-US" w:eastAsia="zh-CN"/>
              </w:rPr>
              <w:t>13</w:t>
            </w: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cstheme="minorEastAsia"/>
                <w:color w:val="auto"/>
                <w:sz w:val="21"/>
                <w:szCs w:val="21"/>
                <w:highlight w:val="none"/>
                <w:lang w:val="en-US" w:eastAsia="zh-CN"/>
              </w:rPr>
              <w:t>09:00时</w:t>
            </w:r>
            <w:r>
              <w:rPr>
                <w:rFonts w:hint="eastAsia" w:asciiTheme="minorEastAsia" w:hAnsiTheme="minorEastAsia" w:eastAsiaTheme="minorEastAsia" w:cstheme="minorEastAsia"/>
                <w:color w:val="auto"/>
                <w:sz w:val="21"/>
                <w:szCs w:val="21"/>
                <w:highlight w:val="none"/>
              </w:rPr>
              <w:t>至2026年</w:t>
            </w:r>
            <w:r>
              <w:rPr>
                <w:rFonts w:hint="eastAsia" w:asciiTheme="minorEastAsia" w:hAnsi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cstheme="minorEastAsia"/>
                <w:color w:val="auto"/>
                <w:sz w:val="21"/>
                <w:szCs w:val="21"/>
                <w:highlight w:val="none"/>
                <w:lang w:val="en-US" w:eastAsia="zh-CN"/>
              </w:rPr>
              <w:t>14</w:t>
            </w: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cstheme="minorEastAsia"/>
                <w:color w:val="auto"/>
                <w:sz w:val="21"/>
                <w:szCs w:val="21"/>
                <w:highlight w:val="none"/>
                <w:lang w:val="en-US" w:eastAsia="zh-CN"/>
              </w:rPr>
              <w:t>18:00时</w:t>
            </w:r>
            <w:r>
              <w:rPr>
                <w:rFonts w:hint="eastAsia" w:asciiTheme="minorEastAsia" w:hAnsiTheme="minorEastAsia" w:eastAsiaTheme="minorEastAsia" w:cstheme="minorEastAsia"/>
                <w:color w:val="auto"/>
                <w:sz w:val="21"/>
                <w:szCs w:val="21"/>
                <w:highlight w:val="none"/>
              </w:rPr>
              <w:t>期间，</w:t>
            </w:r>
            <w:r>
              <w:rPr>
                <w:rFonts w:hint="eastAsia" w:asciiTheme="minorEastAsia" w:hAnsiTheme="minorEastAsia" w:cstheme="minorEastAsia"/>
                <w:color w:val="auto"/>
                <w:sz w:val="21"/>
                <w:szCs w:val="21"/>
                <w:highlight w:val="none"/>
                <w:lang w:val="en-US" w:eastAsia="zh-CN"/>
              </w:rPr>
              <w:t>由招标代理以抽签形式确定投标人安装与调试顺序，投标人分时间段在</w:t>
            </w:r>
            <w:r>
              <w:rPr>
                <w:rFonts w:hint="eastAsia" w:asciiTheme="minorEastAsia" w:hAnsiTheme="minorEastAsia" w:eastAsiaTheme="minorEastAsia" w:cstheme="minorEastAsia"/>
                <w:color w:val="auto"/>
                <w:sz w:val="21"/>
                <w:szCs w:val="21"/>
                <w:highlight w:val="none"/>
              </w:rPr>
              <w:t>招标人指定位置完成测试设备的安装与调试，样品测试时间为2026年</w:t>
            </w:r>
            <w:r>
              <w:rPr>
                <w:rFonts w:hint="eastAsia" w:asciiTheme="minorEastAsia" w:hAnsi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cstheme="minorEastAsia"/>
                <w:color w:val="auto"/>
                <w:sz w:val="21"/>
                <w:szCs w:val="21"/>
                <w:highlight w:val="none"/>
                <w:lang w:val="en-US" w:eastAsia="zh-CN"/>
              </w:rPr>
              <w:t>15</w:t>
            </w:r>
            <w:r>
              <w:rPr>
                <w:rFonts w:hint="eastAsia" w:asciiTheme="minorEastAsia" w:hAnsiTheme="minorEastAsia" w:eastAsiaTheme="minorEastAsia" w:cstheme="minorEastAsia"/>
                <w:color w:val="auto"/>
                <w:sz w:val="21"/>
                <w:szCs w:val="21"/>
                <w:highlight w:val="none"/>
              </w:rPr>
              <w:t>日全天（0时至24时）。2026年</w:t>
            </w:r>
            <w:r>
              <w:rPr>
                <w:rFonts w:hint="eastAsia" w:asciiTheme="minorEastAsia" w:hAnsi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cstheme="minorEastAsia"/>
                <w:color w:val="auto"/>
                <w:sz w:val="21"/>
                <w:szCs w:val="21"/>
                <w:highlight w:val="none"/>
                <w:lang w:val="en-US" w:eastAsia="zh-CN"/>
              </w:rPr>
              <w:t>17</w:t>
            </w: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cstheme="minorEastAsia"/>
                <w:color w:val="auto"/>
                <w:sz w:val="21"/>
                <w:szCs w:val="21"/>
                <w:highlight w:val="none"/>
                <w:lang w:val="en-US" w:eastAsia="zh-CN"/>
              </w:rPr>
              <w:t>15:00时</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cstheme="minorEastAsia"/>
                <w:color w:val="auto"/>
                <w:sz w:val="21"/>
                <w:szCs w:val="21"/>
                <w:highlight w:val="none"/>
                <w:lang w:val="en-US" w:eastAsia="zh-CN"/>
              </w:rPr>
              <w:t>招标代理在</w:t>
            </w:r>
            <w:r>
              <w:rPr>
                <w:rFonts w:hint="eastAsia" w:asciiTheme="minorEastAsia" w:hAnsiTheme="minorEastAsia" w:cstheme="minorEastAsia"/>
                <w:color w:val="auto"/>
                <w:sz w:val="21"/>
                <w:szCs w:val="21"/>
                <w:highlight w:val="none"/>
                <w:u w:val="single"/>
                <w:lang w:val="en-US" w:eastAsia="zh-CN"/>
              </w:rPr>
              <w:t>盐城市智禾项目管理有限公司</w:t>
            </w:r>
            <w:r>
              <w:rPr>
                <w:rFonts w:hint="eastAsia" w:asciiTheme="minorEastAsia" w:hAnsiTheme="minorEastAsia" w:cstheme="minorEastAsia"/>
                <w:color w:val="auto"/>
                <w:sz w:val="21"/>
                <w:szCs w:val="21"/>
                <w:highlight w:val="none"/>
                <w:lang w:val="en-US" w:eastAsia="zh-CN"/>
              </w:rPr>
              <w:t>将</w:t>
            </w:r>
            <w:r>
              <w:rPr>
                <w:rFonts w:hint="eastAsia" w:asciiTheme="minorEastAsia" w:hAnsiTheme="minorEastAsia" w:eastAsiaTheme="minorEastAsia" w:cstheme="minorEastAsia"/>
                <w:color w:val="auto"/>
                <w:sz w:val="21"/>
                <w:szCs w:val="21"/>
                <w:highlight w:val="none"/>
              </w:rPr>
              <w:t>测试结果进行拷贝并密封</w:t>
            </w:r>
            <w:r>
              <w:rPr>
                <w:rFonts w:hint="eastAsia" w:asciiTheme="minorEastAsia" w:hAnsiTheme="minorEastAsia" w:cstheme="minorEastAsia"/>
                <w:color w:val="auto"/>
                <w:sz w:val="21"/>
                <w:szCs w:val="21"/>
                <w:highlight w:val="none"/>
                <w:lang w:val="en-US" w:eastAsia="zh-CN"/>
              </w:rPr>
              <w:t>交于投标人</w:t>
            </w:r>
            <w:r>
              <w:rPr>
                <w:rFonts w:hint="eastAsia" w:asciiTheme="minorEastAsia" w:hAnsiTheme="minorEastAsia" w:eastAsiaTheme="minorEastAsia" w:cstheme="minorEastAsia"/>
                <w:color w:val="auto"/>
                <w:sz w:val="21"/>
                <w:szCs w:val="21"/>
                <w:highlight w:val="none"/>
              </w:rPr>
              <w:t>，由评标委员会进行评审打分。</w:t>
            </w:r>
          </w:p>
          <w:p w14:paraId="1CAC1697">
            <w:pPr>
              <w:keepNext w:val="0"/>
              <w:keepLines w:val="0"/>
              <w:pageBreakBefore w:val="0"/>
              <w:widowControl w:val="0"/>
              <w:numPr>
                <w:ilvl w:val="0"/>
                <w:numId w:val="0"/>
              </w:numPr>
              <w:spacing w:after="0" w:line="240" w:lineRule="auto"/>
              <w:ind w:firstLine="42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投标人需提供样品参加测试，如不参加测试本项不得分，参加测试的样品均封存，本项目合同签订后，退还未中标投标人样品。</w:t>
            </w:r>
          </w:p>
          <w:p w14:paraId="55D1748E">
            <w:pPr>
              <w:keepNext w:val="0"/>
              <w:keepLines w:val="0"/>
              <w:pageBreakBefore w:val="0"/>
              <w:widowControl w:val="0"/>
              <w:spacing w:after="0" w:line="240" w:lineRule="auto"/>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2、同类相机安装于同一点位同一横杆，指向同一区域范围。横杆安装位置由</w:t>
            </w:r>
            <w:r>
              <w:rPr>
                <w:rFonts w:hint="eastAsia" w:asciiTheme="minorEastAsia" w:hAnsiTheme="minorEastAsia" w:cstheme="minorEastAsia"/>
                <w:color w:val="auto"/>
                <w:sz w:val="21"/>
                <w:szCs w:val="21"/>
                <w:highlight w:val="none"/>
                <w:lang w:val="en-US" w:eastAsia="zh-CN"/>
              </w:rPr>
              <w:t>招标代理</w:t>
            </w:r>
            <w:r>
              <w:rPr>
                <w:rFonts w:hint="eastAsia" w:asciiTheme="minorEastAsia" w:hAnsiTheme="minorEastAsia" w:eastAsiaTheme="minorEastAsia" w:cstheme="minorEastAsia"/>
                <w:color w:val="auto"/>
                <w:sz w:val="21"/>
                <w:szCs w:val="21"/>
                <w:highlight w:val="none"/>
              </w:rPr>
              <w:t>随机抽签。</w:t>
            </w:r>
          </w:p>
          <w:p w14:paraId="38FD6CCA">
            <w:pPr>
              <w:keepNext w:val="0"/>
              <w:keepLines w:val="0"/>
              <w:pageBreakBefore w:val="0"/>
              <w:widowControl w:val="0"/>
              <w:spacing w:after="0" w:line="240" w:lineRule="auto"/>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3、相机安装调试由投标人安装在招标人指定位置，安装调试时间应当在指定时间内完成。测试时间为24小时。</w:t>
            </w:r>
          </w:p>
          <w:p w14:paraId="7BE69D01">
            <w:pPr>
              <w:keepNext w:val="0"/>
              <w:keepLines w:val="0"/>
              <w:pageBreakBefore w:val="0"/>
              <w:widowControl w:val="0"/>
              <w:spacing w:after="0" w:line="240" w:lineRule="auto"/>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4、图片解析由</w:t>
            </w:r>
            <w:r>
              <w:rPr>
                <w:rFonts w:hint="eastAsia" w:asciiTheme="minorEastAsia" w:hAnsiTheme="minorEastAsia" w:eastAsiaTheme="minorEastAsia" w:cstheme="minorEastAsia"/>
                <w:color w:val="auto"/>
                <w:sz w:val="21"/>
                <w:szCs w:val="21"/>
                <w:highlight w:val="none"/>
                <w:lang w:val="en-US" w:eastAsia="zh-CN"/>
              </w:rPr>
              <w:t>分局</w:t>
            </w:r>
            <w:r>
              <w:rPr>
                <w:rFonts w:hint="eastAsia" w:asciiTheme="minorEastAsia" w:hAnsiTheme="minorEastAsia" w:eastAsiaTheme="minorEastAsia" w:cstheme="minorEastAsia"/>
                <w:color w:val="auto"/>
                <w:sz w:val="21"/>
                <w:szCs w:val="21"/>
                <w:highlight w:val="none"/>
              </w:rPr>
              <w:t>图片解析平台数据为准。</w:t>
            </w:r>
          </w:p>
          <w:p w14:paraId="5F1EC755">
            <w:pPr>
              <w:keepNext w:val="0"/>
              <w:keepLines w:val="0"/>
              <w:pageBreakBefore w:val="0"/>
              <w:widowControl w:val="0"/>
              <w:spacing w:after="0" w:line="240" w:lineRule="auto"/>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、对测试的数据可以提出复核，但不接受相机安装环境</w:t>
            </w:r>
            <w:r>
              <w:rPr>
                <w:rFonts w:hint="eastAsia" w:asciiTheme="minorEastAsia" w:hAnsi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网络稳定性、第三方平台软件公平性等因素提出复核和重新测试要求。</w:t>
            </w:r>
          </w:p>
          <w:p w14:paraId="0E2139E2">
            <w:pPr>
              <w:keepNext w:val="0"/>
              <w:keepLines w:val="0"/>
              <w:pageBreakBefore w:val="0"/>
              <w:widowControl w:val="0"/>
              <w:spacing w:after="0" w:line="240" w:lineRule="auto"/>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、如果遇到招标人方面因技术或者其他原因无法完成某项测试的，该项测试所有投标人均得满分。</w:t>
            </w:r>
          </w:p>
          <w:p w14:paraId="2C8192E4">
            <w:pPr>
              <w:keepNext w:val="0"/>
              <w:keepLines w:val="0"/>
              <w:pageBreakBefore w:val="0"/>
              <w:widowControl w:val="0"/>
              <w:spacing w:after="0" w:line="240" w:lineRule="auto"/>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、不同投标人提交的测试样品如为同一品牌、同一型号的，由</w:t>
            </w:r>
            <w:r>
              <w:rPr>
                <w:rFonts w:hint="eastAsia" w:asciiTheme="minorEastAsia" w:hAnsiTheme="minorEastAsia" w:cstheme="minorEastAsia"/>
                <w:color w:val="auto"/>
                <w:sz w:val="21"/>
                <w:szCs w:val="21"/>
                <w:highlight w:val="none"/>
                <w:lang w:val="en-US" w:eastAsia="zh-CN"/>
              </w:rPr>
              <w:t>招标代理</w:t>
            </w:r>
            <w:r>
              <w:rPr>
                <w:rFonts w:hint="eastAsia" w:asciiTheme="minorEastAsia" w:hAnsiTheme="minorEastAsia" w:eastAsiaTheme="minorEastAsia" w:cstheme="minorEastAsia"/>
                <w:color w:val="auto"/>
                <w:sz w:val="21"/>
                <w:szCs w:val="21"/>
                <w:highlight w:val="none"/>
              </w:rPr>
              <w:t>随机抽签确定参与测试的样品，测试结果针对以上投标人均有效，得分相同。</w:t>
            </w:r>
          </w:p>
          <w:p w14:paraId="53F9EE12">
            <w:pPr>
              <w:spacing w:after="0" w:line="240" w:lineRule="auto"/>
              <w:rPr>
                <w:rFonts w:hint="eastAsia" w:ascii="宋体" w:hAnsi="宋体" w:eastAsia="宋体" w:cs="宋体"/>
                <w:b w:val="0"/>
                <w:bCs/>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、演示图片、视频、截图、录屏等均由招标人</w:t>
            </w:r>
            <w:r>
              <w:rPr>
                <w:rFonts w:hint="eastAsia" w:asciiTheme="minorEastAsia" w:hAnsiTheme="minorEastAsia" w:cstheme="minorEastAsia"/>
                <w:color w:val="auto"/>
                <w:sz w:val="21"/>
                <w:szCs w:val="21"/>
                <w:highlight w:val="none"/>
                <w:lang w:val="en-US" w:eastAsia="zh-CN"/>
              </w:rPr>
              <w:t>在监督人员</w:t>
            </w:r>
            <w:r>
              <w:rPr>
                <w:rFonts w:hint="eastAsia" w:asciiTheme="minorEastAsia" w:hAnsiTheme="minorEastAsia" w:eastAsiaTheme="minorEastAsia" w:cstheme="minorEastAsia"/>
                <w:color w:val="auto"/>
                <w:sz w:val="21"/>
                <w:szCs w:val="21"/>
                <w:highlight w:val="none"/>
              </w:rPr>
              <w:t>见证下在相关平台下载、截取或录制后存入2份空白U盘（投标人自行提供2份U盘，U盘容量不低于</w:t>
            </w:r>
            <w:r>
              <w:rPr>
                <w:rFonts w:hint="eastAsia" w:asciiTheme="minorEastAsia" w:hAnsiTheme="minorEastAsia" w:cstheme="minorEastAsia"/>
                <w:color w:val="auto"/>
                <w:sz w:val="21"/>
                <w:szCs w:val="21"/>
                <w:highlight w:val="none"/>
                <w:lang w:val="en-US" w:eastAsia="zh-CN"/>
              </w:rPr>
              <w:t>64</w:t>
            </w:r>
            <w:r>
              <w:rPr>
                <w:rFonts w:hint="eastAsia" w:asciiTheme="minorEastAsia" w:hAnsiTheme="minorEastAsia" w:eastAsiaTheme="minorEastAsia" w:cstheme="minorEastAsia"/>
                <w:color w:val="auto"/>
                <w:sz w:val="21"/>
                <w:szCs w:val="21"/>
                <w:highlight w:val="none"/>
              </w:rPr>
              <w:t>G，支持USB3.0以上接口），由</w:t>
            </w:r>
            <w:r>
              <w:rPr>
                <w:rFonts w:hint="eastAsia" w:asciiTheme="minorEastAsia" w:hAnsiTheme="minorEastAsia" w:cstheme="minorEastAsia"/>
                <w:color w:val="auto"/>
                <w:sz w:val="21"/>
                <w:szCs w:val="21"/>
                <w:highlight w:val="none"/>
                <w:lang w:val="en-US" w:eastAsia="zh-CN"/>
              </w:rPr>
              <w:t>招标代理</w:t>
            </w:r>
            <w:r>
              <w:rPr>
                <w:rFonts w:hint="eastAsia" w:asciiTheme="minorEastAsia" w:hAnsiTheme="minorEastAsia" w:eastAsiaTheme="minorEastAsia" w:cstheme="minorEastAsia"/>
                <w:color w:val="auto"/>
                <w:sz w:val="21"/>
                <w:szCs w:val="21"/>
                <w:highlight w:val="none"/>
              </w:rPr>
              <w:t>将两份U盘分别放入投标人事先盖好密封章（公章）的2份信封密封后，再由投标人的委托人（</w:t>
            </w:r>
            <w:r>
              <w:rPr>
                <w:rFonts w:hint="eastAsia" w:asciiTheme="minorEastAsia" w:hAnsiTheme="minorEastAsia" w:cstheme="minorEastAsia"/>
                <w:b/>
                <w:bCs/>
                <w:color w:val="auto"/>
                <w:sz w:val="21"/>
                <w:szCs w:val="21"/>
                <w:highlight w:val="none"/>
                <w:lang w:val="en-US" w:eastAsia="zh-CN"/>
              </w:rPr>
              <w:t>送样及拷贝人员</w:t>
            </w:r>
            <w:r>
              <w:rPr>
                <w:rFonts w:hint="eastAsia" w:asciiTheme="minorEastAsia" w:hAnsiTheme="minorEastAsia" w:eastAsiaTheme="minorEastAsia" w:cstheme="minorEastAsia"/>
                <w:b/>
                <w:bCs/>
                <w:color w:val="auto"/>
                <w:sz w:val="21"/>
                <w:szCs w:val="21"/>
                <w:highlight w:val="none"/>
              </w:rPr>
              <w:t>需提供投标人的授权委托书原件，并与投标文件中的委托人一致</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cstheme="minorEastAsia"/>
                <w:color w:val="auto"/>
                <w:sz w:val="21"/>
                <w:szCs w:val="21"/>
                <w:highlight w:val="none"/>
                <w:lang w:eastAsia="zh-CN"/>
              </w:rPr>
              <w:t>、</w:t>
            </w:r>
            <w:r>
              <w:rPr>
                <w:rFonts w:hint="eastAsia" w:asciiTheme="minorEastAsia" w:hAnsiTheme="minorEastAsia" w:cstheme="minorEastAsia"/>
                <w:color w:val="auto"/>
                <w:sz w:val="21"/>
                <w:szCs w:val="21"/>
                <w:highlight w:val="none"/>
                <w:lang w:val="en-US" w:eastAsia="zh-CN"/>
              </w:rPr>
              <w:t>招标代理</w:t>
            </w:r>
            <w:r>
              <w:rPr>
                <w:rFonts w:hint="eastAsia" w:asciiTheme="minorEastAsia" w:hAnsiTheme="minorEastAsia" w:eastAsiaTheme="minorEastAsia" w:cstheme="minorEastAsia"/>
                <w:color w:val="auto"/>
                <w:sz w:val="21"/>
                <w:szCs w:val="21"/>
                <w:highlight w:val="none"/>
              </w:rPr>
              <w:t>在封口处签字，一份交由招标人保管（备用，在开标时招标人带至开标现场），一份由投标人保管。投标人保管的U盘</w:t>
            </w:r>
            <w:r>
              <w:rPr>
                <w:rFonts w:hint="eastAsia" w:asciiTheme="minorEastAsia" w:hAnsiTheme="minorEastAsia" w:cstheme="minorEastAsia"/>
                <w:color w:val="auto"/>
                <w:sz w:val="21"/>
                <w:szCs w:val="21"/>
                <w:highlight w:val="none"/>
                <w:lang w:val="en-US" w:eastAsia="zh-CN"/>
              </w:rPr>
              <w:t>的测试结果</w:t>
            </w:r>
            <w:r>
              <w:rPr>
                <w:rFonts w:hint="eastAsia" w:asciiTheme="minorEastAsia" w:hAnsiTheme="minorEastAsia" w:eastAsiaTheme="minorEastAsia" w:cstheme="minorEastAsia"/>
                <w:color w:val="auto"/>
                <w:sz w:val="21"/>
                <w:szCs w:val="21"/>
                <w:highlight w:val="none"/>
              </w:rPr>
              <w:t>在投标截止时间前</w:t>
            </w:r>
            <w:r>
              <w:rPr>
                <w:rFonts w:hint="eastAsia" w:asciiTheme="minorEastAsia" w:hAnsiTheme="minorEastAsia" w:cstheme="minorEastAsia"/>
                <w:color w:val="auto"/>
                <w:sz w:val="21"/>
                <w:szCs w:val="21"/>
                <w:highlight w:val="none"/>
                <w:lang w:val="en-US" w:eastAsia="zh-CN"/>
              </w:rPr>
              <w:t>与投标文件一并上传</w:t>
            </w:r>
            <w:r>
              <w:rPr>
                <w:rFonts w:hint="eastAsia" w:asciiTheme="minorEastAsia" w:hAnsiTheme="minorEastAsia" w:eastAsiaTheme="minorEastAsia" w:cstheme="minorEastAsia"/>
                <w:color w:val="auto"/>
                <w:sz w:val="21"/>
                <w:szCs w:val="21"/>
                <w:highlight w:val="none"/>
              </w:rPr>
              <w:t>。如遇造假质疑，与招标人保管U盘比对。</w:t>
            </w:r>
          </w:p>
        </w:tc>
      </w:tr>
      <w:tr w14:paraId="1C64F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Align w:val="center"/>
          </w:tcPr>
          <w:p w14:paraId="6F43183F">
            <w:pPr>
              <w:spacing w:after="0" w:line="240" w:lineRule="auto"/>
              <w:jc w:val="both"/>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kern w:val="0"/>
                <w:sz w:val="21"/>
                <w:szCs w:val="21"/>
                <w:lang w:bidi="ar"/>
              </w:rPr>
              <w:t>企业实力</w:t>
            </w:r>
          </w:p>
        </w:tc>
        <w:tc>
          <w:tcPr>
            <w:tcW w:w="910" w:type="dxa"/>
            <w:vAlign w:val="center"/>
          </w:tcPr>
          <w:p w14:paraId="64DB459E">
            <w:pPr>
              <w:spacing w:after="0" w:line="24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10分</w:t>
            </w:r>
          </w:p>
        </w:tc>
        <w:tc>
          <w:tcPr>
            <w:tcW w:w="6506" w:type="dxa"/>
          </w:tcPr>
          <w:p w14:paraId="028C3362">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（1）投标人具服务质量服务认证证书、培训管理体系认证证书每提供1项得1分,本项最高得2分</w:t>
            </w:r>
          </w:p>
          <w:p w14:paraId="4F2C1DA4">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注：以证书原件彩色扫描件和官网查询截图加盖投标人公章为依据，否则不得分；证书须在有效期内并处于有效状态，提供证书在认证认可业务信息统一查询平台（http://cx.cnca.cn）的查询结果“有效”的截图或网页打印件加盖投标人公章。</w:t>
            </w:r>
          </w:p>
          <w:p w14:paraId="3A65C230">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（2）投标人具有数字资产服务认证证书等级为五星级，认证范围包含：计算机信息系统运维的得2分。</w:t>
            </w:r>
          </w:p>
          <w:p w14:paraId="19B38D89">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注：以证书原件彩色扫描件和官网查询截图加盖投标人公章为依据，否则不得分；证书须在有效期内并处于有效状态，提供证书在认证认可业务信息统一查询平台（http://cx.cnca.cn）的查询结果“有效”的截图或网页打印件加盖投标人公章。</w:t>
            </w:r>
          </w:p>
          <w:p w14:paraId="4A30E790">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（3）投标人具有质量管理体系认证证书（建设施工行业质量管理体系符合ISO9001），认证范围包含：电子与智能化工程施工、建筑装修装饰工程施工的得2分；</w:t>
            </w:r>
          </w:p>
          <w:p w14:paraId="3EACB012">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注：以证书原件彩色扫描件和官网查询截图加盖投标人公章为依据，否则不得分；证书须在有效期内并处于有效状态，提供证书在认证认可业务信息统一查询平台（http://cx.cnca.cn）的查询结果“有效”的截图或网页打印件加盖投标人公章。</w:t>
            </w:r>
          </w:p>
          <w:p w14:paraId="483239C5">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（4）投标人具有视频监控故障自动判断及主动巡检类软件著作权、基于智能视频安全数据防护系统类系统软件著作权证书，每提供一项著作权登记证书，并加盖投标人公章的得2分，最多得4分。</w:t>
            </w:r>
          </w:p>
        </w:tc>
      </w:tr>
      <w:tr w14:paraId="76E50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6" w:type="dxa"/>
            <w:vAlign w:val="center"/>
          </w:tcPr>
          <w:p w14:paraId="6E33CCB0">
            <w:pPr>
              <w:spacing w:after="0" w:line="240" w:lineRule="auto"/>
              <w:jc w:val="both"/>
              <w:rPr>
                <w:rFonts w:hint="eastAsia"/>
                <w:color w:val="auto"/>
                <w:sz w:val="24"/>
                <w:szCs w:val="24"/>
                <w:vertAlign w:val="baseline"/>
                <w:lang w:val="en-US" w:eastAsia="zh-CN"/>
              </w:rPr>
            </w:pPr>
            <w:r>
              <w:rPr>
                <w:rFonts w:hint="eastAsia" w:ascii="宋体" w:hAnsi="宋体" w:eastAsia="宋体" w:cs="宋体"/>
                <w:b/>
                <w:bCs/>
                <w:color w:val="auto"/>
                <w:kern w:val="0"/>
                <w:sz w:val="21"/>
                <w:szCs w:val="21"/>
                <w:lang w:bidi="ar"/>
              </w:rPr>
              <w:t>团队成员</w:t>
            </w:r>
          </w:p>
        </w:tc>
        <w:tc>
          <w:tcPr>
            <w:tcW w:w="910" w:type="dxa"/>
            <w:vAlign w:val="center"/>
          </w:tcPr>
          <w:p w14:paraId="13B187C1">
            <w:pPr>
              <w:spacing w:after="0" w:line="240" w:lineRule="auto"/>
              <w:jc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12分</w:t>
            </w:r>
          </w:p>
        </w:tc>
        <w:tc>
          <w:tcPr>
            <w:tcW w:w="6506" w:type="dxa"/>
          </w:tcPr>
          <w:p w14:paraId="060B9F4A">
            <w:pPr>
              <w:spacing w:after="0" w:line="240" w:lineRule="auto"/>
              <w:rPr>
                <w:rFonts w:hint="default"/>
                <w:color w:val="auto"/>
                <w:highlight w:val="none"/>
                <w:lang w:val="en-US" w:eastAsia="zh-CN"/>
              </w:rPr>
            </w:pPr>
            <w:r>
              <w:rPr>
                <w:rFonts w:hint="eastAsia" w:ascii="宋体" w:hAnsi="宋体" w:eastAsia="宋体" w:cs="宋体"/>
                <w:color w:val="auto"/>
                <w:sz w:val="21"/>
                <w:szCs w:val="21"/>
                <w:vertAlign w:val="baseline"/>
                <w:lang w:val="en-US" w:eastAsia="zh-CN"/>
              </w:rPr>
              <w:t>（1）技术负责人具有人社部门颁发的信息系统项目管理师证书（软考）、具有人社部门颁发的网络工程师证书（软考）、每提供一个证书得2分；同时具有正高级工程师（信息与通信专业）职称证书，</w:t>
            </w:r>
            <w:r>
              <w:rPr>
                <w:rFonts w:hint="eastAsia" w:ascii="宋体" w:hAnsi="宋体" w:eastAsia="宋体" w:cs="宋体"/>
                <w:color w:val="auto"/>
                <w:sz w:val="21"/>
                <w:szCs w:val="21"/>
                <w:highlight w:val="none"/>
                <w:vertAlign w:val="baseline"/>
                <w:lang w:val="en-US" w:eastAsia="zh-CN"/>
              </w:rPr>
              <w:t>提供中级工程师（信息与通信专业）职称证书的得0.5分，提供高级工程师（信息与通信专业）职称证书的得1分，提供正高级工程师（信息与通信专业）职称证书的得2分；</w:t>
            </w:r>
            <w:r>
              <w:rPr>
                <w:rFonts w:hint="eastAsia" w:ascii="宋体" w:hAnsi="宋体" w:eastAsia="宋体" w:cs="宋体"/>
                <w:color w:val="auto"/>
                <w:sz w:val="21"/>
                <w:szCs w:val="21"/>
                <w:vertAlign w:val="baseline"/>
                <w:lang w:val="en-US" w:eastAsia="zh-CN"/>
              </w:rPr>
              <w:t>本项最高得6分，不提供不得分。</w:t>
            </w:r>
          </w:p>
          <w:p w14:paraId="51F99747">
            <w:pPr>
              <w:spacing w:after="0" w:line="240"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项目组成员(除技术负责人外)具有人社部门颁发的网络工程师证书（软考）、人社部门颁发的系统集成项目管理工程师（软考）、人社部门颁发的信息系统管理工程师（软考）、人社部门颁发的高级系统架构设计师（软考）、人社部门颁发的网络规划设计师证书（软考）、高级工程师（互联网与信息系统·信息化专业）职称证书，同一人员持有多个证书的仅计一类证书，多人持有同一证书仅计一类证书，不重复计分，每有一类证书得1分，最多得6分。</w:t>
            </w:r>
          </w:p>
          <w:p w14:paraId="65FA5C75">
            <w:pPr>
              <w:spacing w:after="0" w:line="240"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注：投标时提供证书原件彩色扫描件并加盖投标人公章，同时提供投标人为其缴纳的近3个月以来的社保证明材料并加盖投标人公章，未提供或提供不全不得分。</w:t>
            </w:r>
          </w:p>
        </w:tc>
      </w:tr>
      <w:tr w14:paraId="11E95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6" w:type="dxa"/>
            <w:vAlign w:val="center"/>
          </w:tcPr>
          <w:p w14:paraId="1A165F43">
            <w:pPr>
              <w:spacing w:after="0" w:line="240" w:lineRule="auto"/>
              <w:jc w:val="center"/>
              <w:rPr>
                <w:rFonts w:hint="default"/>
                <w:color w:val="auto"/>
                <w:sz w:val="24"/>
                <w:szCs w:val="24"/>
                <w:vertAlign w:val="baseline"/>
                <w:lang w:val="en-US" w:eastAsia="zh-CN"/>
              </w:rPr>
            </w:pPr>
            <w:r>
              <w:rPr>
                <w:rFonts w:hint="eastAsia" w:ascii="宋体" w:hAnsi="宋体" w:eastAsia="宋体" w:cs="宋体"/>
                <w:b/>
                <w:bCs/>
                <w:color w:val="auto"/>
                <w:kern w:val="0"/>
                <w:sz w:val="21"/>
                <w:szCs w:val="21"/>
                <w:lang w:val="en-US" w:eastAsia="zh-CN" w:bidi="ar"/>
              </w:rPr>
              <w:t>业绩</w:t>
            </w:r>
          </w:p>
        </w:tc>
        <w:tc>
          <w:tcPr>
            <w:tcW w:w="910" w:type="dxa"/>
            <w:vAlign w:val="center"/>
          </w:tcPr>
          <w:p w14:paraId="4F2099A9">
            <w:pPr>
              <w:spacing w:after="0" w:line="240" w:lineRule="auto"/>
              <w:jc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2分</w:t>
            </w:r>
          </w:p>
        </w:tc>
        <w:tc>
          <w:tcPr>
            <w:tcW w:w="6506" w:type="dxa"/>
          </w:tcPr>
          <w:p w14:paraId="5C4EF9CE">
            <w:pPr>
              <w:spacing w:after="0" w:line="240"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投标人2023年6月1日（以合同签订之日为准）以来承担过类似智能化的业绩得2分。需提供合同扫描件并加盖投标人公章，不提供不得分。</w:t>
            </w:r>
          </w:p>
        </w:tc>
      </w:tr>
      <w:tr w14:paraId="63F72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6" w:hRule="atLeast"/>
        </w:trPr>
        <w:tc>
          <w:tcPr>
            <w:tcW w:w="1106" w:type="dxa"/>
            <w:vAlign w:val="center"/>
          </w:tcPr>
          <w:p w14:paraId="463C96CC">
            <w:pPr>
              <w:spacing w:after="0" w:line="240" w:lineRule="auto"/>
              <w:jc w:val="both"/>
              <w:rPr>
                <w:rFonts w:hint="default"/>
                <w:color w:val="auto"/>
                <w:sz w:val="24"/>
                <w:szCs w:val="24"/>
                <w:vertAlign w:val="baseline"/>
                <w:lang w:val="en-US" w:eastAsia="zh-CN"/>
              </w:rPr>
            </w:pPr>
            <w:r>
              <w:rPr>
                <w:rFonts w:hint="eastAsia" w:ascii="宋体" w:hAnsi="宋体" w:eastAsia="宋体" w:cs="宋体"/>
                <w:b/>
                <w:bCs/>
                <w:color w:val="auto"/>
                <w:kern w:val="0"/>
                <w:sz w:val="21"/>
                <w:szCs w:val="21"/>
                <w:lang w:val="en-US" w:eastAsia="zh-CN" w:bidi="ar"/>
              </w:rPr>
              <w:t>实施方案</w:t>
            </w:r>
          </w:p>
        </w:tc>
        <w:tc>
          <w:tcPr>
            <w:tcW w:w="910" w:type="dxa"/>
            <w:vAlign w:val="center"/>
          </w:tcPr>
          <w:p w14:paraId="3B665CAB">
            <w:pPr>
              <w:spacing w:after="0" w:line="24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36分</w:t>
            </w:r>
          </w:p>
        </w:tc>
        <w:tc>
          <w:tcPr>
            <w:tcW w:w="6506" w:type="dxa"/>
          </w:tcPr>
          <w:p w14:paraId="5BB5E571">
            <w:pPr>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1.总体概述(12分)</w:t>
            </w:r>
          </w:p>
          <w:p w14:paraId="2B047F02">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投标人根据本项目第四部分中“总体概述”要求，提供针对本项目实际需求相符的整体规划设计方案，至少包含：（1）项目存在的技术复杂性及其解决方案、（2）项目存在的重点、难点及其解决方案、（3）装饰部分效果图等内容，内容完整、逻辑清晰、针对性极强，评委根据投标人方案进行评审：方案内容详尽具体 、阐述清晰明了，优于项目要求的得12分；方案内容完整，满足项目需求的得10分；方案内容不完整，方案深度欠缺，不具备技术性和可实施性的得8分；不符合要求或未提供的不得分。</w:t>
            </w:r>
          </w:p>
          <w:p w14:paraId="76C8D2FC">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2.质量保证措施（6分）</w:t>
            </w:r>
          </w:p>
          <w:p w14:paraId="1ECD135A">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投标人根据本项目第四部分中“质量保证措施”要求，提供科学合理的方案，至少包含：（1）质量追溯；（2）应急与补救措施，评委根据投标人方案进行评审：方案内容详尽具体 、阐述清晰明了，优于项目要求的得6分；方案内容完整，满足项目需求的得4分；方案内容不完整，方案深度欠缺，不具备技术性和可实施性的得2分；不符合要求或未提供的不得分。</w:t>
            </w:r>
          </w:p>
          <w:p w14:paraId="7C1E7726">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3.项目验收方案（6分）</w:t>
            </w:r>
          </w:p>
          <w:p w14:paraId="0BBDC4B3">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投标人根据本项目第四部分中“项目验收方案”要求，提供科学合理的方案，至少包含：评委根据投标人方案进行评审：方案内容详尽具体、阐述清晰明了，优于项目要求的得6分；方案内容完整，满足项目需求的得4分；方案内容不完整，方案深度欠缺，不具备技术性和可实施性的得2分；不符合要求或未提供的不得分。</w:t>
            </w:r>
          </w:p>
          <w:p w14:paraId="63E627D0">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4.应急预案处置方案（6分）</w:t>
            </w:r>
          </w:p>
          <w:p w14:paraId="041C0155">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投标人根据本项目第四部分中“应急预案处置方案”要求，投标人提供科学合理的方案，至少包括：（1）应急预案；（2）防范措施；（3）故障响应及处理；（4）重大活动及节假日保障措施等内容。评委根据投标人方案进行评审：方案内容详尽具体 、阐述清晰明了，优于项目要求的得6分；方案内容完整，满足项目需求的得4分；方案内容不完整，方案深度欠缺，不具备技术性和可实施性的得2分； 不符合要求或未提供的不得分。</w:t>
            </w:r>
          </w:p>
          <w:p w14:paraId="71644BC0">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5.售后服务方案（6分</w:t>
            </w:r>
            <w:bookmarkStart w:id="199" w:name="_GoBack"/>
            <w:bookmarkEnd w:id="199"/>
            <w:r>
              <w:rPr>
                <w:rFonts w:hint="eastAsia" w:ascii="宋体" w:hAnsi="宋体" w:eastAsia="宋体" w:cs="宋体"/>
                <w:color w:val="auto"/>
                <w:sz w:val="21"/>
                <w:szCs w:val="21"/>
                <w:highlight w:val="none"/>
                <w:vertAlign w:val="baseline"/>
                <w:lang w:val="en-US" w:eastAsia="zh-CN"/>
              </w:rPr>
              <w:t>）</w:t>
            </w:r>
          </w:p>
          <w:p w14:paraId="2DDFFCC4">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投标人根据本项目第四部分中“售后服务方案”要求，投标人提供科学合理的方案，至少包含：（1）售后服务体系；（2）售后服务承诺和保证；（3）售后服务队伍等内容。评委根据投标人方案进行评审。评委根据投标人方案进行评审：方案内容详尽具体 、阐述清晰明了，优于项目要求的得6分；方案内容完整，满足项目需求的得4分；方案内容不完整，方案深度欠缺，不具备技术性和可实施性的得2分；不符合要求或未提供的不得分。</w:t>
            </w:r>
          </w:p>
        </w:tc>
      </w:tr>
    </w:tbl>
    <w:p w14:paraId="499BDDD3">
      <w:pPr>
        <w:pStyle w:val="11"/>
        <w:keepNext w:val="0"/>
        <w:keepLines w:val="0"/>
        <w:pageBreakBefore w:val="0"/>
        <w:widowControl w:val="0"/>
        <w:kinsoku/>
        <w:wordWrap/>
        <w:overflowPunct/>
        <w:topLinePunct w:val="0"/>
        <w:autoSpaceDE/>
        <w:autoSpaceDN/>
        <w:bidi w:val="0"/>
        <w:spacing w:before="120" w:beforeAutospacing="0" w:after="120" w:afterAutospacing="0" w:line="360" w:lineRule="auto"/>
        <w:rPr>
          <w:rFonts w:hint="eastAsia" w:ascii="宋体" w:hAnsi="宋体" w:eastAsia="宋体" w:cs="宋体"/>
          <w:b/>
          <w:color w:val="auto"/>
          <w:sz w:val="21"/>
          <w:szCs w:val="21"/>
          <w:highlight w:val="none"/>
        </w:rPr>
      </w:pPr>
    </w:p>
    <w:p w14:paraId="07698BE0">
      <w:pPr>
        <w:pStyle w:val="11"/>
        <w:keepNext w:val="0"/>
        <w:keepLines w:val="0"/>
        <w:pageBreakBefore w:val="0"/>
        <w:widowControl w:val="0"/>
        <w:kinsoku/>
        <w:wordWrap/>
        <w:overflowPunct/>
        <w:topLinePunct w:val="0"/>
        <w:autoSpaceDE/>
        <w:autoSpaceDN/>
        <w:bidi w:val="0"/>
        <w:spacing w:before="120" w:beforeAutospacing="0" w:after="120" w:afterAutospacing="0" w:line="360" w:lineRule="auto"/>
        <w:rPr>
          <w:rFonts w:hint="eastAsia" w:ascii="宋体" w:hAnsi="宋体" w:eastAsia="宋体" w:cs="宋体"/>
          <w:b/>
          <w:color w:val="auto"/>
          <w:sz w:val="21"/>
          <w:szCs w:val="21"/>
          <w:highlight w:val="none"/>
        </w:rPr>
      </w:pPr>
    </w:p>
    <w:p w14:paraId="2617F620">
      <w:pPr>
        <w:pStyle w:val="11"/>
        <w:keepNext w:val="0"/>
        <w:keepLines w:val="0"/>
        <w:pageBreakBefore w:val="0"/>
        <w:widowControl w:val="0"/>
        <w:kinsoku/>
        <w:wordWrap/>
        <w:overflowPunct/>
        <w:topLinePunct w:val="0"/>
        <w:autoSpaceDE/>
        <w:autoSpaceDN/>
        <w:bidi w:val="0"/>
        <w:spacing w:before="120" w:beforeAutospacing="0" w:after="120" w:afterAutospacing="0" w:line="360" w:lineRule="auto"/>
        <w:rPr>
          <w:rFonts w:hint="eastAsia" w:ascii="宋体" w:hAnsi="宋体" w:eastAsia="宋体" w:cs="宋体"/>
          <w:b/>
          <w:color w:val="auto"/>
          <w:sz w:val="21"/>
          <w:szCs w:val="21"/>
          <w:highlight w:val="none"/>
        </w:rPr>
      </w:pPr>
    </w:p>
    <w:p w14:paraId="4569FD91">
      <w:pPr>
        <w:pStyle w:val="11"/>
        <w:keepNext w:val="0"/>
        <w:keepLines w:val="0"/>
        <w:pageBreakBefore w:val="0"/>
        <w:widowControl w:val="0"/>
        <w:kinsoku/>
        <w:wordWrap/>
        <w:overflowPunct/>
        <w:topLinePunct w:val="0"/>
        <w:autoSpaceDE/>
        <w:autoSpaceDN/>
        <w:bidi w:val="0"/>
        <w:spacing w:before="120" w:beforeAutospacing="0" w:after="120" w:afterAutospacing="0" w:line="360" w:lineRule="auto"/>
        <w:rPr>
          <w:rFonts w:hint="eastAsia" w:ascii="宋体" w:hAnsi="宋体" w:eastAsia="宋体" w:cs="宋体"/>
          <w:b/>
          <w:color w:val="auto"/>
          <w:sz w:val="21"/>
          <w:szCs w:val="21"/>
          <w:highlight w:val="none"/>
        </w:rPr>
      </w:pPr>
    </w:p>
    <w:p w14:paraId="04CF2317">
      <w:pPr>
        <w:pStyle w:val="11"/>
        <w:keepNext w:val="0"/>
        <w:keepLines w:val="0"/>
        <w:pageBreakBefore w:val="0"/>
        <w:widowControl w:val="0"/>
        <w:kinsoku/>
        <w:wordWrap/>
        <w:overflowPunct/>
        <w:topLinePunct w:val="0"/>
        <w:autoSpaceDE/>
        <w:autoSpaceDN/>
        <w:bidi w:val="0"/>
        <w:spacing w:before="120" w:beforeAutospacing="0" w:after="120" w:afterAutospacing="0" w:line="360" w:lineRule="auto"/>
        <w:rPr>
          <w:rFonts w:hint="eastAsia" w:ascii="宋体" w:hAnsi="宋体" w:eastAsia="宋体" w:cs="宋体"/>
          <w:b/>
          <w:color w:val="auto"/>
          <w:sz w:val="21"/>
          <w:szCs w:val="21"/>
          <w:highlight w:val="none"/>
        </w:rPr>
      </w:pPr>
    </w:p>
    <w:p w14:paraId="6D82FECB">
      <w:pPr>
        <w:pStyle w:val="11"/>
        <w:keepNext w:val="0"/>
        <w:keepLines w:val="0"/>
        <w:pageBreakBefore w:val="0"/>
        <w:widowControl w:val="0"/>
        <w:kinsoku/>
        <w:wordWrap/>
        <w:overflowPunct/>
        <w:topLinePunct w:val="0"/>
        <w:autoSpaceDE/>
        <w:autoSpaceDN/>
        <w:bidi w:val="0"/>
        <w:spacing w:before="120" w:beforeAutospacing="0" w:after="120" w:afterAutospacing="0" w:line="360" w:lineRule="auto"/>
        <w:rPr>
          <w:rFonts w:hint="eastAsia" w:ascii="宋体" w:hAnsi="宋体" w:eastAsia="宋体" w:cs="宋体"/>
          <w:b/>
          <w:color w:val="auto"/>
          <w:sz w:val="21"/>
          <w:szCs w:val="21"/>
          <w:highlight w:val="none"/>
        </w:rPr>
      </w:pPr>
    </w:p>
    <w:p w14:paraId="0367625D">
      <w:pPr>
        <w:pStyle w:val="11"/>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投标文件格式 </w:t>
      </w:r>
    </w:p>
    <w:p w14:paraId="3192505F">
      <w:pPr>
        <w:pStyle w:val="11"/>
        <w:spacing w:beforeAutospacing="0" w:afterAutospacing="0"/>
        <w:jc w:val="center"/>
        <w:rPr>
          <w:rFonts w:hint="eastAsia" w:ascii="宋体" w:hAnsi="宋体" w:eastAsia="宋体" w:cs="宋体"/>
          <w:b/>
          <w:color w:val="auto"/>
          <w:sz w:val="72"/>
          <w:szCs w:val="72"/>
          <w:highlight w:val="none"/>
        </w:rPr>
      </w:pPr>
      <w:bookmarkStart w:id="175" w:name="_Toc120614282"/>
      <w:bookmarkEnd w:id="175"/>
      <w:bookmarkStart w:id="176" w:name="_Toc49090576"/>
      <w:bookmarkEnd w:id="176"/>
      <w:bookmarkStart w:id="177" w:name="_Toc26554094"/>
      <w:bookmarkStart w:id="178" w:name="_Hlt26671244"/>
      <w:bookmarkStart w:id="179" w:name="_Hlt26955039"/>
    </w:p>
    <w:p w14:paraId="5FADFBA3">
      <w:pPr>
        <w:pStyle w:val="11"/>
        <w:spacing w:beforeAutospacing="0" w:afterAutospacing="0"/>
        <w:jc w:val="center"/>
        <w:rPr>
          <w:rFonts w:hint="eastAsia" w:ascii="宋体" w:hAnsi="宋体" w:eastAsia="宋体" w:cs="宋体"/>
          <w:b/>
          <w:color w:val="auto"/>
          <w:sz w:val="72"/>
          <w:szCs w:val="72"/>
          <w:highlight w:val="none"/>
        </w:rPr>
      </w:pPr>
    </w:p>
    <w:p w14:paraId="0B1A27A8">
      <w:pPr>
        <w:pStyle w:val="11"/>
        <w:spacing w:beforeAutospacing="0" w:afterAutospacing="0"/>
        <w:jc w:val="center"/>
        <w:rPr>
          <w:color w:val="auto"/>
          <w:highlight w:val="none"/>
        </w:rPr>
      </w:pPr>
      <w:r>
        <w:rPr>
          <w:rFonts w:hint="eastAsia" w:ascii="宋体" w:hAnsi="宋体" w:eastAsia="宋体" w:cs="宋体"/>
          <w:b/>
          <w:color w:val="auto"/>
          <w:sz w:val="72"/>
          <w:szCs w:val="72"/>
          <w:highlight w:val="none"/>
        </w:rPr>
        <w:t>投  标  文  件</w:t>
      </w:r>
    </w:p>
    <w:p w14:paraId="6F7385F4">
      <w:pPr>
        <w:pStyle w:val="11"/>
        <w:spacing w:beforeAutospacing="0" w:afterAutospacing="0"/>
        <w:jc w:val="center"/>
        <w:rPr>
          <w:color w:val="auto"/>
          <w:highlight w:val="none"/>
        </w:rPr>
      </w:pPr>
      <w:r>
        <w:rPr>
          <w:color w:val="auto"/>
          <w:highlight w:val="none"/>
        </w:rPr>
        <w:t> </w:t>
      </w:r>
    </w:p>
    <w:p w14:paraId="116EE8BE">
      <w:pPr>
        <w:pStyle w:val="11"/>
        <w:spacing w:beforeAutospacing="0" w:afterAutospacing="0"/>
        <w:jc w:val="center"/>
        <w:rPr>
          <w:color w:val="auto"/>
          <w:highlight w:val="none"/>
        </w:rPr>
      </w:pPr>
      <w:r>
        <w:rPr>
          <w:color w:val="auto"/>
          <w:highlight w:val="none"/>
        </w:rPr>
        <w:t> </w:t>
      </w:r>
    </w:p>
    <w:p w14:paraId="1689E381">
      <w:pPr>
        <w:pStyle w:val="11"/>
        <w:spacing w:beforeAutospacing="0" w:afterAutospacing="0"/>
        <w:jc w:val="center"/>
        <w:rPr>
          <w:color w:val="auto"/>
          <w:highlight w:val="none"/>
        </w:rPr>
      </w:pPr>
      <w:r>
        <w:rPr>
          <w:color w:val="auto"/>
          <w:highlight w:val="none"/>
        </w:rPr>
        <w:t> </w:t>
      </w:r>
    </w:p>
    <w:p w14:paraId="1172103B">
      <w:pPr>
        <w:pStyle w:val="11"/>
        <w:spacing w:beforeAutospacing="0" w:afterAutospacing="0"/>
        <w:jc w:val="center"/>
        <w:rPr>
          <w:color w:val="auto"/>
          <w:highlight w:val="none"/>
        </w:rPr>
      </w:pPr>
      <w:r>
        <w:rPr>
          <w:color w:val="auto"/>
          <w:highlight w:val="none"/>
        </w:rPr>
        <w:t> </w:t>
      </w:r>
    </w:p>
    <w:p w14:paraId="773BE420">
      <w:pPr>
        <w:pStyle w:val="11"/>
        <w:spacing w:beforeAutospacing="0" w:afterAutospacing="0"/>
        <w:jc w:val="center"/>
        <w:rPr>
          <w:color w:val="auto"/>
          <w:highlight w:val="none"/>
        </w:rPr>
      </w:pPr>
      <w:r>
        <w:rPr>
          <w:color w:val="auto"/>
          <w:highlight w:val="none"/>
        </w:rPr>
        <w:t> </w:t>
      </w:r>
    </w:p>
    <w:p w14:paraId="0D9C9B44">
      <w:pPr>
        <w:pStyle w:val="11"/>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w:t>
      </w:r>
    </w:p>
    <w:p w14:paraId="4C9C4B28">
      <w:pPr>
        <w:pStyle w:val="11"/>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编 号：</w:t>
      </w:r>
      <w:r>
        <w:rPr>
          <w:rFonts w:hint="eastAsia" w:ascii="宋体" w:hAnsi="宋体" w:eastAsia="宋体" w:cs="宋体"/>
          <w:b/>
          <w:color w:val="auto"/>
          <w:sz w:val="36"/>
          <w:szCs w:val="36"/>
          <w:highlight w:val="none"/>
          <w:u w:val="single"/>
        </w:rPr>
        <w:t>             </w:t>
      </w:r>
    </w:p>
    <w:p w14:paraId="2B329B95">
      <w:pPr>
        <w:pStyle w:val="11"/>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w:t>
      </w:r>
      <w:r>
        <w:rPr>
          <w:rFonts w:hint="eastAsia" w:ascii="宋体" w:hAnsi="宋体" w:eastAsia="宋体" w:cs="宋体"/>
          <w:b/>
          <w:color w:val="auto"/>
          <w:sz w:val="36"/>
          <w:szCs w:val="36"/>
          <w:highlight w:val="none"/>
          <w:u w:val="single"/>
        </w:rPr>
        <w:t>（加盖CA电子公章）</w:t>
      </w:r>
    </w:p>
    <w:p w14:paraId="1E760D54">
      <w:pPr>
        <w:pStyle w:val="11"/>
        <w:spacing w:beforeAutospacing="0" w:afterAutospacing="0"/>
        <w:jc w:val="both"/>
        <w:rPr>
          <w:color w:val="auto"/>
          <w:highlight w:val="none"/>
        </w:rPr>
      </w:pPr>
      <w:r>
        <w:rPr>
          <w:rFonts w:hint="eastAsia" w:ascii="宋体" w:hAnsi="宋体" w:eastAsia="宋体" w:cs="宋体"/>
          <w:b/>
          <w:color w:val="auto"/>
          <w:sz w:val="36"/>
          <w:szCs w:val="36"/>
          <w:highlight w:val="none"/>
        </w:rPr>
        <w:t>   日   期：</w:t>
      </w:r>
      <w:r>
        <w:rPr>
          <w:rFonts w:hint="eastAsia" w:ascii="宋体" w:hAnsi="宋体" w:eastAsia="宋体" w:cs="宋体"/>
          <w:b/>
          <w:color w:val="auto"/>
          <w:sz w:val="36"/>
          <w:szCs w:val="36"/>
          <w:highlight w:val="none"/>
          <w:u w:val="single"/>
        </w:rPr>
        <w:t>             </w:t>
      </w:r>
    </w:p>
    <w:p w14:paraId="307A6EE9">
      <w:pPr>
        <w:pStyle w:val="11"/>
        <w:spacing w:beforeAutospacing="0" w:afterAutospacing="0" w:line="0" w:lineRule="atLeast"/>
        <w:jc w:val="center"/>
        <w:rPr>
          <w:color w:val="auto"/>
          <w:highlight w:val="none"/>
        </w:rPr>
      </w:pPr>
    </w:p>
    <w:p w14:paraId="522BF4B7">
      <w:pPr>
        <w:pStyle w:val="11"/>
        <w:spacing w:beforeAutospacing="0" w:afterAutospacing="0" w:line="0" w:lineRule="atLeast"/>
        <w:jc w:val="center"/>
        <w:rPr>
          <w:color w:val="auto"/>
          <w:highlight w:val="none"/>
        </w:rPr>
      </w:pPr>
    </w:p>
    <w:p w14:paraId="1D6C4EA9">
      <w:pPr>
        <w:pStyle w:val="11"/>
        <w:spacing w:beforeAutospacing="0" w:afterAutospacing="0" w:line="0" w:lineRule="atLeast"/>
        <w:jc w:val="center"/>
        <w:rPr>
          <w:color w:val="auto"/>
          <w:highlight w:val="none"/>
        </w:rPr>
      </w:pPr>
    </w:p>
    <w:p w14:paraId="3FCD9059">
      <w:pPr>
        <w:pStyle w:val="11"/>
        <w:spacing w:beforeAutospacing="0" w:afterAutospacing="0" w:line="0" w:lineRule="atLeast"/>
        <w:jc w:val="center"/>
        <w:rPr>
          <w:color w:val="auto"/>
          <w:highlight w:val="none"/>
        </w:rPr>
      </w:pPr>
    </w:p>
    <w:p w14:paraId="65EE8389">
      <w:pPr>
        <w:pStyle w:val="11"/>
        <w:spacing w:beforeAutospacing="0" w:afterAutospacing="0" w:line="0" w:lineRule="atLeast"/>
        <w:jc w:val="center"/>
        <w:rPr>
          <w:color w:val="auto"/>
          <w:highlight w:val="none"/>
        </w:rPr>
      </w:pPr>
    </w:p>
    <w:p w14:paraId="1F00DE46">
      <w:pPr>
        <w:pStyle w:val="11"/>
        <w:spacing w:beforeAutospacing="0" w:afterAutospacing="0" w:line="0" w:lineRule="atLeast"/>
        <w:jc w:val="center"/>
        <w:rPr>
          <w:color w:val="auto"/>
          <w:highlight w:val="none"/>
        </w:rPr>
      </w:pPr>
    </w:p>
    <w:p w14:paraId="1FFCB483">
      <w:pPr>
        <w:pStyle w:val="11"/>
        <w:spacing w:beforeAutospacing="0" w:afterAutospacing="0" w:line="0" w:lineRule="atLeast"/>
        <w:jc w:val="center"/>
        <w:rPr>
          <w:color w:val="auto"/>
          <w:highlight w:val="none"/>
        </w:rPr>
      </w:pPr>
    </w:p>
    <w:p w14:paraId="69C2000F">
      <w:pPr>
        <w:pStyle w:val="11"/>
        <w:spacing w:beforeAutospacing="0" w:afterAutospacing="0" w:line="0" w:lineRule="atLeast"/>
        <w:jc w:val="center"/>
        <w:rPr>
          <w:color w:val="auto"/>
          <w:highlight w:val="none"/>
        </w:rPr>
      </w:pPr>
    </w:p>
    <w:p w14:paraId="7E4BDA90">
      <w:pPr>
        <w:pStyle w:val="11"/>
        <w:spacing w:beforeAutospacing="0" w:afterAutospacing="0" w:line="0" w:lineRule="atLeast"/>
        <w:jc w:val="center"/>
        <w:rPr>
          <w:color w:val="auto"/>
          <w:highlight w:val="none"/>
        </w:rPr>
      </w:pPr>
    </w:p>
    <w:p w14:paraId="50411275">
      <w:pPr>
        <w:pStyle w:val="11"/>
        <w:spacing w:beforeAutospacing="0" w:afterAutospacing="0" w:line="0" w:lineRule="atLeast"/>
        <w:jc w:val="center"/>
        <w:rPr>
          <w:color w:val="auto"/>
          <w:highlight w:val="none"/>
        </w:rPr>
      </w:pPr>
    </w:p>
    <w:p w14:paraId="35984E94">
      <w:pPr>
        <w:pStyle w:val="11"/>
        <w:spacing w:beforeAutospacing="0" w:afterAutospacing="0" w:line="0" w:lineRule="atLeast"/>
        <w:jc w:val="center"/>
        <w:rPr>
          <w:color w:val="auto"/>
          <w:highlight w:val="none"/>
        </w:rPr>
      </w:pPr>
    </w:p>
    <w:p w14:paraId="0EA21101">
      <w:pPr>
        <w:pStyle w:val="11"/>
        <w:spacing w:beforeAutospacing="0" w:afterAutospacing="0" w:line="0" w:lineRule="atLeast"/>
        <w:jc w:val="center"/>
        <w:rPr>
          <w:color w:val="auto"/>
          <w:highlight w:val="none"/>
        </w:rPr>
      </w:pPr>
    </w:p>
    <w:p w14:paraId="598F55FA">
      <w:pPr>
        <w:pStyle w:val="11"/>
        <w:spacing w:beforeAutospacing="0" w:afterAutospacing="0" w:line="0" w:lineRule="atLeast"/>
        <w:jc w:val="center"/>
        <w:rPr>
          <w:color w:val="auto"/>
          <w:highlight w:val="none"/>
        </w:rPr>
      </w:pPr>
    </w:p>
    <w:p w14:paraId="5694C6B0">
      <w:pPr>
        <w:pStyle w:val="11"/>
        <w:spacing w:beforeAutospacing="0" w:afterAutospacing="0" w:line="0" w:lineRule="atLeast"/>
        <w:jc w:val="center"/>
        <w:rPr>
          <w:color w:val="auto"/>
          <w:highlight w:val="none"/>
        </w:rPr>
      </w:pPr>
    </w:p>
    <w:p w14:paraId="6F611201">
      <w:pPr>
        <w:pStyle w:val="11"/>
        <w:spacing w:beforeAutospacing="0" w:afterAutospacing="0" w:line="0" w:lineRule="atLeast"/>
        <w:jc w:val="center"/>
        <w:rPr>
          <w:color w:val="auto"/>
          <w:highlight w:val="none"/>
        </w:rPr>
      </w:pPr>
    </w:p>
    <w:p w14:paraId="2FD438B6">
      <w:pPr>
        <w:pStyle w:val="11"/>
        <w:spacing w:beforeAutospacing="0" w:afterAutospacing="0" w:line="0" w:lineRule="atLeast"/>
        <w:jc w:val="center"/>
        <w:rPr>
          <w:color w:val="auto"/>
          <w:highlight w:val="none"/>
        </w:rPr>
      </w:pPr>
    </w:p>
    <w:p w14:paraId="0711B629">
      <w:pPr>
        <w:pStyle w:val="11"/>
        <w:spacing w:beforeAutospacing="0" w:afterAutospacing="0" w:line="0" w:lineRule="atLeast"/>
        <w:jc w:val="center"/>
        <w:rPr>
          <w:color w:val="auto"/>
          <w:highlight w:val="none"/>
        </w:rPr>
      </w:pPr>
    </w:p>
    <w:p w14:paraId="1BB67A2F">
      <w:pPr>
        <w:pStyle w:val="11"/>
        <w:spacing w:beforeAutospacing="0" w:afterAutospacing="0" w:line="0" w:lineRule="atLeast"/>
        <w:jc w:val="center"/>
        <w:rPr>
          <w:color w:val="auto"/>
          <w:highlight w:val="none"/>
        </w:rPr>
      </w:pPr>
    </w:p>
    <w:p w14:paraId="1075CDB2">
      <w:pPr>
        <w:pStyle w:val="11"/>
        <w:spacing w:beforeAutospacing="0" w:afterAutospacing="0" w:line="0" w:lineRule="atLeast"/>
        <w:jc w:val="center"/>
        <w:rPr>
          <w:color w:val="auto"/>
          <w:highlight w:val="none"/>
        </w:rPr>
      </w:pPr>
    </w:p>
    <w:p w14:paraId="528F0CA0">
      <w:pPr>
        <w:pStyle w:val="11"/>
        <w:spacing w:beforeAutospacing="0" w:afterAutospacing="0" w:line="0" w:lineRule="atLeast"/>
        <w:jc w:val="center"/>
        <w:rPr>
          <w:color w:val="auto"/>
          <w:highlight w:val="none"/>
        </w:rPr>
      </w:pPr>
    </w:p>
    <w:p w14:paraId="4257AF04">
      <w:pPr>
        <w:pStyle w:val="11"/>
        <w:spacing w:beforeAutospacing="0" w:afterAutospacing="0" w:line="0" w:lineRule="atLeast"/>
        <w:jc w:val="both"/>
        <w:rPr>
          <w:color w:val="auto"/>
          <w:highlight w:val="none"/>
        </w:rPr>
      </w:pPr>
    </w:p>
    <w:p w14:paraId="659BF965">
      <w:pPr>
        <w:pStyle w:val="11"/>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2DD541B5">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color w:val="auto"/>
          <w:sz w:val="21"/>
          <w:szCs w:val="21"/>
          <w:highlight w:val="none"/>
          <w:u w:val="none"/>
        </w:rPr>
      </w:pPr>
      <w:r>
        <w:rPr>
          <w:rFonts w:hint="eastAsia" w:ascii="宋体" w:hAnsi="宋体" w:eastAsia="宋体" w:cs="宋体"/>
          <w:i w:val="0"/>
          <w:iCs/>
          <w:color w:val="auto"/>
          <w:sz w:val="21"/>
          <w:szCs w:val="21"/>
          <w:highlight w:val="none"/>
          <w:u w:val="none"/>
        </w:rPr>
        <w:t>一、法人或者其他组织的营业执照等证明文件，自然人的身份证明</w:t>
      </w:r>
    </w:p>
    <w:p w14:paraId="47C0EAF7">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color w:val="auto"/>
          <w:kern w:val="0"/>
          <w:sz w:val="21"/>
          <w:szCs w:val="21"/>
          <w:highlight w:val="none"/>
          <w:u w:val="none"/>
          <w:lang w:val="en-US" w:eastAsia="zh-CN" w:bidi="ar-SA"/>
        </w:rPr>
      </w:pPr>
      <w:r>
        <w:rPr>
          <w:rFonts w:hint="eastAsia" w:ascii="宋体" w:hAnsi="宋体" w:eastAsia="宋体" w:cs="宋体"/>
          <w:i w:val="0"/>
          <w:iCs/>
          <w:color w:val="auto"/>
          <w:kern w:val="0"/>
          <w:sz w:val="21"/>
          <w:szCs w:val="21"/>
          <w:highlight w:val="none"/>
          <w:u w:val="none"/>
          <w:lang w:val="en-US" w:eastAsia="zh-CN" w:bidi="ar-SA"/>
        </w:rPr>
        <w:t>二、上一年度的财务状况报告（至少提供资产负债表、利润表、现金流量表，</w:t>
      </w:r>
    </w:p>
    <w:p w14:paraId="3C361A66">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color w:val="auto"/>
          <w:sz w:val="21"/>
          <w:szCs w:val="21"/>
          <w:highlight w:val="none"/>
          <w:u w:val="none"/>
        </w:rPr>
      </w:pPr>
      <w:r>
        <w:rPr>
          <w:rFonts w:hint="eastAsia" w:ascii="宋体" w:hAnsi="宋体" w:eastAsia="宋体" w:cs="宋体"/>
          <w:i w:val="0"/>
          <w:iCs/>
          <w:color w:val="auto"/>
          <w:sz w:val="21"/>
          <w:szCs w:val="21"/>
          <w:highlight w:val="none"/>
          <w:u w:val="none"/>
        </w:rPr>
        <w:t>投标人成立不满一年无需提供）</w:t>
      </w:r>
    </w:p>
    <w:p w14:paraId="3629C146">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val="en-US" w:eastAsia="zh-CN"/>
        </w:rPr>
        <w:t>三</w:t>
      </w:r>
      <w:r>
        <w:rPr>
          <w:rFonts w:hint="eastAsia" w:ascii="宋体" w:hAnsi="宋体" w:eastAsia="宋体" w:cs="宋体"/>
          <w:i w:val="0"/>
          <w:iCs/>
          <w:color w:val="auto"/>
          <w:sz w:val="21"/>
          <w:szCs w:val="21"/>
          <w:highlight w:val="none"/>
          <w:u w:val="none"/>
        </w:rPr>
        <w:t>、具备履行合同所必需的设备和专业技术能力的书面声明</w:t>
      </w:r>
    </w:p>
    <w:p w14:paraId="45838A78">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val="en-US" w:eastAsia="zh-CN"/>
        </w:rPr>
        <w:t>四</w:t>
      </w:r>
      <w:r>
        <w:rPr>
          <w:rFonts w:hint="eastAsia" w:ascii="宋体" w:hAnsi="宋体" w:eastAsia="宋体" w:cs="宋体"/>
          <w:i w:val="0"/>
          <w:iCs/>
          <w:color w:val="auto"/>
          <w:sz w:val="21"/>
          <w:szCs w:val="21"/>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69A7EA17">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color w:val="auto"/>
          <w:sz w:val="21"/>
          <w:szCs w:val="21"/>
          <w:highlight w:val="none"/>
          <w:u w:val="none"/>
        </w:rPr>
      </w:pPr>
      <w:r>
        <w:rPr>
          <w:rFonts w:hint="eastAsia" w:ascii="宋体" w:hAnsi="宋体" w:eastAsia="宋体" w:cs="宋体"/>
          <w:i w:val="0"/>
          <w:iCs/>
          <w:color w:val="auto"/>
          <w:sz w:val="21"/>
          <w:szCs w:val="21"/>
          <w:highlight w:val="none"/>
          <w:u w:val="none"/>
        </w:rPr>
        <w:t>五、参加政府采购活动前3年内在经营活动中没有重大违法记录的书面声明</w:t>
      </w:r>
    </w:p>
    <w:p w14:paraId="01D8E114">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color w:val="auto"/>
          <w:sz w:val="21"/>
          <w:szCs w:val="21"/>
          <w:highlight w:val="none"/>
          <w:u w:val="none"/>
        </w:rPr>
      </w:pPr>
      <w:r>
        <w:rPr>
          <w:rFonts w:hint="eastAsia" w:ascii="宋体" w:hAnsi="宋体" w:eastAsia="宋体" w:cs="宋体"/>
          <w:i w:val="0"/>
          <w:iCs/>
          <w:color w:val="auto"/>
          <w:sz w:val="21"/>
          <w:szCs w:val="21"/>
          <w:highlight w:val="none"/>
          <w:u w:val="none"/>
        </w:rPr>
        <w:t>六、特定资格要求的证明文件（如果本项目设置特定资格要求，则需要提供）</w:t>
      </w:r>
    </w:p>
    <w:p w14:paraId="26AA61E5">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color w:val="auto"/>
          <w:sz w:val="21"/>
          <w:szCs w:val="21"/>
          <w:highlight w:val="none"/>
          <w:u w:val="none"/>
        </w:rPr>
      </w:pPr>
      <w:r>
        <w:rPr>
          <w:rFonts w:hint="eastAsia" w:ascii="宋体" w:hAnsi="宋体" w:eastAsia="宋体" w:cs="宋体"/>
          <w:color w:val="auto"/>
          <w:sz w:val="21"/>
          <w:szCs w:val="21"/>
          <w:highlight w:val="none"/>
          <w:lang w:eastAsia="zh-CN"/>
        </w:rPr>
        <w:t>七、</w:t>
      </w:r>
      <w:r>
        <w:rPr>
          <w:rFonts w:hint="eastAsia" w:ascii="宋体" w:hAnsi="宋体" w:eastAsia="宋体" w:cs="宋体"/>
          <w:color w:val="auto"/>
          <w:sz w:val="21"/>
          <w:szCs w:val="21"/>
          <w:highlight w:val="none"/>
        </w:rPr>
        <w:t>单位负责人为同一人或者存在直接控股、管理关系的不同供应</w:t>
      </w:r>
      <w:r>
        <w:rPr>
          <w:rFonts w:hint="eastAsia" w:ascii="宋体" w:hAnsi="宋体" w:eastAsia="宋体" w:cs="宋体"/>
          <w:color w:val="auto"/>
          <w:sz w:val="21"/>
          <w:szCs w:val="21"/>
          <w:highlight w:val="none"/>
          <w:shd w:val="clear" w:color="auto" w:fill="auto"/>
        </w:rPr>
        <w:t>商，不得参加同一合同项下的政府采购活动。</w:t>
      </w:r>
    </w:p>
    <w:p w14:paraId="57BC2220">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color w:val="auto"/>
          <w:sz w:val="21"/>
          <w:szCs w:val="21"/>
          <w:highlight w:val="none"/>
          <w:u w:val="none"/>
        </w:rPr>
      </w:pPr>
      <w:r>
        <w:rPr>
          <w:rFonts w:hint="eastAsia" w:ascii="宋体" w:hAnsi="宋体" w:eastAsia="宋体" w:cs="宋体"/>
          <w:i w:val="0"/>
          <w:iCs/>
          <w:color w:val="auto"/>
          <w:sz w:val="21"/>
          <w:szCs w:val="21"/>
          <w:highlight w:val="none"/>
          <w:u w:val="none"/>
          <w:lang w:eastAsia="zh-CN"/>
        </w:rPr>
        <w:t>八</w:t>
      </w:r>
      <w:r>
        <w:rPr>
          <w:rFonts w:hint="eastAsia" w:ascii="宋体" w:hAnsi="宋体" w:eastAsia="宋体" w:cs="宋体"/>
          <w:i w:val="0"/>
          <w:iCs/>
          <w:color w:val="auto"/>
          <w:sz w:val="21"/>
          <w:szCs w:val="21"/>
          <w:highlight w:val="none"/>
          <w:u w:val="none"/>
        </w:rPr>
        <w:t>、法人授权书</w:t>
      </w:r>
    </w:p>
    <w:p w14:paraId="0FD35EF1">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color w:val="auto"/>
          <w:sz w:val="21"/>
          <w:szCs w:val="21"/>
          <w:highlight w:val="none"/>
          <w:u w:val="none"/>
        </w:rPr>
      </w:pPr>
      <w:r>
        <w:rPr>
          <w:rFonts w:hint="eastAsia" w:ascii="宋体" w:hAnsi="宋体" w:eastAsia="宋体" w:cs="宋体"/>
          <w:i w:val="0"/>
          <w:iCs/>
          <w:color w:val="auto"/>
          <w:sz w:val="21"/>
          <w:szCs w:val="21"/>
          <w:highlight w:val="none"/>
          <w:u w:val="none"/>
          <w:lang w:eastAsia="zh-CN"/>
        </w:rPr>
        <w:t>九</w:t>
      </w:r>
      <w:r>
        <w:rPr>
          <w:rFonts w:hint="eastAsia" w:ascii="宋体" w:hAnsi="宋体" w:eastAsia="宋体" w:cs="宋体"/>
          <w:i w:val="0"/>
          <w:iCs/>
          <w:color w:val="auto"/>
          <w:sz w:val="21"/>
          <w:szCs w:val="21"/>
          <w:highlight w:val="none"/>
          <w:u w:val="none"/>
        </w:rPr>
        <w:t>、投标函</w:t>
      </w:r>
    </w:p>
    <w:p w14:paraId="62AB6C8F">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color w:val="auto"/>
          <w:sz w:val="21"/>
          <w:szCs w:val="21"/>
          <w:highlight w:val="none"/>
          <w:u w:val="none"/>
        </w:rPr>
      </w:pPr>
      <w:r>
        <w:rPr>
          <w:rFonts w:hint="eastAsia" w:ascii="宋体" w:hAnsi="宋体" w:eastAsia="宋体" w:cs="宋体"/>
          <w:i w:val="0"/>
          <w:iCs/>
          <w:color w:val="auto"/>
          <w:sz w:val="21"/>
          <w:szCs w:val="21"/>
          <w:highlight w:val="none"/>
          <w:u w:val="none"/>
          <w:lang w:eastAsia="zh-CN"/>
        </w:rPr>
        <w:t>十</w:t>
      </w:r>
      <w:r>
        <w:rPr>
          <w:rFonts w:hint="eastAsia" w:ascii="宋体" w:hAnsi="宋体" w:eastAsia="宋体" w:cs="宋体"/>
          <w:i w:val="0"/>
          <w:iCs/>
          <w:color w:val="auto"/>
          <w:sz w:val="21"/>
          <w:szCs w:val="21"/>
          <w:highlight w:val="none"/>
          <w:u w:val="none"/>
        </w:rPr>
        <w:t>、</w:t>
      </w:r>
      <w:r>
        <w:rPr>
          <w:rFonts w:hint="eastAsia" w:ascii="宋体" w:hAnsi="宋体" w:eastAsia="宋体" w:cs="宋体"/>
          <w:i w:val="0"/>
          <w:iCs/>
          <w:color w:val="auto"/>
          <w:sz w:val="21"/>
          <w:szCs w:val="21"/>
          <w:highlight w:val="none"/>
          <w:u w:val="none"/>
          <w:lang w:val="en-US" w:eastAsia="zh-CN"/>
        </w:rPr>
        <w:t>中小</w:t>
      </w:r>
      <w:r>
        <w:rPr>
          <w:rFonts w:hint="eastAsia" w:ascii="宋体" w:hAnsi="宋体" w:eastAsia="宋体" w:cs="宋体"/>
          <w:i w:val="0"/>
          <w:iCs/>
          <w:color w:val="auto"/>
          <w:sz w:val="21"/>
          <w:szCs w:val="21"/>
          <w:highlight w:val="none"/>
          <w:u w:val="none"/>
        </w:rPr>
        <w:t>企业声明函</w:t>
      </w:r>
    </w:p>
    <w:p w14:paraId="60ADE039">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十</w:t>
      </w:r>
      <w:r>
        <w:rPr>
          <w:rFonts w:hint="eastAsia" w:ascii="宋体" w:hAnsi="宋体" w:eastAsia="宋体" w:cs="宋体"/>
          <w:i w:val="0"/>
          <w:iCs/>
          <w:color w:val="auto"/>
          <w:sz w:val="21"/>
          <w:szCs w:val="21"/>
          <w:highlight w:val="none"/>
          <w:u w:val="none"/>
          <w:lang w:eastAsia="zh-CN"/>
        </w:rPr>
        <w:t>一</w:t>
      </w:r>
      <w:r>
        <w:rPr>
          <w:rFonts w:hint="eastAsia" w:ascii="宋体" w:hAnsi="宋体" w:eastAsia="宋体" w:cs="宋体"/>
          <w:i w:val="0"/>
          <w:iCs/>
          <w:color w:val="auto"/>
          <w:sz w:val="21"/>
          <w:szCs w:val="21"/>
          <w:highlight w:val="none"/>
          <w:u w:val="none"/>
        </w:rPr>
        <w:t>、残疾人福利性单位声明函</w:t>
      </w:r>
    </w:p>
    <w:p w14:paraId="29DB9556">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val="en-US" w:eastAsia="zh-CN"/>
        </w:rPr>
        <w:t>十二、</w:t>
      </w:r>
      <w:r>
        <w:rPr>
          <w:rFonts w:hint="eastAsia" w:ascii="宋体" w:hAnsi="宋体" w:eastAsia="宋体" w:cs="宋体"/>
          <w:i w:val="0"/>
          <w:iCs/>
          <w:color w:val="auto"/>
          <w:sz w:val="21"/>
          <w:szCs w:val="21"/>
          <w:highlight w:val="none"/>
          <w:u w:val="none"/>
        </w:rPr>
        <w:t>联合体协议</w:t>
      </w:r>
    </w:p>
    <w:p w14:paraId="5987F8F5">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default" w:ascii="宋体" w:hAnsi="宋体" w:eastAsia="宋体" w:cs="宋体"/>
          <w:i w:val="0"/>
          <w:iCs/>
          <w:color w:val="auto"/>
          <w:sz w:val="21"/>
          <w:szCs w:val="21"/>
          <w:highlight w:val="none"/>
          <w:u w:val="none"/>
          <w:lang w:val="en-US" w:eastAsia="zh-CN"/>
        </w:rPr>
      </w:pPr>
      <w:r>
        <w:rPr>
          <w:rFonts w:hint="eastAsia" w:ascii="宋体" w:hAnsi="宋体" w:eastAsia="宋体" w:cs="宋体"/>
          <w:i w:val="0"/>
          <w:iCs/>
          <w:color w:val="auto"/>
          <w:sz w:val="21"/>
          <w:szCs w:val="21"/>
          <w:highlight w:val="none"/>
          <w:u w:val="none"/>
          <w:lang w:val="en-US" w:eastAsia="zh-CN"/>
        </w:rPr>
        <w:t>十三、投标分项报价表</w:t>
      </w:r>
    </w:p>
    <w:p w14:paraId="76B6F922">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color w:val="auto"/>
          <w:sz w:val="21"/>
          <w:szCs w:val="21"/>
          <w:highlight w:val="none"/>
          <w:u w:val="none"/>
        </w:rPr>
      </w:pPr>
      <w:r>
        <w:rPr>
          <w:rFonts w:hint="eastAsia" w:ascii="宋体" w:hAnsi="宋体" w:eastAsia="宋体" w:cs="宋体"/>
          <w:i w:val="0"/>
          <w:iCs/>
          <w:color w:val="auto"/>
          <w:sz w:val="21"/>
          <w:szCs w:val="21"/>
          <w:highlight w:val="none"/>
          <w:u w:val="none"/>
        </w:rPr>
        <w:t>十</w:t>
      </w:r>
      <w:r>
        <w:rPr>
          <w:rFonts w:hint="eastAsia" w:ascii="宋体" w:hAnsi="宋体" w:eastAsia="宋体" w:cs="宋体"/>
          <w:i w:val="0"/>
          <w:iCs/>
          <w:color w:val="auto"/>
          <w:sz w:val="21"/>
          <w:szCs w:val="21"/>
          <w:highlight w:val="none"/>
          <w:u w:val="none"/>
          <w:lang w:val="en-US" w:eastAsia="zh-CN"/>
        </w:rPr>
        <w:t>四</w:t>
      </w:r>
      <w:r>
        <w:rPr>
          <w:rFonts w:hint="eastAsia" w:ascii="宋体" w:hAnsi="宋体" w:eastAsia="宋体" w:cs="宋体"/>
          <w:i w:val="0"/>
          <w:iCs/>
          <w:color w:val="auto"/>
          <w:sz w:val="21"/>
          <w:szCs w:val="21"/>
          <w:highlight w:val="none"/>
          <w:u w:val="none"/>
        </w:rPr>
        <w:t>、技术要求响应及偏离表</w:t>
      </w:r>
    </w:p>
    <w:p w14:paraId="7FA5AC6A">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color w:val="auto"/>
          <w:sz w:val="21"/>
          <w:szCs w:val="21"/>
          <w:highlight w:val="none"/>
          <w:u w:val="none"/>
        </w:rPr>
      </w:pPr>
      <w:r>
        <w:rPr>
          <w:rFonts w:hint="eastAsia" w:ascii="宋体" w:hAnsi="宋体" w:eastAsia="宋体" w:cs="宋体"/>
          <w:i w:val="0"/>
          <w:iCs/>
          <w:color w:val="auto"/>
          <w:sz w:val="21"/>
          <w:szCs w:val="21"/>
          <w:highlight w:val="none"/>
          <w:u w:val="none"/>
        </w:rPr>
        <w:t>十</w:t>
      </w:r>
      <w:r>
        <w:rPr>
          <w:rFonts w:hint="eastAsia" w:ascii="宋体" w:hAnsi="宋体" w:eastAsia="宋体" w:cs="宋体"/>
          <w:i w:val="0"/>
          <w:iCs/>
          <w:color w:val="auto"/>
          <w:sz w:val="21"/>
          <w:szCs w:val="21"/>
          <w:highlight w:val="none"/>
          <w:u w:val="none"/>
          <w:lang w:val="en-US" w:eastAsia="zh-CN"/>
        </w:rPr>
        <w:t>五</w:t>
      </w:r>
      <w:r>
        <w:rPr>
          <w:rFonts w:hint="eastAsia" w:ascii="宋体" w:hAnsi="宋体" w:eastAsia="宋体" w:cs="宋体"/>
          <w:i w:val="0"/>
          <w:iCs/>
          <w:color w:val="auto"/>
          <w:sz w:val="21"/>
          <w:szCs w:val="21"/>
          <w:highlight w:val="none"/>
          <w:u w:val="none"/>
        </w:rPr>
        <w:t>、商务要求响应及偏离表</w:t>
      </w:r>
    </w:p>
    <w:p w14:paraId="099B3743">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color w:val="auto"/>
          <w:sz w:val="21"/>
          <w:szCs w:val="21"/>
          <w:highlight w:val="none"/>
          <w:u w:val="none"/>
          <w:lang w:eastAsia="zh-CN"/>
        </w:rPr>
      </w:pPr>
      <w:r>
        <w:rPr>
          <w:rFonts w:hint="eastAsia" w:ascii="宋体" w:hAnsi="宋体" w:eastAsia="宋体" w:cs="宋体"/>
          <w:i w:val="0"/>
          <w:iCs/>
          <w:color w:val="auto"/>
          <w:sz w:val="21"/>
          <w:szCs w:val="21"/>
          <w:highlight w:val="none"/>
          <w:u w:val="none"/>
          <w:lang w:eastAsia="zh-CN"/>
        </w:rPr>
        <w:t>十</w:t>
      </w:r>
      <w:r>
        <w:rPr>
          <w:rFonts w:hint="eastAsia" w:ascii="宋体" w:hAnsi="宋体" w:eastAsia="宋体" w:cs="宋体"/>
          <w:i w:val="0"/>
          <w:iCs/>
          <w:color w:val="auto"/>
          <w:sz w:val="21"/>
          <w:szCs w:val="21"/>
          <w:highlight w:val="none"/>
          <w:u w:val="none"/>
          <w:lang w:val="en-US" w:eastAsia="zh-CN"/>
        </w:rPr>
        <w:t>六</w:t>
      </w:r>
      <w:r>
        <w:rPr>
          <w:rFonts w:hint="eastAsia" w:ascii="宋体" w:hAnsi="宋体" w:eastAsia="宋体" w:cs="宋体"/>
          <w:i w:val="0"/>
          <w:iCs/>
          <w:color w:val="auto"/>
          <w:sz w:val="21"/>
          <w:szCs w:val="21"/>
          <w:highlight w:val="none"/>
          <w:u w:val="none"/>
          <w:lang w:eastAsia="zh-CN"/>
        </w:rPr>
        <w:t>、开标一览表</w:t>
      </w:r>
    </w:p>
    <w:p w14:paraId="1988DFAF">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color w:val="auto"/>
          <w:sz w:val="21"/>
          <w:szCs w:val="21"/>
          <w:highlight w:val="none"/>
          <w:u w:val="none"/>
          <w:lang w:eastAsia="zh-CN"/>
        </w:rPr>
      </w:pPr>
      <w:r>
        <w:rPr>
          <w:rFonts w:hint="eastAsia" w:ascii="宋体" w:hAnsi="宋体" w:eastAsia="宋体" w:cs="宋体"/>
          <w:i w:val="0"/>
          <w:iCs/>
          <w:color w:val="auto"/>
          <w:sz w:val="21"/>
          <w:szCs w:val="21"/>
          <w:highlight w:val="none"/>
          <w:u w:val="none"/>
          <w:lang w:eastAsia="zh-CN"/>
        </w:rPr>
        <w:t>十</w:t>
      </w:r>
      <w:r>
        <w:rPr>
          <w:rFonts w:hint="eastAsia" w:ascii="宋体" w:hAnsi="宋体" w:eastAsia="宋体" w:cs="宋体"/>
          <w:i w:val="0"/>
          <w:iCs/>
          <w:color w:val="auto"/>
          <w:sz w:val="21"/>
          <w:szCs w:val="21"/>
          <w:highlight w:val="none"/>
          <w:u w:val="none"/>
          <w:lang w:val="en-US" w:eastAsia="zh-CN"/>
        </w:rPr>
        <w:t>七</w:t>
      </w:r>
      <w:r>
        <w:rPr>
          <w:rFonts w:hint="eastAsia" w:ascii="宋体" w:hAnsi="宋体" w:eastAsia="宋体" w:cs="宋体"/>
          <w:i w:val="0"/>
          <w:iCs/>
          <w:color w:val="auto"/>
          <w:sz w:val="21"/>
          <w:szCs w:val="21"/>
          <w:highlight w:val="none"/>
          <w:u w:val="none"/>
          <w:lang w:eastAsia="zh-CN"/>
        </w:rPr>
        <w:t>、服务承诺</w:t>
      </w:r>
    </w:p>
    <w:p w14:paraId="3F7B4795">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color w:val="auto"/>
          <w:sz w:val="21"/>
          <w:szCs w:val="21"/>
          <w:highlight w:val="none"/>
          <w:u w:val="none"/>
          <w:lang w:eastAsia="zh-CN"/>
        </w:rPr>
      </w:pPr>
      <w:r>
        <w:rPr>
          <w:rFonts w:hint="eastAsia" w:ascii="宋体" w:hAnsi="宋体" w:eastAsia="宋体" w:cs="宋体"/>
          <w:i w:val="0"/>
          <w:iCs/>
          <w:color w:val="auto"/>
          <w:sz w:val="21"/>
          <w:szCs w:val="21"/>
          <w:highlight w:val="none"/>
          <w:u w:val="none"/>
          <w:lang w:eastAsia="zh-CN"/>
        </w:rPr>
        <w:t>十</w:t>
      </w:r>
      <w:r>
        <w:rPr>
          <w:rFonts w:hint="eastAsia" w:ascii="宋体" w:hAnsi="宋体" w:eastAsia="宋体" w:cs="宋体"/>
          <w:i w:val="0"/>
          <w:iCs/>
          <w:color w:val="auto"/>
          <w:sz w:val="21"/>
          <w:szCs w:val="21"/>
          <w:highlight w:val="none"/>
          <w:u w:val="none"/>
          <w:lang w:val="en-US" w:eastAsia="zh-CN"/>
        </w:rPr>
        <w:t>八</w:t>
      </w:r>
      <w:r>
        <w:rPr>
          <w:rFonts w:hint="eastAsia" w:ascii="宋体" w:hAnsi="宋体" w:eastAsia="宋体" w:cs="宋体"/>
          <w:i w:val="0"/>
          <w:iCs/>
          <w:color w:val="auto"/>
          <w:sz w:val="21"/>
          <w:szCs w:val="21"/>
          <w:highlight w:val="none"/>
          <w:u w:val="none"/>
          <w:lang w:eastAsia="zh-CN"/>
        </w:rPr>
        <w:t>、盐城市政府采购事前信用承诺书</w:t>
      </w:r>
    </w:p>
    <w:p w14:paraId="626E3581">
      <w:pPr>
        <w:pStyle w:val="11"/>
        <w:spacing w:beforeAutospacing="0" w:afterAutospacing="0" w:line="0" w:lineRule="atLeast"/>
        <w:ind w:firstLine="480"/>
        <w:jc w:val="both"/>
        <w:rPr>
          <w:color w:val="auto"/>
          <w:highlight w:val="none"/>
        </w:rPr>
      </w:pPr>
      <w:r>
        <w:rPr>
          <w:color w:val="auto"/>
          <w:highlight w:val="none"/>
        </w:rPr>
        <w:t> </w:t>
      </w:r>
    </w:p>
    <w:p w14:paraId="664E19FE">
      <w:pPr>
        <w:pStyle w:val="11"/>
        <w:spacing w:beforeAutospacing="0" w:afterAutospacing="0" w:line="0" w:lineRule="atLeast"/>
        <w:ind w:firstLine="480"/>
        <w:jc w:val="both"/>
        <w:rPr>
          <w:color w:val="auto"/>
          <w:highlight w:val="none"/>
        </w:rPr>
      </w:pPr>
      <w:r>
        <w:rPr>
          <w:color w:val="auto"/>
          <w:highlight w:val="none"/>
        </w:rPr>
        <w:t> </w:t>
      </w:r>
    </w:p>
    <w:p w14:paraId="347B9BE8">
      <w:pPr>
        <w:pStyle w:val="11"/>
        <w:spacing w:beforeAutospacing="0" w:afterAutospacing="0" w:line="0" w:lineRule="atLeast"/>
        <w:ind w:firstLine="480"/>
        <w:jc w:val="both"/>
        <w:rPr>
          <w:color w:val="auto"/>
          <w:highlight w:val="none"/>
        </w:rPr>
      </w:pPr>
      <w:r>
        <w:rPr>
          <w:color w:val="auto"/>
          <w:highlight w:val="none"/>
        </w:rPr>
        <w:t> </w:t>
      </w:r>
    </w:p>
    <w:p w14:paraId="0DAE4FA9">
      <w:pPr>
        <w:pStyle w:val="11"/>
        <w:spacing w:beforeAutospacing="0" w:afterAutospacing="0" w:line="0" w:lineRule="atLeast"/>
        <w:ind w:firstLine="480"/>
        <w:jc w:val="both"/>
        <w:rPr>
          <w:color w:val="auto"/>
          <w:highlight w:val="none"/>
        </w:rPr>
      </w:pPr>
      <w:r>
        <w:rPr>
          <w:color w:val="auto"/>
          <w:highlight w:val="none"/>
        </w:rPr>
        <w:t> </w:t>
      </w:r>
    </w:p>
    <w:p w14:paraId="6683C043">
      <w:pPr>
        <w:pStyle w:val="11"/>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color w:val="auto"/>
          <w:highlight w:val="none"/>
        </w:rPr>
      </w:pPr>
      <w:r>
        <w:rPr>
          <w:color w:val="auto"/>
          <w:highlight w:val="none"/>
        </w:rPr>
        <w:t> </w:t>
      </w:r>
    </w:p>
    <w:p w14:paraId="044306C3">
      <w:pPr>
        <w:pStyle w:val="11"/>
        <w:spacing w:beforeAutospacing="0" w:afterAutospacing="0" w:line="0" w:lineRule="atLeast"/>
        <w:ind w:firstLine="480"/>
        <w:jc w:val="both"/>
        <w:rPr>
          <w:color w:val="auto"/>
          <w:highlight w:val="none"/>
        </w:rPr>
      </w:pPr>
      <w:r>
        <w:rPr>
          <w:color w:val="auto"/>
          <w:highlight w:val="none"/>
        </w:rPr>
        <w:t> </w:t>
      </w:r>
    </w:p>
    <w:p w14:paraId="0266BF3A">
      <w:pPr>
        <w:pStyle w:val="11"/>
        <w:spacing w:beforeAutospacing="0" w:afterAutospacing="0" w:line="0" w:lineRule="atLeast"/>
        <w:ind w:firstLine="480"/>
        <w:jc w:val="both"/>
        <w:rPr>
          <w:color w:val="auto"/>
          <w:highlight w:val="none"/>
        </w:rPr>
      </w:pPr>
    </w:p>
    <w:p w14:paraId="7B2F41DA">
      <w:pPr>
        <w:pStyle w:val="11"/>
        <w:spacing w:beforeAutospacing="0" w:afterAutospacing="0" w:line="0" w:lineRule="atLeast"/>
        <w:ind w:firstLine="480"/>
        <w:jc w:val="both"/>
        <w:rPr>
          <w:color w:val="auto"/>
          <w:highlight w:val="none"/>
        </w:rPr>
      </w:pPr>
    </w:p>
    <w:p w14:paraId="49126226">
      <w:pPr>
        <w:pStyle w:val="11"/>
        <w:spacing w:beforeAutospacing="0" w:afterAutospacing="0" w:line="0" w:lineRule="atLeast"/>
        <w:ind w:firstLine="480"/>
        <w:jc w:val="both"/>
        <w:rPr>
          <w:color w:val="auto"/>
          <w:highlight w:val="none"/>
        </w:rPr>
      </w:pPr>
    </w:p>
    <w:p w14:paraId="374F5D55">
      <w:pPr>
        <w:pStyle w:val="11"/>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71FFF976">
      <w:pPr>
        <w:pStyle w:val="11"/>
        <w:spacing w:beforeAutospacing="0" w:afterAutospacing="0" w:line="0" w:lineRule="atLeast"/>
        <w:ind w:firstLine="480"/>
        <w:jc w:val="both"/>
        <w:rPr>
          <w:color w:val="auto"/>
          <w:highlight w:val="none"/>
        </w:rPr>
      </w:pPr>
      <w:r>
        <w:rPr>
          <w:color w:val="auto"/>
          <w:highlight w:val="none"/>
        </w:rPr>
        <w:t> </w:t>
      </w:r>
    </w:p>
    <w:p w14:paraId="61468E47">
      <w:pPr>
        <w:pStyle w:val="11"/>
        <w:spacing w:beforeAutospacing="0" w:afterAutospacing="0"/>
        <w:jc w:val="both"/>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二、上一年度的财务状况报</w:t>
      </w:r>
      <w:r>
        <w:rPr>
          <w:rFonts w:hint="eastAsia" w:ascii="黑体" w:hAnsi="宋体" w:eastAsia="黑体" w:cs="黑体"/>
          <w:i/>
          <w:color w:val="auto"/>
          <w:sz w:val="32"/>
          <w:szCs w:val="32"/>
          <w:highlight w:val="none"/>
          <w:u w:val="single"/>
          <w:lang w:val="en-US" w:eastAsia="zh-CN"/>
        </w:rPr>
        <w:t>告</w:t>
      </w:r>
    </w:p>
    <w:p w14:paraId="2AB5FC7F">
      <w:pPr>
        <w:tabs>
          <w:tab w:val="left" w:pos="1331"/>
        </w:tabs>
        <w:bidi w:val="0"/>
        <w:ind w:firstLine="420" w:firstLineChars="200"/>
        <w:jc w:val="left"/>
        <w:rPr>
          <w:i w:val="0"/>
          <w:iCs/>
          <w:color w:val="auto"/>
          <w:highlight w:val="none"/>
          <w:u w:val="none"/>
        </w:rPr>
      </w:pPr>
      <w:r>
        <w:rPr>
          <w:rFonts w:hint="eastAsia" w:ascii="宋体" w:hAnsi="宋体" w:eastAsia="宋体" w:cs="宋体"/>
          <w:i w:val="0"/>
          <w:iCs/>
          <w:color w:val="auto"/>
          <w:highlight w:val="none"/>
          <w:u w:val="none"/>
          <w:lang w:val="en-US" w:eastAsia="zh-CN"/>
        </w:rPr>
        <w:t>（至少提供资产负债表、利润表、现金流量表，</w:t>
      </w:r>
      <w:r>
        <w:rPr>
          <w:rFonts w:hint="eastAsia" w:ascii="宋体" w:hAnsi="宋体" w:eastAsia="宋体" w:cs="宋体"/>
          <w:i w:val="0"/>
          <w:iCs/>
          <w:color w:val="auto"/>
          <w:highlight w:val="none"/>
          <w:u w:val="none"/>
        </w:rPr>
        <w:t>投标人成立不满一年无需提供）</w:t>
      </w:r>
    </w:p>
    <w:p w14:paraId="13CE4AFE">
      <w:pPr>
        <w:pStyle w:val="11"/>
        <w:spacing w:beforeAutospacing="0" w:afterAutospacing="0"/>
        <w:jc w:val="both"/>
        <w:rPr>
          <w:color w:val="auto"/>
          <w:highlight w:val="none"/>
        </w:rPr>
      </w:pPr>
      <w:r>
        <w:rPr>
          <w:color w:val="auto"/>
          <w:highlight w:val="none"/>
        </w:rPr>
        <w:t> </w:t>
      </w:r>
    </w:p>
    <w:p w14:paraId="3B215A68">
      <w:pPr>
        <w:pStyle w:val="11"/>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4A3F2575">
      <w:pPr>
        <w:pStyle w:val="11"/>
        <w:spacing w:beforeAutospacing="0" w:afterAutospacing="0" w:line="0" w:lineRule="atLeast"/>
        <w:ind w:firstLine="492"/>
        <w:jc w:val="both"/>
        <w:rPr>
          <w:color w:val="auto"/>
          <w:highlight w:val="none"/>
        </w:rPr>
      </w:pPr>
      <w:r>
        <w:rPr>
          <w:rFonts w:hint="eastAsia" w:ascii="宋体" w:hAnsi="宋体" w:eastAsia="宋体" w:cs="宋体"/>
          <w:i w:val="0"/>
          <w:iCs/>
          <w:color w:val="auto"/>
          <w:kern w:val="2"/>
          <w:sz w:val="21"/>
          <w:szCs w:val="24"/>
          <w:highlight w:val="none"/>
          <w:u w:val="none"/>
          <w:lang w:val="en-US" w:eastAsia="zh-CN" w:bidi="ar-SA"/>
        </w:rPr>
        <w:t>我单位郑重声明：我单位具备履行本项采购合同所必需的设备和专业技术能力，为履行本项采购合同我公司具备如下主要设备和主要专业技术能力：</w:t>
      </w:r>
    </w:p>
    <w:p w14:paraId="7158CE18">
      <w:pPr>
        <w:pStyle w:val="11"/>
        <w:spacing w:beforeAutospacing="0" w:afterAutospacing="0" w:line="0" w:lineRule="atLeast"/>
        <w:ind w:firstLine="492"/>
        <w:jc w:val="both"/>
        <w:rPr>
          <w:color w:val="auto"/>
          <w:highlight w:val="none"/>
        </w:rPr>
      </w:pPr>
      <w:r>
        <w:rPr>
          <w:rFonts w:hint="eastAsia" w:ascii="宋体" w:hAnsi="宋体" w:eastAsia="宋体" w:cs="宋体"/>
          <w:i w:val="0"/>
          <w:iCs/>
          <w:color w:val="auto"/>
          <w:kern w:val="2"/>
          <w:sz w:val="21"/>
          <w:szCs w:val="24"/>
          <w:highlight w:val="none"/>
          <w:u w:val="none"/>
          <w:lang w:val="en-US" w:eastAsia="zh-CN" w:bidi="ar-SA"/>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C40D482">
      <w:pPr>
        <w:pStyle w:val="11"/>
        <w:spacing w:beforeAutospacing="0" w:afterAutospacing="0"/>
        <w:ind w:firstLine="420" w:firstLineChars="200"/>
        <w:jc w:val="both"/>
        <w:rPr>
          <w:rFonts w:hint="eastAsia" w:ascii="宋体" w:hAnsi="宋体" w:eastAsia="宋体" w:cs="宋体"/>
          <w:color w:val="auto"/>
          <w:highlight w:val="none"/>
        </w:rPr>
      </w:pPr>
      <w:r>
        <w:rPr>
          <w:rFonts w:hint="eastAsia" w:ascii="宋体" w:hAnsi="宋体" w:eastAsia="宋体" w:cs="宋体"/>
          <w:i w:val="0"/>
          <w:iCs/>
          <w:color w:val="auto"/>
          <w:kern w:val="2"/>
          <w:sz w:val="21"/>
          <w:szCs w:val="24"/>
          <w:highlight w:val="none"/>
          <w:u w:val="none"/>
          <w:lang w:val="en-US" w:eastAsia="zh-CN" w:bidi="ar-SA"/>
        </w:rPr>
        <w:t>主要专业技术能力有</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40225B15">
      <w:pPr>
        <w:pStyle w:val="11"/>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6636CD36">
      <w:pPr>
        <w:pStyle w:val="11"/>
        <w:spacing w:beforeAutospacing="0" w:afterAutospacing="0" w:line="0" w:lineRule="atLeast"/>
        <w:ind w:firstLine="492"/>
        <w:jc w:val="both"/>
        <w:rPr>
          <w:rFonts w:hint="eastAsia" w:ascii="宋体" w:hAnsi="宋体" w:eastAsia="宋体" w:cs="宋体"/>
          <w:i w:val="0"/>
          <w:iCs/>
          <w:color w:val="auto"/>
          <w:kern w:val="2"/>
          <w:sz w:val="21"/>
          <w:szCs w:val="24"/>
          <w:highlight w:val="none"/>
          <w:u w:val="none"/>
          <w:lang w:val="en-US" w:eastAsia="zh-CN" w:bidi="ar-SA"/>
        </w:rPr>
      </w:pPr>
      <w:r>
        <w:rPr>
          <w:rFonts w:hint="eastAsia" w:ascii="宋体" w:hAnsi="宋体" w:eastAsia="宋体" w:cs="宋体"/>
          <w:i w:val="0"/>
          <w:iCs/>
          <w:color w:val="auto"/>
          <w:kern w:val="2"/>
          <w:sz w:val="21"/>
          <w:szCs w:val="24"/>
          <w:highlight w:val="none"/>
          <w:u w:val="none"/>
          <w:lang w:val="en-US" w:eastAsia="zh-CN" w:bidi="ar-SA"/>
        </w:rPr>
        <w:t>提供提交投标文件截止时间前一年内至少一个月依法缴纳税收及缴纳社会保障资金的证明材料。投标人依法享受缓缴、免缴税收、社会保障资金的提供证明材料。</w:t>
      </w:r>
    </w:p>
    <w:p w14:paraId="3CC8D874">
      <w:pPr>
        <w:pStyle w:val="11"/>
        <w:spacing w:beforeAutospacing="0" w:afterAutospacing="0" w:line="0" w:lineRule="atLeast"/>
        <w:ind w:firstLine="492"/>
        <w:jc w:val="both"/>
        <w:rPr>
          <w:rFonts w:hint="eastAsia" w:ascii="宋体" w:hAnsi="宋体" w:eastAsia="宋体" w:cs="宋体"/>
          <w:i w:val="0"/>
          <w:iCs/>
          <w:color w:val="auto"/>
          <w:kern w:val="2"/>
          <w:sz w:val="21"/>
          <w:szCs w:val="24"/>
          <w:highlight w:val="none"/>
          <w:u w:val="none"/>
          <w:lang w:val="en-US" w:eastAsia="zh-CN" w:bidi="ar-SA"/>
        </w:rPr>
      </w:pPr>
      <w:r>
        <w:rPr>
          <w:rFonts w:hint="eastAsia" w:ascii="宋体" w:hAnsi="宋体" w:eastAsia="宋体" w:cs="宋体"/>
          <w:i w:val="0"/>
          <w:iCs/>
          <w:color w:val="auto"/>
          <w:kern w:val="2"/>
          <w:sz w:val="21"/>
          <w:szCs w:val="24"/>
          <w:highlight w:val="none"/>
          <w:u w:val="none"/>
          <w:lang w:val="en-US" w:eastAsia="zh-CN" w:bidi="ar-SA"/>
        </w:rPr>
        <w:t> </w:t>
      </w:r>
    </w:p>
    <w:p w14:paraId="7F3368D2">
      <w:pPr>
        <w:pStyle w:val="11"/>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五、参加政府采购活动前3年内在经营活动中没有重大违法记录的书面声明</w:t>
      </w:r>
    </w:p>
    <w:p w14:paraId="7448B83F">
      <w:pPr>
        <w:pStyle w:val="11"/>
        <w:spacing w:beforeAutospacing="0" w:afterAutospacing="0" w:line="0" w:lineRule="atLeast"/>
        <w:jc w:val="both"/>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w:t>
      </w:r>
    </w:p>
    <w:p w14:paraId="67A6C76F">
      <w:pPr>
        <w:pStyle w:val="11"/>
        <w:spacing w:beforeAutospacing="0" w:afterAutospacing="0" w:line="0" w:lineRule="atLeast"/>
        <w:ind w:firstLine="3092" w:firstLineChars="700"/>
        <w:jc w:val="both"/>
        <w:rPr>
          <w:color w:val="auto"/>
          <w:highlight w:val="none"/>
        </w:rPr>
      </w:pPr>
      <w:r>
        <w:rPr>
          <w:rFonts w:hint="eastAsia" w:ascii="宋体" w:hAnsi="宋体" w:eastAsia="宋体" w:cs="宋体"/>
          <w:b/>
          <w:color w:val="auto"/>
          <w:sz w:val="44"/>
          <w:szCs w:val="44"/>
          <w:highlight w:val="none"/>
        </w:rPr>
        <w:t xml:space="preserve"> 声  明</w:t>
      </w:r>
    </w:p>
    <w:p w14:paraId="45A26DB1">
      <w:pPr>
        <w:pStyle w:val="11"/>
        <w:spacing w:beforeAutospacing="0" w:afterAutospacing="0" w:line="0" w:lineRule="atLeast"/>
        <w:ind w:firstLine="492"/>
        <w:jc w:val="both"/>
        <w:rPr>
          <w:rFonts w:hint="eastAsia" w:ascii="宋体" w:hAnsi="宋体" w:eastAsia="宋体" w:cs="宋体"/>
          <w:i w:val="0"/>
          <w:iCs/>
          <w:color w:val="auto"/>
          <w:kern w:val="2"/>
          <w:sz w:val="21"/>
          <w:szCs w:val="24"/>
          <w:highlight w:val="none"/>
          <w:u w:val="none"/>
          <w:lang w:val="en-US" w:eastAsia="zh-CN" w:bidi="ar-SA"/>
        </w:rPr>
      </w:pPr>
      <w:r>
        <w:rPr>
          <w:rFonts w:hint="eastAsia" w:ascii="宋体" w:hAnsi="宋体" w:eastAsia="宋体" w:cs="宋体"/>
          <w:b/>
          <w:color w:val="auto"/>
          <w:highlight w:val="none"/>
        </w:rPr>
        <w:t>   </w:t>
      </w:r>
      <w:r>
        <w:rPr>
          <w:rFonts w:hint="eastAsia" w:ascii="宋体" w:hAnsi="宋体" w:eastAsia="宋体" w:cs="宋体"/>
          <w:i w:val="0"/>
          <w:iCs/>
          <w:color w:val="auto"/>
          <w:kern w:val="2"/>
          <w:sz w:val="21"/>
          <w:szCs w:val="24"/>
          <w:highlight w:val="none"/>
          <w:u w:val="none"/>
          <w:lang w:val="en-US" w:eastAsia="zh-CN" w:bidi="ar-SA"/>
        </w:rPr>
        <w:t xml:space="preserve"> 我单位郑重声明：参加本次政府采购活动前 3 年内，我单位在经营活动中没有因违法经营受到刑事处罚或者责令停产停业、吊销许可证或者执照、较大数额罚款等行政处罚。</w:t>
      </w:r>
    </w:p>
    <w:p w14:paraId="0174D61F">
      <w:pPr>
        <w:pStyle w:val="11"/>
        <w:spacing w:beforeAutospacing="0" w:afterAutospacing="0" w:line="0" w:lineRule="atLeast"/>
        <w:ind w:firstLine="492"/>
        <w:jc w:val="both"/>
        <w:rPr>
          <w:rFonts w:hint="eastAsia" w:ascii="宋体" w:hAnsi="宋体" w:eastAsia="宋体" w:cs="宋体"/>
          <w:i w:val="0"/>
          <w:iCs/>
          <w:color w:val="auto"/>
          <w:kern w:val="2"/>
          <w:sz w:val="21"/>
          <w:szCs w:val="24"/>
          <w:highlight w:val="none"/>
          <w:u w:val="none"/>
          <w:lang w:val="en-US" w:eastAsia="zh-CN" w:bidi="ar-SA"/>
        </w:rPr>
      </w:pPr>
      <w:r>
        <w:rPr>
          <w:rFonts w:hint="eastAsia" w:ascii="宋体" w:hAnsi="宋体" w:eastAsia="宋体" w:cs="宋体"/>
          <w:i w:val="0"/>
          <w:iCs/>
          <w:color w:val="auto"/>
          <w:kern w:val="2"/>
          <w:sz w:val="21"/>
          <w:szCs w:val="24"/>
          <w:highlight w:val="none"/>
          <w:u w:val="none"/>
          <w:lang w:val="en-US" w:eastAsia="zh-CN" w:bidi="ar-SA"/>
        </w:rPr>
        <w:t> </w:t>
      </w:r>
    </w:p>
    <w:p w14:paraId="02A985DB">
      <w:pPr>
        <w:pStyle w:val="11"/>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64A7199A">
      <w:pPr>
        <w:pStyle w:val="11"/>
        <w:spacing w:beforeAutospacing="0" w:afterAutospacing="0" w:line="0" w:lineRule="atLeast"/>
        <w:jc w:val="both"/>
        <w:rPr>
          <w:rFonts w:hint="eastAsia" w:ascii="宋体" w:hAnsi="宋体" w:eastAsia="宋体" w:cs="宋体"/>
          <w:i w:val="0"/>
          <w:iCs/>
          <w:color w:val="auto"/>
          <w:kern w:val="2"/>
          <w:sz w:val="21"/>
          <w:szCs w:val="24"/>
          <w:highlight w:val="none"/>
          <w:u w:val="none"/>
          <w:lang w:val="en-US" w:eastAsia="zh-CN" w:bidi="ar-SA"/>
        </w:rPr>
      </w:pPr>
      <w:r>
        <w:rPr>
          <w:rFonts w:hint="eastAsia" w:ascii="宋体" w:hAnsi="宋体" w:eastAsia="宋体" w:cs="宋体"/>
          <w:color w:val="auto"/>
          <w:highlight w:val="none"/>
        </w:rPr>
        <w:t>  </w:t>
      </w:r>
      <w:r>
        <w:rPr>
          <w:rFonts w:hint="eastAsia" w:ascii="宋体" w:hAnsi="宋体" w:eastAsia="宋体" w:cs="宋体"/>
          <w:i w:val="0"/>
          <w:iCs/>
          <w:color w:val="auto"/>
          <w:kern w:val="2"/>
          <w:sz w:val="21"/>
          <w:szCs w:val="24"/>
          <w:highlight w:val="none"/>
          <w:u w:val="none"/>
          <w:lang w:val="en-US" w:eastAsia="zh-CN" w:bidi="ar-SA"/>
        </w:rPr>
        <w:t xml:space="preserve"> 如果本项目申请人的特定资格要求中要求提供的，必须提供。</w:t>
      </w:r>
    </w:p>
    <w:p w14:paraId="4616FF0A">
      <w:pPr>
        <w:pStyle w:val="11"/>
        <w:spacing w:beforeAutospacing="0" w:afterAutospacing="0"/>
        <w:jc w:val="both"/>
        <w:rPr>
          <w:rFonts w:hint="eastAsia" w:ascii="黑体" w:hAnsi="宋体" w:eastAsia="黑体" w:cs="黑体"/>
          <w:i/>
          <w:color w:val="auto"/>
          <w:sz w:val="32"/>
          <w:szCs w:val="32"/>
          <w:highlight w:val="none"/>
          <w:u w:val="single"/>
          <w:lang w:eastAsia="zh-CN"/>
        </w:rPr>
      </w:pPr>
    </w:p>
    <w:p w14:paraId="2AD96636">
      <w:pPr>
        <w:pStyle w:val="11"/>
        <w:numPr>
          <w:ilvl w:val="0"/>
          <w:numId w:val="0"/>
        </w:numPr>
        <w:spacing w:beforeAutospacing="0" w:afterAutospacing="0"/>
        <w:jc w:val="both"/>
        <w:rPr>
          <w:rFonts w:hint="eastAsia" w:ascii="宋体" w:hAnsi="宋体" w:eastAsia="宋体" w:cs="宋体"/>
          <w:i w:val="0"/>
          <w:iCs/>
          <w:color w:val="auto"/>
          <w:kern w:val="2"/>
          <w:sz w:val="21"/>
          <w:szCs w:val="24"/>
          <w:highlight w:val="none"/>
          <w:u w:val="none"/>
          <w:lang w:val="en-US" w:eastAsia="zh-CN" w:bidi="ar-SA"/>
        </w:rPr>
      </w:pPr>
      <w:r>
        <w:rPr>
          <w:rFonts w:hint="eastAsia" w:ascii="黑体" w:hAnsi="宋体" w:eastAsia="黑体" w:cs="黑体"/>
          <w:i/>
          <w:color w:val="auto"/>
          <w:sz w:val="32"/>
          <w:szCs w:val="32"/>
          <w:highlight w:val="none"/>
          <w:u w:val="single"/>
          <w:lang w:eastAsia="zh-CN"/>
        </w:rPr>
        <w:t>七、</w:t>
      </w:r>
      <w:r>
        <w:rPr>
          <w:rFonts w:hint="eastAsia" w:ascii="黑体" w:hAnsi="宋体" w:eastAsia="黑体" w:cs="黑体"/>
          <w:i/>
          <w:color w:val="auto"/>
          <w:sz w:val="32"/>
          <w:szCs w:val="32"/>
          <w:highlight w:val="none"/>
          <w:u w:val="single"/>
        </w:rPr>
        <w:t>单位负责人为同一人或者存在直接控股、管理关系的不同供应商，不得参加同一合同项下的政府采购活动。</w:t>
      </w:r>
    </w:p>
    <w:p w14:paraId="1A9AB6A7">
      <w:pPr>
        <w:pStyle w:val="11"/>
        <w:spacing w:beforeAutospacing="0" w:afterAutospacing="0" w:line="0" w:lineRule="atLeast"/>
        <w:jc w:val="center"/>
        <w:rPr>
          <w:rFonts w:hint="default" w:ascii="宋体" w:hAnsi="宋体" w:eastAsia="宋体" w:cs="宋体"/>
          <w:i w:val="0"/>
          <w:iCs/>
          <w:color w:val="auto"/>
          <w:kern w:val="2"/>
          <w:sz w:val="21"/>
          <w:szCs w:val="24"/>
          <w:highlight w:val="none"/>
          <w:u w:val="none"/>
          <w:lang w:val="en-US" w:eastAsia="zh-CN" w:bidi="ar-SA"/>
        </w:rPr>
      </w:pPr>
      <w:r>
        <w:rPr>
          <w:rFonts w:hint="eastAsia" w:ascii="宋体" w:hAnsi="宋体" w:eastAsia="宋体" w:cs="宋体"/>
          <w:i w:val="0"/>
          <w:iCs/>
          <w:color w:val="auto"/>
          <w:kern w:val="2"/>
          <w:sz w:val="21"/>
          <w:szCs w:val="24"/>
          <w:highlight w:val="none"/>
          <w:u w:val="none"/>
          <w:lang w:val="en-US" w:eastAsia="zh-CN" w:bidi="ar-SA"/>
        </w:rPr>
        <w:t>自行提供，格式自拟</w:t>
      </w:r>
    </w:p>
    <w:p w14:paraId="151D0F8F">
      <w:pPr>
        <w:pStyle w:val="11"/>
        <w:spacing w:beforeAutospacing="0" w:afterAutospacing="0"/>
        <w:jc w:val="center"/>
        <w:rPr>
          <w:rFonts w:ascii="黑体" w:hAnsi="宋体" w:eastAsia="黑体" w:cs="黑体"/>
          <w:i/>
          <w:color w:val="auto"/>
          <w:sz w:val="32"/>
          <w:szCs w:val="32"/>
          <w:highlight w:val="none"/>
          <w:u w:val="single"/>
        </w:rPr>
      </w:pPr>
      <w:bookmarkStart w:id="180" w:name="_Toc120614284"/>
    </w:p>
    <w:p w14:paraId="6344C438">
      <w:pPr>
        <w:pStyle w:val="11"/>
        <w:spacing w:beforeAutospacing="0" w:afterAutospacing="0"/>
        <w:jc w:val="both"/>
        <w:rPr>
          <w:rFonts w:ascii="黑体" w:hAnsi="宋体" w:eastAsia="黑体" w:cs="黑体"/>
          <w:i/>
          <w:color w:val="auto"/>
          <w:sz w:val="32"/>
          <w:szCs w:val="32"/>
          <w:highlight w:val="none"/>
          <w:u w:val="single"/>
        </w:rPr>
      </w:pPr>
    </w:p>
    <w:p w14:paraId="1CEC30E9">
      <w:pPr>
        <w:pStyle w:val="11"/>
        <w:spacing w:beforeAutospacing="0" w:afterAutospacing="0"/>
        <w:jc w:val="center"/>
        <w:rPr>
          <w:color w:val="auto"/>
          <w:highlight w:val="none"/>
        </w:rPr>
      </w:pPr>
      <w:r>
        <w:rPr>
          <w:rFonts w:hint="eastAsia" w:ascii="黑体" w:hAnsi="宋体" w:eastAsia="黑体" w:cs="黑体"/>
          <w:i/>
          <w:color w:val="auto"/>
          <w:sz w:val="32"/>
          <w:szCs w:val="32"/>
          <w:highlight w:val="none"/>
          <w:u w:val="single"/>
          <w:lang w:eastAsia="zh-CN"/>
        </w:rPr>
        <w:t>八</w:t>
      </w:r>
      <w:r>
        <w:rPr>
          <w:rFonts w:hint="eastAsia" w:ascii="黑体" w:hAnsi="宋体" w:eastAsia="黑体" w:cs="黑体"/>
          <w:i/>
          <w:color w:val="auto"/>
          <w:sz w:val="32"/>
          <w:szCs w:val="32"/>
          <w:highlight w:val="none"/>
          <w:u w:val="single"/>
        </w:rPr>
        <w:t>、法人授权书</w:t>
      </w:r>
    </w:p>
    <w:p w14:paraId="54D35F1F">
      <w:pPr>
        <w:pStyle w:val="11"/>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color w:val="auto"/>
          <w:sz w:val="21"/>
          <w:szCs w:val="21"/>
          <w:highlight w:val="none"/>
        </w:rPr>
      </w:pPr>
      <w:r>
        <w:rPr>
          <w:rFonts w:ascii="Times New Roman" w:hAnsi="Times New Roman"/>
          <w:color w:val="auto"/>
          <w:sz w:val="21"/>
          <w:szCs w:val="21"/>
          <w:highlight w:val="none"/>
        </w:rPr>
        <w:t>本授权书声明：____________（投标人名称）授权________________（被授权人的姓名）为我方就JSZC-</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号项目采购活动的合法代理人，以本单位名义全权处理一切与该项目采购有关的事务。</w:t>
      </w:r>
    </w:p>
    <w:p w14:paraId="09221004">
      <w:pPr>
        <w:pStyle w:val="11"/>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color w:val="auto"/>
          <w:sz w:val="21"/>
          <w:szCs w:val="21"/>
          <w:highlight w:val="none"/>
        </w:rPr>
      </w:pPr>
      <w:r>
        <w:rPr>
          <w:rFonts w:ascii="Times New Roman" w:hAnsi="Times New Roman"/>
          <w:color w:val="auto"/>
          <w:sz w:val="21"/>
          <w:szCs w:val="21"/>
          <w:highlight w:val="none"/>
        </w:rPr>
        <w:t>本授权书于______年____月____日起生效，特此声明。</w:t>
      </w:r>
    </w:p>
    <w:p w14:paraId="684AF516">
      <w:pPr>
        <w:pStyle w:val="11"/>
        <w:pageBreakBefore w:val="0"/>
        <w:widowControl w:val="0"/>
        <w:tabs>
          <w:tab w:val="left" w:pos="360"/>
        </w:tabs>
        <w:kinsoku/>
        <w:wordWrap/>
        <w:overflowPunct/>
        <w:topLinePunct w:val="0"/>
        <w:autoSpaceDE/>
        <w:autoSpaceDN/>
        <w:bidi w:val="0"/>
        <w:adjustRightInd/>
        <w:snapToGrid/>
        <w:spacing w:beforeAutospacing="0" w:afterAutospacing="0" w:line="360" w:lineRule="auto"/>
        <w:jc w:val="both"/>
        <w:textAlignment w:val="auto"/>
        <w:rPr>
          <w:color w:val="auto"/>
          <w:sz w:val="21"/>
          <w:szCs w:val="21"/>
          <w:highlight w:val="none"/>
        </w:rPr>
      </w:pPr>
      <w:r>
        <w:rPr>
          <w:rFonts w:ascii="Times New Roman" w:hAnsi="Times New Roman"/>
          <w:color w:val="auto"/>
          <w:sz w:val="21"/>
          <w:szCs w:val="21"/>
          <w:highlight w:val="none"/>
        </w:rPr>
        <w:t>          被授权人身份证号码：</w:t>
      </w:r>
      <w:r>
        <w:rPr>
          <w:rFonts w:ascii="Times New Roman" w:hAnsi="Times New Roman"/>
          <w:color w:val="auto"/>
          <w:sz w:val="21"/>
          <w:szCs w:val="21"/>
          <w:highlight w:val="none"/>
          <w:u w:val="single"/>
        </w:rPr>
        <w:t xml:space="preserve">                              </w:t>
      </w:r>
    </w:p>
    <w:p w14:paraId="15C3BC56">
      <w:pPr>
        <w:pStyle w:val="11"/>
        <w:pageBreakBefore w:val="0"/>
        <w:widowControl w:val="0"/>
        <w:tabs>
          <w:tab w:val="left" w:pos="360"/>
        </w:tabs>
        <w:kinsoku/>
        <w:wordWrap/>
        <w:overflowPunct/>
        <w:topLinePunct w:val="0"/>
        <w:autoSpaceDE/>
        <w:autoSpaceDN/>
        <w:bidi w:val="0"/>
        <w:adjustRightInd/>
        <w:snapToGrid/>
        <w:spacing w:beforeAutospacing="0" w:afterAutospacing="0" w:line="360" w:lineRule="auto"/>
        <w:jc w:val="both"/>
        <w:textAlignment w:val="auto"/>
        <w:rPr>
          <w:color w:val="auto"/>
          <w:sz w:val="21"/>
          <w:szCs w:val="21"/>
          <w:highlight w:val="none"/>
        </w:rPr>
      </w:pPr>
      <w:r>
        <w:rPr>
          <w:rFonts w:ascii="Times New Roman" w:hAnsi="Times New Roman"/>
          <w:color w:val="auto"/>
          <w:sz w:val="21"/>
          <w:szCs w:val="21"/>
          <w:highlight w:val="none"/>
        </w:rPr>
        <w:t>          被授权人联系电话：（手机）</w:t>
      </w:r>
      <w:r>
        <w:rPr>
          <w:rFonts w:ascii="Times New Roman" w:hAnsi="Times New Roman"/>
          <w:color w:val="auto"/>
          <w:sz w:val="21"/>
          <w:szCs w:val="21"/>
          <w:highlight w:val="none"/>
          <w:u w:val="single"/>
        </w:rPr>
        <w:t xml:space="preserve">                          </w:t>
      </w:r>
    </w:p>
    <w:p w14:paraId="5EAA9380">
      <w:pPr>
        <w:pStyle w:val="11"/>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1200"/>
        <w:jc w:val="both"/>
        <w:textAlignment w:val="auto"/>
        <w:rPr>
          <w:color w:val="auto"/>
          <w:sz w:val="21"/>
          <w:szCs w:val="21"/>
          <w:highlight w:val="none"/>
        </w:rPr>
      </w:pPr>
      <w:r>
        <w:rPr>
          <w:rFonts w:ascii="Times New Roman" w:hAnsi="Times New Roman"/>
          <w:color w:val="auto"/>
          <w:sz w:val="21"/>
          <w:szCs w:val="21"/>
          <w:highlight w:val="none"/>
        </w:rPr>
        <w:t>授权单位名称：</w:t>
      </w:r>
      <w:r>
        <w:rPr>
          <w:rFonts w:ascii="Times New Roman" w:hAnsi="Times New Roman"/>
          <w:color w:val="auto"/>
          <w:sz w:val="21"/>
          <w:szCs w:val="21"/>
          <w:highlight w:val="none"/>
          <w:u w:val="single"/>
        </w:rPr>
        <w:t>（加盖CA电子公章）</w:t>
      </w:r>
    </w:p>
    <w:p w14:paraId="208F15E9">
      <w:pPr>
        <w:pStyle w:val="11"/>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color w:val="auto"/>
          <w:sz w:val="21"/>
          <w:szCs w:val="21"/>
          <w:highlight w:val="none"/>
        </w:rPr>
      </w:pPr>
      <w:r>
        <w:rPr>
          <w:rFonts w:ascii="Times New Roman" w:hAnsi="Times New Roman"/>
          <w:color w:val="auto"/>
          <w:sz w:val="21"/>
          <w:szCs w:val="21"/>
          <w:highlight w:val="none"/>
        </w:rPr>
        <w:t>      单位地址：</w:t>
      </w:r>
      <w:r>
        <w:rPr>
          <w:rFonts w:ascii="Times New Roman" w:hAnsi="Times New Roman"/>
          <w:color w:val="auto"/>
          <w:sz w:val="21"/>
          <w:szCs w:val="21"/>
          <w:highlight w:val="none"/>
          <w:u w:val="single"/>
        </w:rPr>
        <w:t xml:space="preserve">                                         </w:t>
      </w:r>
    </w:p>
    <w:p w14:paraId="1ABE4D75">
      <w:pPr>
        <w:pStyle w:val="11"/>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color w:val="auto"/>
          <w:sz w:val="21"/>
          <w:szCs w:val="21"/>
          <w:highlight w:val="none"/>
        </w:rPr>
      </w:pPr>
      <w:r>
        <w:rPr>
          <w:rFonts w:ascii="Times New Roman" w:hAnsi="Times New Roman"/>
          <w:color w:val="auto"/>
          <w:sz w:val="21"/>
          <w:szCs w:val="21"/>
          <w:highlight w:val="none"/>
        </w:rPr>
        <w:t>      日期：</w:t>
      </w:r>
      <w:bookmarkStart w:id="181" w:name="_格式3__银行出具的资信证明"/>
      <w:bookmarkStart w:id="182" w:name="_Hlt26955070"/>
      <w:bookmarkStart w:id="183" w:name="_Hlt26671380"/>
      <w:r>
        <w:rPr>
          <w:rFonts w:ascii="Times New Roman" w:hAnsi="Times New Roman"/>
          <w:color w:val="auto"/>
          <w:sz w:val="21"/>
          <w:szCs w:val="21"/>
          <w:highlight w:val="none"/>
          <w:u w:val="single"/>
        </w:rPr>
        <w:t xml:space="preserve">                                         </w:t>
      </w:r>
    </w:p>
    <w:p w14:paraId="42465921">
      <w:pPr>
        <w:pStyle w:val="11"/>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lang w:eastAsia="zh-CN"/>
        </w:rPr>
        <w:br w:type="page"/>
      </w:r>
      <w:r>
        <w:rPr>
          <w:rFonts w:hint="eastAsia" w:ascii="黑体" w:hAnsi="宋体" w:eastAsia="黑体" w:cs="黑体"/>
          <w:b/>
          <w:bCs w:val="0"/>
          <w:i w:val="0"/>
          <w:iCs/>
          <w:color w:val="auto"/>
          <w:sz w:val="32"/>
          <w:szCs w:val="32"/>
          <w:highlight w:val="none"/>
          <w:u w:val="none"/>
          <w:lang w:eastAsia="zh-CN"/>
        </w:rPr>
        <w:t>九</w:t>
      </w:r>
      <w:r>
        <w:rPr>
          <w:rFonts w:hint="eastAsia" w:ascii="黑体" w:hAnsi="宋体" w:eastAsia="黑体" w:cs="黑体"/>
          <w:b/>
          <w:bCs w:val="0"/>
          <w:i w:val="0"/>
          <w:iCs/>
          <w:color w:val="auto"/>
          <w:sz w:val="32"/>
          <w:szCs w:val="32"/>
          <w:highlight w:val="none"/>
          <w:u w:val="none"/>
        </w:rPr>
        <w:t>、投标函</w:t>
      </w:r>
    </w:p>
    <w:p w14:paraId="11974A0B">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lang w:eastAsia="zh-CN"/>
        </w:rPr>
        <w:t>采购人</w:t>
      </w:r>
    </w:p>
    <w:p w14:paraId="4AE4A4D9">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color w:val="auto"/>
          <w:sz w:val="21"/>
          <w:szCs w:val="21"/>
          <w:highlight w:val="none"/>
        </w:rPr>
      </w:pPr>
      <w:r>
        <w:rPr>
          <w:rFonts w:hint="eastAsia" w:ascii="宋体" w:hAnsi="宋体" w:eastAsia="宋体" w:cs="宋体"/>
          <w:color w:val="auto"/>
          <w:sz w:val="21"/>
          <w:szCs w:val="21"/>
          <w:highlight w:val="none"/>
        </w:rPr>
        <w:t>根据贵方的JSZC-***</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号招标文件，正式授权下述签字人_________________(姓名)代表我方______________（投标人的名称），全权处理本次项目投标的有关事宜。</w:t>
      </w:r>
    </w:p>
    <w:p w14:paraId="63143E90">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color w:val="auto"/>
          <w:sz w:val="21"/>
          <w:szCs w:val="21"/>
          <w:highlight w:val="none"/>
        </w:rPr>
      </w:pPr>
      <w:r>
        <w:rPr>
          <w:rFonts w:hint="eastAsia" w:ascii="宋体" w:hAnsi="宋体" w:eastAsia="宋体" w:cs="宋体"/>
          <w:color w:val="auto"/>
          <w:sz w:val="21"/>
          <w:szCs w:val="21"/>
          <w:highlight w:val="none"/>
        </w:rPr>
        <w:t>据此函，__________签字人兹宣布同意如下：</w:t>
      </w:r>
    </w:p>
    <w:p w14:paraId="208D0767">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color w:val="auto"/>
          <w:sz w:val="21"/>
          <w:szCs w:val="21"/>
          <w:highlight w:val="none"/>
        </w:rPr>
      </w:pPr>
      <w:r>
        <w:rPr>
          <w:rFonts w:hint="eastAsia" w:ascii="宋体" w:hAnsi="宋体" w:eastAsia="宋体" w:cs="宋体"/>
          <w:color w:val="auto"/>
          <w:sz w:val="21"/>
          <w:szCs w:val="21"/>
          <w:highlight w:val="none"/>
        </w:rPr>
        <w:t>1.按招标文件规定的各项要求，向买方提供所需货物（包含与货物相关的服务）。</w:t>
      </w:r>
    </w:p>
    <w:p w14:paraId="6AE3C05B">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color w:val="auto"/>
          <w:sz w:val="21"/>
          <w:szCs w:val="21"/>
          <w:highlight w:val="none"/>
        </w:rPr>
      </w:pPr>
      <w:r>
        <w:rPr>
          <w:rFonts w:hint="eastAsia" w:ascii="宋体" w:hAnsi="宋体" w:eastAsia="宋体" w:cs="宋体"/>
          <w:color w:val="auto"/>
          <w:sz w:val="21"/>
          <w:szCs w:val="21"/>
          <w:highlight w:val="none"/>
        </w:rPr>
        <w:t>2.我们完全理解贵方不一定将合同授予最低报价的投标人。</w:t>
      </w:r>
    </w:p>
    <w:p w14:paraId="674E47C7">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color w:val="auto"/>
          <w:sz w:val="21"/>
          <w:szCs w:val="21"/>
          <w:highlight w:val="none"/>
        </w:rPr>
      </w:pPr>
      <w:r>
        <w:rPr>
          <w:rFonts w:hint="eastAsia" w:ascii="宋体" w:hAnsi="宋体" w:eastAsia="宋体" w:cs="宋体"/>
          <w:color w:val="auto"/>
          <w:sz w:val="21"/>
          <w:szCs w:val="21"/>
          <w:highlight w:val="none"/>
        </w:rPr>
        <w:t>3.我们已详细审核全部招标文件及其有效补充文件，我们知道必须放弃提出含糊不清或误解问题的权利。</w:t>
      </w:r>
    </w:p>
    <w:p w14:paraId="283A4DCD">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color w:val="auto"/>
          <w:sz w:val="21"/>
          <w:szCs w:val="21"/>
          <w:highlight w:val="none"/>
        </w:rPr>
      </w:pPr>
      <w:r>
        <w:rPr>
          <w:rFonts w:hint="eastAsia" w:ascii="宋体" w:hAnsi="宋体" w:eastAsia="宋体" w:cs="宋体"/>
          <w:color w:val="auto"/>
          <w:sz w:val="21"/>
          <w:szCs w:val="21"/>
          <w:highlight w:val="none"/>
        </w:rPr>
        <w:t>4.我们同意从规定的开标日期起遵循本投标文件，并在规定的投标有效期期满之前均具有约束力。</w:t>
      </w:r>
    </w:p>
    <w:p w14:paraId="6D012F91">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color w:val="auto"/>
          <w:sz w:val="21"/>
          <w:szCs w:val="21"/>
          <w:highlight w:val="none"/>
        </w:rPr>
      </w:pPr>
      <w:r>
        <w:rPr>
          <w:rFonts w:hint="eastAsia" w:ascii="宋体" w:hAnsi="宋体" w:eastAsia="宋体" w:cs="宋体"/>
          <w:color w:val="auto"/>
          <w:sz w:val="21"/>
          <w:szCs w:val="21"/>
          <w:highlight w:val="none"/>
        </w:rPr>
        <w:t>5.同意向贵方提供贵方可能另外要求的与投标有关的任何证据或资料，并保证我方已提供和将要提供的文件是真实的、准确的。</w:t>
      </w:r>
    </w:p>
    <w:p w14:paraId="6E55D021">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color w:val="auto"/>
          <w:sz w:val="21"/>
          <w:szCs w:val="21"/>
          <w:highlight w:val="none"/>
        </w:rPr>
      </w:pPr>
      <w:r>
        <w:rPr>
          <w:rFonts w:hint="eastAsia" w:ascii="宋体" w:hAnsi="宋体" w:eastAsia="宋体" w:cs="宋体"/>
          <w:color w:val="auto"/>
          <w:sz w:val="21"/>
          <w:szCs w:val="21"/>
          <w:highlight w:val="none"/>
        </w:rPr>
        <w:t>6.一旦我方中标,我方将根据招标文件的规定，严格履行合同的责任和义务,并保证在招标文件规定的时间完成项目，交付买方验收、使用。</w:t>
      </w:r>
    </w:p>
    <w:p w14:paraId="70E91395">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5"/>
        <w:textAlignment w:val="auto"/>
        <w:rPr>
          <w:color w:val="auto"/>
          <w:sz w:val="21"/>
          <w:szCs w:val="21"/>
          <w:highlight w:val="none"/>
        </w:rPr>
      </w:pPr>
      <w:r>
        <w:rPr>
          <w:rFonts w:hint="eastAsia" w:ascii="宋体" w:hAnsi="宋体" w:eastAsia="宋体" w:cs="宋体"/>
          <w:color w:val="auto"/>
          <w:sz w:val="21"/>
          <w:szCs w:val="21"/>
          <w:highlight w:val="none"/>
        </w:rPr>
        <w:t>7.与本投标有关的正式通讯地址为：</w:t>
      </w:r>
    </w:p>
    <w:p w14:paraId="3EF35FFD">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color w:val="auto"/>
          <w:sz w:val="21"/>
          <w:szCs w:val="21"/>
          <w:highlight w:val="none"/>
        </w:rPr>
      </w:pPr>
      <w:r>
        <w:rPr>
          <w:rFonts w:hint="eastAsia" w:ascii="宋体" w:hAnsi="宋体" w:eastAsia="宋体" w:cs="宋体"/>
          <w:color w:val="auto"/>
          <w:sz w:val="21"/>
          <w:szCs w:val="21"/>
          <w:highlight w:val="none"/>
        </w:rPr>
        <w:t>地          址：</w:t>
      </w:r>
    </w:p>
    <w:p w14:paraId="0ABCF285">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color w:val="auto"/>
          <w:sz w:val="21"/>
          <w:szCs w:val="21"/>
          <w:highlight w:val="none"/>
        </w:rPr>
      </w:pPr>
      <w:r>
        <w:rPr>
          <w:rFonts w:hint="eastAsia" w:ascii="宋体" w:hAnsi="宋体" w:eastAsia="宋体" w:cs="宋体"/>
          <w:color w:val="auto"/>
          <w:sz w:val="21"/>
          <w:szCs w:val="21"/>
          <w:highlight w:val="none"/>
        </w:rPr>
        <w:t>邮          编：</w:t>
      </w:r>
    </w:p>
    <w:p w14:paraId="321F11A4">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color w:val="auto"/>
          <w:sz w:val="21"/>
          <w:szCs w:val="21"/>
          <w:highlight w:val="none"/>
        </w:rPr>
      </w:pPr>
      <w:r>
        <w:rPr>
          <w:rFonts w:hint="eastAsia" w:ascii="宋体" w:hAnsi="宋体" w:eastAsia="宋体" w:cs="宋体"/>
          <w:color w:val="auto"/>
          <w:sz w:val="21"/>
          <w:szCs w:val="21"/>
          <w:highlight w:val="none"/>
        </w:rPr>
        <w:t>电          话：</w:t>
      </w:r>
    </w:p>
    <w:p w14:paraId="11BBD12B">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color w:val="auto"/>
          <w:sz w:val="21"/>
          <w:szCs w:val="21"/>
          <w:highlight w:val="none"/>
        </w:rPr>
      </w:pPr>
      <w:r>
        <w:rPr>
          <w:rFonts w:hint="eastAsia" w:ascii="宋体" w:hAnsi="宋体" w:eastAsia="宋体" w:cs="宋体"/>
          <w:color w:val="auto"/>
          <w:sz w:val="21"/>
          <w:szCs w:val="21"/>
          <w:highlight w:val="none"/>
        </w:rPr>
        <w:t>传          真：</w:t>
      </w:r>
    </w:p>
    <w:p w14:paraId="7530FB6D">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color w:val="auto"/>
          <w:sz w:val="21"/>
          <w:szCs w:val="21"/>
          <w:highlight w:val="none"/>
        </w:rPr>
      </w:pPr>
      <w:r>
        <w:rPr>
          <w:rFonts w:hint="eastAsia" w:ascii="宋体" w:hAnsi="宋体" w:eastAsia="宋体" w:cs="宋体"/>
          <w:color w:val="auto"/>
          <w:sz w:val="21"/>
          <w:szCs w:val="21"/>
          <w:highlight w:val="none"/>
        </w:rPr>
        <w:t>投标人开户行：</w:t>
      </w:r>
    </w:p>
    <w:p w14:paraId="45C5F35C">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color w:val="auto"/>
          <w:sz w:val="21"/>
          <w:szCs w:val="21"/>
          <w:highlight w:val="none"/>
        </w:rPr>
      </w:pPr>
      <w:r>
        <w:rPr>
          <w:rFonts w:hint="eastAsia" w:ascii="宋体" w:hAnsi="宋体" w:eastAsia="宋体" w:cs="宋体"/>
          <w:color w:val="auto"/>
          <w:sz w:val="21"/>
          <w:szCs w:val="21"/>
          <w:highlight w:val="none"/>
        </w:rPr>
        <w:t xml:space="preserve">账          号： </w:t>
      </w:r>
    </w:p>
    <w:p w14:paraId="359939A7">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color w:val="auto"/>
          <w:sz w:val="21"/>
          <w:szCs w:val="21"/>
          <w:highlight w:val="none"/>
        </w:rPr>
      </w:pPr>
      <w:r>
        <w:rPr>
          <w:rFonts w:hint="eastAsia" w:ascii="宋体" w:hAnsi="宋体" w:eastAsia="宋体" w:cs="宋体"/>
          <w:color w:val="auto"/>
          <w:sz w:val="21"/>
          <w:szCs w:val="21"/>
          <w:highlight w:val="none"/>
        </w:rPr>
        <w:t>日    期：________年____月____日</w:t>
      </w:r>
    </w:p>
    <w:p w14:paraId="242118EF">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jc w:val="center"/>
        <w:textAlignment w:val="auto"/>
        <w:rPr>
          <w:color w:val="auto"/>
          <w:sz w:val="21"/>
          <w:szCs w:val="21"/>
          <w:highlight w:val="none"/>
        </w:rPr>
      </w:pPr>
      <w:r>
        <w:rPr>
          <w:color w:val="auto"/>
          <w:sz w:val="21"/>
          <w:szCs w:val="21"/>
          <w:highlight w:val="none"/>
        </w:rPr>
        <w:t> </w:t>
      </w:r>
    </w:p>
    <w:p w14:paraId="5FF63AF8">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jc w:val="center"/>
        <w:textAlignment w:val="auto"/>
        <w:rPr>
          <w:color w:val="auto"/>
          <w:sz w:val="21"/>
          <w:szCs w:val="21"/>
          <w:highlight w:val="none"/>
        </w:rPr>
      </w:pPr>
      <w:r>
        <w:rPr>
          <w:color w:val="auto"/>
          <w:sz w:val="21"/>
          <w:szCs w:val="21"/>
          <w:highlight w:val="none"/>
        </w:rPr>
        <w:t> </w:t>
      </w:r>
    </w:p>
    <w:p w14:paraId="09AF5CA3">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jc w:val="center"/>
        <w:textAlignment w:val="auto"/>
        <w:rPr>
          <w:color w:val="auto"/>
          <w:sz w:val="21"/>
          <w:szCs w:val="21"/>
          <w:highlight w:val="none"/>
        </w:rPr>
      </w:pPr>
      <w:r>
        <w:rPr>
          <w:color w:val="auto"/>
          <w:sz w:val="21"/>
          <w:szCs w:val="21"/>
          <w:highlight w:val="none"/>
        </w:rPr>
        <w:t> </w:t>
      </w:r>
    </w:p>
    <w:p w14:paraId="69D6B82F">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jc w:val="center"/>
        <w:textAlignment w:val="auto"/>
        <w:rPr>
          <w:color w:val="auto"/>
          <w:highlight w:val="none"/>
        </w:rPr>
      </w:pPr>
      <w:r>
        <w:rPr>
          <w:color w:val="auto"/>
          <w:sz w:val="21"/>
          <w:szCs w:val="21"/>
          <w:highlight w:val="none"/>
        </w:rPr>
        <w:t> </w:t>
      </w:r>
      <w:r>
        <w:rPr>
          <w:color w:val="auto"/>
          <w:highlight w:val="none"/>
        </w:rPr>
        <w:t> </w:t>
      </w:r>
    </w:p>
    <w:p w14:paraId="1F90BAD2">
      <w:pPr>
        <w:pStyle w:val="11"/>
        <w:spacing w:beforeAutospacing="0" w:afterAutospacing="0" w:line="0" w:lineRule="atLeast"/>
        <w:jc w:val="center"/>
        <w:rPr>
          <w:rFonts w:hint="eastAsia" w:ascii="黑体" w:hAnsi="宋体" w:eastAsia="黑体" w:cs="黑体"/>
          <w:b/>
          <w:color w:val="auto"/>
          <w:sz w:val="32"/>
          <w:szCs w:val="32"/>
          <w:highlight w:val="none"/>
          <w:lang w:eastAsia="zh-CN"/>
        </w:rPr>
      </w:pPr>
    </w:p>
    <w:p w14:paraId="7D0C37B7">
      <w:pPr>
        <w:pStyle w:val="11"/>
        <w:spacing w:beforeAutospacing="0" w:afterAutospacing="0" w:line="0" w:lineRule="atLeast"/>
        <w:jc w:val="center"/>
        <w:rPr>
          <w:rFonts w:hint="eastAsia" w:ascii="黑体" w:hAnsi="宋体" w:eastAsia="黑体" w:cs="黑体"/>
          <w:b/>
          <w:color w:val="auto"/>
          <w:sz w:val="32"/>
          <w:szCs w:val="32"/>
          <w:highlight w:val="none"/>
          <w:lang w:eastAsia="zh-CN"/>
        </w:rPr>
      </w:pPr>
    </w:p>
    <w:p w14:paraId="76E9D5C9">
      <w:pPr>
        <w:pStyle w:val="11"/>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lang w:eastAsia="zh-CN"/>
        </w:rPr>
        <w:t>十</w:t>
      </w:r>
      <w:r>
        <w:rPr>
          <w:rFonts w:hint="eastAsia" w:ascii="黑体" w:hAnsi="宋体" w:eastAsia="黑体" w:cs="黑体"/>
          <w:b/>
          <w:color w:val="auto"/>
          <w:sz w:val="32"/>
          <w:szCs w:val="32"/>
          <w:highlight w:val="none"/>
        </w:rPr>
        <w:t>、</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eastAsia="zh-CN"/>
        </w:rPr>
        <w:t>服务</w:t>
      </w:r>
      <w:r>
        <w:rPr>
          <w:rFonts w:hint="eastAsia" w:ascii="黑体" w:hAnsi="宋体" w:eastAsia="黑体" w:cs="黑体"/>
          <w:b/>
          <w:color w:val="auto"/>
          <w:sz w:val="32"/>
          <w:szCs w:val="32"/>
          <w:highlight w:val="none"/>
        </w:rPr>
        <w:t>）（分包号：**）</w:t>
      </w:r>
    </w:p>
    <w:p w14:paraId="1ACFA6E2">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5"/>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5"/>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11"/>
        <w:spacing w:beforeAutospacing="0" w:afterAutospacing="0" w:line="0" w:lineRule="atLeast"/>
        <w:ind w:right="720"/>
        <w:jc w:val="both"/>
        <w:rPr>
          <w:color w:val="auto"/>
          <w:highlight w:val="none"/>
        </w:rPr>
      </w:pPr>
      <w:r>
        <w:rPr>
          <w:color w:val="auto"/>
          <w:highlight w:val="none"/>
        </w:rPr>
        <w:t> </w:t>
      </w:r>
    </w:p>
    <w:p w14:paraId="6CD49601">
      <w:pPr>
        <w:pStyle w:val="11"/>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11"/>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11"/>
        <w:spacing w:beforeAutospacing="0" w:afterAutospacing="0" w:line="0" w:lineRule="atLeast"/>
        <w:ind w:firstLine="240"/>
        <w:jc w:val="both"/>
        <w:rPr>
          <w:color w:val="auto"/>
          <w:highlight w:val="none"/>
        </w:rPr>
      </w:pPr>
      <w:r>
        <w:rPr>
          <w:color w:val="auto"/>
          <w:highlight w:val="none"/>
        </w:rPr>
        <w:t> </w:t>
      </w:r>
    </w:p>
    <w:p w14:paraId="5FD8B9FE">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716C7EB8">
      <w:pPr>
        <w:pStyle w:val="11"/>
        <w:widowControl w:val="0"/>
        <w:spacing w:before="0" w:beforeAutospacing="0" w:after="0" w:afterAutospacing="0" w:line="360" w:lineRule="auto"/>
        <w:ind w:firstLine="480"/>
        <w:jc w:val="both"/>
        <w:rPr>
          <w:color w:val="auto"/>
          <w:sz w:val="21"/>
          <w:szCs w:val="21"/>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059B8A0F">
      <w:pPr>
        <w:pStyle w:val="11"/>
        <w:spacing w:beforeAutospacing="0" w:afterAutospacing="0" w:line="0" w:lineRule="atLeast"/>
        <w:jc w:val="center"/>
        <w:rPr>
          <w:rFonts w:hint="eastAsia" w:ascii="黑体" w:hAnsi="宋体" w:eastAsia="黑体" w:cs="黑体"/>
          <w:b/>
          <w:color w:val="auto"/>
          <w:sz w:val="21"/>
          <w:szCs w:val="21"/>
          <w:highlight w:val="none"/>
        </w:rPr>
      </w:pPr>
    </w:p>
    <w:p w14:paraId="731E1104">
      <w:pPr>
        <w:pStyle w:val="11"/>
        <w:spacing w:beforeAutospacing="0" w:afterAutospacing="0" w:line="0" w:lineRule="atLeast"/>
        <w:jc w:val="center"/>
        <w:rPr>
          <w:rFonts w:hint="eastAsia" w:ascii="黑体" w:hAnsi="宋体" w:eastAsia="黑体" w:cs="黑体"/>
          <w:b/>
          <w:color w:val="auto"/>
          <w:sz w:val="32"/>
          <w:szCs w:val="32"/>
          <w:highlight w:val="none"/>
        </w:rPr>
      </w:pPr>
    </w:p>
    <w:p w14:paraId="0A341F0B">
      <w:pPr>
        <w:pStyle w:val="11"/>
        <w:spacing w:beforeAutospacing="0" w:afterAutospacing="0" w:line="0" w:lineRule="atLeast"/>
        <w:jc w:val="center"/>
        <w:rPr>
          <w:rFonts w:hint="eastAsia" w:ascii="黑体" w:hAnsi="宋体" w:eastAsia="黑体" w:cs="黑体"/>
          <w:b/>
          <w:color w:val="auto"/>
          <w:sz w:val="32"/>
          <w:szCs w:val="32"/>
          <w:highlight w:val="none"/>
        </w:rPr>
      </w:pPr>
    </w:p>
    <w:p w14:paraId="15D8A054">
      <w:pPr>
        <w:pStyle w:val="11"/>
        <w:spacing w:beforeAutospacing="0" w:afterAutospacing="0" w:line="0" w:lineRule="atLeast"/>
        <w:jc w:val="center"/>
        <w:rPr>
          <w:rFonts w:hint="eastAsia" w:ascii="黑体" w:hAnsi="宋体" w:eastAsia="黑体" w:cs="黑体"/>
          <w:b/>
          <w:color w:val="auto"/>
          <w:sz w:val="32"/>
          <w:szCs w:val="32"/>
          <w:highlight w:val="none"/>
        </w:rPr>
      </w:pPr>
    </w:p>
    <w:p w14:paraId="10A65B89">
      <w:pPr>
        <w:pStyle w:val="11"/>
        <w:spacing w:beforeAutospacing="0" w:afterAutospacing="0" w:line="0" w:lineRule="atLeast"/>
        <w:jc w:val="center"/>
        <w:rPr>
          <w:rFonts w:hint="eastAsia" w:ascii="黑体" w:hAnsi="宋体" w:eastAsia="黑体" w:cs="黑体"/>
          <w:b/>
          <w:color w:val="auto"/>
          <w:sz w:val="32"/>
          <w:szCs w:val="32"/>
          <w:highlight w:val="none"/>
        </w:rPr>
      </w:pPr>
    </w:p>
    <w:p w14:paraId="5E0DB0FF">
      <w:pPr>
        <w:pStyle w:val="11"/>
        <w:spacing w:beforeAutospacing="0" w:afterAutospacing="0" w:line="0" w:lineRule="atLeast"/>
        <w:jc w:val="center"/>
        <w:rPr>
          <w:rFonts w:hint="eastAsia" w:ascii="黑体" w:hAnsi="宋体" w:eastAsia="黑体" w:cs="黑体"/>
          <w:b/>
          <w:color w:val="auto"/>
          <w:sz w:val="32"/>
          <w:szCs w:val="32"/>
          <w:highlight w:val="none"/>
        </w:rPr>
      </w:pPr>
    </w:p>
    <w:p w14:paraId="141E949A">
      <w:pPr>
        <w:pStyle w:val="11"/>
        <w:spacing w:beforeAutospacing="0" w:afterAutospacing="0" w:line="0" w:lineRule="atLeast"/>
        <w:jc w:val="center"/>
        <w:rPr>
          <w:rFonts w:hint="eastAsia" w:ascii="黑体" w:hAnsi="宋体" w:eastAsia="黑体" w:cs="黑体"/>
          <w:b/>
          <w:color w:val="auto"/>
          <w:sz w:val="32"/>
          <w:szCs w:val="32"/>
          <w:highlight w:val="none"/>
        </w:rPr>
      </w:pPr>
    </w:p>
    <w:p w14:paraId="48D25788">
      <w:pPr>
        <w:pStyle w:val="11"/>
        <w:spacing w:beforeAutospacing="0" w:afterAutospacing="0" w:line="0" w:lineRule="atLeast"/>
        <w:jc w:val="center"/>
        <w:rPr>
          <w:rFonts w:hint="eastAsia" w:ascii="黑体" w:hAnsi="宋体" w:eastAsia="黑体" w:cs="黑体"/>
          <w:b/>
          <w:color w:val="auto"/>
          <w:sz w:val="32"/>
          <w:szCs w:val="32"/>
          <w:highlight w:val="none"/>
        </w:rPr>
      </w:pPr>
    </w:p>
    <w:p w14:paraId="46289143">
      <w:pPr>
        <w:pStyle w:val="11"/>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eastAsia="zh-CN"/>
        </w:rPr>
        <w:t>一</w:t>
      </w:r>
      <w:r>
        <w:rPr>
          <w:rFonts w:hint="eastAsia" w:ascii="黑体" w:hAnsi="宋体" w:eastAsia="黑体" w:cs="黑体"/>
          <w:b/>
          <w:color w:val="auto"/>
          <w:sz w:val="32"/>
          <w:szCs w:val="32"/>
          <w:highlight w:val="none"/>
        </w:rPr>
        <w:t>、残疾人福利性单位声明函（分包号：**）</w:t>
      </w:r>
    </w:p>
    <w:p w14:paraId="7B41EFB3">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lang w:eastAsia="zh-CN"/>
        </w:rPr>
        <w:t>〔2017〕141号</w:t>
      </w:r>
      <w:r>
        <w:rPr>
          <w:rFonts w:hint="eastAsia" w:ascii="宋体" w:hAnsi="宋体" w:eastAsia="宋体" w:cs="宋体"/>
          <w:color w:val="auto"/>
          <w:sz w:val="21"/>
          <w:szCs w:val="21"/>
          <w:highlight w:val="none"/>
        </w:rPr>
        <w:t>）的规定，本单位为符合条件的残疾人福利性单位，且本单位参加______单位的采购文件编号为______的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项目（分包号：**）采购活动提供本单位制造的货物，或者提供其他残疾人福利性单位制造的货物（不包括使用非残疾人福利性单位注册商标的货物）。</w:t>
      </w:r>
    </w:p>
    <w:p w14:paraId="513C51D7">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3C2317A8">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备注：1、供应商如不提供此声明函，价格将不做相应扣除</w:t>
      </w:r>
      <w:r>
        <w:rPr>
          <w:rFonts w:hint="eastAsia" w:ascii="宋体" w:hAnsi="宋体" w:eastAsia="宋体" w:cs="宋体"/>
          <w:color w:val="auto"/>
          <w:sz w:val="21"/>
          <w:szCs w:val="21"/>
          <w:highlight w:val="none"/>
          <w:lang w:eastAsia="zh-CN"/>
        </w:rPr>
        <w:t>（如项目全面面向中小企业，则资格审查不通过）</w:t>
      </w:r>
      <w:r>
        <w:rPr>
          <w:rFonts w:hint="eastAsia" w:ascii="宋体" w:hAnsi="宋体" w:eastAsia="宋体" w:cs="宋体"/>
          <w:color w:val="auto"/>
          <w:sz w:val="21"/>
          <w:szCs w:val="21"/>
          <w:highlight w:val="none"/>
        </w:rPr>
        <w:t>。2、中标供应商为残疾人福利单位的，此声明函将随中标结果同时公告，接受社会监督</w:t>
      </w:r>
      <w:r>
        <w:rPr>
          <w:rFonts w:hint="eastAsia" w:ascii="宋体" w:hAnsi="宋体" w:eastAsia="宋体" w:cs="宋体"/>
          <w:color w:val="auto"/>
          <w:sz w:val="21"/>
          <w:szCs w:val="21"/>
          <w:highlight w:val="none"/>
          <w:lang w:eastAsia="zh-CN"/>
        </w:rPr>
        <w:t>。</w:t>
      </w:r>
    </w:p>
    <w:p w14:paraId="626039F8">
      <w:pPr>
        <w:pStyle w:val="11"/>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360" w:lineRule="auto"/>
        <w:ind w:right="1560" w:firstLine="624"/>
        <w:jc w:val="center"/>
        <w:textAlignment w:val="auto"/>
        <w:rPr>
          <w:color w:val="auto"/>
          <w:sz w:val="21"/>
          <w:szCs w:val="21"/>
          <w:highlight w:val="none"/>
        </w:rPr>
      </w:pPr>
      <w:r>
        <w:rPr>
          <w:rFonts w:ascii="仿宋_GB2312" w:eastAsia="仿宋_GB2312" w:cs="仿宋_GB2312"/>
          <w:color w:val="auto"/>
          <w:sz w:val="21"/>
          <w:szCs w:val="21"/>
          <w:highlight w:val="none"/>
        </w:rPr>
        <w:t xml:space="preserve">             </w:t>
      </w:r>
      <w:r>
        <w:rPr>
          <w:rFonts w:hint="eastAsia" w:ascii="宋体" w:hAnsi="宋体" w:eastAsia="宋体" w:cs="宋体"/>
          <w:color w:val="auto"/>
          <w:sz w:val="21"/>
          <w:szCs w:val="21"/>
          <w:highlight w:val="none"/>
        </w:rPr>
        <w:t>          供应商全称（加盖CA电子公章）：</w:t>
      </w:r>
    </w:p>
    <w:p w14:paraId="4F09B48A">
      <w:pPr>
        <w:pStyle w:val="11"/>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360" w:lineRule="auto"/>
        <w:ind w:right="1560" w:firstLine="480"/>
        <w:jc w:val="center"/>
        <w:textAlignment w:val="auto"/>
        <w:rPr>
          <w:color w:val="auto"/>
          <w:sz w:val="21"/>
          <w:szCs w:val="21"/>
          <w:highlight w:val="none"/>
        </w:rPr>
      </w:pPr>
      <w:r>
        <w:rPr>
          <w:rFonts w:hint="eastAsia" w:ascii="宋体" w:hAnsi="宋体" w:eastAsia="宋体" w:cs="宋体"/>
          <w:color w:val="auto"/>
          <w:sz w:val="21"/>
          <w:szCs w:val="21"/>
          <w:highlight w:val="none"/>
        </w:rPr>
        <w:t>        日 期：</w:t>
      </w:r>
    </w:p>
    <w:p w14:paraId="6095EC64">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color w:val="auto"/>
          <w:sz w:val="21"/>
          <w:szCs w:val="21"/>
          <w:highlight w:val="none"/>
        </w:rPr>
      </w:pPr>
      <w:r>
        <w:rPr>
          <w:color w:val="auto"/>
          <w:sz w:val="21"/>
          <w:szCs w:val="21"/>
          <w:highlight w:val="none"/>
        </w:rPr>
        <w:t> </w:t>
      </w:r>
    </w:p>
    <w:p w14:paraId="67480088">
      <w:pPr>
        <w:pStyle w:val="11"/>
        <w:spacing w:beforeAutospacing="0" w:afterAutospacing="0" w:line="0" w:lineRule="atLeast"/>
        <w:jc w:val="center"/>
        <w:rPr>
          <w:color w:val="auto"/>
          <w:highlight w:val="none"/>
        </w:rPr>
      </w:pPr>
      <w:r>
        <w:rPr>
          <w:color w:val="auto"/>
          <w:highlight w:val="none"/>
        </w:rPr>
        <w:t> </w:t>
      </w:r>
    </w:p>
    <w:p w14:paraId="16D7708B">
      <w:pPr>
        <w:pStyle w:val="11"/>
        <w:spacing w:beforeAutospacing="0" w:afterAutospacing="0" w:line="0" w:lineRule="atLeast"/>
        <w:jc w:val="center"/>
        <w:rPr>
          <w:color w:val="auto"/>
          <w:highlight w:val="none"/>
        </w:rPr>
      </w:pPr>
      <w:r>
        <w:rPr>
          <w:color w:val="auto"/>
          <w:highlight w:val="none"/>
        </w:rPr>
        <w:t> </w:t>
      </w:r>
    </w:p>
    <w:p w14:paraId="37A39D5D">
      <w:pPr>
        <w:pStyle w:val="11"/>
        <w:spacing w:beforeAutospacing="0" w:afterAutospacing="0" w:line="0" w:lineRule="atLeast"/>
        <w:jc w:val="center"/>
        <w:rPr>
          <w:color w:val="auto"/>
          <w:highlight w:val="none"/>
        </w:rPr>
      </w:pPr>
      <w:r>
        <w:rPr>
          <w:color w:val="auto"/>
          <w:highlight w:val="none"/>
        </w:rPr>
        <w:t> </w:t>
      </w:r>
    </w:p>
    <w:p w14:paraId="4BC37A6F">
      <w:pPr>
        <w:pStyle w:val="11"/>
        <w:spacing w:beforeAutospacing="0" w:afterAutospacing="0" w:line="0" w:lineRule="atLeast"/>
        <w:jc w:val="center"/>
        <w:rPr>
          <w:color w:val="auto"/>
          <w:highlight w:val="none"/>
        </w:rPr>
      </w:pPr>
      <w:r>
        <w:rPr>
          <w:color w:val="auto"/>
          <w:highlight w:val="none"/>
        </w:rPr>
        <w:t> </w:t>
      </w:r>
    </w:p>
    <w:p w14:paraId="5CC4CBFF">
      <w:pPr>
        <w:pStyle w:val="11"/>
        <w:spacing w:beforeAutospacing="0" w:afterAutospacing="0" w:line="0" w:lineRule="atLeast"/>
        <w:jc w:val="center"/>
        <w:rPr>
          <w:color w:val="auto"/>
          <w:highlight w:val="none"/>
        </w:rPr>
      </w:pPr>
      <w:r>
        <w:rPr>
          <w:color w:val="auto"/>
          <w:highlight w:val="none"/>
        </w:rPr>
        <w:t> </w:t>
      </w:r>
    </w:p>
    <w:p w14:paraId="7599688C">
      <w:pPr>
        <w:pStyle w:val="11"/>
        <w:spacing w:beforeAutospacing="0" w:afterAutospacing="0" w:line="0" w:lineRule="atLeast"/>
        <w:jc w:val="center"/>
        <w:rPr>
          <w:color w:val="auto"/>
          <w:highlight w:val="none"/>
        </w:rPr>
      </w:pPr>
      <w:r>
        <w:rPr>
          <w:color w:val="auto"/>
          <w:highlight w:val="none"/>
        </w:rPr>
        <w:t> </w:t>
      </w:r>
    </w:p>
    <w:p w14:paraId="4C81E594">
      <w:pPr>
        <w:pStyle w:val="11"/>
        <w:spacing w:beforeAutospacing="0" w:afterAutospacing="0" w:line="0" w:lineRule="atLeast"/>
        <w:jc w:val="center"/>
        <w:rPr>
          <w:color w:val="auto"/>
          <w:highlight w:val="none"/>
        </w:rPr>
      </w:pPr>
      <w:r>
        <w:rPr>
          <w:color w:val="auto"/>
          <w:highlight w:val="none"/>
        </w:rPr>
        <w:t> </w:t>
      </w:r>
    </w:p>
    <w:p w14:paraId="2CCFA17F">
      <w:pPr>
        <w:rPr>
          <w:rFonts w:hint="eastAsia" w:asciiTheme="minorEastAsia" w:hAnsiTheme="minorEastAsia" w:eastAsiaTheme="minorEastAsia" w:cstheme="minorEastAsia"/>
          <w:b/>
          <w:bCs/>
          <w:color w:val="auto"/>
          <w:sz w:val="24"/>
          <w:szCs w:val="24"/>
        </w:rPr>
      </w:pPr>
      <w:r>
        <w:rPr>
          <w:color w:val="auto"/>
          <w:spacing w:val="27"/>
          <w:sz w:val="39"/>
          <w:szCs w:val="39"/>
        </w:rPr>
        <w:br w:type="page"/>
      </w:r>
    </w:p>
    <w:p w14:paraId="434CB774">
      <w:pPr>
        <w:pStyle w:val="11"/>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eastAsia="zh-CN"/>
        </w:rPr>
        <w:t>二</w:t>
      </w:r>
      <w:r>
        <w:rPr>
          <w:rFonts w:hint="eastAsia" w:ascii="黑体" w:hAnsi="宋体" w:eastAsia="黑体" w:cs="黑体"/>
          <w:b/>
          <w:color w:val="auto"/>
          <w:sz w:val="32"/>
          <w:szCs w:val="32"/>
          <w:highlight w:val="none"/>
        </w:rPr>
        <w:t>、联合体协议（参考格式）（分包号：**）</w:t>
      </w:r>
    </w:p>
    <w:p w14:paraId="7C3ACB48">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color w:val="auto"/>
          <w:sz w:val="21"/>
          <w:szCs w:val="21"/>
          <w:highlight w:val="none"/>
        </w:rPr>
      </w:pPr>
      <w:r>
        <w:rPr>
          <w:rFonts w:hint="eastAsia" w:ascii="宋体" w:hAnsi="宋体" w:eastAsia="宋体" w:cs="宋体"/>
          <w:color w:val="auto"/>
          <w:sz w:val="21"/>
          <w:szCs w:val="21"/>
          <w:highlight w:val="none"/>
        </w:rPr>
        <w:t>（联合体中各供应商全称）在此达成以下协议：</w:t>
      </w:r>
    </w:p>
    <w:p w14:paraId="7B3635D9">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645"/>
        <w:jc w:val="both"/>
        <w:textAlignment w:val="auto"/>
        <w:rPr>
          <w:color w:val="auto"/>
          <w:sz w:val="21"/>
          <w:szCs w:val="21"/>
          <w:highlight w:val="none"/>
        </w:rPr>
      </w:pPr>
      <w:r>
        <w:rPr>
          <w:rFonts w:hint="eastAsia" w:ascii="宋体" w:hAnsi="宋体" w:eastAsia="宋体" w:cs="宋体"/>
          <w:color w:val="auto"/>
          <w:sz w:val="21"/>
          <w:szCs w:val="21"/>
          <w:highlight w:val="none"/>
        </w:rPr>
        <w:t>1、我们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自愿组成联合体，参加盐城市政府</w:t>
      </w:r>
      <w:r>
        <w:rPr>
          <w:rFonts w:hint="eastAsia" w:ascii="宋体" w:hAnsi="宋体" w:eastAsia="宋体" w:cs="宋体"/>
          <w:color w:val="auto"/>
          <w:sz w:val="21"/>
          <w:szCs w:val="21"/>
          <w:highlight w:val="none"/>
          <w:lang w:eastAsia="zh-CN"/>
        </w:rPr>
        <w:t>代理机构</w:t>
      </w:r>
      <w:r>
        <w:rPr>
          <w:rFonts w:hint="eastAsia" w:ascii="宋体" w:hAnsi="宋体" w:eastAsia="宋体" w:cs="宋体"/>
          <w:color w:val="auto"/>
          <w:sz w:val="21"/>
          <w:szCs w:val="21"/>
          <w:highlight w:val="none"/>
        </w:rPr>
        <w:t>组织的采购编号为</w:t>
      </w:r>
      <w:r>
        <w:rPr>
          <w:rFonts w:hint="eastAsia" w:ascii="宋体" w:hAnsi="宋体" w:eastAsia="宋体" w:cs="宋体"/>
          <w:color w:val="auto"/>
          <w:sz w:val="21"/>
          <w:szCs w:val="21"/>
          <w:highlight w:val="none"/>
          <w:u w:val="single"/>
        </w:rPr>
        <w:t>（编号全称），（项目全称）</w:t>
      </w:r>
      <w:r>
        <w:rPr>
          <w:rFonts w:hint="eastAsia" w:ascii="宋体" w:hAnsi="宋体" w:eastAsia="宋体" w:cs="宋体"/>
          <w:color w:val="auto"/>
          <w:sz w:val="21"/>
          <w:szCs w:val="21"/>
          <w:highlight w:val="none"/>
        </w:rPr>
        <w:t>项目（分包号：**）的政府采购活动，我联合体指定</w:t>
      </w:r>
      <w:r>
        <w:rPr>
          <w:rFonts w:hint="eastAsia" w:ascii="宋体" w:hAnsi="宋体" w:eastAsia="宋体" w:cs="宋体"/>
          <w:color w:val="auto"/>
          <w:sz w:val="21"/>
          <w:szCs w:val="21"/>
          <w:highlight w:val="none"/>
          <w:u w:val="single"/>
        </w:rPr>
        <w:t>（供应商*）</w:t>
      </w:r>
      <w:r>
        <w:rPr>
          <w:rFonts w:hint="eastAsia" w:ascii="宋体" w:hAnsi="宋体" w:eastAsia="宋体" w:cs="宋体"/>
          <w:color w:val="auto"/>
          <w:sz w:val="21"/>
          <w:szCs w:val="21"/>
          <w:highlight w:val="none"/>
        </w:rPr>
        <w:t>为牵头单位（牵头单位必须为联合体成员）。</w:t>
      </w:r>
    </w:p>
    <w:p w14:paraId="4CB7F364">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645"/>
        <w:jc w:val="both"/>
        <w:textAlignment w:val="auto"/>
        <w:rPr>
          <w:color w:val="auto"/>
          <w:sz w:val="21"/>
          <w:szCs w:val="21"/>
          <w:highlight w:val="none"/>
        </w:rPr>
      </w:pPr>
      <w:r>
        <w:rPr>
          <w:rFonts w:hint="eastAsia" w:ascii="宋体" w:hAnsi="宋体" w:eastAsia="宋体" w:cs="宋体"/>
          <w:color w:val="auto"/>
          <w:sz w:val="21"/>
          <w:szCs w:val="21"/>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50FF6709">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645"/>
        <w:jc w:val="both"/>
        <w:textAlignment w:val="auto"/>
        <w:rPr>
          <w:color w:val="auto"/>
          <w:sz w:val="21"/>
          <w:szCs w:val="21"/>
          <w:highlight w:val="none"/>
        </w:rPr>
      </w:pPr>
      <w:r>
        <w:rPr>
          <w:rFonts w:hint="eastAsia" w:ascii="宋体" w:hAnsi="宋体" w:eastAsia="宋体" w:cs="宋体"/>
          <w:color w:val="auto"/>
          <w:sz w:val="21"/>
          <w:szCs w:val="21"/>
          <w:highlight w:val="none"/>
        </w:rPr>
        <w:t>3、其中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E96EAD5">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645"/>
        <w:jc w:val="both"/>
        <w:textAlignment w:val="auto"/>
        <w:rPr>
          <w:color w:val="auto"/>
          <w:sz w:val="21"/>
          <w:szCs w:val="21"/>
          <w:highlight w:val="none"/>
        </w:rPr>
      </w:pPr>
      <w:r>
        <w:rPr>
          <w:color w:val="auto"/>
          <w:sz w:val="21"/>
          <w:szCs w:val="21"/>
          <w:highlight w:val="none"/>
        </w:rPr>
        <w:t> </w:t>
      </w:r>
    </w:p>
    <w:p w14:paraId="68430BED">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645"/>
        <w:jc w:val="both"/>
        <w:textAlignment w:val="auto"/>
        <w:rPr>
          <w:color w:val="auto"/>
          <w:sz w:val="21"/>
          <w:szCs w:val="21"/>
          <w:highlight w:val="none"/>
        </w:rPr>
      </w:pPr>
      <w:r>
        <w:rPr>
          <w:rFonts w:hint="eastAsia" w:ascii="宋体" w:hAnsi="宋体" w:eastAsia="宋体" w:cs="宋体"/>
          <w:color w:val="auto"/>
          <w:sz w:val="21"/>
          <w:szCs w:val="21"/>
          <w:highlight w:val="none"/>
        </w:rPr>
        <w:t>备注：本招标文件中要求加盖CA电子签章的地方，仅需加盖牵头单位的CA电子签章。</w:t>
      </w:r>
    </w:p>
    <w:p w14:paraId="4B08B0BD">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645"/>
        <w:jc w:val="both"/>
        <w:textAlignment w:val="auto"/>
        <w:rPr>
          <w:color w:val="auto"/>
          <w:sz w:val="21"/>
          <w:szCs w:val="21"/>
          <w:highlight w:val="none"/>
        </w:rPr>
      </w:pPr>
      <w:r>
        <w:rPr>
          <w:rFonts w:hint="eastAsia" w:ascii="宋体" w:hAnsi="宋体" w:eastAsia="宋体" w:cs="宋体"/>
          <w:color w:val="auto"/>
          <w:sz w:val="21"/>
          <w:szCs w:val="21"/>
          <w:highlight w:val="none"/>
        </w:rPr>
        <w:t xml:space="preserve">                                          </w:t>
      </w:r>
    </w:p>
    <w:p w14:paraId="7673F4B1">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645"/>
        <w:jc w:val="right"/>
        <w:textAlignment w:val="auto"/>
        <w:rPr>
          <w:color w:val="auto"/>
          <w:sz w:val="21"/>
          <w:szCs w:val="21"/>
          <w:highlight w:val="none"/>
        </w:rPr>
      </w:pPr>
      <w:r>
        <w:rPr>
          <w:rFonts w:hint="eastAsia" w:ascii="宋体" w:hAnsi="宋体" w:eastAsia="宋体" w:cs="宋体"/>
          <w:color w:val="auto"/>
          <w:sz w:val="21"/>
          <w:szCs w:val="21"/>
          <w:highlight w:val="none"/>
        </w:rPr>
        <w:t xml:space="preserve">联合体中各供应商全称（公章）：     </w:t>
      </w:r>
    </w:p>
    <w:p w14:paraId="3073AECD">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645"/>
        <w:jc w:val="right"/>
        <w:textAlignment w:val="auto"/>
        <w:rPr>
          <w:color w:val="auto"/>
          <w:sz w:val="21"/>
          <w:szCs w:val="21"/>
          <w:highlight w:val="none"/>
        </w:rPr>
      </w:pPr>
      <w:r>
        <w:rPr>
          <w:rFonts w:hint="eastAsia" w:ascii="宋体" w:hAnsi="宋体" w:eastAsia="宋体" w:cs="宋体"/>
          <w:color w:val="auto"/>
          <w:sz w:val="21"/>
          <w:szCs w:val="21"/>
          <w:highlight w:val="none"/>
        </w:rPr>
        <w:t>                                        日期：</w:t>
      </w:r>
    </w:p>
    <w:p w14:paraId="52A54D15">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645"/>
        <w:jc w:val="both"/>
        <w:textAlignment w:val="auto"/>
        <w:rPr>
          <w:color w:val="auto"/>
          <w:sz w:val="21"/>
          <w:szCs w:val="21"/>
          <w:highlight w:val="none"/>
        </w:rPr>
      </w:pPr>
      <w:r>
        <w:rPr>
          <w:color w:val="auto"/>
          <w:sz w:val="21"/>
          <w:szCs w:val="21"/>
          <w:highlight w:val="none"/>
        </w:rPr>
        <w:t> </w:t>
      </w:r>
    </w:p>
    <w:p w14:paraId="15A2C463">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color w:val="auto"/>
          <w:sz w:val="21"/>
          <w:szCs w:val="21"/>
          <w:highlight w:val="none"/>
        </w:rPr>
      </w:pPr>
      <w:r>
        <w:rPr>
          <w:color w:val="auto"/>
          <w:sz w:val="21"/>
          <w:szCs w:val="21"/>
          <w:highlight w:val="none"/>
        </w:rPr>
        <w:t> </w:t>
      </w:r>
    </w:p>
    <w:p w14:paraId="5DD77C7A">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color w:val="auto"/>
          <w:sz w:val="21"/>
          <w:szCs w:val="21"/>
          <w:highlight w:val="none"/>
        </w:rPr>
      </w:pPr>
      <w:r>
        <w:rPr>
          <w:color w:val="auto"/>
          <w:sz w:val="21"/>
          <w:szCs w:val="21"/>
          <w:highlight w:val="none"/>
        </w:rPr>
        <w:t> </w:t>
      </w:r>
    </w:p>
    <w:p w14:paraId="7FD231BA">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color w:val="auto"/>
          <w:sz w:val="21"/>
          <w:szCs w:val="21"/>
          <w:highlight w:val="none"/>
        </w:rPr>
      </w:pPr>
      <w:r>
        <w:rPr>
          <w:color w:val="auto"/>
          <w:sz w:val="21"/>
          <w:szCs w:val="21"/>
          <w:highlight w:val="none"/>
        </w:rPr>
        <w:t> </w:t>
      </w:r>
    </w:p>
    <w:p w14:paraId="2AC8CC32">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color w:val="auto"/>
          <w:sz w:val="21"/>
          <w:szCs w:val="21"/>
          <w:highlight w:val="none"/>
        </w:rPr>
      </w:pPr>
      <w:r>
        <w:rPr>
          <w:color w:val="auto"/>
          <w:sz w:val="21"/>
          <w:szCs w:val="21"/>
          <w:highlight w:val="none"/>
        </w:rPr>
        <w:t> </w:t>
      </w:r>
    </w:p>
    <w:p w14:paraId="5EC7EFFF">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color w:val="auto"/>
          <w:sz w:val="21"/>
          <w:szCs w:val="21"/>
          <w:highlight w:val="none"/>
        </w:rPr>
      </w:pPr>
    </w:p>
    <w:p w14:paraId="16477A67">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color w:val="auto"/>
          <w:sz w:val="21"/>
          <w:szCs w:val="21"/>
          <w:highlight w:val="none"/>
        </w:rPr>
      </w:pPr>
    </w:p>
    <w:p w14:paraId="502BB7DA">
      <w:pPr>
        <w:pStyle w:val="11"/>
        <w:spacing w:beforeAutospacing="0" w:afterAutospacing="0" w:line="0" w:lineRule="atLeast"/>
        <w:jc w:val="both"/>
        <w:rPr>
          <w:color w:val="auto"/>
          <w:highlight w:val="none"/>
        </w:rPr>
      </w:pPr>
    </w:p>
    <w:p w14:paraId="1746FEF0">
      <w:pPr>
        <w:pStyle w:val="11"/>
        <w:spacing w:beforeAutospacing="0" w:afterAutospacing="0" w:line="0" w:lineRule="atLeast"/>
        <w:jc w:val="both"/>
        <w:rPr>
          <w:color w:val="auto"/>
          <w:highlight w:val="none"/>
        </w:rPr>
      </w:pPr>
    </w:p>
    <w:p w14:paraId="28209242">
      <w:pPr>
        <w:pStyle w:val="11"/>
        <w:spacing w:beforeAutospacing="0" w:afterAutospacing="0" w:line="0" w:lineRule="atLeast"/>
        <w:jc w:val="both"/>
        <w:rPr>
          <w:color w:val="auto"/>
          <w:highlight w:val="none"/>
        </w:rPr>
      </w:pPr>
    </w:p>
    <w:p w14:paraId="608B4AC0">
      <w:pPr>
        <w:pStyle w:val="11"/>
        <w:spacing w:beforeAutospacing="0" w:afterAutospacing="0" w:line="0" w:lineRule="atLeast"/>
        <w:jc w:val="both"/>
        <w:rPr>
          <w:color w:val="auto"/>
          <w:highlight w:val="none"/>
        </w:rPr>
      </w:pPr>
    </w:p>
    <w:p w14:paraId="64A490B9">
      <w:pPr>
        <w:pStyle w:val="11"/>
        <w:spacing w:beforeAutospacing="0" w:afterAutospacing="0" w:line="0" w:lineRule="atLeast"/>
        <w:jc w:val="both"/>
        <w:rPr>
          <w:color w:val="auto"/>
          <w:highlight w:val="none"/>
        </w:rPr>
      </w:pPr>
    </w:p>
    <w:p w14:paraId="03BD6FEE">
      <w:pPr>
        <w:pStyle w:val="11"/>
        <w:spacing w:beforeAutospacing="0" w:afterAutospacing="0" w:line="0" w:lineRule="atLeast"/>
        <w:jc w:val="both"/>
        <w:rPr>
          <w:color w:val="auto"/>
          <w:highlight w:val="none"/>
        </w:rPr>
      </w:pPr>
    </w:p>
    <w:p w14:paraId="11BC64E8">
      <w:pPr>
        <w:pStyle w:val="11"/>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、投标分项报价表（分包号：***）</w:t>
      </w:r>
    </w:p>
    <w:tbl>
      <w:tblPr>
        <w:tblStyle w:val="12"/>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758A5F5A">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AE34EE">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F58C9">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F68CD">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8254C">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F9750">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AE153">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787F">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6</w:t>
            </w:r>
          </w:p>
        </w:tc>
      </w:tr>
      <w:tr w14:paraId="37407F45">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22418">
            <w:pPr>
              <w:rPr>
                <w:rFonts w:ascii="宋体"/>
                <w:color w:val="auto"/>
                <w:sz w:val="24"/>
                <w:highlight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A2E31">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分项服务名称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CD636">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0811">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97D99">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ADA8C">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分项</w:t>
            </w:r>
          </w:p>
          <w:p w14:paraId="04CE5FC7">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280E1">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分项</w:t>
            </w:r>
          </w:p>
          <w:p w14:paraId="0FEC4C65">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总价</w:t>
            </w:r>
          </w:p>
        </w:tc>
      </w:tr>
      <w:tr w14:paraId="051188F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8FE3">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07B1A">
            <w:pPr>
              <w:pStyle w:val="11"/>
              <w:spacing w:beforeAutospacing="0" w:afterAutospacing="0" w:line="0" w:lineRule="atLeast"/>
              <w:jc w:val="center"/>
              <w:rPr>
                <w:color w:val="auto"/>
                <w:highlight w:val="none"/>
              </w:rPr>
            </w:pPr>
            <w:r>
              <w:rPr>
                <w:color w:val="auto"/>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8BDA3">
            <w:pPr>
              <w:pStyle w:val="11"/>
              <w:spacing w:beforeAutospacing="0" w:afterAutospacing="0" w:line="0" w:lineRule="atLeast"/>
              <w:jc w:val="center"/>
              <w:rPr>
                <w:color w:val="auto"/>
                <w:highlight w:val="none"/>
              </w:rPr>
            </w:pPr>
            <w:r>
              <w:rPr>
                <w:color w:val="auto"/>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42F8A">
            <w:pPr>
              <w:pStyle w:val="11"/>
              <w:spacing w:beforeAutospacing="0" w:afterAutospacing="0" w:line="0" w:lineRule="atLeast"/>
              <w:jc w:val="center"/>
              <w:rPr>
                <w:color w:val="auto"/>
                <w:highlight w:val="none"/>
              </w:rPr>
            </w:pPr>
            <w:r>
              <w:rPr>
                <w:color w:val="auto"/>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23D31">
            <w:pPr>
              <w:pStyle w:val="11"/>
              <w:spacing w:beforeAutospacing="0" w:afterAutospacing="0" w:line="0" w:lineRule="atLeast"/>
              <w:jc w:val="center"/>
              <w:rPr>
                <w:color w:val="auto"/>
                <w:highlight w:val="none"/>
              </w:rPr>
            </w:pPr>
            <w:r>
              <w:rPr>
                <w:color w:val="auto"/>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0A88">
            <w:pPr>
              <w:pStyle w:val="11"/>
              <w:spacing w:beforeAutospacing="0" w:afterAutospacing="0" w:line="0" w:lineRule="atLeast"/>
              <w:jc w:val="center"/>
              <w:rPr>
                <w:color w:val="auto"/>
                <w:highlight w:val="none"/>
              </w:rPr>
            </w:pPr>
            <w:r>
              <w:rPr>
                <w:color w:val="auto"/>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1C85">
            <w:pPr>
              <w:pStyle w:val="11"/>
              <w:spacing w:beforeAutospacing="0" w:afterAutospacing="0" w:line="0" w:lineRule="atLeast"/>
              <w:jc w:val="center"/>
              <w:rPr>
                <w:color w:val="auto"/>
                <w:highlight w:val="none"/>
              </w:rPr>
            </w:pPr>
            <w:r>
              <w:rPr>
                <w:color w:val="auto"/>
                <w:highlight w:val="none"/>
              </w:rPr>
              <w:t> </w:t>
            </w:r>
          </w:p>
        </w:tc>
      </w:tr>
      <w:tr w14:paraId="38B54F89">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25EC1">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070D">
            <w:pPr>
              <w:pStyle w:val="11"/>
              <w:spacing w:beforeAutospacing="0" w:afterAutospacing="0" w:line="0" w:lineRule="atLeast"/>
              <w:jc w:val="center"/>
              <w:rPr>
                <w:color w:val="auto"/>
                <w:highlight w:val="none"/>
              </w:rPr>
            </w:pPr>
            <w:r>
              <w:rPr>
                <w:color w:val="auto"/>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9BEE5">
            <w:pPr>
              <w:pStyle w:val="11"/>
              <w:spacing w:beforeAutospacing="0" w:afterAutospacing="0" w:line="0" w:lineRule="atLeast"/>
              <w:jc w:val="center"/>
              <w:rPr>
                <w:color w:val="auto"/>
                <w:highlight w:val="none"/>
              </w:rPr>
            </w:pPr>
            <w:r>
              <w:rPr>
                <w:color w:val="auto"/>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C31E">
            <w:pPr>
              <w:pStyle w:val="11"/>
              <w:spacing w:beforeAutospacing="0" w:afterAutospacing="0" w:line="0" w:lineRule="atLeast"/>
              <w:jc w:val="center"/>
              <w:rPr>
                <w:color w:val="auto"/>
                <w:highlight w:val="none"/>
              </w:rPr>
            </w:pPr>
            <w:r>
              <w:rPr>
                <w:color w:val="auto"/>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72ECF">
            <w:pPr>
              <w:pStyle w:val="11"/>
              <w:spacing w:beforeAutospacing="0" w:afterAutospacing="0" w:line="0" w:lineRule="atLeast"/>
              <w:jc w:val="center"/>
              <w:rPr>
                <w:color w:val="auto"/>
                <w:highlight w:val="none"/>
              </w:rPr>
            </w:pPr>
            <w:r>
              <w:rPr>
                <w:color w:val="auto"/>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61FA2">
            <w:pPr>
              <w:pStyle w:val="11"/>
              <w:spacing w:beforeAutospacing="0" w:afterAutospacing="0" w:line="0" w:lineRule="atLeast"/>
              <w:jc w:val="center"/>
              <w:rPr>
                <w:color w:val="auto"/>
                <w:highlight w:val="none"/>
              </w:rPr>
            </w:pPr>
            <w:r>
              <w:rPr>
                <w:color w:val="auto"/>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4ADCD">
            <w:pPr>
              <w:pStyle w:val="11"/>
              <w:spacing w:beforeAutospacing="0" w:afterAutospacing="0" w:line="0" w:lineRule="atLeast"/>
              <w:jc w:val="center"/>
              <w:rPr>
                <w:color w:val="auto"/>
                <w:highlight w:val="none"/>
              </w:rPr>
            </w:pPr>
            <w:r>
              <w:rPr>
                <w:color w:val="auto"/>
                <w:highlight w:val="none"/>
              </w:rPr>
              <w:t> </w:t>
            </w:r>
          </w:p>
        </w:tc>
      </w:tr>
      <w:tr w14:paraId="17F8E46F">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22935">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02EF2">
            <w:pPr>
              <w:pStyle w:val="11"/>
              <w:spacing w:beforeAutospacing="0" w:afterAutospacing="0" w:line="0" w:lineRule="atLeast"/>
              <w:jc w:val="center"/>
              <w:rPr>
                <w:color w:val="auto"/>
                <w:highlight w:val="none"/>
              </w:rPr>
            </w:pPr>
            <w:r>
              <w:rPr>
                <w:color w:val="auto"/>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F1897">
            <w:pPr>
              <w:pStyle w:val="11"/>
              <w:spacing w:beforeAutospacing="0" w:afterAutospacing="0" w:line="0" w:lineRule="atLeast"/>
              <w:jc w:val="center"/>
              <w:rPr>
                <w:color w:val="auto"/>
                <w:highlight w:val="none"/>
              </w:rPr>
            </w:pPr>
            <w:r>
              <w:rPr>
                <w:color w:val="auto"/>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AEE1">
            <w:pPr>
              <w:pStyle w:val="11"/>
              <w:spacing w:beforeAutospacing="0" w:afterAutospacing="0" w:line="0" w:lineRule="atLeast"/>
              <w:jc w:val="center"/>
              <w:rPr>
                <w:color w:val="auto"/>
                <w:highlight w:val="none"/>
              </w:rPr>
            </w:pPr>
            <w:r>
              <w:rPr>
                <w:color w:val="auto"/>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4B383">
            <w:pPr>
              <w:pStyle w:val="11"/>
              <w:spacing w:beforeAutospacing="0" w:afterAutospacing="0" w:line="0" w:lineRule="atLeast"/>
              <w:jc w:val="center"/>
              <w:rPr>
                <w:color w:val="auto"/>
                <w:highlight w:val="none"/>
              </w:rPr>
            </w:pPr>
            <w:r>
              <w:rPr>
                <w:color w:val="auto"/>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819F">
            <w:pPr>
              <w:pStyle w:val="11"/>
              <w:spacing w:beforeAutospacing="0" w:afterAutospacing="0" w:line="0" w:lineRule="atLeast"/>
              <w:jc w:val="center"/>
              <w:rPr>
                <w:color w:val="auto"/>
                <w:highlight w:val="none"/>
              </w:rPr>
            </w:pPr>
            <w:r>
              <w:rPr>
                <w:color w:val="auto"/>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2B2B">
            <w:pPr>
              <w:pStyle w:val="11"/>
              <w:spacing w:beforeAutospacing="0" w:afterAutospacing="0" w:line="0" w:lineRule="atLeast"/>
              <w:jc w:val="center"/>
              <w:rPr>
                <w:color w:val="auto"/>
                <w:highlight w:val="none"/>
              </w:rPr>
            </w:pPr>
            <w:r>
              <w:rPr>
                <w:color w:val="auto"/>
                <w:highlight w:val="none"/>
              </w:rPr>
              <w:t> </w:t>
            </w:r>
          </w:p>
        </w:tc>
      </w:tr>
      <w:tr w14:paraId="1775547D">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7242B">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B7D92">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03AA">
            <w:pPr>
              <w:pStyle w:val="11"/>
              <w:spacing w:beforeAutospacing="0" w:afterAutospacing="0" w:line="0" w:lineRule="atLeast"/>
              <w:jc w:val="center"/>
              <w:rPr>
                <w:color w:val="auto"/>
                <w:highlight w:val="none"/>
              </w:rPr>
            </w:pPr>
            <w:r>
              <w:rPr>
                <w:color w:val="auto"/>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39F5">
            <w:pPr>
              <w:pStyle w:val="11"/>
              <w:spacing w:beforeAutospacing="0" w:afterAutospacing="0" w:line="0" w:lineRule="atLeast"/>
              <w:jc w:val="center"/>
              <w:rPr>
                <w:color w:val="auto"/>
                <w:highlight w:val="none"/>
              </w:rPr>
            </w:pPr>
            <w:r>
              <w:rPr>
                <w:color w:val="auto"/>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67D3B">
            <w:pPr>
              <w:pStyle w:val="11"/>
              <w:spacing w:beforeAutospacing="0" w:afterAutospacing="0" w:line="0" w:lineRule="atLeast"/>
              <w:jc w:val="center"/>
              <w:rPr>
                <w:color w:val="auto"/>
                <w:highlight w:val="none"/>
              </w:rPr>
            </w:pPr>
            <w:r>
              <w:rPr>
                <w:color w:val="auto"/>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0F55">
            <w:pPr>
              <w:pStyle w:val="11"/>
              <w:spacing w:beforeAutospacing="0" w:afterAutospacing="0" w:line="0" w:lineRule="atLeast"/>
              <w:jc w:val="center"/>
              <w:rPr>
                <w:color w:val="auto"/>
                <w:highlight w:val="none"/>
              </w:rPr>
            </w:pPr>
            <w:r>
              <w:rPr>
                <w:color w:val="auto"/>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2D2B5">
            <w:pPr>
              <w:pStyle w:val="11"/>
              <w:spacing w:beforeAutospacing="0" w:afterAutospacing="0" w:line="0" w:lineRule="atLeast"/>
              <w:jc w:val="center"/>
              <w:rPr>
                <w:color w:val="auto"/>
                <w:highlight w:val="none"/>
              </w:rPr>
            </w:pPr>
            <w:r>
              <w:rPr>
                <w:color w:val="auto"/>
                <w:highlight w:val="none"/>
              </w:rPr>
              <w:t> </w:t>
            </w:r>
          </w:p>
        </w:tc>
      </w:tr>
      <w:tr w14:paraId="6E902B74">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D8D1C51">
            <w:pPr>
              <w:pStyle w:val="11"/>
              <w:spacing w:beforeAutospacing="0" w:afterAutospacing="0" w:line="0" w:lineRule="atLeast"/>
              <w:jc w:val="center"/>
              <w:rPr>
                <w:color w:val="auto"/>
                <w:highlight w:val="none"/>
              </w:rPr>
            </w:pPr>
            <w:r>
              <w:rPr>
                <w:rFonts w:hint="eastAsia" w:ascii="宋体" w:hAnsi="宋体" w:eastAsia="宋体" w:cs="宋体"/>
                <w:color w:val="auto"/>
                <w:highlight w:val="none"/>
              </w:rPr>
              <w:t>投标总报价（人民币：元）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E3BD">
            <w:pPr>
              <w:pStyle w:val="11"/>
              <w:spacing w:beforeAutospacing="0" w:afterAutospacing="0" w:line="0" w:lineRule="atLeast"/>
              <w:jc w:val="both"/>
              <w:rPr>
                <w:color w:val="auto"/>
                <w:highlight w:val="none"/>
              </w:rPr>
            </w:pPr>
            <w:r>
              <w:rPr>
                <w:color w:val="auto"/>
                <w:highlight w:val="none"/>
              </w:rPr>
              <w:t> </w:t>
            </w:r>
          </w:p>
        </w:tc>
      </w:tr>
    </w:tbl>
    <w:p w14:paraId="36F4F46C">
      <w:pPr>
        <w:pStyle w:val="11"/>
        <w:spacing w:beforeAutospacing="0" w:afterAutospacing="0" w:line="0" w:lineRule="atLeas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auto"/>
          <w:sz w:val="21"/>
          <w:szCs w:val="21"/>
          <w:highlight w:val="none"/>
          <w:lang w:val="en-US" w:eastAsia="zh-CN"/>
        </w:rPr>
        <w:t>的其它所有费用，招标文件另有规定的除外。2.“投标分项报价表”中“投标总报价”数额应当与“开标一览表”中“投标总报价”数额一致。</w:t>
      </w:r>
    </w:p>
    <w:p w14:paraId="7853E46C">
      <w:pPr>
        <w:spacing w:line="40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highlight w:val="none"/>
          <w:lang w:val="en-US" w:eastAsia="zh-CN"/>
        </w:rPr>
        <w:t>备注：该表仅适用于项目采用货币报价的情形。项目采用折扣率报价的，如需要填写投标分项报价表，请项目经办人自行设计表格。招标文件定稿后该备注删除。</w:t>
      </w:r>
    </w:p>
    <w:p w14:paraId="6912FFD9">
      <w:pPr>
        <w:pStyle w:val="11"/>
        <w:spacing w:beforeAutospacing="0" w:afterAutospacing="0"/>
        <w:jc w:val="both"/>
        <w:rPr>
          <w:rFonts w:hint="eastAsia" w:ascii="宋体" w:hAnsi="宋体" w:eastAsia="宋体" w:cs="宋体"/>
          <w:color w:val="auto"/>
          <w:sz w:val="21"/>
          <w:szCs w:val="21"/>
          <w:highlight w:val="none"/>
          <w:shd w:val="clear" w:color="auto" w:fill="auto"/>
        </w:rPr>
      </w:pPr>
    </w:p>
    <w:p w14:paraId="557CDBCA">
      <w:pPr>
        <w:pStyle w:val="11"/>
        <w:spacing w:beforeAutospacing="0" w:afterAutospacing="0"/>
        <w:jc w:val="both"/>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w:t>
      </w:r>
    </w:p>
    <w:p w14:paraId="5C3CDF56">
      <w:pPr>
        <w:pStyle w:val="11"/>
        <w:spacing w:beforeAutospacing="0" w:afterAutospacing="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391D295D">
      <w:pPr>
        <w:pStyle w:val="11"/>
        <w:spacing w:beforeAutospacing="0" w:afterAutospacing="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2968EB93">
      <w:pPr>
        <w:pStyle w:val="11"/>
        <w:spacing w:beforeAutospacing="0" w:afterAutospacing="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67AA6D10">
      <w:pPr>
        <w:pStyle w:val="11"/>
        <w:spacing w:beforeAutospacing="0" w:afterAutospacing="0"/>
        <w:jc w:val="both"/>
        <w:rPr>
          <w:color w:val="auto"/>
          <w:highlight w:val="none"/>
        </w:rPr>
      </w:pPr>
      <w:r>
        <w:rPr>
          <w:rFonts w:hint="eastAsia" w:ascii="宋体" w:hAnsi="宋体" w:eastAsia="宋体" w:cs="宋体"/>
          <w:color w:val="auto"/>
          <w:sz w:val="21"/>
          <w:szCs w:val="21"/>
          <w:highlight w:val="none"/>
        </w:rPr>
        <w:t> </w:t>
      </w:r>
    </w:p>
    <w:p w14:paraId="7966862D">
      <w:pPr>
        <w:pStyle w:val="11"/>
        <w:spacing w:beforeAutospacing="0" w:afterAutospacing="0"/>
        <w:jc w:val="both"/>
        <w:rPr>
          <w:color w:val="auto"/>
          <w:highlight w:val="none"/>
        </w:rPr>
      </w:pPr>
      <w:r>
        <w:rPr>
          <w:color w:val="auto"/>
          <w:highlight w:val="none"/>
        </w:rPr>
        <w:t> </w:t>
      </w:r>
    </w:p>
    <w:p w14:paraId="1D8AABCB">
      <w:pPr>
        <w:pStyle w:val="11"/>
        <w:spacing w:beforeAutospacing="0" w:afterAutospacing="0"/>
        <w:jc w:val="both"/>
        <w:rPr>
          <w:color w:val="auto"/>
          <w:highlight w:val="none"/>
        </w:rPr>
      </w:pPr>
    </w:p>
    <w:p w14:paraId="3158510A">
      <w:pPr>
        <w:pStyle w:val="11"/>
        <w:spacing w:beforeAutospacing="0" w:afterAutospacing="0"/>
        <w:jc w:val="both"/>
        <w:rPr>
          <w:color w:val="auto"/>
          <w:highlight w:val="none"/>
        </w:rPr>
      </w:pPr>
    </w:p>
    <w:p w14:paraId="03BCA0D6">
      <w:pPr>
        <w:pStyle w:val="11"/>
        <w:spacing w:beforeAutospacing="0" w:afterAutospacing="0"/>
        <w:jc w:val="both"/>
        <w:rPr>
          <w:color w:val="auto"/>
          <w:highlight w:val="none"/>
        </w:rPr>
      </w:pPr>
    </w:p>
    <w:p w14:paraId="275D590C">
      <w:pPr>
        <w:pStyle w:val="11"/>
        <w:spacing w:beforeAutospacing="0" w:afterAutospacing="0"/>
        <w:jc w:val="both"/>
        <w:rPr>
          <w:color w:val="auto"/>
          <w:highlight w:val="none"/>
        </w:rPr>
      </w:pPr>
    </w:p>
    <w:p w14:paraId="15F02C1B">
      <w:pPr>
        <w:pStyle w:val="11"/>
        <w:spacing w:beforeAutospacing="0" w:afterAutospacing="0"/>
        <w:jc w:val="both"/>
        <w:rPr>
          <w:color w:val="auto"/>
          <w:highlight w:val="none"/>
        </w:rPr>
      </w:pPr>
    </w:p>
    <w:p w14:paraId="3F7E81DE">
      <w:pPr>
        <w:pStyle w:val="11"/>
        <w:spacing w:beforeAutospacing="0" w:afterAutospacing="0"/>
        <w:jc w:val="both"/>
        <w:rPr>
          <w:color w:val="auto"/>
          <w:highlight w:val="none"/>
        </w:rPr>
      </w:pPr>
    </w:p>
    <w:p w14:paraId="1BE8C843">
      <w:pPr>
        <w:pStyle w:val="11"/>
        <w:spacing w:beforeAutospacing="0" w:afterAutospacing="0"/>
        <w:jc w:val="both"/>
        <w:rPr>
          <w:color w:val="auto"/>
          <w:highlight w:val="none"/>
        </w:rPr>
      </w:pPr>
    </w:p>
    <w:p w14:paraId="6B1519F6">
      <w:pPr>
        <w:pStyle w:val="11"/>
        <w:spacing w:beforeAutospacing="0" w:afterAutospacing="0"/>
        <w:jc w:val="both"/>
        <w:rPr>
          <w:color w:val="auto"/>
          <w:highlight w:val="none"/>
        </w:rPr>
      </w:pPr>
    </w:p>
    <w:p w14:paraId="3F495A09">
      <w:pPr>
        <w:pStyle w:val="11"/>
        <w:spacing w:beforeAutospacing="0" w:afterAutospacing="0"/>
        <w:jc w:val="both"/>
        <w:rPr>
          <w:color w:val="auto"/>
          <w:highlight w:val="none"/>
        </w:rPr>
      </w:pPr>
    </w:p>
    <w:p w14:paraId="27AE2EF1">
      <w:pPr>
        <w:pStyle w:val="11"/>
        <w:spacing w:beforeAutospacing="0" w:afterAutospacing="0"/>
        <w:jc w:val="both"/>
        <w:rPr>
          <w:color w:val="auto"/>
          <w:highlight w:val="none"/>
        </w:rPr>
      </w:pPr>
    </w:p>
    <w:p w14:paraId="17DB1E37">
      <w:pPr>
        <w:pStyle w:val="11"/>
        <w:spacing w:beforeAutospacing="0" w:afterAutospacing="0"/>
        <w:jc w:val="both"/>
        <w:rPr>
          <w:color w:val="auto"/>
          <w:highlight w:val="none"/>
        </w:rPr>
      </w:pPr>
    </w:p>
    <w:p w14:paraId="5FC9519B">
      <w:pPr>
        <w:pStyle w:val="11"/>
        <w:spacing w:beforeAutospacing="0" w:afterAutospacing="0"/>
        <w:jc w:val="both"/>
        <w:rPr>
          <w:color w:val="auto"/>
          <w:highlight w:val="none"/>
        </w:rPr>
      </w:pPr>
    </w:p>
    <w:p w14:paraId="26BB3344">
      <w:pPr>
        <w:pStyle w:val="11"/>
        <w:spacing w:beforeAutospacing="0" w:afterAutospacing="0"/>
        <w:jc w:val="center"/>
        <w:rPr>
          <w:rFonts w:hint="eastAsia" w:ascii="黑体" w:hAnsi="宋体" w:eastAsia="黑体" w:cs="黑体"/>
          <w:b/>
          <w:color w:val="auto"/>
          <w:sz w:val="32"/>
          <w:szCs w:val="32"/>
          <w:highlight w:val="none"/>
        </w:rPr>
      </w:pPr>
    </w:p>
    <w:p w14:paraId="263EC39B">
      <w:pPr>
        <w:pStyle w:val="11"/>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四</w:t>
      </w:r>
      <w:r>
        <w:rPr>
          <w:rFonts w:hint="eastAsia" w:ascii="黑体" w:hAnsi="宋体" w:eastAsia="黑体" w:cs="黑体"/>
          <w:b/>
          <w:color w:val="auto"/>
          <w:sz w:val="32"/>
          <w:szCs w:val="32"/>
          <w:highlight w:val="none"/>
        </w:rPr>
        <w:t>、技术要求响应及偏离表（分包号：**）</w:t>
      </w:r>
    </w:p>
    <w:tbl>
      <w:tblPr>
        <w:tblStyle w:val="12"/>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1947ED7E">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C9BAE">
            <w:pPr>
              <w:pStyle w:val="11"/>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342FC">
            <w:pPr>
              <w:pStyle w:val="11"/>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29C51">
            <w:pPr>
              <w:pStyle w:val="11"/>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1B14B">
            <w:pPr>
              <w:pStyle w:val="11"/>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EB8CD">
            <w:pPr>
              <w:pStyle w:val="11"/>
              <w:spacing w:beforeAutospacing="0" w:afterAutospacing="0"/>
              <w:jc w:val="center"/>
              <w:rPr>
                <w:color w:val="auto"/>
                <w:highlight w:val="none"/>
              </w:rPr>
            </w:pPr>
            <w:r>
              <w:rPr>
                <w:rFonts w:hint="eastAsia" w:ascii="宋体" w:hAnsi="宋体" w:eastAsia="宋体" w:cs="宋体"/>
                <w:color w:val="auto"/>
                <w:highlight w:val="none"/>
              </w:rPr>
              <w:t>证明</w:t>
            </w:r>
          </w:p>
          <w:p w14:paraId="67058F1B">
            <w:pPr>
              <w:pStyle w:val="11"/>
              <w:spacing w:beforeAutospacing="0" w:afterAutospacing="0"/>
              <w:jc w:val="center"/>
              <w:rPr>
                <w:color w:val="auto"/>
                <w:highlight w:val="none"/>
              </w:rPr>
            </w:pPr>
            <w:r>
              <w:rPr>
                <w:rFonts w:hint="eastAsia" w:ascii="宋体" w:hAnsi="宋体" w:eastAsia="宋体" w:cs="宋体"/>
                <w:color w:val="auto"/>
                <w:highlight w:val="none"/>
              </w:rPr>
              <w:t>材料</w:t>
            </w:r>
          </w:p>
        </w:tc>
      </w:tr>
      <w:tr w14:paraId="49116A8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AF2F8">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780E">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03180">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91514">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C927E">
            <w:pPr>
              <w:pStyle w:val="11"/>
              <w:spacing w:beforeAutospacing="0" w:afterAutospacing="0"/>
              <w:jc w:val="center"/>
              <w:rPr>
                <w:color w:val="auto"/>
                <w:highlight w:val="none"/>
              </w:rPr>
            </w:pPr>
            <w:r>
              <w:rPr>
                <w:color w:val="auto"/>
                <w:highlight w:val="none"/>
              </w:rPr>
              <w:t> </w:t>
            </w:r>
          </w:p>
        </w:tc>
      </w:tr>
      <w:tr w14:paraId="71461CA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3C1C">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7C477">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0E729">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467F7">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841BE">
            <w:pPr>
              <w:pStyle w:val="11"/>
              <w:spacing w:beforeAutospacing="0" w:afterAutospacing="0"/>
              <w:jc w:val="center"/>
              <w:rPr>
                <w:color w:val="auto"/>
                <w:highlight w:val="none"/>
              </w:rPr>
            </w:pPr>
            <w:r>
              <w:rPr>
                <w:color w:val="auto"/>
                <w:highlight w:val="none"/>
              </w:rPr>
              <w:t> </w:t>
            </w:r>
          </w:p>
        </w:tc>
      </w:tr>
      <w:tr w14:paraId="30E1A92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89AFE">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61E88">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EC901">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377B0">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8888E">
            <w:pPr>
              <w:pStyle w:val="11"/>
              <w:spacing w:beforeAutospacing="0" w:afterAutospacing="0"/>
              <w:jc w:val="center"/>
              <w:rPr>
                <w:color w:val="auto"/>
                <w:highlight w:val="none"/>
              </w:rPr>
            </w:pPr>
            <w:r>
              <w:rPr>
                <w:color w:val="auto"/>
                <w:highlight w:val="none"/>
              </w:rPr>
              <w:t> </w:t>
            </w:r>
          </w:p>
        </w:tc>
      </w:tr>
      <w:tr w14:paraId="5B3EE96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8FB44">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4765F">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80F52">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EE09E">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504CF">
            <w:pPr>
              <w:pStyle w:val="11"/>
              <w:spacing w:beforeAutospacing="0" w:afterAutospacing="0"/>
              <w:jc w:val="center"/>
              <w:rPr>
                <w:color w:val="auto"/>
                <w:highlight w:val="none"/>
              </w:rPr>
            </w:pPr>
            <w:r>
              <w:rPr>
                <w:color w:val="auto"/>
                <w:highlight w:val="none"/>
              </w:rPr>
              <w:t> </w:t>
            </w:r>
          </w:p>
        </w:tc>
      </w:tr>
      <w:tr w14:paraId="436A218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F68C">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59289">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9164E">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E01C">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05063">
            <w:pPr>
              <w:pStyle w:val="11"/>
              <w:spacing w:beforeAutospacing="0" w:afterAutospacing="0"/>
              <w:jc w:val="center"/>
              <w:rPr>
                <w:color w:val="auto"/>
                <w:highlight w:val="none"/>
              </w:rPr>
            </w:pPr>
            <w:r>
              <w:rPr>
                <w:color w:val="auto"/>
                <w:highlight w:val="none"/>
              </w:rPr>
              <w:t> </w:t>
            </w:r>
          </w:p>
        </w:tc>
      </w:tr>
      <w:tr w14:paraId="24E3E33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5AF43">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AD1BC">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1C8B6">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8E6D4">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16C54">
            <w:pPr>
              <w:pStyle w:val="11"/>
              <w:spacing w:beforeAutospacing="0" w:afterAutospacing="0"/>
              <w:jc w:val="center"/>
              <w:rPr>
                <w:color w:val="auto"/>
                <w:highlight w:val="none"/>
              </w:rPr>
            </w:pPr>
            <w:r>
              <w:rPr>
                <w:color w:val="auto"/>
                <w:highlight w:val="none"/>
              </w:rPr>
              <w:t> </w:t>
            </w:r>
          </w:p>
        </w:tc>
      </w:tr>
      <w:tr w14:paraId="3238C6D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B3828">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64D71">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53AD4">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4787B">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69FD5">
            <w:pPr>
              <w:pStyle w:val="11"/>
              <w:spacing w:beforeAutospacing="0" w:afterAutospacing="0"/>
              <w:jc w:val="center"/>
              <w:rPr>
                <w:color w:val="auto"/>
                <w:highlight w:val="none"/>
              </w:rPr>
            </w:pPr>
            <w:r>
              <w:rPr>
                <w:color w:val="auto"/>
                <w:highlight w:val="none"/>
              </w:rPr>
              <w:t> </w:t>
            </w:r>
          </w:p>
        </w:tc>
      </w:tr>
      <w:tr w14:paraId="0E964A8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724A0">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8AB63">
            <w:pPr>
              <w:pStyle w:val="11"/>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73CAC">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B7AE0">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FF699">
            <w:pPr>
              <w:pStyle w:val="11"/>
              <w:spacing w:beforeAutospacing="0" w:afterAutospacing="0"/>
              <w:jc w:val="center"/>
              <w:rPr>
                <w:color w:val="auto"/>
                <w:highlight w:val="none"/>
              </w:rPr>
            </w:pPr>
            <w:r>
              <w:rPr>
                <w:color w:val="auto"/>
                <w:highlight w:val="none"/>
              </w:rPr>
              <w:t> </w:t>
            </w:r>
          </w:p>
        </w:tc>
      </w:tr>
    </w:tbl>
    <w:p w14:paraId="36AF6280">
      <w:pPr>
        <w:pStyle w:val="11"/>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4F1C81C5">
      <w:pPr>
        <w:pStyle w:val="11"/>
        <w:spacing w:beforeAutospacing="0" w:afterAutospacing="0"/>
        <w:jc w:val="center"/>
        <w:rPr>
          <w:color w:val="auto"/>
          <w:highlight w:val="none"/>
        </w:rPr>
      </w:pPr>
      <w:r>
        <w:rPr>
          <w:color w:val="auto"/>
          <w:highlight w:val="none"/>
        </w:rPr>
        <w:t> </w:t>
      </w:r>
    </w:p>
    <w:p w14:paraId="5D3ECF4B">
      <w:pPr>
        <w:pStyle w:val="11"/>
        <w:spacing w:beforeAutospacing="0" w:afterAutospacing="0"/>
        <w:jc w:val="center"/>
        <w:rPr>
          <w:color w:val="auto"/>
          <w:highlight w:val="none"/>
        </w:rPr>
      </w:pPr>
      <w:r>
        <w:rPr>
          <w:color w:val="auto"/>
          <w:highlight w:val="none"/>
        </w:rPr>
        <w:t> </w:t>
      </w:r>
    </w:p>
    <w:p w14:paraId="6C205399">
      <w:pPr>
        <w:pStyle w:val="11"/>
        <w:spacing w:beforeAutospacing="0" w:afterAutospacing="0"/>
        <w:jc w:val="center"/>
        <w:rPr>
          <w:color w:val="auto"/>
          <w:highlight w:val="none"/>
        </w:rPr>
      </w:pPr>
      <w:r>
        <w:rPr>
          <w:color w:val="auto"/>
          <w:highlight w:val="none"/>
        </w:rPr>
        <w:t> </w:t>
      </w:r>
    </w:p>
    <w:p w14:paraId="4AA038E0">
      <w:pPr>
        <w:pStyle w:val="11"/>
        <w:spacing w:beforeAutospacing="0" w:afterAutospacing="0"/>
        <w:jc w:val="center"/>
        <w:rPr>
          <w:color w:val="auto"/>
          <w:highlight w:val="none"/>
        </w:rPr>
      </w:pPr>
      <w:r>
        <w:rPr>
          <w:color w:val="auto"/>
          <w:highlight w:val="none"/>
        </w:rPr>
        <w:t> </w:t>
      </w:r>
    </w:p>
    <w:p w14:paraId="2959F3C4">
      <w:pPr>
        <w:pStyle w:val="11"/>
        <w:spacing w:beforeAutospacing="0" w:afterAutospacing="0"/>
        <w:jc w:val="both"/>
        <w:rPr>
          <w:color w:val="auto"/>
          <w:highlight w:val="none"/>
        </w:rPr>
      </w:pPr>
      <w:r>
        <w:rPr>
          <w:color w:val="auto"/>
          <w:highlight w:val="none"/>
        </w:rPr>
        <w:t> </w:t>
      </w:r>
    </w:p>
    <w:p w14:paraId="1B060B71">
      <w:pPr>
        <w:pStyle w:val="11"/>
        <w:spacing w:beforeAutospacing="0" w:afterAutospacing="0"/>
        <w:jc w:val="both"/>
        <w:rPr>
          <w:color w:val="auto"/>
          <w:highlight w:val="none"/>
        </w:rPr>
      </w:pPr>
      <w:r>
        <w:rPr>
          <w:color w:val="auto"/>
          <w:highlight w:val="none"/>
        </w:rPr>
        <w:t> </w:t>
      </w:r>
    </w:p>
    <w:p w14:paraId="3F046A88">
      <w:pPr>
        <w:pStyle w:val="11"/>
        <w:spacing w:beforeAutospacing="0" w:afterAutospacing="0"/>
        <w:jc w:val="both"/>
        <w:rPr>
          <w:color w:val="auto"/>
          <w:highlight w:val="none"/>
        </w:rPr>
      </w:pPr>
      <w:r>
        <w:rPr>
          <w:color w:val="auto"/>
          <w:highlight w:val="none"/>
        </w:rPr>
        <w:t> </w:t>
      </w:r>
    </w:p>
    <w:p w14:paraId="54721F13">
      <w:pPr>
        <w:pStyle w:val="11"/>
        <w:spacing w:beforeAutospacing="0" w:afterAutospacing="0"/>
        <w:jc w:val="both"/>
        <w:rPr>
          <w:color w:val="auto"/>
          <w:highlight w:val="none"/>
        </w:rPr>
      </w:pPr>
      <w:r>
        <w:rPr>
          <w:color w:val="auto"/>
          <w:highlight w:val="none"/>
        </w:rPr>
        <w:t> </w:t>
      </w:r>
    </w:p>
    <w:p w14:paraId="7F2D6E94">
      <w:pPr>
        <w:pStyle w:val="11"/>
        <w:spacing w:beforeAutospacing="0" w:afterAutospacing="0"/>
        <w:jc w:val="both"/>
        <w:rPr>
          <w:color w:val="auto"/>
          <w:highlight w:val="none"/>
        </w:rPr>
      </w:pPr>
      <w:r>
        <w:rPr>
          <w:color w:val="auto"/>
          <w:highlight w:val="none"/>
        </w:rPr>
        <w:t> </w:t>
      </w:r>
    </w:p>
    <w:p w14:paraId="79DFEAD6">
      <w:pPr>
        <w:pStyle w:val="11"/>
        <w:spacing w:beforeAutospacing="0" w:afterAutospacing="0"/>
        <w:jc w:val="both"/>
        <w:rPr>
          <w:color w:val="auto"/>
          <w:highlight w:val="none"/>
        </w:rPr>
      </w:pPr>
    </w:p>
    <w:p w14:paraId="41802066">
      <w:pPr>
        <w:pStyle w:val="11"/>
        <w:spacing w:beforeAutospacing="0" w:afterAutospacing="0"/>
        <w:jc w:val="both"/>
        <w:rPr>
          <w:color w:val="auto"/>
          <w:highlight w:val="none"/>
        </w:rPr>
      </w:pPr>
    </w:p>
    <w:p w14:paraId="15162D24">
      <w:pPr>
        <w:pStyle w:val="11"/>
        <w:spacing w:beforeAutospacing="0" w:afterAutospacing="0"/>
        <w:jc w:val="both"/>
        <w:rPr>
          <w:color w:val="auto"/>
          <w:highlight w:val="none"/>
        </w:rPr>
      </w:pPr>
    </w:p>
    <w:p w14:paraId="573890F5">
      <w:pPr>
        <w:pStyle w:val="11"/>
        <w:spacing w:beforeAutospacing="0" w:afterAutospacing="0"/>
        <w:jc w:val="both"/>
        <w:rPr>
          <w:color w:val="auto"/>
          <w:highlight w:val="none"/>
        </w:rPr>
      </w:pPr>
    </w:p>
    <w:p w14:paraId="17B0392B">
      <w:pPr>
        <w:pStyle w:val="11"/>
        <w:spacing w:beforeAutospacing="0" w:afterAutospacing="0"/>
        <w:jc w:val="both"/>
        <w:rPr>
          <w:color w:val="auto"/>
          <w:highlight w:val="none"/>
        </w:rPr>
      </w:pPr>
    </w:p>
    <w:p w14:paraId="6D7A0174">
      <w:pPr>
        <w:pStyle w:val="11"/>
        <w:spacing w:beforeAutospacing="0" w:afterAutospacing="0"/>
        <w:jc w:val="both"/>
        <w:rPr>
          <w:color w:val="auto"/>
          <w:highlight w:val="none"/>
        </w:rPr>
      </w:pPr>
    </w:p>
    <w:p w14:paraId="5622EEA8">
      <w:pPr>
        <w:pStyle w:val="11"/>
        <w:spacing w:beforeAutospacing="0" w:afterAutospacing="0"/>
        <w:jc w:val="both"/>
        <w:rPr>
          <w:color w:val="auto"/>
          <w:highlight w:val="none"/>
        </w:rPr>
      </w:pPr>
    </w:p>
    <w:p w14:paraId="632E11EB">
      <w:pPr>
        <w:pStyle w:val="11"/>
        <w:spacing w:beforeAutospacing="0" w:afterAutospacing="0"/>
        <w:jc w:val="both"/>
        <w:rPr>
          <w:color w:val="auto"/>
          <w:highlight w:val="none"/>
        </w:rPr>
      </w:pPr>
    </w:p>
    <w:p w14:paraId="7E0C087F">
      <w:pPr>
        <w:pStyle w:val="11"/>
        <w:spacing w:beforeAutospacing="0" w:afterAutospacing="0"/>
        <w:jc w:val="both"/>
        <w:rPr>
          <w:color w:val="auto"/>
          <w:highlight w:val="none"/>
        </w:rPr>
      </w:pPr>
    </w:p>
    <w:p w14:paraId="3A8794A2">
      <w:pPr>
        <w:pStyle w:val="11"/>
        <w:spacing w:beforeAutospacing="0" w:afterAutospacing="0"/>
        <w:jc w:val="both"/>
        <w:rPr>
          <w:color w:val="auto"/>
          <w:highlight w:val="none"/>
        </w:rPr>
      </w:pPr>
    </w:p>
    <w:p w14:paraId="5C48238E">
      <w:pPr>
        <w:pStyle w:val="11"/>
        <w:spacing w:beforeAutospacing="0" w:afterAutospacing="0"/>
        <w:jc w:val="both"/>
        <w:rPr>
          <w:color w:val="auto"/>
          <w:highlight w:val="none"/>
        </w:rPr>
      </w:pPr>
      <w:r>
        <w:rPr>
          <w:color w:val="auto"/>
          <w:highlight w:val="none"/>
        </w:rPr>
        <w:t> </w:t>
      </w:r>
    </w:p>
    <w:p w14:paraId="5BCD84CB">
      <w:pPr>
        <w:pStyle w:val="11"/>
        <w:spacing w:beforeAutospacing="0" w:afterAutospacing="0"/>
        <w:jc w:val="both"/>
        <w:rPr>
          <w:color w:val="auto"/>
          <w:highlight w:val="none"/>
        </w:rPr>
      </w:pPr>
    </w:p>
    <w:p w14:paraId="32882179">
      <w:pPr>
        <w:pStyle w:val="11"/>
        <w:spacing w:beforeAutospacing="0" w:afterAutospacing="0"/>
        <w:jc w:val="both"/>
        <w:rPr>
          <w:color w:val="auto"/>
          <w:highlight w:val="none"/>
        </w:rPr>
      </w:pPr>
    </w:p>
    <w:p w14:paraId="108AE904">
      <w:pPr>
        <w:pStyle w:val="11"/>
        <w:spacing w:beforeAutospacing="0" w:afterAutospacing="0"/>
        <w:jc w:val="both"/>
        <w:rPr>
          <w:color w:val="auto"/>
          <w:highlight w:val="none"/>
        </w:rPr>
      </w:pPr>
      <w:r>
        <w:rPr>
          <w:color w:val="auto"/>
          <w:highlight w:val="none"/>
        </w:rPr>
        <w:t> </w:t>
      </w:r>
    </w:p>
    <w:p w14:paraId="336D829F">
      <w:pPr>
        <w:pStyle w:val="11"/>
        <w:spacing w:beforeAutospacing="0" w:afterAutospacing="0"/>
        <w:jc w:val="both"/>
        <w:rPr>
          <w:color w:val="auto"/>
          <w:highlight w:val="none"/>
        </w:rPr>
      </w:pPr>
      <w:r>
        <w:rPr>
          <w:color w:val="auto"/>
          <w:highlight w:val="none"/>
        </w:rPr>
        <w:t> </w:t>
      </w:r>
    </w:p>
    <w:p w14:paraId="2B05566F">
      <w:pPr>
        <w:pStyle w:val="11"/>
        <w:spacing w:beforeAutospacing="0" w:afterAutospacing="0"/>
        <w:jc w:val="center"/>
        <w:rPr>
          <w:color w:val="auto"/>
          <w:highlight w:val="none"/>
        </w:rPr>
      </w:pPr>
      <w:bookmarkStart w:id="184" w:name="_Hlt26955054"/>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五</w:t>
      </w:r>
      <w:r>
        <w:rPr>
          <w:rFonts w:hint="eastAsia" w:ascii="黑体" w:hAnsi="宋体" w:eastAsia="黑体" w:cs="黑体"/>
          <w:b/>
          <w:color w:val="auto"/>
          <w:sz w:val="32"/>
          <w:szCs w:val="32"/>
          <w:highlight w:val="none"/>
        </w:rPr>
        <w:t>、商务要求响应及偏离表（分包号：**）</w:t>
      </w:r>
    </w:p>
    <w:tbl>
      <w:tblPr>
        <w:tblStyle w:val="12"/>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C8C067D">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E7FE">
            <w:pPr>
              <w:pStyle w:val="11"/>
              <w:spacing w:beforeAutospacing="0" w:afterAutospacing="0"/>
              <w:jc w:val="center"/>
              <w:rPr>
                <w:color w:val="auto"/>
                <w:highlight w:val="none"/>
              </w:rPr>
            </w:pPr>
            <w:bookmarkStart w:id="185" w:name="_Hlt26671343"/>
            <w:bookmarkStart w:id="186" w:name="_Hlt26955064"/>
            <w:bookmarkStart w:id="187" w:name="_Hlt26955056"/>
            <w:bookmarkStart w:id="188" w:name="_Hlt26671372"/>
            <w:bookmarkStart w:id="189" w:name="_Hlt26782999"/>
            <w:bookmarkStart w:id="190" w:name="_Hlt26580838"/>
            <w:bookmarkStart w:id="191" w:name="_Hlt26609391"/>
            <w:bookmarkStart w:id="192" w:name="_Hlt24879081"/>
            <w:r>
              <w:rPr>
                <w:rFonts w:hint="eastAsia" w:ascii="宋体" w:hAnsi="宋体" w:eastAsia="宋体" w:cs="宋体"/>
                <w:color w:val="auto"/>
                <w:highlight w:val="none"/>
              </w:rPr>
              <w:t>序号</w:t>
            </w:r>
          </w:p>
          <w:bookmarkEnd w:id="185"/>
          <w:bookmarkEnd w:id="186"/>
          <w:bookmarkEnd w:id="187"/>
          <w:bookmarkEnd w:id="188"/>
          <w:bookmarkEnd w:id="189"/>
          <w:bookmarkEnd w:id="190"/>
          <w:bookmarkEnd w:id="191"/>
          <w:bookmarkEnd w:id="192"/>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33AD9">
            <w:pPr>
              <w:pStyle w:val="11"/>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FD01">
            <w:pPr>
              <w:pStyle w:val="11"/>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85966">
            <w:pPr>
              <w:pStyle w:val="11"/>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33FEE">
            <w:pPr>
              <w:pStyle w:val="11"/>
              <w:spacing w:beforeAutospacing="0" w:afterAutospacing="0"/>
              <w:jc w:val="center"/>
              <w:rPr>
                <w:color w:val="auto"/>
                <w:highlight w:val="none"/>
              </w:rPr>
            </w:pPr>
            <w:r>
              <w:rPr>
                <w:rFonts w:hint="eastAsia" w:ascii="宋体" w:hAnsi="宋体" w:eastAsia="宋体" w:cs="宋体"/>
                <w:color w:val="auto"/>
                <w:highlight w:val="none"/>
              </w:rPr>
              <w:t>证明</w:t>
            </w:r>
          </w:p>
          <w:p w14:paraId="2F6E5C46">
            <w:pPr>
              <w:pStyle w:val="11"/>
              <w:spacing w:beforeAutospacing="0" w:afterAutospacing="0"/>
              <w:jc w:val="center"/>
              <w:rPr>
                <w:color w:val="auto"/>
                <w:highlight w:val="none"/>
              </w:rPr>
            </w:pPr>
            <w:r>
              <w:rPr>
                <w:rFonts w:hint="eastAsia" w:ascii="宋体" w:hAnsi="宋体" w:eastAsia="宋体" w:cs="宋体"/>
                <w:color w:val="auto"/>
                <w:highlight w:val="none"/>
              </w:rPr>
              <w:t>材料</w:t>
            </w:r>
          </w:p>
        </w:tc>
      </w:tr>
      <w:tr w14:paraId="0CC2F30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DA8C5">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C77C8">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74B48">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18274">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5EF9D">
            <w:pPr>
              <w:pStyle w:val="11"/>
              <w:spacing w:beforeAutospacing="0" w:afterAutospacing="0"/>
              <w:jc w:val="center"/>
              <w:rPr>
                <w:color w:val="auto"/>
                <w:highlight w:val="none"/>
              </w:rPr>
            </w:pPr>
            <w:r>
              <w:rPr>
                <w:color w:val="auto"/>
                <w:highlight w:val="none"/>
              </w:rPr>
              <w:t> </w:t>
            </w:r>
          </w:p>
        </w:tc>
      </w:tr>
      <w:tr w14:paraId="7E139F0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48F0C">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6311B">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9975D">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EC89A">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2F22D">
            <w:pPr>
              <w:pStyle w:val="11"/>
              <w:spacing w:beforeAutospacing="0" w:afterAutospacing="0"/>
              <w:jc w:val="center"/>
              <w:rPr>
                <w:color w:val="auto"/>
                <w:highlight w:val="none"/>
              </w:rPr>
            </w:pPr>
            <w:r>
              <w:rPr>
                <w:color w:val="auto"/>
                <w:highlight w:val="none"/>
              </w:rPr>
              <w:t> </w:t>
            </w:r>
          </w:p>
        </w:tc>
      </w:tr>
      <w:tr w14:paraId="28727F2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3B9A3">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E932">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CF104">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0AF86">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50C0C">
            <w:pPr>
              <w:pStyle w:val="11"/>
              <w:spacing w:beforeAutospacing="0" w:afterAutospacing="0"/>
              <w:jc w:val="center"/>
              <w:rPr>
                <w:color w:val="auto"/>
                <w:highlight w:val="none"/>
              </w:rPr>
            </w:pPr>
            <w:r>
              <w:rPr>
                <w:color w:val="auto"/>
                <w:highlight w:val="none"/>
              </w:rPr>
              <w:t> </w:t>
            </w:r>
          </w:p>
        </w:tc>
      </w:tr>
      <w:tr w14:paraId="3140012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08432">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80D35">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D3486">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3A41F">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07FB8">
            <w:pPr>
              <w:pStyle w:val="11"/>
              <w:spacing w:beforeAutospacing="0" w:afterAutospacing="0"/>
              <w:jc w:val="center"/>
              <w:rPr>
                <w:color w:val="auto"/>
                <w:highlight w:val="none"/>
              </w:rPr>
            </w:pPr>
            <w:r>
              <w:rPr>
                <w:color w:val="auto"/>
                <w:highlight w:val="none"/>
              </w:rPr>
              <w:t> </w:t>
            </w:r>
          </w:p>
        </w:tc>
      </w:tr>
      <w:tr w14:paraId="3665F2E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705EF">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1678D">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79538">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2848C">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9041D">
            <w:pPr>
              <w:pStyle w:val="11"/>
              <w:spacing w:beforeAutospacing="0" w:afterAutospacing="0"/>
              <w:jc w:val="center"/>
              <w:rPr>
                <w:color w:val="auto"/>
                <w:highlight w:val="none"/>
              </w:rPr>
            </w:pPr>
            <w:r>
              <w:rPr>
                <w:color w:val="auto"/>
                <w:highlight w:val="none"/>
              </w:rPr>
              <w:t> </w:t>
            </w:r>
          </w:p>
        </w:tc>
      </w:tr>
      <w:tr w14:paraId="41BE708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F68AF">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CDCD2">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52004">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423EA">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64153">
            <w:pPr>
              <w:pStyle w:val="11"/>
              <w:spacing w:beforeAutospacing="0" w:afterAutospacing="0"/>
              <w:jc w:val="center"/>
              <w:rPr>
                <w:color w:val="auto"/>
                <w:highlight w:val="none"/>
              </w:rPr>
            </w:pPr>
            <w:r>
              <w:rPr>
                <w:color w:val="auto"/>
                <w:highlight w:val="none"/>
              </w:rPr>
              <w:t> </w:t>
            </w:r>
          </w:p>
        </w:tc>
      </w:tr>
      <w:tr w14:paraId="0C985F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FFC98">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55C64">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1AE6E">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A156C">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B8FA">
            <w:pPr>
              <w:pStyle w:val="11"/>
              <w:spacing w:beforeAutospacing="0" w:afterAutospacing="0"/>
              <w:jc w:val="center"/>
              <w:rPr>
                <w:color w:val="auto"/>
                <w:highlight w:val="none"/>
              </w:rPr>
            </w:pPr>
            <w:r>
              <w:rPr>
                <w:color w:val="auto"/>
                <w:highlight w:val="none"/>
              </w:rPr>
              <w:t> </w:t>
            </w:r>
          </w:p>
        </w:tc>
      </w:tr>
      <w:tr w14:paraId="7EDA08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8E60A">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63D52">
            <w:pPr>
              <w:pStyle w:val="11"/>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6A8CB">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C9CEB">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C727">
            <w:pPr>
              <w:pStyle w:val="11"/>
              <w:spacing w:beforeAutospacing="0" w:afterAutospacing="0"/>
              <w:jc w:val="center"/>
              <w:rPr>
                <w:color w:val="auto"/>
                <w:highlight w:val="none"/>
              </w:rPr>
            </w:pPr>
            <w:r>
              <w:rPr>
                <w:color w:val="auto"/>
                <w:highlight w:val="none"/>
              </w:rPr>
              <w:t> </w:t>
            </w:r>
          </w:p>
        </w:tc>
      </w:tr>
    </w:tbl>
    <w:p w14:paraId="72F5297B">
      <w:pPr>
        <w:pStyle w:val="11"/>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7D76B506">
      <w:pPr>
        <w:pStyle w:val="11"/>
        <w:spacing w:beforeAutospacing="0" w:afterAutospacing="0" w:line="480" w:lineRule="auto"/>
        <w:jc w:val="both"/>
        <w:rPr>
          <w:color w:val="auto"/>
          <w:highlight w:val="none"/>
        </w:rPr>
      </w:pPr>
      <w:r>
        <w:rPr>
          <w:color w:val="auto"/>
          <w:highlight w:val="none"/>
        </w:rPr>
        <w:t> </w:t>
      </w:r>
    </w:p>
    <w:p w14:paraId="55CA87F7">
      <w:pPr>
        <w:pStyle w:val="11"/>
        <w:spacing w:beforeAutospacing="0" w:afterAutospacing="0" w:line="480" w:lineRule="auto"/>
        <w:jc w:val="both"/>
        <w:rPr>
          <w:color w:val="auto"/>
          <w:highlight w:val="none"/>
        </w:rPr>
      </w:pPr>
      <w:r>
        <w:rPr>
          <w:color w:val="auto"/>
          <w:highlight w:val="none"/>
        </w:rPr>
        <w:t> </w:t>
      </w:r>
    </w:p>
    <w:p w14:paraId="09BB21B8">
      <w:pPr>
        <w:pStyle w:val="11"/>
        <w:spacing w:beforeAutospacing="0" w:afterAutospacing="0"/>
        <w:jc w:val="center"/>
        <w:rPr>
          <w:color w:val="auto"/>
          <w:highlight w:val="none"/>
        </w:rPr>
      </w:pPr>
      <w:bookmarkStart w:id="193" w:name="_Hlt26955066"/>
      <w:bookmarkStart w:id="194" w:name="_格式2__法定代表人授权书"/>
      <w:bookmarkStart w:id="195" w:name="_Toc462564146"/>
      <w:bookmarkStart w:id="196" w:name="_Hlt26609389"/>
      <w:bookmarkStart w:id="197" w:name="_Hlt26671374"/>
      <w:r>
        <w:rPr>
          <w:color w:val="auto"/>
          <w:highlight w:val="none"/>
        </w:rPr>
        <w:t> </w:t>
      </w:r>
    </w:p>
    <w:p w14:paraId="44E1DEF6">
      <w:pPr>
        <w:pStyle w:val="11"/>
        <w:spacing w:beforeAutospacing="0" w:afterAutospacing="0"/>
        <w:jc w:val="center"/>
        <w:rPr>
          <w:color w:val="auto"/>
          <w:highlight w:val="none"/>
        </w:rPr>
      </w:pPr>
      <w:r>
        <w:rPr>
          <w:color w:val="auto"/>
          <w:highlight w:val="none"/>
        </w:rPr>
        <w:t> </w:t>
      </w:r>
    </w:p>
    <w:p w14:paraId="1169076F">
      <w:pPr>
        <w:pStyle w:val="11"/>
        <w:spacing w:beforeAutospacing="0" w:afterAutospacing="0"/>
        <w:jc w:val="center"/>
        <w:rPr>
          <w:color w:val="auto"/>
          <w:highlight w:val="none"/>
        </w:rPr>
      </w:pPr>
      <w:r>
        <w:rPr>
          <w:color w:val="auto"/>
          <w:highlight w:val="none"/>
        </w:rPr>
        <w:t> </w:t>
      </w:r>
    </w:p>
    <w:p w14:paraId="05F6A496">
      <w:pPr>
        <w:pStyle w:val="11"/>
        <w:spacing w:beforeAutospacing="0" w:afterAutospacing="0"/>
        <w:jc w:val="center"/>
        <w:rPr>
          <w:color w:val="auto"/>
          <w:highlight w:val="none"/>
        </w:rPr>
      </w:pPr>
      <w:r>
        <w:rPr>
          <w:color w:val="auto"/>
          <w:highlight w:val="none"/>
        </w:rPr>
        <w:t> </w:t>
      </w:r>
    </w:p>
    <w:p w14:paraId="0CA17605">
      <w:pPr>
        <w:pStyle w:val="11"/>
        <w:spacing w:beforeAutospacing="0" w:afterAutospacing="0"/>
        <w:jc w:val="center"/>
        <w:rPr>
          <w:color w:val="auto"/>
          <w:highlight w:val="none"/>
        </w:rPr>
      </w:pPr>
      <w:r>
        <w:rPr>
          <w:color w:val="auto"/>
          <w:highlight w:val="none"/>
        </w:rPr>
        <w:t> </w:t>
      </w:r>
    </w:p>
    <w:p w14:paraId="0F9F9845">
      <w:pPr>
        <w:pStyle w:val="11"/>
        <w:spacing w:beforeAutospacing="0" w:afterAutospacing="0"/>
        <w:jc w:val="center"/>
        <w:rPr>
          <w:color w:val="auto"/>
          <w:highlight w:val="none"/>
        </w:rPr>
      </w:pPr>
      <w:r>
        <w:rPr>
          <w:color w:val="auto"/>
          <w:highlight w:val="none"/>
        </w:rPr>
        <w:t> </w:t>
      </w:r>
    </w:p>
    <w:p w14:paraId="6AB78516">
      <w:pPr>
        <w:pStyle w:val="11"/>
        <w:spacing w:beforeAutospacing="0" w:afterAutospacing="0"/>
        <w:jc w:val="center"/>
        <w:rPr>
          <w:color w:val="auto"/>
          <w:highlight w:val="none"/>
        </w:rPr>
      </w:pPr>
    </w:p>
    <w:p w14:paraId="1B596214">
      <w:pPr>
        <w:pStyle w:val="11"/>
        <w:spacing w:beforeAutospacing="0" w:afterAutospacing="0"/>
        <w:jc w:val="center"/>
        <w:rPr>
          <w:color w:val="auto"/>
          <w:highlight w:val="none"/>
        </w:rPr>
      </w:pPr>
    </w:p>
    <w:p w14:paraId="27ED14E9">
      <w:pPr>
        <w:pStyle w:val="11"/>
        <w:spacing w:beforeAutospacing="0" w:afterAutospacing="0"/>
        <w:jc w:val="center"/>
        <w:rPr>
          <w:color w:val="auto"/>
          <w:highlight w:val="none"/>
        </w:rPr>
      </w:pPr>
    </w:p>
    <w:p w14:paraId="71ECEF7A">
      <w:pPr>
        <w:pStyle w:val="11"/>
        <w:spacing w:beforeAutospacing="0" w:afterAutospacing="0"/>
        <w:jc w:val="center"/>
        <w:rPr>
          <w:color w:val="auto"/>
          <w:highlight w:val="none"/>
        </w:rPr>
      </w:pPr>
    </w:p>
    <w:p w14:paraId="29458EB7">
      <w:pPr>
        <w:pStyle w:val="11"/>
        <w:spacing w:beforeAutospacing="0" w:afterAutospacing="0"/>
        <w:jc w:val="center"/>
        <w:rPr>
          <w:color w:val="auto"/>
          <w:highlight w:val="none"/>
        </w:rPr>
      </w:pPr>
    </w:p>
    <w:p w14:paraId="30AAA3A2">
      <w:pPr>
        <w:pStyle w:val="11"/>
        <w:spacing w:beforeAutospacing="0" w:afterAutospacing="0"/>
        <w:jc w:val="center"/>
        <w:rPr>
          <w:color w:val="auto"/>
          <w:highlight w:val="none"/>
        </w:rPr>
      </w:pPr>
    </w:p>
    <w:p w14:paraId="679B67E8">
      <w:pPr>
        <w:pStyle w:val="11"/>
        <w:spacing w:beforeAutospacing="0" w:afterAutospacing="0"/>
        <w:jc w:val="center"/>
        <w:rPr>
          <w:color w:val="auto"/>
          <w:highlight w:val="none"/>
        </w:rPr>
      </w:pPr>
    </w:p>
    <w:p w14:paraId="2635429C">
      <w:pPr>
        <w:pStyle w:val="11"/>
        <w:spacing w:beforeAutospacing="0" w:afterAutospacing="0"/>
        <w:jc w:val="center"/>
        <w:rPr>
          <w:color w:val="auto"/>
          <w:highlight w:val="none"/>
        </w:rPr>
      </w:pPr>
    </w:p>
    <w:p w14:paraId="5E2E9E0A">
      <w:pPr>
        <w:pStyle w:val="11"/>
        <w:spacing w:beforeAutospacing="0" w:afterAutospacing="0"/>
        <w:jc w:val="center"/>
        <w:rPr>
          <w:color w:val="auto"/>
          <w:highlight w:val="none"/>
        </w:rPr>
      </w:pPr>
    </w:p>
    <w:p w14:paraId="4926D1B4">
      <w:pPr>
        <w:pStyle w:val="11"/>
        <w:spacing w:beforeAutospacing="0" w:afterAutospacing="0"/>
        <w:jc w:val="center"/>
        <w:rPr>
          <w:color w:val="auto"/>
          <w:highlight w:val="none"/>
        </w:rPr>
      </w:pPr>
      <w:r>
        <w:rPr>
          <w:color w:val="auto"/>
          <w:highlight w:val="none"/>
        </w:rPr>
        <w:t> </w:t>
      </w:r>
    </w:p>
    <w:p w14:paraId="4F0FC846">
      <w:pPr>
        <w:pStyle w:val="11"/>
        <w:spacing w:beforeAutospacing="0" w:afterAutospacing="0"/>
        <w:jc w:val="center"/>
        <w:rPr>
          <w:color w:val="auto"/>
          <w:highlight w:val="none"/>
        </w:rPr>
      </w:pPr>
      <w:r>
        <w:rPr>
          <w:color w:val="auto"/>
          <w:highlight w:val="none"/>
        </w:rPr>
        <w:t> </w:t>
      </w:r>
    </w:p>
    <w:p w14:paraId="1130F238">
      <w:pPr>
        <w:pStyle w:val="11"/>
        <w:spacing w:beforeAutospacing="0" w:afterAutospacing="0"/>
        <w:jc w:val="center"/>
        <w:rPr>
          <w:color w:val="auto"/>
          <w:highlight w:val="none"/>
        </w:rPr>
      </w:pPr>
      <w:r>
        <w:rPr>
          <w:color w:val="auto"/>
          <w:highlight w:val="none"/>
        </w:rPr>
        <w:t> </w:t>
      </w:r>
    </w:p>
    <w:p w14:paraId="58D06506">
      <w:pPr>
        <w:pStyle w:val="11"/>
        <w:spacing w:beforeAutospacing="0" w:afterAutospacing="0"/>
        <w:jc w:val="center"/>
        <w:rPr>
          <w:color w:val="auto"/>
          <w:highlight w:val="none"/>
          <w:shd w:val="clear" w:color="auto" w:fill="auto"/>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六</w:t>
      </w:r>
      <w:r>
        <w:rPr>
          <w:rFonts w:hint="eastAsia" w:ascii="黑体" w:hAnsi="宋体" w:eastAsia="黑体" w:cs="黑体"/>
          <w:b/>
          <w:i/>
          <w:color w:val="auto"/>
          <w:sz w:val="32"/>
          <w:szCs w:val="32"/>
          <w:highlight w:val="none"/>
          <w:u w:val="single"/>
        </w:rPr>
        <w:t>、开标一览表</w:t>
      </w:r>
    </w:p>
    <w:p w14:paraId="363941EA">
      <w:pPr>
        <w:pBdr>
          <w:top w:val="none" w:color="auto" w:sz="0" w:space="0"/>
          <w:left w:val="none" w:color="auto" w:sz="0" w:space="0"/>
          <w:bottom w:val="none" w:color="auto" w:sz="0" w:space="0"/>
          <w:right w:val="none" w:color="auto" w:sz="0" w:space="0"/>
        </w:pBdr>
        <w:spacing w:before="240" w:after="240"/>
        <w:ind w:left="0" w:right="0" w:firstLine="0"/>
        <w:rPr>
          <w:color w:val="auto"/>
        </w:rPr>
      </w:pPr>
      <w:r>
        <w:rPr>
          <w:rFonts w:ascii="宋体" w:hAnsi="宋体" w:eastAsia="宋体" w:cs="宋体"/>
          <w:color w:val="auto"/>
          <w:sz w:val="21"/>
        </w:rPr>
        <w:t>投标人全称（CA公章）：</w:t>
      </w:r>
    </w:p>
    <w:p w14:paraId="7E6CCDCB">
      <w:pPr>
        <w:pBdr>
          <w:top w:val="none" w:color="auto" w:sz="0" w:space="0"/>
          <w:left w:val="none" w:color="auto" w:sz="0" w:space="0"/>
          <w:bottom w:val="none" w:color="auto" w:sz="0" w:space="0"/>
          <w:right w:val="none" w:color="auto" w:sz="0" w:space="0"/>
        </w:pBdr>
        <w:spacing w:before="240" w:after="240"/>
        <w:ind w:left="0" w:right="0" w:firstLine="0"/>
        <w:rPr>
          <w:color w:val="auto"/>
        </w:rPr>
      </w:pPr>
      <w:r>
        <w:rPr>
          <w:rFonts w:ascii="宋体" w:hAnsi="宋体" w:eastAsia="宋体" w:cs="宋体"/>
          <w:color w:val="auto"/>
          <w:sz w:val="21"/>
        </w:rPr>
        <w:t>项目名称：</w:t>
      </w:r>
    </w:p>
    <w:p w14:paraId="1EE2D1C0">
      <w:pPr>
        <w:pBdr>
          <w:top w:val="none" w:color="auto" w:sz="0" w:space="0"/>
          <w:left w:val="none" w:color="auto" w:sz="0" w:space="0"/>
          <w:bottom w:val="none" w:color="auto" w:sz="0" w:space="0"/>
          <w:right w:val="none" w:color="auto" w:sz="0" w:space="0"/>
        </w:pBdr>
        <w:spacing w:before="240" w:after="240"/>
        <w:ind w:left="0" w:right="0" w:firstLine="0"/>
        <w:rPr>
          <w:rFonts w:hint="eastAsia" w:eastAsia="宋体"/>
          <w:color w:val="auto"/>
          <w:lang w:eastAsia="zh-CN"/>
        </w:rPr>
      </w:pPr>
      <w:r>
        <w:rPr>
          <w:rFonts w:ascii="宋体" w:hAnsi="宋体" w:eastAsia="宋体" w:cs="宋体"/>
          <w:color w:val="auto"/>
          <w:sz w:val="21"/>
        </w:rPr>
        <w:t>项目编号：</w:t>
      </w:r>
    </w:p>
    <w:p w14:paraId="3DD39CE3">
      <w:pPr>
        <w:pBdr>
          <w:top w:val="none" w:color="auto" w:sz="0" w:space="0"/>
          <w:left w:val="none" w:color="auto" w:sz="0" w:space="0"/>
          <w:bottom w:val="none" w:color="auto" w:sz="0" w:space="0"/>
          <w:right w:val="none" w:color="auto" w:sz="0" w:space="0"/>
        </w:pBdr>
        <w:spacing w:before="240" w:after="240"/>
        <w:ind w:left="0" w:right="0" w:firstLine="0"/>
        <w:rPr>
          <w:color w:val="auto"/>
        </w:rPr>
      </w:pPr>
      <w:r>
        <w:rPr>
          <w:rFonts w:ascii="宋体" w:hAnsi="宋体" w:eastAsia="宋体" w:cs="宋体"/>
          <w:color w:val="auto"/>
          <w:sz w:val="21"/>
        </w:rPr>
        <w:t>分包号：</w:t>
      </w:r>
    </w:p>
    <w:tbl>
      <w:tblPr>
        <w:tblStyle w:val="13"/>
        <w:tblpPr w:leftFromText="180" w:rightFromText="180" w:vertAnchor="text" w:horzAnchor="page" w:tblpX="1623" w:tblpY="515"/>
        <w:tblOverlap w:val="neve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262"/>
        <w:gridCol w:w="2629"/>
        <w:gridCol w:w="2445"/>
      </w:tblGrid>
      <w:tr w14:paraId="2C437A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387" w:type="dxa"/>
            <w:tcBorders>
              <w:top w:val="single" w:color="808080" w:sz="8" w:space="0"/>
              <w:left w:val="single" w:color="808080" w:sz="8" w:space="0"/>
              <w:bottom w:val="single" w:color="808080" w:sz="8" w:space="0"/>
              <w:right w:val="single" w:color="808080" w:sz="8" w:space="0"/>
            </w:tcBorders>
            <w:noWrap w:val="0"/>
            <w:tcMar>
              <w:top w:w="15" w:type="dxa"/>
              <w:left w:w="15" w:type="dxa"/>
              <w:bottom w:w="15" w:type="dxa"/>
              <w:right w:w="15" w:type="dxa"/>
            </w:tcMar>
            <w:vAlign w:val="center"/>
          </w:tcPr>
          <w:p w14:paraId="25F47EBA">
            <w:pPr>
              <w:pBdr>
                <w:top w:val="none" w:color="000000" w:sz="0" w:space="0"/>
                <w:left w:val="none" w:color="000000" w:sz="0" w:space="0"/>
                <w:bottom w:val="none" w:color="000000" w:sz="0" w:space="0"/>
                <w:right w:val="none" w:color="000000" w:sz="0" w:space="0"/>
              </w:pBdr>
              <w:spacing w:before="240" w:after="240" w:line="240" w:lineRule="auto"/>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项目名称</w:t>
            </w:r>
          </w:p>
        </w:tc>
        <w:tc>
          <w:tcPr>
            <w:tcW w:w="2743" w:type="dxa"/>
            <w:tcBorders>
              <w:top w:val="single" w:color="808080" w:sz="8" w:space="0"/>
              <w:left w:val="nil"/>
              <w:bottom w:val="single" w:color="808080" w:sz="8" w:space="0"/>
              <w:right w:val="single" w:color="808080" w:sz="8" w:space="0"/>
            </w:tcBorders>
            <w:noWrap w:val="0"/>
            <w:tcMar>
              <w:top w:w="15" w:type="dxa"/>
              <w:left w:w="15" w:type="dxa"/>
              <w:bottom w:w="15" w:type="dxa"/>
              <w:right w:w="15" w:type="dxa"/>
            </w:tcMar>
            <w:vAlign w:val="center"/>
          </w:tcPr>
          <w:p w14:paraId="0814451A">
            <w:pPr>
              <w:pBdr>
                <w:top w:val="none" w:color="000000" w:sz="0" w:space="0"/>
                <w:left w:val="none" w:color="000000" w:sz="0" w:space="0"/>
                <w:bottom w:val="none" w:color="000000" w:sz="0" w:space="0"/>
                <w:right w:val="none" w:color="000000" w:sz="0" w:space="0"/>
              </w:pBdr>
              <w:spacing w:before="240" w:after="240" w:line="240" w:lineRule="auto"/>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项目内容</w:t>
            </w:r>
          </w:p>
        </w:tc>
        <w:tc>
          <w:tcPr>
            <w:tcW w:w="2540" w:type="dxa"/>
            <w:tcBorders>
              <w:top w:val="single" w:color="808080" w:sz="8" w:space="0"/>
              <w:left w:val="nil"/>
              <w:bottom w:val="single" w:color="808080" w:sz="8" w:space="0"/>
              <w:right w:val="single" w:color="808080" w:sz="8" w:space="0"/>
            </w:tcBorders>
            <w:noWrap w:val="0"/>
            <w:tcMar>
              <w:top w:w="15" w:type="dxa"/>
              <w:left w:w="15" w:type="dxa"/>
              <w:bottom w:w="15" w:type="dxa"/>
              <w:right w:w="15" w:type="dxa"/>
            </w:tcMar>
            <w:vAlign w:val="center"/>
          </w:tcPr>
          <w:p w14:paraId="141A3BDC">
            <w:pPr>
              <w:pBdr>
                <w:top w:val="none" w:color="000000" w:sz="0" w:space="0"/>
                <w:left w:val="none" w:color="000000" w:sz="0" w:space="0"/>
                <w:bottom w:val="none" w:color="000000" w:sz="0" w:space="0"/>
                <w:right w:val="none" w:color="000000" w:sz="0" w:space="0"/>
              </w:pBdr>
              <w:spacing w:before="240" w:after="240" w:line="240" w:lineRule="auto"/>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总价（小写）</w:t>
            </w:r>
          </w:p>
        </w:tc>
      </w:tr>
      <w:tr w14:paraId="03B473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1" w:hRule="atLeast"/>
        </w:trPr>
        <w:tc>
          <w:tcPr>
            <w:tcW w:w="3387" w:type="dxa"/>
            <w:tcBorders>
              <w:top w:val="nil"/>
              <w:left w:val="single" w:color="808080" w:sz="8" w:space="0"/>
              <w:bottom w:val="single" w:color="808080" w:sz="8" w:space="0"/>
              <w:right w:val="single" w:color="808080" w:sz="8" w:space="0"/>
            </w:tcBorders>
            <w:noWrap w:val="0"/>
            <w:tcMar>
              <w:top w:w="15" w:type="dxa"/>
              <w:left w:w="15" w:type="dxa"/>
              <w:bottom w:w="15" w:type="dxa"/>
              <w:right w:w="15" w:type="dxa"/>
            </w:tcMar>
            <w:vAlign w:val="center"/>
          </w:tcPr>
          <w:p w14:paraId="2555E363">
            <w:pPr>
              <w:widowControl/>
              <w:spacing w:after="0" w:line="560" w:lineRule="exact"/>
              <w:jc w:val="center"/>
              <w:rPr>
                <w:rFonts w:asciiTheme="minorEastAsia" w:hAnsiTheme="minorEastAsia" w:cstheme="minorEastAsia"/>
                <w:color w:val="auto"/>
                <w:sz w:val="21"/>
                <w:szCs w:val="21"/>
                <w:highlight w:val="none"/>
              </w:rPr>
            </w:pPr>
          </w:p>
        </w:tc>
        <w:tc>
          <w:tcPr>
            <w:tcW w:w="2743" w:type="dxa"/>
            <w:tcBorders>
              <w:top w:val="nil"/>
              <w:left w:val="nil"/>
              <w:bottom w:val="single" w:color="808080" w:sz="8" w:space="0"/>
              <w:right w:val="single" w:color="808080" w:sz="8" w:space="0"/>
            </w:tcBorders>
            <w:noWrap w:val="0"/>
            <w:tcMar>
              <w:top w:w="15" w:type="dxa"/>
              <w:left w:w="15" w:type="dxa"/>
              <w:bottom w:w="15" w:type="dxa"/>
              <w:right w:w="15" w:type="dxa"/>
            </w:tcMar>
            <w:vAlign w:val="center"/>
          </w:tcPr>
          <w:p w14:paraId="44303AD6">
            <w:pPr>
              <w:pBdr>
                <w:top w:val="none" w:color="000000" w:sz="0" w:space="0"/>
                <w:left w:val="none" w:color="000000" w:sz="0" w:space="0"/>
                <w:bottom w:val="none" w:color="000000" w:sz="0" w:space="0"/>
                <w:right w:val="none" w:color="000000" w:sz="0" w:space="0"/>
              </w:pBdr>
              <w:spacing w:before="240" w:after="240" w:line="240" w:lineRule="auto"/>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详见投标文件</w:t>
            </w:r>
          </w:p>
        </w:tc>
        <w:tc>
          <w:tcPr>
            <w:tcW w:w="2540" w:type="dxa"/>
            <w:tcBorders>
              <w:top w:val="nil"/>
              <w:left w:val="nil"/>
              <w:bottom w:val="single" w:color="808080" w:sz="8" w:space="0"/>
              <w:right w:val="single" w:color="808080" w:sz="8" w:space="0"/>
            </w:tcBorders>
            <w:noWrap w:val="0"/>
            <w:tcMar>
              <w:top w:w="15" w:type="dxa"/>
              <w:left w:w="15" w:type="dxa"/>
              <w:bottom w:w="15" w:type="dxa"/>
              <w:right w:w="15" w:type="dxa"/>
            </w:tcMar>
            <w:vAlign w:val="center"/>
          </w:tcPr>
          <w:p w14:paraId="541695AA">
            <w:pPr>
              <w:pBdr>
                <w:top w:val="none" w:color="000000" w:sz="0" w:space="0"/>
                <w:left w:val="none" w:color="000000" w:sz="0" w:space="0"/>
                <w:bottom w:val="none" w:color="000000" w:sz="0" w:space="0"/>
                <w:right w:val="none" w:color="000000" w:sz="0" w:space="0"/>
              </w:pBdr>
              <w:spacing w:before="240" w:after="240" w:line="240" w:lineRule="auto"/>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元</w:t>
            </w:r>
          </w:p>
        </w:tc>
      </w:tr>
      <w:tr w14:paraId="24A2A96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26" w:hRule="atLeast"/>
        </w:trPr>
        <w:tc>
          <w:tcPr>
            <w:tcW w:w="3387" w:type="dxa"/>
            <w:tcBorders>
              <w:top w:val="nil"/>
              <w:left w:val="single" w:color="808080" w:sz="8" w:space="0"/>
              <w:bottom w:val="single" w:color="808080" w:sz="8" w:space="0"/>
              <w:right w:val="single" w:color="808080" w:sz="8" w:space="0"/>
            </w:tcBorders>
            <w:noWrap w:val="0"/>
            <w:tcMar>
              <w:top w:w="15" w:type="dxa"/>
              <w:left w:w="15" w:type="dxa"/>
              <w:bottom w:w="15" w:type="dxa"/>
              <w:right w:w="15" w:type="dxa"/>
            </w:tcMar>
            <w:vAlign w:val="center"/>
          </w:tcPr>
          <w:p w14:paraId="2EDE518D">
            <w:pPr>
              <w:pBdr>
                <w:top w:val="none" w:color="000000" w:sz="0" w:space="0"/>
                <w:left w:val="none" w:color="000000" w:sz="0" w:space="0"/>
                <w:bottom w:val="none" w:color="000000" w:sz="0" w:space="0"/>
                <w:right w:val="none" w:color="000000" w:sz="0" w:space="0"/>
              </w:pBdr>
              <w:spacing w:before="240" w:after="240" w:line="240" w:lineRule="auto"/>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总价（大写）：</w:t>
            </w:r>
          </w:p>
        </w:tc>
        <w:tc>
          <w:tcPr>
            <w:tcW w:w="5283" w:type="dxa"/>
            <w:gridSpan w:val="2"/>
            <w:tcBorders>
              <w:top w:val="nil"/>
              <w:left w:val="nil"/>
              <w:bottom w:val="single" w:color="808080" w:sz="8" w:space="0"/>
              <w:right w:val="single" w:color="808080" w:sz="8" w:space="0"/>
            </w:tcBorders>
            <w:noWrap w:val="0"/>
            <w:tcMar>
              <w:top w:w="15" w:type="dxa"/>
              <w:left w:w="15" w:type="dxa"/>
              <w:bottom w:w="15" w:type="dxa"/>
              <w:right w:w="15" w:type="dxa"/>
            </w:tcMar>
            <w:vAlign w:val="center"/>
          </w:tcPr>
          <w:p w14:paraId="576B52A8">
            <w:pPr>
              <w:pBdr>
                <w:top w:val="none" w:color="000000" w:sz="0" w:space="0"/>
                <w:left w:val="none" w:color="000000" w:sz="0" w:space="0"/>
                <w:bottom w:val="none" w:color="000000" w:sz="0" w:space="0"/>
                <w:right w:val="none" w:color="000000" w:sz="0" w:space="0"/>
              </w:pBdr>
              <w:spacing w:before="240" w:after="240" w:line="240" w:lineRule="auto"/>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金额大写</w:t>
            </w:r>
          </w:p>
        </w:tc>
      </w:tr>
    </w:tbl>
    <w:p w14:paraId="43B1DAB1">
      <w:pPr>
        <w:pBdr>
          <w:top w:val="none" w:color="auto" w:sz="0" w:space="0"/>
          <w:left w:val="none" w:color="auto" w:sz="0" w:space="0"/>
          <w:bottom w:val="none" w:color="auto" w:sz="0" w:space="0"/>
          <w:right w:val="none" w:color="auto" w:sz="0" w:space="0"/>
        </w:pBdr>
        <w:spacing w:before="240" w:after="240"/>
        <w:ind w:left="0" w:right="0" w:firstLine="0"/>
        <w:rPr>
          <w:color w:val="auto"/>
        </w:rPr>
      </w:pPr>
      <w:r>
        <w:rPr>
          <w:rFonts w:ascii="宋体" w:hAnsi="宋体" w:eastAsia="宋体" w:cs="宋体"/>
          <w:color w:val="auto"/>
          <w:sz w:val="21"/>
        </w:rPr>
        <w:t>  </w:t>
      </w:r>
    </w:p>
    <w:p w14:paraId="62536BAB">
      <w:pPr>
        <w:pStyle w:val="11"/>
        <w:spacing w:beforeAutospacing="0" w:afterAutospacing="0"/>
        <w:jc w:val="both"/>
        <w:rPr>
          <w:color w:val="auto"/>
          <w:highlight w:val="none"/>
          <w:shd w:val="clear" w:color="auto" w:fill="auto"/>
        </w:rPr>
      </w:pPr>
      <w:r>
        <w:rPr>
          <w:rFonts w:ascii="宋体" w:hAnsi="宋体" w:eastAsia="宋体" w:cs="宋体"/>
          <w:color w:val="auto"/>
          <w:sz w:val="21"/>
        </w:rPr>
        <w:t>日期：    年  月  日</w:t>
      </w:r>
      <w:r>
        <w:rPr>
          <w:color w:val="auto"/>
          <w:highlight w:val="none"/>
          <w:shd w:val="clear" w:color="auto" w:fill="auto"/>
        </w:rPr>
        <w:t> </w:t>
      </w:r>
    </w:p>
    <w:p w14:paraId="64063F9E">
      <w:pPr>
        <w:pStyle w:val="11"/>
        <w:spacing w:beforeAutospacing="0" w:afterAutospacing="0"/>
        <w:jc w:val="center"/>
        <w:rPr>
          <w:rFonts w:ascii="宋体" w:hAnsi="宋体" w:eastAsia="宋体" w:cs="宋体"/>
          <w:b/>
          <w:color w:val="auto"/>
          <w:sz w:val="32"/>
          <w:szCs w:val="32"/>
          <w:highlight w:val="none"/>
          <w:shd w:val="clear" w:color="auto" w:fill="auto"/>
        </w:rPr>
      </w:pPr>
    </w:p>
    <w:p w14:paraId="6FE4C630">
      <w:pPr>
        <w:pStyle w:val="11"/>
        <w:spacing w:beforeAutospacing="0" w:afterAutospacing="0"/>
        <w:rPr>
          <w:rFonts w:ascii="宋体" w:hAnsi="宋体" w:eastAsia="宋体" w:cs="宋体"/>
          <w:b/>
          <w:color w:val="auto"/>
          <w:sz w:val="32"/>
          <w:szCs w:val="32"/>
          <w:highlight w:val="none"/>
        </w:rPr>
      </w:pPr>
    </w:p>
    <w:p w14:paraId="356E49F5">
      <w:pPr>
        <w:pStyle w:val="11"/>
        <w:spacing w:beforeAutospacing="0" w:afterAutospacing="0"/>
        <w:rPr>
          <w:rFonts w:ascii="宋体" w:hAnsi="宋体" w:eastAsia="宋体" w:cs="宋体"/>
          <w:b/>
          <w:color w:val="auto"/>
          <w:sz w:val="32"/>
          <w:szCs w:val="32"/>
          <w:highlight w:val="none"/>
        </w:rPr>
      </w:pPr>
    </w:p>
    <w:p w14:paraId="7D027B27">
      <w:pPr>
        <w:widowControl/>
        <w:spacing w:before="50" w:after="50"/>
        <w:jc w:val="center"/>
        <w:rPr>
          <w:color w:val="auto"/>
          <w:highlight w:val="none"/>
        </w:rPr>
      </w:pPr>
      <w:r>
        <w:rPr>
          <w:color w:val="auto"/>
          <w:highlight w:val="none"/>
        </w:rPr>
        <w:tab/>
      </w:r>
    </w:p>
    <w:p w14:paraId="5192E7DC">
      <w:pPr>
        <w:widowControl/>
        <w:spacing w:before="50" w:after="50"/>
        <w:jc w:val="center"/>
        <w:rPr>
          <w:color w:val="auto"/>
          <w:highlight w:val="none"/>
        </w:rPr>
      </w:pPr>
    </w:p>
    <w:p w14:paraId="6F50A9E6">
      <w:pPr>
        <w:widowControl/>
        <w:spacing w:before="50" w:after="50"/>
        <w:jc w:val="center"/>
        <w:rPr>
          <w:color w:val="auto"/>
          <w:highlight w:val="none"/>
        </w:rPr>
      </w:pPr>
    </w:p>
    <w:p w14:paraId="6122C758">
      <w:pPr>
        <w:widowControl/>
        <w:spacing w:before="50" w:after="50"/>
        <w:jc w:val="center"/>
        <w:rPr>
          <w:color w:val="auto"/>
          <w:highlight w:val="none"/>
        </w:rPr>
      </w:pPr>
    </w:p>
    <w:p w14:paraId="40F4336C">
      <w:pPr>
        <w:widowControl/>
        <w:spacing w:before="50" w:after="50"/>
        <w:jc w:val="center"/>
        <w:rPr>
          <w:color w:val="auto"/>
          <w:highlight w:val="none"/>
        </w:rPr>
      </w:pPr>
    </w:p>
    <w:p w14:paraId="0702052A">
      <w:pPr>
        <w:widowControl/>
        <w:spacing w:before="50" w:after="50"/>
        <w:jc w:val="center"/>
        <w:rPr>
          <w:color w:val="auto"/>
          <w:highlight w:val="none"/>
        </w:rPr>
      </w:pPr>
    </w:p>
    <w:p w14:paraId="6B3E5632">
      <w:pPr>
        <w:widowControl/>
        <w:spacing w:before="50" w:after="50"/>
        <w:jc w:val="center"/>
        <w:rPr>
          <w:color w:val="auto"/>
          <w:highlight w:val="none"/>
        </w:rPr>
      </w:pPr>
    </w:p>
    <w:p w14:paraId="6EBC8506">
      <w:pPr>
        <w:widowControl/>
        <w:spacing w:before="50" w:after="50"/>
        <w:jc w:val="center"/>
        <w:rPr>
          <w:color w:val="auto"/>
          <w:highlight w:val="none"/>
        </w:rPr>
      </w:pPr>
    </w:p>
    <w:p w14:paraId="02E7D8A3">
      <w:pPr>
        <w:widowControl/>
        <w:spacing w:before="50" w:after="50"/>
        <w:jc w:val="center"/>
        <w:rPr>
          <w:color w:val="auto"/>
          <w:highlight w:val="none"/>
        </w:rPr>
      </w:pPr>
    </w:p>
    <w:p w14:paraId="019741DA">
      <w:pPr>
        <w:widowControl/>
        <w:spacing w:before="50" w:after="50"/>
        <w:jc w:val="center"/>
        <w:rPr>
          <w:color w:val="auto"/>
          <w:highlight w:val="none"/>
        </w:rPr>
      </w:pPr>
    </w:p>
    <w:p w14:paraId="2EBC6336">
      <w:pPr>
        <w:widowControl/>
        <w:spacing w:before="50" w:after="50"/>
        <w:jc w:val="center"/>
        <w:rPr>
          <w:color w:val="auto"/>
          <w:highlight w:val="none"/>
        </w:rPr>
      </w:pPr>
    </w:p>
    <w:p w14:paraId="6DFF1AA2">
      <w:pPr>
        <w:widowControl/>
        <w:spacing w:before="50" w:after="50"/>
        <w:jc w:val="center"/>
        <w:rPr>
          <w:color w:val="auto"/>
          <w:highlight w:val="none"/>
        </w:rPr>
      </w:pPr>
    </w:p>
    <w:p w14:paraId="2695CAC7">
      <w:pPr>
        <w:widowControl/>
        <w:numPr>
          <w:ilvl w:val="0"/>
          <w:numId w:val="0"/>
        </w:numPr>
        <w:spacing w:before="50" w:after="50"/>
        <w:jc w:val="center"/>
        <w:rPr>
          <w:rFonts w:hint="eastAsia" w:ascii="黑体" w:hAnsi="宋体" w:eastAsia="黑体" w:cs="黑体"/>
          <w:b/>
          <w:color w:val="auto"/>
          <w:kern w:val="0"/>
          <w:sz w:val="32"/>
          <w:szCs w:val="32"/>
          <w:highlight w:val="none"/>
          <w:lang w:val="en-US" w:eastAsia="zh-CN" w:bidi="ar-SA"/>
        </w:rPr>
      </w:pPr>
      <w:r>
        <w:rPr>
          <w:rFonts w:hint="eastAsia" w:ascii="黑体" w:hAnsi="宋体" w:eastAsia="黑体" w:cs="黑体"/>
          <w:b/>
          <w:color w:val="auto"/>
          <w:kern w:val="0"/>
          <w:sz w:val="32"/>
          <w:szCs w:val="32"/>
          <w:highlight w:val="none"/>
          <w:lang w:val="en-US" w:eastAsia="zh-CN" w:bidi="ar-SA"/>
        </w:rPr>
        <w:t>十七、服务承诺</w:t>
      </w:r>
    </w:p>
    <w:p w14:paraId="4F16C443">
      <w:pPr>
        <w:pStyle w:val="29"/>
        <w:spacing w:beforeAutospacing="0" w:afterAutospacing="0"/>
        <w:jc w:val="center"/>
        <w:rPr>
          <w:rFonts w:hint="eastAsia" w:ascii="宋体" w:hAnsi="宋体" w:cs="宋体"/>
          <w:b/>
          <w:bCs/>
          <w:color w:val="auto"/>
          <w:szCs w:val="21"/>
          <w:highlight w:val="none"/>
        </w:rPr>
      </w:pPr>
      <w:bookmarkStart w:id="198" w:name="OLE_LINK26"/>
      <w:r>
        <w:rPr>
          <w:rFonts w:hint="eastAsia" w:ascii="黑体" w:hAnsi="宋体" w:eastAsia="黑体" w:cs="黑体"/>
          <w:b/>
          <w:color w:val="auto"/>
          <w:sz w:val="32"/>
          <w:szCs w:val="32"/>
          <w:highlight w:val="none"/>
        </w:rPr>
        <w:t>承诺</w:t>
      </w:r>
      <w:bookmarkEnd w:id="198"/>
      <w:r>
        <w:rPr>
          <w:rFonts w:hint="eastAsia" w:ascii="黑体" w:hAnsi="宋体" w:eastAsia="黑体" w:cs="黑体"/>
          <w:b/>
          <w:color w:val="auto"/>
          <w:sz w:val="32"/>
          <w:szCs w:val="32"/>
          <w:highlight w:val="none"/>
        </w:rPr>
        <w:t>书</w:t>
      </w:r>
    </w:p>
    <w:p w14:paraId="0A9DC29A">
      <w:pPr>
        <w:pStyle w:val="11"/>
        <w:spacing w:beforeAutospacing="0" w:afterAutospacing="0" w:line="360" w:lineRule="auto"/>
        <w:ind w:firstLine="4382"/>
        <w:jc w:val="both"/>
        <w:rPr>
          <w:rFonts w:hint="eastAsia" w:asciiTheme="minorEastAsia" w:hAnsiTheme="minorEastAsia" w:cstheme="minorEastAsia"/>
          <w:color w:val="auto"/>
          <w:highlight w:val="none"/>
        </w:rPr>
      </w:pPr>
    </w:p>
    <w:p w14:paraId="799F5116">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480" w:lineRule="auto"/>
        <w:ind w:right="255"/>
        <w:rPr>
          <w:rFonts w:hint="eastAsia" w:ascii="宋体" w:hAnsi="宋体" w:eastAsia="宋体" w:cs="宋体"/>
          <w:color w:val="auto"/>
          <w:sz w:val="21"/>
          <w:szCs w:val="21"/>
          <w:highlight w:val="none"/>
          <w:lang w:val="en-GB" w:bidi="ar"/>
        </w:rPr>
      </w:pPr>
      <w:r>
        <w:rPr>
          <w:rFonts w:hint="eastAsia" w:ascii="宋体" w:hAnsi="宋体" w:eastAsia="宋体" w:cs="宋体"/>
          <w:color w:val="auto"/>
          <w:sz w:val="21"/>
          <w:szCs w:val="21"/>
          <w:highlight w:val="none"/>
          <w:lang w:val="en-GB" w:bidi="ar"/>
        </w:rPr>
        <w:t>盐城市公安局</w:t>
      </w:r>
      <w:r>
        <w:rPr>
          <w:rFonts w:hint="eastAsia" w:ascii="宋体" w:hAnsi="宋体" w:eastAsia="宋体" w:cs="宋体"/>
          <w:color w:val="auto"/>
          <w:sz w:val="21"/>
          <w:szCs w:val="21"/>
          <w:highlight w:val="none"/>
          <w:lang w:val="en-GB" w:eastAsia="zh-CN" w:bidi="ar"/>
        </w:rPr>
        <w:t>盐南高新技术产业开发区</w:t>
      </w:r>
      <w:r>
        <w:rPr>
          <w:rFonts w:hint="eastAsia" w:ascii="宋体" w:hAnsi="宋体" w:eastAsia="宋体" w:cs="宋体"/>
          <w:color w:val="auto"/>
          <w:sz w:val="21"/>
          <w:szCs w:val="21"/>
          <w:highlight w:val="none"/>
          <w:lang w:val="en-GB" w:bidi="ar"/>
        </w:rPr>
        <w:t>分局：</w:t>
      </w:r>
    </w:p>
    <w:p w14:paraId="14F1D887">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480" w:lineRule="auto"/>
        <w:ind w:right="255" w:firstLine="480"/>
        <w:rPr>
          <w:rFonts w:hint="eastAsia" w:ascii="宋体" w:hAnsi="宋体" w:eastAsia="宋体" w:cs="宋体"/>
          <w:color w:val="auto"/>
          <w:sz w:val="21"/>
          <w:szCs w:val="21"/>
          <w:highlight w:val="none"/>
          <w:lang w:val="en-GB" w:bidi="ar"/>
        </w:rPr>
      </w:pPr>
      <w:r>
        <w:rPr>
          <w:rFonts w:hint="eastAsia" w:ascii="宋体" w:hAnsi="宋体" w:eastAsia="宋体" w:cs="宋体"/>
          <w:color w:val="auto"/>
          <w:sz w:val="21"/>
          <w:szCs w:val="21"/>
          <w:highlight w:val="none"/>
          <w:lang w:val="en-GB" w:bidi="ar"/>
        </w:rPr>
        <w:t>我司郑重承诺：</w:t>
      </w:r>
    </w:p>
    <w:p w14:paraId="2378A693">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480" w:lineRule="auto"/>
        <w:ind w:right="255" w:firstLine="480"/>
        <w:rPr>
          <w:rFonts w:hint="eastAsia" w:ascii="宋体" w:hAnsi="宋体" w:eastAsia="宋体" w:cs="宋体"/>
          <w:color w:val="auto"/>
          <w:sz w:val="21"/>
          <w:szCs w:val="21"/>
          <w:highlight w:val="none"/>
          <w:lang w:val="en-GB" w:bidi="ar"/>
        </w:rPr>
      </w:pPr>
      <w:r>
        <w:rPr>
          <w:rFonts w:hint="eastAsia" w:ascii="宋体" w:hAnsi="宋体" w:eastAsia="宋体" w:cs="宋体"/>
          <w:color w:val="auto"/>
          <w:sz w:val="21"/>
          <w:szCs w:val="21"/>
          <w:highlight w:val="none"/>
          <w:lang w:val="en-GB" w:bidi="ar"/>
        </w:rPr>
        <w:t>1、</w:t>
      </w:r>
      <w:r>
        <w:rPr>
          <w:rFonts w:hint="eastAsia" w:ascii="宋体" w:hAnsi="宋体" w:eastAsia="宋体" w:cs="宋体"/>
          <w:bCs/>
          <w:color w:val="auto"/>
          <w:sz w:val="21"/>
          <w:szCs w:val="21"/>
          <w:highlight w:val="none"/>
          <w:lang w:eastAsia="zh-CN"/>
        </w:rPr>
        <w:t>盐城市公安局盐南高新技术产业开发区分局智慧安防村居三期项目</w:t>
      </w:r>
      <w:r>
        <w:rPr>
          <w:rFonts w:hint="eastAsia" w:ascii="宋体" w:hAnsi="宋体" w:eastAsia="宋体" w:cs="宋体"/>
          <w:bCs/>
          <w:color w:val="auto"/>
          <w:sz w:val="21"/>
          <w:szCs w:val="21"/>
          <w:highlight w:val="none"/>
        </w:rPr>
        <w:t>免费售后（含质保及维保）运营服务期</w:t>
      </w:r>
      <w:r>
        <w:rPr>
          <w:rFonts w:hint="eastAsia" w:ascii="宋体" w:hAnsi="宋体" w:eastAsia="宋体" w:cs="宋体"/>
          <w:color w:val="auto"/>
          <w:sz w:val="21"/>
          <w:szCs w:val="21"/>
          <w:highlight w:val="none"/>
          <w:lang w:val="en-GB" w:bidi="ar"/>
        </w:rPr>
        <w:t>为自验收竣工之日起</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lang w:val="en-GB" w:bidi="ar"/>
        </w:rPr>
        <w:t>年。</w:t>
      </w:r>
    </w:p>
    <w:p w14:paraId="39DA8D21">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480" w:lineRule="auto"/>
        <w:ind w:right="255" w:firstLine="480"/>
        <w:rPr>
          <w:rFonts w:hint="eastAsia" w:ascii="宋体" w:hAnsi="宋体" w:eastAsia="宋体" w:cs="宋体"/>
          <w:color w:val="auto"/>
          <w:sz w:val="21"/>
          <w:szCs w:val="21"/>
          <w:highlight w:val="none"/>
          <w:lang w:val="en-GB" w:bidi="ar"/>
        </w:rPr>
      </w:pPr>
      <w:r>
        <w:rPr>
          <w:rFonts w:hint="eastAsia" w:ascii="宋体" w:hAnsi="宋体" w:eastAsia="宋体" w:cs="宋体"/>
          <w:color w:val="auto"/>
          <w:sz w:val="21"/>
          <w:szCs w:val="21"/>
          <w:highlight w:val="none"/>
          <w:lang w:val="en-GB" w:bidi="ar"/>
        </w:rPr>
        <w:t>2、每年免费为采购人提供不少于</w:t>
      </w:r>
      <w:r>
        <w:rPr>
          <w:rFonts w:hint="eastAsia" w:ascii="宋体" w:hAnsi="宋体" w:eastAsia="宋体" w:cs="宋体"/>
          <w:color w:val="auto"/>
          <w:sz w:val="21"/>
          <w:szCs w:val="21"/>
          <w:highlight w:val="none"/>
          <w:lang w:val="en-US" w:eastAsia="zh-CN" w:bidi="ar"/>
        </w:rPr>
        <w:t>30</w:t>
      </w:r>
      <w:r>
        <w:rPr>
          <w:rFonts w:hint="eastAsia" w:ascii="宋体" w:hAnsi="宋体" w:eastAsia="宋体" w:cs="宋体"/>
          <w:color w:val="auto"/>
          <w:sz w:val="21"/>
          <w:szCs w:val="21"/>
          <w:highlight w:val="none"/>
          <w:lang w:val="en-GB" w:bidi="ar"/>
        </w:rPr>
        <w:t>个点位的免费迁移服务，包含但不限于该点位所有设备、杆件、辅材、链路、接电、人工等，具体迁移点位由采购人决定，迁移过程中的所有费用由我司承担，超出上述点位数部分的迁移产生的所有费用由</w:t>
      </w:r>
      <w:r>
        <w:rPr>
          <w:rFonts w:hint="eastAsia" w:ascii="宋体" w:hAnsi="宋体" w:eastAsia="宋体" w:cs="宋体"/>
          <w:color w:val="auto"/>
          <w:sz w:val="21"/>
          <w:szCs w:val="21"/>
          <w:highlight w:val="none"/>
          <w:lang w:val="en-GB" w:eastAsia="zh-CN" w:bidi="ar"/>
        </w:rPr>
        <w:t>招标</w:t>
      </w:r>
      <w:r>
        <w:rPr>
          <w:rFonts w:hint="eastAsia" w:ascii="宋体" w:hAnsi="宋体" w:eastAsia="宋体" w:cs="宋体"/>
          <w:color w:val="auto"/>
          <w:sz w:val="21"/>
          <w:szCs w:val="21"/>
          <w:highlight w:val="none"/>
          <w:lang w:val="en-GB" w:bidi="ar"/>
        </w:rPr>
        <w:t>人承担；</w:t>
      </w:r>
    </w:p>
    <w:p w14:paraId="736FC960">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480" w:lineRule="auto"/>
        <w:ind w:right="255" w:firstLine="480"/>
        <w:rPr>
          <w:rFonts w:hint="eastAsia" w:ascii="宋体" w:hAnsi="宋体" w:eastAsia="宋体" w:cs="宋体"/>
          <w:color w:val="auto"/>
          <w:sz w:val="21"/>
          <w:szCs w:val="21"/>
          <w:highlight w:val="none"/>
          <w:lang w:val="en-GB" w:bidi="ar"/>
        </w:rPr>
      </w:pPr>
      <w:r>
        <w:rPr>
          <w:rFonts w:hint="eastAsia" w:ascii="宋体" w:hAnsi="宋体" w:eastAsia="宋体" w:cs="宋体"/>
          <w:color w:val="auto"/>
          <w:sz w:val="21"/>
          <w:szCs w:val="21"/>
          <w:highlight w:val="none"/>
          <w:lang w:val="en-GB" w:bidi="ar"/>
        </w:rPr>
        <w:t>3、完全按照</w:t>
      </w:r>
      <w:r>
        <w:rPr>
          <w:rFonts w:hint="eastAsia" w:ascii="宋体" w:hAnsi="宋体" w:eastAsia="宋体" w:cs="宋体"/>
          <w:color w:val="auto"/>
          <w:sz w:val="21"/>
          <w:szCs w:val="21"/>
          <w:highlight w:val="none"/>
          <w:lang w:val="en-GB" w:eastAsia="zh-CN" w:bidi="ar"/>
        </w:rPr>
        <w:t>招标</w:t>
      </w:r>
      <w:r>
        <w:rPr>
          <w:rFonts w:hint="eastAsia" w:ascii="宋体" w:hAnsi="宋体" w:eastAsia="宋体" w:cs="宋体"/>
          <w:color w:val="auto"/>
          <w:sz w:val="21"/>
          <w:szCs w:val="21"/>
          <w:highlight w:val="none"/>
          <w:lang w:val="en-GB" w:bidi="ar"/>
        </w:rPr>
        <w:t>人需求提供每年不少于十场安保活动的链路服务。</w:t>
      </w:r>
    </w:p>
    <w:p w14:paraId="727BB380">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240" w:lineRule="atLeast"/>
        <w:ind w:right="255" w:firstLine="960"/>
        <w:rPr>
          <w:rFonts w:hint="eastAsia" w:ascii="宋体" w:hAnsi="宋体" w:eastAsia="宋体" w:cs="宋体"/>
          <w:color w:val="auto"/>
          <w:sz w:val="21"/>
          <w:szCs w:val="21"/>
          <w:highlight w:val="none"/>
          <w:lang w:val="en-GB" w:bidi="ar"/>
        </w:rPr>
      </w:pPr>
    </w:p>
    <w:p w14:paraId="068E3048">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240" w:lineRule="atLeast"/>
        <w:ind w:right="255"/>
        <w:rPr>
          <w:rFonts w:ascii="黑体" w:hAnsi="Times New Roman" w:eastAsia="黑体" w:cs="Times New Roman"/>
          <w:color w:val="auto"/>
          <w:sz w:val="21"/>
          <w:szCs w:val="21"/>
          <w:highlight w:val="none"/>
        </w:rPr>
      </w:pPr>
    </w:p>
    <w:p w14:paraId="7D7BA45E">
      <w:pPr>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480" w:lineRule="auto"/>
        <w:ind w:right="255" w:firstLine="640"/>
        <w:rPr>
          <w:rFonts w:hint="eastAsia" w:ascii="宋体" w:hAnsi="宋体" w:eastAsia="宋体" w:cs="宋体"/>
          <w:color w:val="auto"/>
          <w:sz w:val="21"/>
          <w:szCs w:val="21"/>
          <w:highlight w:val="none"/>
          <w:lang w:val="en-GB" w:bidi="ar"/>
        </w:rPr>
      </w:pPr>
      <w:r>
        <w:rPr>
          <w:rFonts w:hint="eastAsia" w:ascii="黑体" w:hAnsi="Times New Roman" w:eastAsia="黑体" w:cs="Times New Roman"/>
          <w:color w:val="auto"/>
          <w:sz w:val="21"/>
          <w:szCs w:val="21"/>
          <w:highlight w:val="none"/>
        </w:rPr>
        <w:t xml:space="preserve">              </w:t>
      </w:r>
      <w:r>
        <w:rPr>
          <w:rFonts w:hint="eastAsia" w:ascii="宋体" w:hAnsi="宋体" w:eastAsia="宋体" w:cs="宋体"/>
          <w:color w:val="auto"/>
          <w:sz w:val="21"/>
          <w:szCs w:val="21"/>
          <w:highlight w:val="none"/>
          <w:lang w:val="en-GB" w:bidi="ar"/>
        </w:rPr>
        <w:t xml:space="preserve">       供应商全称（公章）：     </w:t>
      </w:r>
    </w:p>
    <w:p w14:paraId="439A875E">
      <w:pPr>
        <w:spacing w:line="48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GB" w:bidi="ar"/>
        </w:rPr>
        <w:t xml:space="preserve">                           法定代表人或授权代表（签字）： </w:t>
      </w:r>
    </w:p>
    <w:p w14:paraId="07D4765F">
      <w:pPr>
        <w:pStyle w:val="17"/>
        <w:numPr>
          <w:ilvl w:val="0"/>
          <w:numId w:val="0"/>
        </w:numPr>
        <w:rPr>
          <w:rFonts w:hint="eastAsia"/>
          <w:color w:val="auto"/>
          <w:lang w:val="en-US" w:eastAsia="zh-CN"/>
        </w:rPr>
      </w:pPr>
    </w:p>
    <w:p w14:paraId="4895B667">
      <w:pPr>
        <w:pStyle w:val="11"/>
        <w:spacing w:beforeAutospacing="0" w:afterAutospacing="0"/>
        <w:jc w:val="center"/>
        <w:rPr>
          <w:rFonts w:ascii="宋体" w:hAnsi="宋体" w:eastAsia="宋体" w:cs="宋体"/>
          <w:b/>
          <w:color w:val="auto"/>
          <w:sz w:val="32"/>
          <w:szCs w:val="32"/>
          <w:highlight w:val="none"/>
        </w:rPr>
      </w:pPr>
    </w:p>
    <w:p w14:paraId="618C9717">
      <w:pPr>
        <w:pStyle w:val="11"/>
        <w:spacing w:beforeAutospacing="0" w:afterAutospacing="0"/>
        <w:jc w:val="center"/>
        <w:rPr>
          <w:rFonts w:ascii="宋体" w:hAnsi="宋体" w:eastAsia="宋体" w:cs="宋体"/>
          <w:b/>
          <w:color w:val="auto"/>
          <w:sz w:val="32"/>
          <w:szCs w:val="32"/>
          <w:highlight w:val="none"/>
        </w:rPr>
      </w:pPr>
    </w:p>
    <w:p w14:paraId="119768F2">
      <w:pPr>
        <w:pStyle w:val="11"/>
        <w:spacing w:beforeAutospacing="0" w:afterAutospacing="0"/>
        <w:jc w:val="center"/>
        <w:rPr>
          <w:rFonts w:ascii="宋体" w:hAnsi="宋体" w:eastAsia="宋体" w:cs="宋体"/>
          <w:b/>
          <w:color w:val="auto"/>
          <w:sz w:val="32"/>
          <w:szCs w:val="32"/>
          <w:highlight w:val="none"/>
        </w:rPr>
      </w:pPr>
    </w:p>
    <w:p w14:paraId="7F5550FA">
      <w:pPr>
        <w:pStyle w:val="11"/>
        <w:spacing w:beforeAutospacing="0" w:afterAutospacing="0"/>
        <w:jc w:val="center"/>
        <w:rPr>
          <w:rFonts w:ascii="宋体" w:hAnsi="宋体" w:eastAsia="宋体" w:cs="宋体"/>
          <w:b/>
          <w:color w:val="auto"/>
          <w:sz w:val="32"/>
          <w:szCs w:val="32"/>
          <w:highlight w:val="none"/>
        </w:rPr>
      </w:pPr>
    </w:p>
    <w:p w14:paraId="7B76FCC9">
      <w:pPr>
        <w:pStyle w:val="11"/>
        <w:spacing w:beforeAutospacing="0" w:afterAutospacing="0"/>
        <w:jc w:val="center"/>
        <w:rPr>
          <w:rFonts w:ascii="宋体" w:hAnsi="宋体" w:eastAsia="宋体" w:cs="宋体"/>
          <w:b/>
          <w:color w:val="auto"/>
          <w:sz w:val="32"/>
          <w:szCs w:val="32"/>
          <w:highlight w:val="none"/>
        </w:rPr>
      </w:pPr>
    </w:p>
    <w:p w14:paraId="6C42DEAA">
      <w:pPr>
        <w:pStyle w:val="11"/>
        <w:spacing w:beforeAutospacing="0" w:afterAutospacing="0"/>
        <w:jc w:val="center"/>
        <w:rPr>
          <w:rFonts w:ascii="宋体" w:hAnsi="宋体" w:eastAsia="宋体" w:cs="宋体"/>
          <w:b/>
          <w:color w:val="auto"/>
          <w:sz w:val="32"/>
          <w:szCs w:val="32"/>
          <w:highlight w:val="none"/>
        </w:rPr>
      </w:pPr>
    </w:p>
    <w:p w14:paraId="43B0ECBA">
      <w:pPr>
        <w:pStyle w:val="11"/>
        <w:spacing w:beforeAutospacing="0" w:afterAutospacing="0"/>
        <w:jc w:val="center"/>
        <w:rPr>
          <w:rFonts w:ascii="宋体" w:hAnsi="宋体" w:eastAsia="宋体" w:cs="宋体"/>
          <w:b/>
          <w:color w:val="auto"/>
          <w:sz w:val="32"/>
          <w:szCs w:val="32"/>
          <w:highlight w:val="none"/>
        </w:rPr>
      </w:pPr>
    </w:p>
    <w:p w14:paraId="2856B726">
      <w:pPr>
        <w:widowControl/>
        <w:spacing w:before="50" w:after="50"/>
        <w:jc w:val="center"/>
        <w:rPr>
          <w:rFonts w:ascii="宋体" w:hAnsi="宋体" w:eastAsia="宋体" w:cs="宋体"/>
          <w:color w:val="auto"/>
          <w:sz w:val="24"/>
          <w:highlight w:val="none"/>
        </w:rPr>
      </w:pPr>
      <w:r>
        <w:rPr>
          <w:rFonts w:hint="eastAsia" w:ascii="黑体" w:hAnsi="宋体" w:eastAsia="黑体" w:cs="黑体"/>
          <w:b/>
          <w:color w:val="auto"/>
          <w:kern w:val="0"/>
          <w:sz w:val="32"/>
          <w:szCs w:val="32"/>
          <w:highlight w:val="none"/>
          <w:lang w:val="en-US" w:eastAsia="zh-CN" w:bidi="ar-SA"/>
        </w:rPr>
        <w:t>十八、盐城市政府采购事前信用承诺书</w:t>
      </w:r>
    </w:p>
    <w:p w14:paraId="47170354">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为营造我市公开、公平、公正、诚实守信的政府采购交易环境，树立诚信守法的投标人形象，本人代表本单位作出以下承诺：</w:t>
      </w:r>
    </w:p>
    <w:p w14:paraId="3EDFDB9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1"/>
          <w:szCs w:val="21"/>
          <w:highlight w:val="none"/>
          <w:lang w:eastAsia="zh-CN"/>
        </w:rPr>
        <w:t>虚假成分</w:t>
      </w:r>
      <w:r>
        <w:rPr>
          <w:rFonts w:hint="eastAsia" w:ascii="宋体" w:hAnsi="宋体" w:eastAsia="宋体" w:cs="宋体"/>
          <w:color w:val="auto"/>
          <w:sz w:val="21"/>
          <w:szCs w:val="21"/>
          <w:highlight w:val="none"/>
        </w:rPr>
        <w:t>，并对所提供资料的真实性负责；</w:t>
      </w:r>
    </w:p>
    <w:p w14:paraId="24FC2BC2">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7370B5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（三）严格依照国家和省、市关于政府采购的法律、法规、规章、规范性文件，参加政府采购投标活动；积极履行社会责任，促进廉政建设；</w:t>
      </w:r>
    </w:p>
    <w:p w14:paraId="36198F6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（四）严格遵守即时信息公示规定，及时</w:t>
      </w:r>
      <w:r>
        <w:rPr>
          <w:rFonts w:hint="eastAsia" w:ascii="宋体" w:hAnsi="宋体" w:eastAsia="宋体" w:cs="宋体"/>
          <w:color w:val="auto"/>
          <w:sz w:val="21"/>
          <w:szCs w:val="21"/>
          <w:highlight w:val="none"/>
          <w:lang w:eastAsia="zh-CN"/>
        </w:rPr>
        <w:t>维护和更新</w:t>
      </w:r>
      <w:r>
        <w:rPr>
          <w:rFonts w:hint="eastAsia" w:ascii="宋体" w:hAnsi="宋体" w:eastAsia="宋体" w:cs="宋体"/>
          <w:color w:val="auto"/>
          <w:sz w:val="21"/>
          <w:szCs w:val="21"/>
          <w:highlight w:val="none"/>
        </w:rPr>
        <w:t>盐城市政府采购网中与本单位相关的信息；</w:t>
      </w:r>
    </w:p>
    <w:p w14:paraId="10E06063">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1A1ADC8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（六）自觉接受政府、行业组织、社会公众、新闻舆论的监督；</w:t>
      </w:r>
    </w:p>
    <w:p w14:paraId="52C9C3C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944C0D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（八）本人已认真阅读了上述承诺，并向本单位员工作了宣传教育。</w:t>
      </w:r>
    </w:p>
    <w:p w14:paraId="71B61F88">
      <w:pPr>
        <w:keepNext w:val="0"/>
        <w:keepLines w:val="0"/>
        <w:pageBreakBefore w:val="0"/>
        <w:widowControl/>
        <w:kinsoku/>
        <w:wordWrap/>
        <w:overflowPunct/>
        <w:topLinePunct w:val="0"/>
        <w:autoSpaceDE/>
        <w:autoSpaceDN/>
        <w:bidi w:val="0"/>
        <w:adjustRightInd/>
        <w:snapToGrid/>
        <w:spacing w:line="360" w:lineRule="auto"/>
        <w:jc w:val="left"/>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法定代表人签名：</w:t>
      </w:r>
    </w:p>
    <w:p w14:paraId="098A1A6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单位名称（盖章）：</w:t>
      </w:r>
    </w:p>
    <w:p w14:paraId="5394C7B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年月日</w:t>
      </w:r>
    </w:p>
    <w:p w14:paraId="36D0A244">
      <w:pPr>
        <w:pStyle w:val="11"/>
        <w:spacing w:beforeAutospacing="0" w:afterAutospacing="0"/>
        <w:jc w:val="center"/>
        <w:rPr>
          <w:color w:val="auto"/>
          <w:highlight w:val="none"/>
        </w:rPr>
      </w:pPr>
    </w:p>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74"/>
    <w:bookmarkEnd w:id="177"/>
    <w:bookmarkEnd w:id="178"/>
    <w:bookmarkEnd w:id="179"/>
    <w:bookmarkEnd w:id="180"/>
    <w:bookmarkEnd w:id="181"/>
    <w:bookmarkEnd w:id="182"/>
    <w:bookmarkEnd w:id="183"/>
    <w:bookmarkEnd w:id="184"/>
    <w:bookmarkEnd w:id="193"/>
    <w:bookmarkEnd w:id="194"/>
    <w:bookmarkEnd w:id="195"/>
    <w:bookmarkEnd w:id="196"/>
    <w:bookmarkEnd w:id="197"/>
    <w:p w14:paraId="1E999B1F">
      <w:pPr>
        <w:pStyle w:val="11"/>
        <w:spacing w:beforeAutospacing="0" w:afterAutospacing="0"/>
        <w:jc w:val="center"/>
        <w:rPr>
          <w:rFonts w:hint="eastAsia" w:ascii="宋体" w:hAnsi="宋体" w:eastAsia="宋体" w:cs="宋体"/>
          <w:b/>
          <w:color w:val="auto"/>
          <w:sz w:val="32"/>
          <w:szCs w:val="32"/>
          <w:highlight w:val="none"/>
        </w:rPr>
      </w:pPr>
    </w:p>
    <w:p w14:paraId="4266B8EF">
      <w:pPr>
        <w:pStyle w:val="11"/>
        <w:spacing w:beforeAutospacing="0" w:afterAutospacing="0"/>
        <w:jc w:val="center"/>
        <w:rPr>
          <w:rFonts w:hint="eastAsia" w:ascii="宋体" w:hAnsi="宋体" w:eastAsia="宋体" w:cs="宋体"/>
          <w:b/>
          <w:color w:val="auto"/>
          <w:sz w:val="32"/>
          <w:szCs w:val="32"/>
          <w:highlight w:val="none"/>
        </w:rPr>
      </w:pPr>
    </w:p>
    <w:p w14:paraId="3AB0039D">
      <w:pPr>
        <w:pStyle w:val="11"/>
        <w:spacing w:beforeAutospacing="0" w:afterAutospacing="0"/>
        <w:jc w:val="center"/>
        <w:rPr>
          <w:rFonts w:hint="eastAsia" w:ascii="宋体" w:hAnsi="宋体" w:eastAsia="宋体" w:cs="宋体"/>
          <w:b/>
          <w:color w:val="auto"/>
          <w:sz w:val="32"/>
          <w:szCs w:val="32"/>
          <w:highlight w:val="none"/>
        </w:rPr>
      </w:pPr>
    </w:p>
    <w:p w14:paraId="1BD58B05">
      <w:pPr>
        <w:pStyle w:val="11"/>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4408F78F">
      <w:pPr>
        <w:pStyle w:val="11"/>
        <w:keepNext w:val="0"/>
        <w:keepLines w:val="0"/>
        <w:pageBreakBefore w:val="0"/>
        <w:kinsoku/>
        <w:wordWrap/>
        <w:overflowPunct/>
        <w:topLinePunct w:val="0"/>
        <w:autoSpaceDE/>
        <w:autoSpaceDN/>
        <w:bidi w:val="0"/>
        <w:adjustRightInd/>
        <w:snapToGrid/>
        <w:spacing w:before="290"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一、质疑供应商基本信息</w:t>
      </w:r>
    </w:p>
    <w:p w14:paraId="6C307A75">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质疑供应商：</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40CDA18D">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w:t>
      </w:r>
    </w:p>
    <w:p w14:paraId="6204001A">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2CB49ACA">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2DB03877">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p>
    <w:p w14:paraId="499727A8">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授权代表：</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6B88EEAA">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26720E08">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地址： </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7C51F6AF">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single"/>
        </w:rPr>
        <w:t xml:space="preserve">                                </w:t>
      </w:r>
    </w:p>
    <w:p w14:paraId="6578280A">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二、质疑项目基本情况</w:t>
      </w:r>
    </w:p>
    <w:p w14:paraId="5CA0EF62">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质疑项目的名称：</w:t>
      </w:r>
      <w:r>
        <w:rPr>
          <w:rFonts w:hint="eastAsia" w:ascii="宋体" w:hAnsi="宋体" w:eastAsia="宋体" w:cs="宋体"/>
          <w:color w:val="auto"/>
          <w:sz w:val="21"/>
          <w:szCs w:val="21"/>
          <w:highlight w:val="none"/>
          <w:u w:val="single"/>
        </w:rPr>
        <w:t xml:space="preserve">                            </w:t>
      </w:r>
    </w:p>
    <w:p w14:paraId="5DF92306">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质疑项目的编号：</w:t>
      </w:r>
      <w:r>
        <w:rPr>
          <w:rFonts w:hint="eastAsia" w:ascii="宋体" w:hAnsi="宋体" w:eastAsia="宋体" w:cs="宋体"/>
          <w:color w:val="auto"/>
          <w:sz w:val="21"/>
          <w:szCs w:val="21"/>
          <w:highlight w:val="none"/>
          <w:u w:val="single"/>
        </w:rPr>
        <w:t xml:space="preserve">                          </w:t>
      </w:r>
    </w:p>
    <w:p w14:paraId="208912AC">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包号：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6416D5F4">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采购人名称：</w:t>
      </w:r>
      <w:r>
        <w:rPr>
          <w:rFonts w:hint="eastAsia" w:ascii="宋体" w:hAnsi="宋体" w:eastAsia="宋体" w:cs="宋体"/>
          <w:color w:val="auto"/>
          <w:sz w:val="21"/>
          <w:szCs w:val="21"/>
          <w:highlight w:val="none"/>
          <w:u w:val="single"/>
        </w:rPr>
        <w:t xml:space="preserve">                            </w:t>
      </w:r>
    </w:p>
    <w:p w14:paraId="60F609DC">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采购文件获取日期：</w:t>
      </w:r>
      <w:r>
        <w:rPr>
          <w:rFonts w:hint="eastAsia" w:ascii="宋体" w:hAnsi="宋体" w:eastAsia="宋体" w:cs="宋体"/>
          <w:color w:val="auto"/>
          <w:sz w:val="21"/>
          <w:szCs w:val="21"/>
          <w:highlight w:val="none"/>
          <w:u w:val="single"/>
        </w:rPr>
        <w:t xml:space="preserve">                             </w:t>
      </w:r>
    </w:p>
    <w:p w14:paraId="61145962">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三、质疑事项具体内容</w:t>
      </w:r>
    </w:p>
    <w:p w14:paraId="50CD04C7">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质疑事项1：</w:t>
      </w:r>
      <w:r>
        <w:rPr>
          <w:rFonts w:hint="eastAsia" w:ascii="宋体" w:hAnsi="宋体" w:eastAsia="宋体" w:cs="宋体"/>
          <w:color w:val="auto"/>
          <w:sz w:val="21"/>
          <w:szCs w:val="21"/>
          <w:highlight w:val="none"/>
          <w:u w:val="single"/>
        </w:rPr>
        <w:t xml:space="preserve">                             </w:t>
      </w:r>
    </w:p>
    <w:p w14:paraId="2D3C5A9C">
      <w:pPr>
        <w:pStyle w:val="11"/>
        <w:keepNext w:val="0"/>
        <w:keepLines w:val="0"/>
        <w:pageBreakBefore w:val="0"/>
        <w:kinsoku/>
        <w:wordWrap/>
        <w:overflowPunct/>
        <w:topLinePunct w:val="0"/>
        <w:autoSpaceDE/>
        <w:autoSpaceDN/>
        <w:bidi w:val="0"/>
        <w:adjustRightInd/>
        <w:snapToGrid/>
        <w:spacing w:beforeAutospacing="0" w:afterAutospacing="0" w:line="264" w:lineRule="auto"/>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事实依据：</w:t>
      </w:r>
      <w:r>
        <w:rPr>
          <w:rFonts w:hint="eastAsia" w:ascii="宋体" w:hAnsi="宋体" w:eastAsia="宋体" w:cs="宋体"/>
          <w:color w:val="auto"/>
          <w:sz w:val="21"/>
          <w:szCs w:val="21"/>
          <w:highlight w:val="none"/>
          <w:u w:val="single"/>
        </w:rPr>
        <w:t xml:space="preserve">                                                   </w:t>
      </w:r>
    </w:p>
    <w:p w14:paraId="7F07B8F1">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法律依据：</w:t>
      </w:r>
      <w:r>
        <w:rPr>
          <w:rFonts w:hint="eastAsia" w:ascii="宋体" w:hAnsi="宋体" w:eastAsia="宋体" w:cs="宋体"/>
          <w:color w:val="auto"/>
          <w:sz w:val="21"/>
          <w:szCs w:val="21"/>
          <w:highlight w:val="none"/>
          <w:u w:val="single"/>
        </w:rPr>
        <w:t xml:space="preserve">                                                    </w:t>
      </w:r>
    </w:p>
    <w:p w14:paraId="0140CBED">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质疑事项2</w:t>
      </w:r>
    </w:p>
    <w:p w14:paraId="17B714BF">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1A43196A">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四、与质疑事项相关的质疑请求</w:t>
      </w:r>
    </w:p>
    <w:p w14:paraId="166EEFF8">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请求：</w:t>
      </w:r>
      <w:r>
        <w:rPr>
          <w:rFonts w:hint="eastAsia" w:ascii="宋体" w:hAnsi="宋体" w:eastAsia="宋体" w:cs="宋体"/>
          <w:color w:val="auto"/>
          <w:sz w:val="21"/>
          <w:szCs w:val="21"/>
          <w:highlight w:val="none"/>
          <w:u w:val="single"/>
        </w:rPr>
        <w:t xml:space="preserve">                                                          </w:t>
      </w:r>
    </w:p>
    <w:p w14:paraId="0191183A">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日期：    </w:t>
      </w:r>
    </w:p>
    <w:p w14:paraId="486AA1DE">
      <w:pPr>
        <w:pStyle w:val="11"/>
        <w:keepNext w:val="0"/>
        <w:keepLines w:val="0"/>
        <w:pageBreakBefore w:val="0"/>
        <w:kinsoku/>
        <w:wordWrap/>
        <w:overflowPunct/>
        <w:topLinePunct w:val="0"/>
        <w:autoSpaceDE/>
        <w:autoSpaceDN/>
        <w:bidi w:val="0"/>
        <w:adjustRightInd/>
        <w:snapToGrid/>
        <w:spacing w:beforeAutospacing="0" w:afterAutospacing="0" w:line="264" w:lineRule="auto"/>
        <w:jc w:val="both"/>
        <w:textAlignment w:val="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质疑函制作说明：</w:t>
      </w:r>
    </w:p>
    <w:p w14:paraId="36ED08AD">
      <w:pPr>
        <w:pStyle w:val="11"/>
        <w:keepNext w:val="0"/>
        <w:keepLines w:val="0"/>
        <w:pageBreakBefore w:val="0"/>
        <w:widowControl/>
        <w:kinsoku/>
        <w:wordWrap/>
        <w:overflowPunct/>
        <w:topLinePunct w:val="0"/>
        <w:autoSpaceDE/>
        <w:autoSpaceDN/>
        <w:bidi w:val="0"/>
        <w:adjustRightInd/>
        <w:snapToGrid/>
        <w:spacing w:beforeAutospacing="0" w:afterAutospacing="0" w:line="264" w:lineRule="auto"/>
        <w:ind w:firstLine="48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1.供应商提出质疑时，应提交质疑函和必要的证明材料。</w:t>
      </w:r>
    </w:p>
    <w:p w14:paraId="62091F4D">
      <w:pPr>
        <w:pStyle w:val="11"/>
        <w:keepNext w:val="0"/>
        <w:keepLines w:val="0"/>
        <w:pageBreakBefore w:val="0"/>
        <w:widowControl/>
        <w:kinsoku/>
        <w:wordWrap/>
        <w:overflowPunct/>
        <w:topLinePunct w:val="0"/>
        <w:autoSpaceDE/>
        <w:autoSpaceDN/>
        <w:bidi w:val="0"/>
        <w:adjustRightInd/>
        <w:snapToGrid/>
        <w:spacing w:beforeAutospacing="0" w:afterAutospacing="0" w:line="264" w:lineRule="auto"/>
        <w:ind w:firstLine="48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88E4F51">
      <w:pPr>
        <w:pStyle w:val="11"/>
        <w:keepNext w:val="0"/>
        <w:keepLines w:val="0"/>
        <w:pageBreakBefore w:val="0"/>
        <w:widowControl/>
        <w:kinsoku/>
        <w:wordWrap/>
        <w:overflowPunct/>
        <w:topLinePunct w:val="0"/>
        <w:autoSpaceDE/>
        <w:autoSpaceDN/>
        <w:bidi w:val="0"/>
        <w:adjustRightInd/>
        <w:snapToGrid/>
        <w:spacing w:beforeAutospacing="0" w:afterAutospacing="0" w:line="264" w:lineRule="auto"/>
        <w:ind w:firstLine="48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3.质疑供应商若对项目的某一分包进行质疑，质疑函中应列明具体分包号。</w:t>
      </w:r>
    </w:p>
    <w:p w14:paraId="0F2A8B16">
      <w:pPr>
        <w:pStyle w:val="11"/>
        <w:keepNext w:val="0"/>
        <w:keepLines w:val="0"/>
        <w:pageBreakBefore w:val="0"/>
        <w:widowControl/>
        <w:kinsoku/>
        <w:wordWrap/>
        <w:overflowPunct/>
        <w:topLinePunct w:val="0"/>
        <w:autoSpaceDE/>
        <w:autoSpaceDN/>
        <w:bidi w:val="0"/>
        <w:adjustRightInd/>
        <w:snapToGrid/>
        <w:spacing w:beforeAutospacing="0" w:afterAutospacing="0" w:line="264" w:lineRule="auto"/>
        <w:ind w:firstLine="48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4.质疑函的质疑事项应具体、明确，并有必要的事实依据和法律依据。</w:t>
      </w:r>
    </w:p>
    <w:p w14:paraId="335F536F">
      <w:pPr>
        <w:pStyle w:val="11"/>
        <w:keepNext w:val="0"/>
        <w:keepLines w:val="0"/>
        <w:pageBreakBefore w:val="0"/>
        <w:widowControl/>
        <w:kinsoku/>
        <w:wordWrap/>
        <w:overflowPunct/>
        <w:topLinePunct w:val="0"/>
        <w:autoSpaceDE/>
        <w:autoSpaceDN/>
        <w:bidi w:val="0"/>
        <w:adjustRightInd/>
        <w:snapToGrid/>
        <w:spacing w:beforeAutospacing="0" w:afterAutospacing="0" w:line="264" w:lineRule="auto"/>
        <w:ind w:firstLine="48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5.质疑函的质疑请求应与质疑事项相关。</w:t>
      </w:r>
    </w:p>
    <w:p w14:paraId="0F6A2591">
      <w:pPr>
        <w:pStyle w:val="11"/>
        <w:keepNext w:val="0"/>
        <w:keepLines w:val="0"/>
        <w:pageBreakBefore w:val="0"/>
        <w:widowControl/>
        <w:kinsoku/>
        <w:wordWrap/>
        <w:overflowPunct/>
        <w:topLinePunct w:val="0"/>
        <w:autoSpaceDE/>
        <w:autoSpaceDN/>
        <w:bidi w:val="0"/>
        <w:adjustRightInd/>
        <w:snapToGrid/>
        <w:spacing w:beforeAutospacing="0" w:afterAutospacing="0" w:line="264" w:lineRule="auto"/>
        <w:ind w:firstLine="48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6.质疑供应商为自然人的，质疑函应由本人签字；质疑供应商为法人或者其他组织的，质疑函应由法定代表人、主要负责人，或者其授权代表签字或者盖章，并加盖公章。</w:t>
      </w:r>
    </w:p>
    <w:p w14:paraId="4A90D10F">
      <w:pPr>
        <w:pStyle w:val="11"/>
        <w:keepNext w:val="0"/>
        <w:keepLines w:val="0"/>
        <w:pageBreakBefore w:val="0"/>
        <w:kinsoku/>
        <w:wordWrap/>
        <w:overflowPunct/>
        <w:topLinePunct w:val="0"/>
        <w:autoSpaceDE/>
        <w:autoSpaceDN/>
        <w:bidi w:val="0"/>
        <w:adjustRightInd/>
        <w:snapToGrid/>
        <w:spacing w:beforeAutospacing="0" w:afterAutospacing="0" w:line="264" w:lineRule="auto"/>
        <w:textAlignment w:val="auto"/>
        <w:rPr>
          <w:color w:val="auto"/>
          <w:sz w:val="21"/>
          <w:szCs w:val="21"/>
          <w:highlight w:val="none"/>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FBECA61C-5ABA-4B17-A923-75D4A3EED7BC}"/>
  </w:font>
  <w:font w:name="黑体">
    <w:panose1 w:val="02010609060101010101"/>
    <w:charset w:val="86"/>
    <w:family w:val="auto"/>
    <w:pitch w:val="default"/>
    <w:sig w:usb0="800002BF" w:usb1="38CF7CFA" w:usb2="00000016" w:usb3="00000000" w:csb0="00040001" w:csb1="00000000"/>
    <w:embedRegular r:id="rId2" w:fontKey="{388CFFA3-F893-4452-9987-31C8B463D257}"/>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Arial Unicode MS">
    <w:panose1 w:val="020B0604020202020204"/>
    <w:charset w:val="86"/>
    <w:family w:val="auto"/>
    <w:pitch w:val="default"/>
    <w:sig w:usb0="FFFFFFFF" w:usb1="E9FFFFFF" w:usb2="0000003F" w:usb3="00000000" w:csb0="603F01FF" w:csb1="FFFF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3" w:fontKey="{F32EE738-286E-476E-B917-73E1797B0D71}"/>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C9D63">
    <w:pPr>
      <w:pStyle w:val="2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0D885D2C">
    <w:pPr>
      <w:pStyle w:val="2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994C7F"/>
    <w:multiLevelType w:val="singleLevel"/>
    <w:tmpl w:val="8B994C7F"/>
    <w:lvl w:ilvl="0" w:tentative="0">
      <w:start w:val="1"/>
      <w:numFmt w:val="decimal"/>
      <w:suff w:val="nothing"/>
      <w:lvlText w:val="%1、"/>
      <w:lvlJc w:val="left"/>
    </w:lvl>
  </w:abstractNum>
  <w:abstractNum w:abstractNumId="1">
    <w:nsid w:val="C6EBBEA5"/>
    <w:multiLevelType w:val="singleLevel"/>
    <w:tmpl w:val="C6EBBEA5"/>
    <w:lvl w:ilvl="0" w:tentative="0">
      <w:start w:val="1"/>
      <w:numFmt w:val="decimal"/>
      <w:suff w:val="space"/>
      <w:lvlText w:val="%1."/>
      <w:lvlJc w:val="left"/>
    </w:lvl>
  </w:abstractNum>
  <w:abstractNum w:abstractNumId="2">
    <w:nsid w:val="F5C19888"/>
    <w:multiLevelType w:val="singleLevel"/>
    <w:tmpl w:val="F5C19888"/>
    <w:lvl w:ilvl="0" w:tentative="0">
      <w:start w:val="3"/>
      <w:numFmt w:val="decimal"/>
      <w:suff w:val="nothing"/>
      <w:lvlText w:val="%1、"/>
      <w:lvlJc w:val="left"/>
    </w:lvl>
  </w:abstractNum>
  <w:abstractNum w:abstractNumId="3">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B130E9A"/>
    <w:multiLevelType w:val="singleLevel"/>
    <w:tmpl w:val="5B130E9A"/>
    <w:lvl w:ilvl="0" w:tentative="0">
      <w:start w:val="1"/>
      <w:numFmt w:val="decimal"/>
      <w:suff w:val="nothing"/>
      <w:lvlText w:val="（%1）"/>
      <w:lvlJc w:val="left"/>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27397"/>
    <w:rsid w:val="0008414E"/>
    <w:rsid w:val="000B6FA8"/>
    <w:rsid w:val="000D6064"/>
    <w:rsid w:val="00106EC4"/>
    <w:rsid w:val="00111440"/>
    <w:rsid w:val="00112B63"/>
    <w:rsid w:val="00152010"/>
    <w:rsid w:val="00172A27"/>
    <w:rsid w:val="002B0C85"/>
    <w:rsid w:val="003C54BE"/>
    <w:rsid w:val="004125B1"/>
    <w:rsid w:val="00427F98"/>
    <w:rsid w:val="004529E6"/>
    <w:rsid w:val="004B3FD8"/>
    <w:rsid w:val="004E0F29"/>
    <w:rsid w:val="005257A0"/>
    <w:rsid w:val="00755D43"/>
    <w:rsid w:val="007E3A7B"/>
    <w:rsid w:val="00822248"/>
    <w:rsid w:val="00927A3A"/>
    <w:rsid w:val="009620FE"/>
    <w:rsid w:val="00973C6A"/>
    <w:rsid w:val="009D4169"/>
    <w:rsid w:val="009E04AF"/>
    <w:rsid w:val="00A75D0F"/>
    <w:rsid w:val="00BD1A9C"/>
    <w:rsid w:val="00BF706B"/>
    <w:rsid w:val="00C2410B"/>
    <w:rsid w:val="00C90FDD"/>
    <w:rsid w:val="00CE1146"/>
    <w:rsid w:val="00CF47B8"/>
    <w:rsid w:val="00D00F3E"/>
    <w:rsid w:val="00D20B29"/>
    <w:rsid w:val="00D3382A"/>
    <w:rsid w:val="00D550E3"/>
    <w:rsid w:val="00D724D7"/>
    <w:rsid w:val="00ED0DA8"/>
    <w:rsid w:val="00F04D35"/>
    <w:rsid w:val="00F05E1E"/>
    <w:rsid w:val="00F65A6E"/>
    <w:rsid w:val="00FA4B2E"/>
    <w:rsid w:val="00FE0994"/>
    <w:rsid w:val="00FF1D20"/>
    <w:rsid w:val="014036E0"/>
    <w:rsid w:val="015C3D17"/>
    <w:rsid w:val="01AE0C97"/>
    <w:rsid w:val="01F0355D"/>
    <w:rsid w:val="021B6523"/>
    <w:rsid w:val="02406C6D"/>
    <w:rsid w:val="026E67DA"/>
    <w:rsid w:val="02847624"/>
    <w:rsid w:val="02851591"/>
    <w:rsid w:val="02867E41"/>
    <w:rsid w:val="028B748A"/>
    <w:rsid w:val="02BD5381"/>
    <w:rsid w:val="02D505AD"/>
    <w:rsid w:val="02D5592F"/>
    <w:rsid w:val="02F0175E"/>
    <w:rsid w:val="0309644F"/>
    <w:rsid w:val="03131E6D"/>
    <w:rsid w:val="032D6957"/>
    <w:rsid w:val="034115E7"/>
    <w:rsid w:val="034E4AD1"/>
    <w:rsid w:val="03577A2F"/>
    <w:rsid w:val="036C153A"/>
    <w:rsid w:val="03791753"/>
    <w:rsid w:val="037E0789"/>
    <w:rsid w:val="03912F41"/>
    <w:rsid w:val="03A43768"/>
    <w:rsid w:val="03CD0113"/>
    <w:rsid w:val="044C6A7C"/>
    <w:rsid w:val="047F1F8D"/>
    <w:rsid w:val="04941B12"/>
    <w:rsid w:val="04CF1FA6"/>
    <w:rsid w:val="04D8410C"/>
    <w:rsid w:val="04E04478"/>
    <w:rsid w:val="053B6099"/>
    <w:rsid w:val="056E5657"/>
    <w:rsid w:val="058663AA"/>
    <w:rsid w:val="05C3315A"/>
    <w:rsid w:val="062C42CE"/>
    <w:rsid w:val="068A6E34"/>
    <w:rsid w:val="0693639D"/>
    <w:rsid w:val="06952D48"/>
    <w:rsid w:val="069F3BC7"/>
    <w:rsid w:val="06AE5BB8"/>
    <w:rsid w:val="073C511E"/>
    <w:rsid w:val="07944DAE"/>
    <w:rsid w:val="07994E3B"/>
    <w:rsid w:val="07A02A3F"/>
    <w:rsid w:val="07A40F48"/>
    <w:rsid w:val="07BE5732"/>
    <w:rsid w:val="07E476BE"/>
    <w:rsid w:val="08187847"/>
    <w:rsid w:val="083420ED"/>
    <w:rsid w:val="083B3D7F"/>
    <w:rsid w:val="0854758E"/>
    <w:rsid w:val="08685BCF"/>
    <w:rsid w:val="08992D34"/>
    <w:rsid w:val="08CE2A4F"/>
    <w:rsid w:val="08DB6A0C"/>
    <w:rsid w:val="08FB0871"/>
    <w:rsid w:val="09132265"/>
    <w:rsid w:val="09421EC5"/>
    <w:rsid w:val="095D46A1"/>
    <w:rsid w:val="09772BD9"/>
    <w:rsid w:val="097867E1"/>
    <w:rsid w:val="09963B53"/>
    <w:rsid w:val="09EA7926"/>
    <w:rsid w:val="0A247CAB"/>
    <w:rsid w:val="0A316362"/>
    <w:rsid w:val="0A377059"/>
    <w:rsid w:val="0A3C34DB"/>
    <w:rsid w:val="0A47648E"/>
    <w:rsid w:val="0A5842C4"/>
    <w:rsid w:val="0A692E90"/>
    <w:rsid w:val="0A7315F2"/>
    <w:rsid w:val="0A7B04A7"/>
    <w:rsid w:val="0ABC363A"/>
    <w:rsid w:val="0AD8294B"/>
    <w:rsid w:val="0B4B3B00"/>
    <w:rsid w:val="0B5001AE"/>
    <w:rsid w:val="0B550CF8"/>
    <w:rsid w:val="0B6606D5"/>
    <w:rsid w:val="0B677C14"/>
    <w:rsid w:val="0B8A23C1"/>
    <w:rsid w:val="0BAE3813"/>
    <w:rsid w:val="0BCE5465"/>
    <w:rsid w:val="0BE1369A"/>
    <w:rsid w:val="0C3101BE"/>
    <w:rsid w:val="0C49455B"/>
    <w:rsid w:val="0C6F7B97"/>
    <w:rsid w:val="0C9839FA"/>
    <w:rsid w:val="0CBE7762"/>
    <w:rsid w:val="0CD26AC0"/>
    <w:rsid w:val="0D2239C4"/>
    <w:rsid w:val="0D4D2FC1"/>
    <w:rsid w:val="0DB741C8"/>
    <w:rsid w:val="0DBF1056"/>
    <w:rsid w:val="0DD43BF2"/>
    <w:rsid w:val="0DDF1EF8"/>
    <w:rsid w:val="0DF06AB6"/>
    <w:rsid w:val="0E0362D5"/>
    <w:rsid w:val="0E0D7668"/>
    <w:rsid w:val="0E330612"/>
    <w:rsid w:val="0E4B3CF0"/>
    <w:rsid w:val="0E966A8C"/>
    <w:rsid w:val="0E9C09EC"/>
    <w:rsid w:val="0EB3582B"/>
    <w:rsid w:val="0EBE4E06"/>
    <w:rsid w:val="0EE61CD2"/>
    <w:rsid w:val="0F6D24BC"/>
    <w:rsid w:val="0F7D537E"/>
    <w:rsid w:val="0FE125B8"/>
    <w:rsid w:val="10007707"/>
    <w:rsid w:val="100E14C3"/>
    <w:rsid w:val="102C32A9"/>
    <w:rsid w:val="10306F96"/>
    <w:rsid w:val="106D2640"/>
    <w:rsid w:val="1077526D"/>
    <w:rsid w:val="10831E63"/>
    <w:rsid w:val="109A0F5B"/>
    <w:rsid w:val="10AA08EE"/>
    <w:rsid w:val="10BC19A2"/>
    <w:rsid w:val="10BF6583"/>
    <w:rsid w:val="10CD6DFF"/>
    <w:rsid w:val="111F7F0C"/>
    <w:rsid w:val="112D05B8"/>
    <w:rsid w:val="112D6D48"/>
    <w:rsid w:val="11344292"/>
    <w:rsid w:val="113C7FBA"/>
    <w:rsid w:val="11651A16"/>
    <w:rsid w:val="11AB711C"/>
    <w:rsid w:val="11E249A1"/>
    <w:rsid w:val="11EE1479"/>
    <w:rsid w:val="12431559"/>
    <w:rsid w:val="12597320"/>
    <w:rsid w:val="1280210E"/>
    <w:rsid w:val="129E7A48"/>
    <w:rsid w:val="12D30788"/>
    <w:rsid w:val="12EF1B96"/>
    <w:rsid w:val="12F015A0"/>
    <w:rsid w:val="130A7C63"/>
    <w:rsid w:val="13171442"/>
    <w:rsid w:val="1317796F"/>
    <w:rsid w:val="13196AAF"/>
    <w:rsid w:val="132963E4"/>
    <w:rsid w:val="132A2A6A"/>
    <w:rsid w:val="13535599"/>
    <w:rsid w:val="1374034F"/>
    <w:rsid w:val="137D2B9A"/>
    <w:rsid w:val="13EF0B79"/>
    <w:rsid w:val="141D64B2"/>
    <w:rsid w:val="14477BA7"/>
    <w:rsid w:val="14DA3ACE"/>
    <w:rsid w:val="14E21BD3"/>
    <w:rsid w:val="14EB154F"/>
    <w:rsid w:val="14EC447B"/>
    <w:rsid w:val="14F35954"/>
    <w:rsid w:val="1537321C"/>
    <w:rsid w:val="156E4652"/>
    <w:rsid w:val="15BF3E2F"/>
    <w:rsid w:val="15CC7E09"/>
    <w:rsid w:val="162C2F06"/>
    <w:rsid w:val="16781D3E"/>
    <w:rsid w:val="169263C8"/>
    <w:rsid w:val="16A61788"/>
    <w:rsid w:val="16BA3E2C"/>
    <w:rsid w:val="16EB42BE"/>
    <w:rsid w:val="16F413C5"/>
    <w:rsid w:val="17666D47"/>
    <w:rsid w:val="17695979"/>
    <w:rsid w:val="176C6918"/>
    <w:rsid w:val="1792502D"/>
    <w:rsid w:val="17CC36B3"/>
    <w:rsid w:val="17E35153"/>
    <w:rsid w:val="184D16A1"/>
    <w:rsid w:val="188D5669"/>
    <w:rsid w:val="18B54B84"/>
    <w:rsid w:val="18BC4109"/>
    <w:rsid w:val="18C02D00"/>
    <w:rsid w:val="18C24DAB"/>
    <w:rsid w:val="192F5D4A"/>
    <w:rsid w:val="193260E4"/>
    <w:rsid w:val="19835197"/>
    <w:rsid w:val="19EC040D"/>
    <w:rsid w:val="1A1332D7"/>
    <w:rsid w:val="1A1A2CBB"/>
    <w:rsid w:val="1A390BD7"/>
    <w:rsid w:val="1A4F2C83"/>
    <w:rsid w:val="1A9133CF"/>
    <w:rsid w:val="1AA053B3"/>
    <w:rsid w:val="1AC564D8"/>
    <w:rsid w:val="1AD2708F"/>
    <w:rsid w:val="1ADE06FC"/>
    <w:rsid w:val="1B2B3FBD"/>
    <w:rsid w:val="1B5F5046"/>
    <w:rsid w:val="1B8B7B95"/>
    <w:rsid w:val="1B9509DF"/>
    <w:rsid w:val="1BA002D8"/>
    <w:rsid w:val="1BCA3215"/>
    <w:rsid w:val="1BCC6609"/>
    <w:rsid w:val="1BDB2B53"/>
    <w:rsid w:val="1C0025BA"/>
    <w:rsid w:val="1C0A11A4"/>
    <w:rsid w:val="1C756BCA"/>
    <w:rsid w:val="1CA218C3"/>
    <w:rsid w:val="1CAC4347"/>
    <w:rsid w:val="1D05291B"/>
    <w:rsid w:val="1D1C1092"/>
    <w:rsid w:val="1D605A5A"/>
    <w:rsid w:val="1D854966"/>
    <w:rsid w:val="1DAF6D38"/>
    <w:rsid w:val="1DD7245C"/>
    <w:rsid w:val="1DFD1285"/>
    <w:rsid w:val="1E3E3EA7"/>
    <w:rsid w:val="1E6A6411"/>
    <w:rsid w:val="1E8C4B03"/>
    <w:rsid w:val="1EA043BC"/>
    <w:rsid w:val="1EC70509"/>
    <w:rsid w:val="1EF87EC0"/>
    <w:rsid w:val="1F4A0271"/>
    <w:rsid w:val="1F5F57C2"/>
    <w:rsid w:val="1F9279CD"/>
    <w:rsid w:val="1F9574BD"/>
    <w:rsid w:val="1F9E25A7"/>
    <w:rsid w:val="1FAD74E5"/>
    <w:rsid w:val="1FC7762D"/>
    <w:rsid w:val="205730E8"/>
    <w:rsid w:val="20600680"/>
    <w:rsid w:val="206B3A09"/>
    <w:rsid w:val="20733730"/>
    <w:rsid w:val="209B0B03"/>
    <w:rsid w:val="20A83FAF"/>
    <w:rsid w:val="20D5337C"/>
    <w:rsid w:val="211C3B90"/>
    <w:rsid w:val="212D5EEC"/>
    <w:rsid w:val="213C3352"/>
    <w:rsid w:val="215025DE"/>
    <w:rsid w:val="21B7196D"/>
    <w:rsid w:val="21CC717D"/>
    <w:rsid w:val="21F4671D"/>
    <w:rsid w:val="22014B46"/>
    <w:rsid w:val="2228286B"/>
    <w:rsid w:val="223E416B"/>
    <w:rsid w:val="22424AA4"/>
    <w:rsid w:val="227D1617"/>
    <w:rsid w:val="22830E59"/>
    <w:rsid w:val="22F62B8A"/>
    <w:rsid w:val="23092164"/>
    <w:rsid w:val="23254D08"/>
    <w:rsid w:val="23410AC3"/>
    <w:rsid w:val="23534E2B"/>
    <w:rsid w:val="23C06B69"/>
    <w:rsid w:val="23ED3D6C"/>
    <w:rsid w:val="24107616"/>
    <w:rsid w:val="242C02D7"/>
    <w:rsid w:val="24533DC2"/>
    <w:rsid w:val="246833F2"/>
    <w:rsid w:val="24E54153"/>
    <w:rsid w:val="24F73F18"/>
    <w:rsid w:val="2532334D"/>
    <w:rsid w:val="25882A0D"/>
    <w:rsid w:val="25ED1E01"/>
    <w:rsid w:val="26572ACD"/>
    <w:rsid w:val="26750FF7"/>
    <w:rsid w:val="26D6553E"/>
    <w:rsid w:val="26E9418F"/>
    <w:rsid w:val="27194423"/>
    <w:rsid w:val="27290FC5"/>
    <w:rsid w:val="273D2081"/>
    <w:rsid w:val="27633B89"/>
    <w:rsid w:val="277D6BA5"/>
    <w:rsid w:val="27BB099E"/>
    <w:rsid w:val="27E72A8A"/>
    <w:rsid w:val="280111B8"/>
    <w:rsid w:val="281F026C"/>
    <w:rsid w:val="28381ED6"/>
    <w:rsid w:val="283E2079"/>
    <w:rsid w:val="284C3A94"/>
    <w:rsid w:val="287A7186"/>
    <w:rsid w:val="289B3AEA"/>
    <w:rsid w:val="28A77F49"/>
    <w:rsid w:val="28AD23CD"/>
    <w:rsid w:val="28DF5930"/>
    <w:rsid w:val="28FC627B"/>
    <w:rsid w:val="28FE41FC"/>
    <w:rsid w:val="29345C52"/>
    <w:rsid w:val="295C2DFA"/>
    <w:rsid w:val="296A5517"/>
    <w:rsid w:val="2996274E"/>
    <w:rsid w:val="29C45F74"/>
    <w:rsid w:val="29DF41F8"/>
    <w:rsid w:val="29ED028F"/>
    <w:rsid w:val="2A042187"/>
    <w:rsid w:val="2A4648B7"/>
    <w:rsid w:val="2A99773F"/>
    <w:rsid w:val="2AFB5241"/>
    <w:rsid w:val="2B005440"/>
    <w:rsid w:val="2B886128"/>
    <w:rsid w:val="2BEB0073"/>
    <w:rsid w:val="2C03574A"/>
    <w:rsid w:val="2C117DB2"/>
    <w:rsid w:val="2C136339"/>
    <w:rsid w:val="2C57513B"/>
    <w:rsid w:val="2C7B3B05"/>
    <w:rsid w:val="2C825FF2"/>
    <w:rsid w:val="2CC277F5"/>
    <w:rsid w:val="2CF972DD"/>
    <w:rsid w:val="2D2C2807"/>
    <w:rsid w:val="2D2D6F87"/>
    <w:rsid w:val="2D316080"/>
    <w:rsid w:val="2D3B70F0"/>
    <w:rsid w:val="2D5C2460"/>
    <w:rsid w:val="2D67525C"/>
    <w:rsid w:val="2D784F24"/>
    <w:rsid w:val="2D8B6923"/>
    <w:rsid w:val="2DA51213"/>
    <w:rsid w:val="2DAC25A2"/>
    <w:rsid w:val="2DCF6290"/>
    <w:rsid w:val="2DE7182C"/>
    <w:rsid w:val="2DE81100"/>
    <w:rsid w:val="2E5E7AF7"/>
    <w:rsid w:val="2E717C8A"/>
    <w:rsid w:val="2E8702E5"/>
    <w:rsid w:val="2EB23F14"/>
    <w:rsid w:val="2EB711FE"/>
    <w:rsid w:val="2ED51684"/>
    <w:rsid w:val="2EE73822"/>
    <w:rsid w:val="2F1877C3"/>
    <w:rsid w:val="2F7D13A3"/>
    <w:rsid w:val="2FAD4FD9"/>
    <w:rsid w:val="2FB346FB"/>
    <w:rsid w:val="2FFA5778"/>
    <w:rsid w:val="301B4278"/>
    <w:rsid w:val="30495C84"/>
    <w:rsid w:val="30626EBE"/>
    <w:rsid w:val="30650005"/>
    <w:rsid w:val="306523F0"/>
    <w:rsid w:val="30933E8E"/>
    <w:rsid w:val="310333AD"/>
    <w:rsid w:val="311A68FD"/>
    <w:rsid w:val="31522189"/>
    <w:rsid w:val="318A49A8"/>
    <w:rsid w:val="318C4BC4"/>
    <w:rsid w:val="320D2136"/>
    <w:rsid w:val="326174B8"/>
    <w:rsid w:val="32990C1B"/>
    <w:rsid w:val="329E6CD8"/>
    <w:rsid w:val="330A1619"/>
    <w:rsid w:val="33440753"/>
    <w:rsid w:val="334B6B48"/>
    <w:rsid w:val="334F0FAE"/>
    <w:rsid w:val="33773E42"/>
    <w:rsid w:val="338379C5"/>
    <w:rsid w:val="338C3D33"/>
    <w:rsid w:val="338F39E0"/>
    <w:rsid w:val="33A31D51"/>
    <w:rsid w:val="33D703E0"/>
    <w:rsid w:val="34887E26"/>
    <w:rsid w:val="34895B74"/>
    <w:rsid w:val="348C0A37"/>
    <w:rsid w:val="34A9783B"/>
    <w:rsid w:val="34E14EA2"/>
    <w:rsid w:val="34E346A0"/>
    <w:rsid w:val="34E73CF8"/>
    <w:rsid w:val="34EB1C02"/>
    <w:rsid w:val="359B1151"/>
    <w:rsid w:val="359C0B1F"/>
    <w:rsid w:val="35AD49A2"/>
    <w:rsid w:val="35B136DF"/>
    <w:rsid w:val="3604132F"/>
    <w:rsid w:val="361231BE"/>
    <w:rsid w:val="36172BC3"/>
    <w:rsid w:val="365A184B"/>
    <w:rsid w:val="365E76D7"/>
    <w:rsid w:val="36A47E30"/>
    <w:rsid w:val="36AA2028"/>
    <w:rsid w:val="36B4763B"/>
    <w:rsid w:val="36C3270A"/>
    <w:rsid w:val="36C752EB"/>
    <w:rsid w:val="36CC7C95"/>
    <w:rsid w:val="36CF07E3"/>
    <w:rsid w:val="36E06650"/>
    <w:rsid w:val="36EB650A"/>
    <w:rsid w:val="370054CB"/>
    <w:rsid w:val="37532CFF"/>
    <w:rsid w:val="37572821"/>
    <w:rsid w:val="378133A9"/>
    <w:rsid w:val="37D1291E"/>
    <w:rsid w:val="38353194"/>
    <w:rsid w:val="383A233E"/>
    <w:rsid w:val="38414B66"/>
    <w:rsid w:val="384978C7"/>
    <w:rsid w:val="38D635B3"/>
    <w:rsid w:val="38EA1853"/>
    <w:rsid w:val="38ED7EE6"/>
    <w:rsid w:val="38FB5923"/>
    <w:rsid w:val="390019F4"/>
    <w:rsid w:val="39101F1B"/>
    <w:rsid w:val="392D7EB3"/>
    <w:rsid w:val="39334D7E"/>
    <w:rsid w:val="39720FC7"/>
    <w:rsid w:val="397D3044"/>
    <w:rsid w:val="39A700C1"/>
    <w:rsid w:val="39B60304"/>
    <w:rsid w:val="39CD52E9"/>
    <w:rsid w:val="3A2347C5"/>
    <w:rsid w:val="3A64388F"/>
    <w:rsid w:val="3B0B043D"/>
    <w:rsid w:val="3B4C1503"/>
    <w:rsid w:val="3B643B7B"/>
    <w:rsid w:val="3BDF2457"/>
    <w:rsid w:val="3C6C3297"/>
    <w:rsid w:val="3C8E39AA"/>
    <w:rsid w:val="3CA53635"/>
    <w:rsid w:val="3D23372C"/>
    <w:rsid w:val="3D3F3643"/>
    <w:rsid w:val="3D483FA5"/>
    <w:rsid w:val="3D6549A6"/>
    <w:rsid w:val="3D6E1622"/>
    <w:rsid w:val="3D6E288F"/>
    <w:rsid w:val="3D7208FA"/>
    <w:rsid w:val="3D9646D4"/>
    <w:rsid w:val="3DB373B3"/>
    <w:rsid w:val="3DF80C94"/>
    <w:rsid w:val="3E064F5A"/>
    <w:rsid w:val="3E161B6B"/>
    <w:rsid w:val="3E175815"/>
    <w:rsid w:val="3E4C7CD6"/>
    <w:rsid w:val="3E5124E6"/>
    <w:rsid w:val="3E7F5998"/>
    <w:rsid w:val="3EF17A4D"/>
    <w:rsid w:val="3F0056DB"/>
    <w:rsid w:val="3F1A3023"/>
    <w:rsid w:val="3F243A9D"/>
    <w:rsid w:val="3F740A45"/>
    <w:rsid w:val="3F9F1873"/>
    <w:rsid w:val="3FAA5EE2"/>
    <w:rsid w:val="3FCD3B28"/>
    <w:rsid w:val="3FD72B75"/>
    <w:rsid w:val="3FDA7B0E"/>
    <w:rsid w:val="3FF71C7E"/>
    <w:rsid w:val="401B6606"/>
    <w:rsid w:val="401D2E8B"/>
    <w:rsid w:val="401D6B00"/>
    <w:rsid w:val="402C53E6"/>
    <w:rsid w:val="40350295"/>
    <w:rsid w:val="406106C5"/>
    <w:rsid w:val="406805AA"/>
    <w:rsid w:val="406E1D8D"/>
    <w:rsid w:val="41333D24"/>
    <w:rsid w:val="414D6E79"/>
    <w:rsid w:val="41B17D2F"/>
    <w:rsid w:val="41BA2BF4"/>
    <w:rsid w:val="41C43F63"/>
    <w:rsid w:val="41DE08CB"/>
    <w:rsid w:val="42053C57"/>
    <w:rsid w:val="42214BD9"/>
    <w:rsid w:val="422D5416"/>
    <w:rsid w:val="42324DFA"/>
    <w:rsid w:val="42470693"/>
    <w:rsid w:val="42572350"/>
    <w:rsid w:val="425F30ED"/>
    <w:rsid w:val="427755DD"/>
    <w:rsid w:val="4282551A"/>
    <w:rsid w:val="42FA74B4"/>
    <w:rsid w:val="431353F3"/>
    <w:rsid w:val="43455446"/>
    <w:rsid w:val="43692E36"/>
    <w:rsid w:val="438A7137"/>
    <w:rsid w:val="439301A5"/>
    <w:rsid w:val="43A37B4B"/>
    <w:rsid w:val="43E96A97"/>
    <w:rsid w:val="44213429"/>
    <w:rsid w:val="44390CF2"/>
    <w:rsid w:val="443D58AA"/>
    <w:rsid w:val="44DA072F"/>
    <w:rsid w:val="44FA1BA5"/>
    <w:rsid w:val="454D0F8E"/>
    <w:rsid w:val="459B6428"/>
    <w:rsid w:val="45A932D5"/>
    <w:rsid w:val="45D764B6"/>
    <w:rsid w:val="45F823D0"/>
    <w:rsid w:val="45FC0A54"/>
    <w:rsid w:val="461D469A"/>
    <w:rsid w:val="462B79E6"/>
    <w:rsid w:val="466976E6"/>
    <w:rsid w:val="46EA0CE7"/>
    <w:rsid w:val="46EF7B2B"/>
    <w:rsid w:val="470D4256"/>
    <w:rsid w:val="472208AE"/>
    <w:rsid w:val="47704C41"/>
    <w:rsid w:val="477D49A5"/>
    <w:rsid w:val="47B925F3"/>
    <w:rsid w:val="47CA03F9"/>
    <w:rsid w:val="48382F58"/>
    <w:rsid w:val="483D25BC"/>
    <w:rsid w:val="4856518C"/>
    <w:rsid w:val="48910AEC"/>
    <w:rsid w:val="48AA0166"/>
    <w:rsid w:val="48B3170D"/>
    <w:rsid w:val="48B41562"/>
    <w:rsid w:val="491A08B0"/>
    <w:rsid w:val="492A0810"/>
    <w:rsid w:val="493C7DE9"/>
    <w:rsid w:val="496D09DF"/>
    <w:rsid w:val="49D8738C"/>
    <w:rsid w:val="4A1E13B4"/>
    <w:rsid w:val="4A2C49B0"/>
    <w:rsid w:val="4A483ABA"/>
    <w:rsid w:val="4A7D1B0F"/>
    <w:rsid w:val="4A802994"/>
    <w:rsid w:val="4A8F10CA"/>
    <w:rsid w:val="4A902D26"/>
    <w:rsid w:val="4AA61547"/>
    <w:rsid w:val="4AAA61F4"/>
    <w:rsid w:val="4AAC50D1"/>
    <w:rsid w:val="4AC64C7F"/>
    <w:rsid w:val="4AE82438"/>
    <w:rsid w:val="4AEB66A3"/>
    <w:rsid w:val="4B133808"/>
    <w:rsid w:val="4B6A47C9"/>
    <w:rsid w:val="4B816722"/>
    <w:rsid w:val="4B874509"/>
    <w:rsid w:val="4C1C66ED"/>
    <w:rsid w:val="4C5A2B74"/>
    <w:rsid w:val="4C7B3413"/>
    <w:rsid w:val="4CCF550D"/>
    <w:rsid w:val="4CF24DCE"/>
    <w:rsid w:val="4D0227B8"/>
    <w:rsid w:val="4D2D20D9"/>
    <w:rsid w:val="4D4B1038"/>
    <w:rsid w:val="4DA074F7"/>
    <w:rsid w:val="4DA33F07"/>
    <w:rsid w:val="4DDE52C0"/>
    <w:rsid w:val="4DE14C7E"/>
    <w:rsid w:val="4DEA4CF4"/>
    <w:rsid w:val="4DF05D30"/>
    <w:rsid w:val="4DFB00F6"/>
    <w:rsid w:val="4E8932F2"/>
    <w:rsid w:val="4EF665A9"/>
    <w:rsid w:val="4F4C1097"/>
    <w:rsid w:val="4F530677"/>
    <w:rsid w:val="4FA7250F"/>
    <w:rsid w:val="4FBE56CC"/>
    <w:rsid w:val="50016325"/>
    <w:rsid w:val="50102896"/>
    <w:rsid w:val="502169F8"/>
    <w:rsid w:val="50417876"/>
    <w:rsid w:val="508605D9"/>
    <w:rsid w:val="50A1397F"/>
    <w:rsid w:val="50BE4392"/>
    <w:rsid w:val="5141363B"/>
    <w:rsid w:val="51491D32"/>
    <w:rsid w:val="51643D6F"/>
    <w:rsid w:val="51645FCA"/>
    <w:rsid w:val="51842D6A"/>
    <w:rsid w:val="51A14E1E"/>
    <w:rsid w:val="51C75DFE"/>
    <w:rsid w:val="51D21E7F"/>
    <w:rsid w:val="52324DF9"/>
    <w:rsid w:val="52496610"/>
    <w:rsid w:val="52741FCB"/>
    <w:rsid w:val="52A770BC"/>
    <w:rsid w:val="52D06B10"/>
    <w:rsid w:val="53401A68"/>
    <w:rsid w:val="53536515"/>
    <w:rsid w:val="535D7F7D"/>
    <w:rsid w:val="536B21BA"/>
    <w:rsid w:val="539603B9"/>
    <w:rsid w:val="53A862CC"/>
    <w:rsid w:val="53D53D51"/>
    <w:rsid w:val="542A0FDA"/>
    <w:rsid w:val="544D7D8B"/>
    <w:rsid w:val="54604111"/>
    <w:rsid w:val="54E67898"/>
    <w:rsid w:val="54E877FB"/>
    <w:rsid w:val="54ED53D0"/>
    <w:rsid w:val="55091CCC"/>
    <w:rsid w:val="552471A3"/>
    <w:rsid w:val="55256612"/>
    <w:rsid w:val="55501F80"/>
    <w:rsid w:val="555675C0"/>
    <w:rsid w:val="558A2919"/>
    <w:rsid w:val="55F76A1D"/>
    <w:rsid w:val="56307253"/>
    <w:rsid w:val="563230B2"/>
    <w:rsid w:val="56453199"/>
    <w:rsid w:val="564B4B24"/>
    <w:rsid w:val="5652795B"/>
    <w:rsid w:val="565D048E"/>
    <w:rsid w:val="56783DDB"/>
    <w:rsid w:val="56822CB0"/>
    <w:rsid w:val="56AF70A0"/>
    <w:rsid w:val="56EF7016"/>
    <w:rsid w:val="56FB459C"/>
    <w:rsid w:val="5755514A"/>
    <w:rsid w:val="576B7FA0"/>
    <w:rsid w:val="57713D91"/>
    <w:rsid w:val="57775E93"/>
    <w:rsid w:val="577B076B"/>
    <w:rsid w:val="5797379E"/>
    <w:rsid w:val="57FE3212"/>
    <w:rsid w:val="582F6DAB"/>
    <w:rsid w:val="58AD45AF"/>
    <w:rsid w:val="58BB2198"/>
    <w:rsid w:val="58D4718C"/>
    <w:rsid w:val="590C78EE"/>
    <w:rsid w:val="590E560F"/>
    <w:rsid w:val="59151F30"/>
    <w:rsid w:val="59281540"/>
    <w:rsid w:val="59346858"/>
    <w:rsid w:val="59351CF1"/>
    <w:rsid w:val="595236B6"/>
    <w:rsid w:val="59581771"/>
    <w:rsid w:val="59A82CA5"/>
    <w:rsid w:val="5A0D7A45"/>
    <w:rsid w:val="5A154782"/>
    <w:rsid w:val="5A1804F3"/>
    <w:rsid w:val="5ABB4345"/>
    <w:rsid w:val="5ABB457A"/>
    <w:rsid w:val="5ABB7ED4"/>
    <w:rsid w:val="5AD536B4"/>
    <w:rsid w:val="5AEA4CCC"/>
    <w:rsid w:val="5B031B11"/>
    <w:rsid w:val="5B360457"/>
    <w:rsid w:val="5B96574B"/>
    <w:rsid w:val="5BE34B31"/>
    <w:rsid w:val="5C107AE5"/>
    <w:rsid w:val="5C1A1702"/>
    <w:rsid w:val="5C1E200D"/>
    <w:rsid w:val="5C3A5325"/>
    <w:rsid w:val="5C572663"/>
    <w:rsid w:val="5C5A652B"/>
    <w:rsid w:val="5C853E3A"/>
    <w:rsid w:val="5D064006"/>
    <w:rsid w:val="5D320FC0"/>
    <w:rsid w:val="5D3E5631"/>
    <w:rsid w:val="5D797461"/>
    <w:rsid w:val="5D823BEC"/>
    <w:rsid w:val="5DB46C14"/>
    <w:rsid w:val="5DE138D8"/>
    <w:rsid w:val="5DFC1EDA"/>
    <w:rsid w:val="5E1921ED"/>
    <w:rsid w:val="5E3B5D7C"/>
    <w:rsid w:val="5E6A5D46"/>
    <w:rsid w:val="5EDB106D"/>
    <w:rsid w:val="5EE035AA"/>
    <w:rsid w:val="5F476F94"/>
    <w:rsid w:val="5F7D5E8E"/>
    <w:rsid w:val="5F7F522A"/>
    <w:rsid w:val="5FE62E42"/>
    <w:rsid w:val="5FEB0458"/>
    <w:rsid w:val="60023C8F"/>
    <w:rsid w:val="601337BB"/>
    <w:rsid w:val="604B7816"/>
    <w:rsid w:val="606A165C"/>
    <w:rsid w:val="608D1D28"/>
    <w:rsid w:val="60927411"/>
    <w:rsid w:val="60A07495"/>
    <w:rsid w:val="60EC4488"/>
    <w:rsid w:val="60EF54A6"/>
    <w:rsid w:val="614238B6"/>
    <w:rsid w:val="61730705"/>
    <w:rsid w:val="619B393F"/>
    <w:rsid w:val="61A42FB4"/>
    <w:rsid w:val="61FA3EC6"/>
    <w:rsid w:val="62281F6A"/>
    <w:rsid w:val="622C715E"/>
    <w:rsid w:val="624E318C"/>
    <w:rsid w:val="62A87E16"/>
    <w:rsid w:val="62CA561A"/>
    <w:rsid w:val="6313315F"/>
    <w:rsid w:val="632F68AE"/>
    <w:rsid w:val="63531AF3"/>
    <w:rsid w:val="63723F5D"/>
    <w:rsid w:val="639A466F"/>
    <w:rsid w:val="63CD6C1F"/>
    <w:rsid w:val="63E45BC2"/>
    <w:rsid w:val="64326DD3"/>
    <w:rsid w:val="643A2D32"/>
    <w:rsid w:val="649D4417"/>
    <w:rsid w:val="64A56430"/>
    <w:rsid w:val="64AC6408"/>
    <w:rsid w:val="64D35409"/>
    <w:rsid w:val="65055217"/>
    <w:rsid w:val="6531690D"/>
    <w:rsid w:val="656F2022"/>
    <w:rsid w:val="658F62BE"/>
    <w:rsid w:val="65A05965"/>
    <w:rsid w:val="65AC068A"/>
    <w:rsid w:val="65BB2793"/>
    <w:rsid w:val="65D5198E"/>
    <w:rsid w:val="65FF1B98"/>
    <w:rsid w:val="662B5A52"/>
    <w:rsid w:val="6632708D"/>
    <w:rsid w:val="664F5C5B"/>
    <w:rsid w:val="667027CF"/>
    <w:rsid w:val="6688694C"/>
    <w:rsid w:val="66B912B0"/>
    <w:rsid w:val="66C667CF"/>
    <w:rsid w:val="67112E9A"/>
    <w:rsid w:val="673532AF"/>
    <w:rsid w:val="674548F2"/>
    <w:rsid w:val="67685EF2"/>
    <w:rsid w:val="6784541A"/>
    <w:rsid w:val="67A410D5"/>
    <w:rsid w:val="67AB0BF9"/>
    <w:rsid w:val="67C9169A"/>
    <w:rsid w:val="681D0A4C"/>
    <w:rsid w:val="68245589"/>
    <w:rsid w:val="68430E58"/>
    <w:rsid w:val="6853303E"/>
    <w:rsid w:val="685A72CC"/>
    <w:rsid w:val="685C780E"/>
    <w:rsid w:val="68777DD2"/>
    <w:rsid w:val="68F75F65"/>
    <w:rsid w:val="6908559A"/>
    <w:rsid w:val="69201173"/>
    <w:rsid w:val="693678AE"/>
    <w:rsid w:val="69456428"/>
    <w:rsid w:val="69983CE0"/>
    <w:rsid w:val="69DF4A4B"/>
    <w:rsid w:val="69ED3A26"/>
    <w:rsid w:val="6A180E10"/>
    <w:rsid w:val="6A1C1694"/>
    <w:rsid w:val="6A751DB0"/>
    <w:rsid w:val="6A9C10AA"/>
    <w:rsid w:val="6AA07179"/>
    <w:rsid w:val="6AB95533"/>
    <w:rsid w:val="6AD42215"/>
    <w:rsid w:val="6AD95A7D"/>
    <w:rsid w:val="6B037E0E"/>
    <w:rsid w:val="6B253616"/>
    <w:rsid w:val="6B5377C7"/>
    <w:rsid w:val="6B81470D"/>
    <w:rsid w:val="6BB44ED4"/>
    <w:rsid w:val="6BDA5401"/>
    <w:rsid w:val="6BDE41BB"/>
    <w:rsid w:val="6C4C227F"/>
    <w:rsid w:val="6C5462A8"/>
    <w:rsid w:val="6C917FD7"/>
    <w:rsid w:val="6CA31566"/>
    <w:rsid w:val="6D3769B4"/>
    <w:rsid w:val="6D865F2E"/>
    <w:rsid w:val="6D8B36BB"/>
    <w:rsid w:val="6DB35745"/>
    <w:rsid w:val="6DB35A93"/>
    <w:rsid w:val="6DB42229"/>
    <w:rsid w:val="6DE20BEF"/>
    <w:rsid w:val="6E1B00F3"/>
    <w:rsid w:val="6E1F5E9D"/>
    <w:rsid w:val="6E220599"/>
    <w:rsid w:val="6E3A2CD6"/>
    <w:rsid w:val="6E852FEC"/>
    <w:rsid w:val="6EBF6614"/>
    <w:rsid w:val="6EFB54F1"/>
    <w:rsid w:val="6F377216"/>
    <w:rsid w:val="6F8545BB"/>
    <w:rsid w:val="6FA10C39"/>
    <w:rsid w:val="6FF967F5"/>
    <w:rsid w:val="701A2DA7"/>
    <w:rsid w:val="705D2071"/>
    <w:rsid w:val="7072464A"/>
    <w:rsid w:val="70741DD0"/>
    <w:rsid w:val="707B6DB5"/>
    <w:rsid w:val="70AC59E2"/>
    <w:rsid w:val="70CB230C"/>
    <w:rsid w:val="70FE1717"/>
    <w:rsid w:val="71347EB1"/>
    <w:rsid w:val="713C1F73"/>
    <w:rsid w:val="7177278D"/>
    <w:rsid w:val="71970440"/>
    <w:rsid w:val="71BB7860"/>
    <w:rsid w:val="71F16786"/>
    <w:rsid w:val="72266C97"/>
    <w:rsid w:val="72440385"/>
    <w:rsid w:val="72EA55F4"/>
    <w:rsid w:val="73353A6C"/>
    <w:rsid w:val="733A4BAA"/>
    <w:rsid w:val="73412411"/>
    <w:rsid w:val="73591716"/>
    <w:rsid w:val="73761484"/>
    <w:rsid w:val="7386251A"/>
    <w:rsid w:val="743F3C99"/>
    <w:rsid w:val="74835482"/>
    <w:rsid w:val="74877DC7"/>
    <w:rsid w:val="74CB0B2C"/>
    <w:rsid w:val="74CD1048"/>
    <w:rsid w:val="75071569"/>
    <w:rsid w:val="755802CB"/>
    <w:rsid w:val="755C79D6"/>
    <w:rsid w:val="75890D8F"/>
    <w:rsid w:val="75A44793"/>
    <w:rsid w:val="75B043EA"/>
    <w:rsid w:val="75D1383D"/>
    <w:rsid w:val="75F220E9"/>
    <w:rsid w:val="75F81E8C"/>
    <w:rsid w:val="76322085"/>
    <w:rsid w:val="766F4755"/>
    <w:rsid w:val="76D90F68"/>
    <w:rsid w:val="76DE4877"/>
    <w:rsid w:val="7706409E"/>
    <w:rsid w:val="7709593C"/>
    <w:rsid w:val="77543E35"/>
    <w:rsid w:val="77640E3E"/>
    <w:rsid w:val="77C1540B"/>
    <w:rsid w:val="77D9614F"/>
    <w:rsid w:val="77F90F84"/>
    <w:rsid w:val="77FA0F42"/>
    <w:rsid w:val="78056103"/>
    <w:rsid w:val="78114130"/>
    <w:rsid w:val="783E7320"/>
    <w:rsid w:val="78646D02"/>
    <w:rsid w:val="78A166E3"/>
    <w:rsid w:val="78CB19C0"/>
    <w:rsid w:val="78F35EFE"/>
    <w:rsid w:val="78FA7248"/>
    <w:rsid w:val="78FF5669"/>
    <w:rsid w:val="7918780F"/>
    <w:rsid w:val="793275BA"/>
    <w:rsid w:val="79366D92"/>
    <w:rsid w:val="79A724F1"/>
    <w:rsid w:val="79B56B48"/>
    <w:rsid w:val="79F857F4"/>
    <w:rsid w:val="7A3C7BA9"/>
    <w:rsid w:val="7A4B7878"/>
    <w:rsid w:val="7A536DF4"/>
    <w:rsid w:val="7A5C149E"/>
    <w:rsid w:val="7A6510DB"/>
    <w:rsid w:val="7A6D100D"/>
    <w:rsid w:val="7A785CD3"/>
    <w:rsid w:val="7A7C0965"/>
    <w:rsid w:val="7AB160CE"/>
    <w:rsid w:val="7B7B1EE2"/>
    <w:rsid w:val="7B7D2454"/>
    <w:rsid w:val="7B870692"/>
    <w:rsid w:val="7B8D7AD7"/>
    <w:rsid w:val="7B971768"/>
    <w:rsid w:val="7BC736D0"/>
    <w:rsid w:val="7BDD5A14"/>
    <w:rsid w:val="7BEB2AFB"/>
    <w:rsid w:val="7C423671"/>
    <w:rsid w:val="7C5F16F8"/>
    <w:rsid w:val="7C9D3E10"/>
    <w:rsid w:val="7CAF2E48"/>
    <w:rsid w:val="7CB122FF"/>
    <w:rsid w:val="7CDD25E0"/>
    <w:rsid w:val="7CFC55FB"/>
    <w:rsid w:val="7D4B02EC"/>
    <w:rsid w:val="7D7711E3"/>
    <w:rsid w:val="7D796C4C"/>
    <w:rsid w:val="7D8B2F11"/>
    <w:rsid w:val="7DB230B5"/>
    <w:rsid w:val="7DBA67DE"/>
    <w:rsid w:val="7DBF72D1"/>
    <w:rsid w:val="7DCA6A7D"/>
    <w:rsid w:val="7DD0696A"/>
    <w:rsid w:val="7DEE3421"/>
    <w:rsid w:val="7DF53ACA"/>
    <w:rsid w:val="7E096017"/>
    <w:rsid w:val="7E53398F"/>
    <w:rsid w:val="7E8807AA"/>
    <w:rsid w:val="7EDA650F"/>
    <w:rsid w:val="7EFF6E4F"/>
    <w:rsid w:val="7F0E4C61"/>
    <w:rsid w:val="7F1D158C"/>
    <w:rsid w:val="7F7E316C"/>
    <w:rsid w:val="7F7F4C0B"/>
    <w:rsid w:val="7FC35842"/>
    <w:rsid w:val="7FDF7A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4">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autoRedefine/>
    <w:qFormat/>
    <w:uiPriority w:val="0"/>
    <w:pPr>
      <w:jc w:val="left"/>
    </w:pPr>
  </w:style>
  <w:style w:type="paragraph" w:styleId="6">
    <w:name w:val="Body Text"/>
    <w:basedOn w:val="1"/>
    <w:next w:val="1"/>
    <w:autoRedefine/>
    <w:unhideWhenUsed/>
    <w:qFormat/>
    <w:uiPriority w:val="0"/>
    <w:pPr>
      <w:spacing w:after="120"/>
    </w:pPr>
    <w:rPr>
      <w:rFonts w:ascii="Calibri" w:hAnsi="Calibri"/>
      <w:kern w:val="2"/>
      <w:szCs w:val="22"/>
    </w:rPr>
  </w:style>
  <w:style w:type="paragraph" w:styleId="7">
    <w:name w:val="toc 3"/>
    <w:basedOn w:val="1"/>
    <w:next w:val="1"/>
    <w:qFormat/>
    <w:uiPriority w:val="0"/>
    <w:pPr>
      <w:tabs>
        <w:tab w:val="right" w:leader="dot" w:pos="8268"/>
      </w:tabs>
      <w:spacing w:line="460" w:lineRule="exact"/>
      <w:ind w:left="840" w:firstLine="482"/>
    </w:pPr>
  </w:style>
  <w:style w:type="paragraph" w:styleId="8">
    <w:name w:val="Plain Text"/>
    <w:basedOn w:val="1"/>
    <w:autoRedefine/>
    <w:unhideWhenUsed/>
    <w:qFormat/>
    <w:uiPriority w:val="0"/>
    <w:rPr>
      <w:rFonts w:ascii="宋体" w:hAnsi="Courier New" w:cs="Courier New"/>
      <w:kern w:val="2"/>
      <w:szCs w:val="21"/>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19"/>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qFormat/>
    <w:uiPriority w:val="0"/>
    <w:pPr>
      <w:spacing w:beforeAutospacing="1" w:afterAutospacing="1"/>
      <w:jc w:val="left"/>
    </w:pPr>
    <w:rPr>
      <w:rFonts w:cs="Times New Roman"/>
      <w:kern w:val="0"/>
      <w:sz w:val="24"/>
    </w:rPr>
  </w:style>
  <w:style w:type="table" w:styleId="1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5">
    <w:name w:val="Strong"/>
    <w:basedOn w:val="14"/>
    <w:qFormat/>
    <w:uiPriority w:val="0"/>
    <w:rPr>
      <w:b/>
    </w:rPr>
  </w:style>
  <w:style w:type="character" w:styleId="16">
    <w:name w:val="Emphasis"/>
    <w:qFormat/>
    <w:uiPriority w:val="0"/>
    <w:rPr>
      <w:i/>
    </w:rPr>
  </w:style>
  <w:style w:type="paragraph" w:customStyle="1" w:styleId="17">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18">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9">
    <w:name w:val="页眉 Char"/>
    <w:basedOn w:val="14"/>
    <w:link w:val="10"/>
    <w:autoRedefine/>
    <w:qFormat/>
    <w:uiPriority w:val="0"/>
    <w:rPr>
      <w:rFonts w:asciiTheme="minorHAnsi" w:hAnsiTheme="minorHAnsi" w:eastAsiaTheme="minorEastAsia" w:cstheme="minorBidi"/>
      <w:kern w:val="2"/>
      <w:sz w:val="18"/>
      <w:szCs w:val="18"/>
    </w:rPr>
  </w:style>
  <w:style w:type="character" w:customStyle="1" w:styleId="20">
    <w:name w:val="页脚 Char"/>
    <w:basedOn w:val="14"/>
    <w:link w:val="9"/>
    <w:autoRedefine/>
    <w:qFormat/>
    <w:uiPriority w:val="0"/>
    <w:rPr>
      <w:rFonts w:asciiTheme="minorHAnsi" w:hAnsiTheme="minorHAnsi" w:eastAsiaTheme="minorEastAsia" w:cstheme="minorBidi"/>
      <w:kern w:val="2"/>
      <w:sz w:val="18"/>
      <w:szCs w:val="18"/>
    </w:rPr>
  </w:style>
  <w:style w:type="paragraph" w:customStyle="1" w:styleId="21">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2">
    <w:name w:val="页脚1"/>
    <w:basedOn w:val="1"/>
    <w:autoRedefine/>
    <w:unhideWhenUsed/>
    <w:qFormat/>
    <w:uiPriority w:val="99"/>
    <w:pPr>
      <w:tabs>
        <w:tab w:val="center" w:pos="4153"/>
        <w:tab w:val="right" w:pos="8306"/>
      </w:tabs>
      <w:jc w:val="left"/>
    </w:pPr>
    <w:rPr>
      <w:sz w:val="18"/>
      <w:szCs w:val="18"/>
    </w:rPr>
  </w:style>
  <w:style w:type="paragraph" w:customStyle="1" w:styleId="23">
    <w:name w:val="正文首行缩进 21"/>
    <w:basedOn w:val="24"/>
    <w:qFormat/>
    <w:uiPriority w:val="0"/>
    <w:pPr>
      <w:ind w:firstLine="420"/>
    </w:pPr>
  </w:style>
  <w:style w:type="paragraph" w:customStyle="1" w:styleId="24">
    <w:name w:val="正文文本缩进1"/>
    <w:basedOn w:val="1"/>
    <w:qFormat/>
    <w:uiPriority w:val="0"/>
    <w:pPr>
      <w:spacing w:after="120"/>
      <w:ind w:left="420"/>
    </w:pPr>
  </w:style>
  <w:style w:type="paragraph" w:customStyle="1" w:styleId="25">
    <w:name w:val="列出段落3"/>
    <w:basedOn w:val="1"/>
    <w:qFormat/>
    <w:uiPriority w:val="0"/>
    <w:pPr>
      <w:ind w:firstLine="420"/>
    </w:pPr>
    <w:rPr>
      <w:szCs w:val="20"/>
    </w:rPr>
  </w:style>
  <w:style w:type="paragraph" w:customStyle="1" w:styleId="26">
    <w:name w:val="正文1"/>
    <w:basedOn w:val="7"/>
    <w:next w:val="1"/>
    <w:qFormat/>
    <w:uiPriority w:val="0"/>
    <w:pPr>
      <w:widowControl w:val="0"/>
      <w:jc w:val="both"/>
    </w:pPr>
    <w:rPr>
      <w:rFonts w:hint="eastAsia" w:ascii="Arial Unicode MS" w:hAnsi="Arial Unicode MS" w:cs="Arial Unicode MS"/>
      <w:color w:val="000000"/>
      <w:lang w:eastAsia="zh-CN"/>
    </w:rPr>
  </w:style>
  <w:style w:type="paragraph" w:customStyle="1" w:styleId="27">
    <w:name w:val="Normal_0_1"/>
    <w:qFormat/>
    <w:uiPriority w:val="0"/>
    <w:pPr>
      <w:widowControl w:val="0"/>
      <w:jc w:val="both"/>
    </w:pPr>
    <w:rPr>
      <w:rFonts w:ascii="黑体" w:hAnsi="黑体" w:eastAsia="黑体" w:cs="Times New Roman"/>
      <w:b/>
      <w:kern w:val="2"/>
      <w:sz w:val="32"/>
      <w:szCs w:val="24"/>
      <w:lang w:val="en-US" w:eastAsia="zh-CN" w:bidi="ar-SA"/>
    </w:rPr>
  </w:style>
  <w:style w:type="paragraph" w:customStyle="1" w:styleId="28">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9">
    <w:name w:val="普通(网站)1"/>
    <w:basedOn w:val="1"/>
    <w:qFormat/>
    <w:uiPriority w:val="0"/>
    <w:pPr>
      <w:spacing w:beforeAutospacing="1" w:afterAutospacing="1"/>
      <w:jc w:val="left"/>
    </w:pPr>
    <w:rPr>
      <w:rFonts w:cs="Times New Roman"/>
      <w:sz w:val="24"/>
    </w:rPr>
  </w:style>
  <w:style w:type="character" w:customStyle="1" w:styleId="30">
    <w:name w:val="font41"/>
    <w:basedOn w:val="14"/>
    <w:qFormat/>
    <w:uiPriority w:val="0"/>
    <w:rPr>
      <w:rFonts w:hint="eastAsia" w:ascii="方正仿宋_GB2312" w:hAnsi="方正仿宋_GB2312" w:eastAsia="方正仿宋_GB2312" w:cs="方正仿宋_GB2312"/>
      <w:color w:val="000000"/>
      <w:sz w:val="22"/>
      <w:szCs w:val="22"/>
      <w:u w:val="none"/>
    </w:rPr>
  </w:style>
  <w:style w:type="character" w:customStyle="1" w:styleId="31">
    <w:name w:val="font61"/>
    <w:basedOn w:val="14"/>
    <w:qFormat/>
    <w:uiPriority w:val="0"/>
    <w:rPr>
      <w:rFonts w:hint="eastAsia" w:ascii="宋体" w:hAnsi="宋体" w:eastAsia="宋体" w:cs="宋体"/>
      <w:color w:val="000000"/>
      <w:sz w:val="22"/>
      <w:szCs w:val="22"/>
      <w:u w:val="none"/>
    </w:rPr>
  </w:style>
  <w:style w:type="character" w:customStyle="1" w:styleId="32">
    <w:name w:val="font11"/>
    <w:basedOn w:val="14"/>
    <w:qFormat/>
    <w:uiPriority w:val="0"/>
    <w:rPr>
      <w:rFonts w:hint="eastAsia" w:ascii="方正仿宋_GB2312" w:hAnsi="方正仿宋_GB2312" w:eastAsia="方正仿宋_GB2312" w:cs="方正仿宋_GB2312"/>
      <w:color w:val="000000"/>
      <w:sz w:val="22"/>
      <w:szCs w:val="22"/>
      <w:u w:val="none"/>
    </w:rPr>
  </w:style>
  <w:style w:type="character" w:customStyle="1" w:styleId="33">
    <w:name w:val="font01"/>
    <w:basedOn w:val="14"/>
    <w:qFormat/>
    <w:uiPriority w:val="0"/>
    <w:rPr>
      <w:rFonts w:hint="eastAsia" w:ascii="宋体" w:hAnsi="宋体" w:eastAsia="宋体" w:cs="宋体"/>
      <w:color w:val="000000"/>
      <w:sz w:val="22"/>
      <w:szCs w:val="22"/>
      <w:u w:val="none"/>
    </w:rPr>
  </w:style>
  <w:style w:type="paragraph" w:styleId="34">
    <w:name w:val="List Paragraph"/>
    <w:basedOn w:val="1"/>
    <w:qFormat/>
    <w:uiPriority w:val="34"/>
    <w:pPr>
      <w:ind w:firstLine="420"/>
    </w:pPr>
  </w:style>
  <w:style w:type="character" w:customStyle="1" w:styleId="35">
    <w:name w:val="font21"/>
    <w:basedOn w:val="14"/>
    <w:qFormat/>
    <w:uiPriority w:val="0"/>
    <w:rPr>
      <w:rFonts w:hint="default" w:ascii="方正仿宋_GB2312" w:hAnsi="方正仿宋_GB2312" w:eastAsia="方正仿宋_GB2312" w:cs="方正仿宋_GB2312"/>
      <w:color w:val="000000"/>
      <w:sz w:val="22"/>
      <w:szCs w:val="22"/>
      <w:u w:val="none"/>
    </w:rPr>
  </w:style>
  <w:style w:type="character" w:customStyle="1" w:styleId="36">
    <w:name w:val="font31"/>
    <w:basedOn w:val="14"/>
    <w:qFormat/>
    <w:uiPriority w:val="0"/>
    <w:rPr>
      <w:rFonts w:hint="eastAsia" w:ascii="宋体" w:hAnsi="宋体" w:eastAsia="宋体" w:cs="宋体"/>
      <w:color w:val="000000"/>
      <w:sz w:val="22"/>
      <w:szCs w:val="22"/>
      <w:u w:val="none"/>
    </w:rPr>
  </w:style>
  <w:style w:type="character" w:customStyle="1" w:styleId="37">
    <w:name w:val="font51"/>
    <w:basedOn w:val="14"/>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135</Pages>
  <Words>13366</Words>
  <Characters>14376</Characters>
  <Lines>183</Lines>
  <Paragraphs>51</Paragraphs>
  <TotalTime>15</TotalTime>
  <ScaleCrop>false</ScaleCrop>
  <LinksUpToDate>false</LinksUpToDate>
  <CharactersWithSpaces>14467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三人行</cp:lastModifiedBy>
  <cp:lastPrinted>2026-07-16T02:32:00Z</cp:lastPrinted>
  <dcterms:modified xsi:type="dcterms:W3CDTF">2026-07-28T03:11:49Z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2CE725C660F74BC6B9F9F213959B39C7_13</vt:lpwstr>
  </property>
  <property fmtid="{D5CDD505-2E9C-101B-9397-08002B2CF9AE}" pid="4" name="KSOTemplateDocerSaveRecord">
    <vt:lpwstr>eyJoZGlkIjoiZDM5MTIyMjY0NDYyNDYwYjljZmJmOTA3ZGIwZTBhMDUiLCJ1c2VySWQiOiIxMDc1NDEyMTE5In0=</vt:lpwstr>
  </property>
</Properties>
</file>