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2D051A">
      <w:pPr>
        <w:pStyle w:val="210"/>
        <w:ind w:firstLine="0"/>
        <w:rPr>
          <w:rFonts w:ascii="隶书" w:hAnsi="隶书" w:eastAsia="隶书" w:cs="隶书"/>
          <w:b/>
          <w:bCs/>
          <w:sz w:val="72"/>
        </w:rPr>
      </w:pPr>
    </w:p>
    <w:p w14:paraId="0F298F3D">
      <w:pPr>
        <w:spacing w:line="360" w:lineRule="auto"/>
        <w:jc w:val="center"/>
        <w:rPr>
          <w:rFonts w:ascii="隶书" w:hAnsi="隶书" w:eastAsia="隶书" w:cs="隶书"/>
          <w:sz w:val="48"/>
          <w:szCs w:val="48"/>
        </w:rPr>
      </w:pPr>
      <w:r>
        <w:rPr>
          <w:rFonts w:hint="eastAsia" w:ascii="隶书" w:hAnsi="隶书" w:eastAsia="隶书" w:cs="隶书"/>
          <w:sz w:val="96"/>
          <w:szCs w:val="96"/>
        </w:rPr>
        <w:t>江苏省美术馆</w:t>
      </w:r>
    </w:p>
    <w:p w14:paraId="4868D400">
      <w:pPr>
        <w:spacing w:line="360" w:lineRule="auto"/>
        <w:jc w:val="center"/>
        <w:rPr>
          <w:rFonts w:hint="eastAsia" w:eastAsia="隶书"/>
          <w:bCs/>
          <w:sz w:val="56"/>
          <w:szCs w:val="16"/>
          <w:lang w:eastAsia="zh-CN"/>
        </w:rPr>
      </w:pPr>
      <w:r>
        <w:rPr>
          <w:rFonts w:hint="eastAsia" w:ascii="隶书" w:hAnsi="隶书" w:eastAsia="隶书" w:cs="隶书"/>
          <w:sz w:val="52"/>
          <w:szCs w:val="52"/>
          <w:lang w:eastAsia="zh-CN"/>
        </w:rPr>
        <w:t>“全景江苏-百年视觉中的旅行与文化”展览设计制作</w:t>
      </w:r>
    </w:p>
    <w:p w14:paraId="7899F0B8">
      <w:pPr>
        <w:spacing w:line="360" w:lineRule="auto"/>
        <w:rPr>
          <w:rFonts w:ascii="华文中宋" w:hAnsi="华文中宋" w:eastAsia="华文中宋" w:cs="华文中宋"/>
          <w:b/>
          <w:sz w:val="32"/>
          <w:szCs w:val="32"/>
        </w:rPr>
      </w:pPr>
    </w:p>
    <w:p w14:paraId="44B4B230">
      <w:pPr>
        <w:pStyle w:val="44"/>
        <w:rPr>
          <w:rFonts w:ascii="华文中宋" w:hAnsi="华文中宋" w:eastAsia="华文中宋" w:cs="华文中宋"/>
          <w:b/>
          <w:sz w:val="32"/>
          <w:szCs w:val="32"/>
        </w:rPr>
      </w:pPr>
    </w:p>
    <w:p w14:paraId="6324B247">
      <w:pPr>
        <w:pStyle w:val="44"/>
        <w:rPr>
          <w:rFonts w:ascii="华文中宋" w:hAnsi="华文中宋" w:eastAsia="华文中宋" w:cs="华文中宋"/>
          <w:b/>
          <w:sz w:val="32"/>
          <w:szCs w:val="32"/>
        </w:rPr>
      </w:pPr>
    </w:p>
    <w:p w14:paraId="11D83BA4">
      <w:pPr>
        <w:spacing w:line="360" w:lineRule="auto"/>
        <w:jc w:val="center"/>
        <w:rPr>
          <w:rFonts w:ascii="华文中宋" w:hAnsi="华文中宋" w:eastAsia="华文中宋" w:cs="华文中宋"/>
          <w:sz w:val="72"/>
          <w:szCs w:val="72"/>
        </w:rPr>
      </w:pPr>
      <w:r>
        <w:rPr>
          <w:rFonts w:hint="eastAsia" w:ascii="隶书" w:hAnsi="隶书" w:eastAsia="隶书" w:cs="隶书"/>
          <w:sz w:val="96"/>
          <w:szCs w:val="96"/>
        </w:rPr>
        <w:t>竞争性磋商文件</w:t>
      </w:r>
    </w:p>
    <w:p w14:paraId="2F74C0FF">
      <w:pPr>
        <w:spacing w:line="440" w:lineRule="exact"/>
        <w:jc w:val="center"/>
        <w:rPr>
          <w:rFonts w:ascii="华文中宋" w:hAnsi="华文中宋" w:eastAsia="华文中宋" w:cs="华文中宋"/>
          <w:b/>
          <w:sz w:val="52"/>
        </w:rPr>
      </w:pPr>
    </w:p>
    <w:p w14:paraId="2D1CB5E1">
      <w:pPr>
        <w:spacing w:line="440" w:lineRule="exact"/>
        <w:jc w:val="center"/>
        <w:rPr>
          <w:rFonts w:ascii="华文中宋" w:hAnsi="华文中宋" w:eastAsia="华文中宋" w:cs="华文中宋"/>
          <w:b/>
          <w:sz w:val="52"/>
        </w:rPr>
      </w:pPr>
    </w:p>
    <w:p w14:paraId="417A37E7">
      <w:pPr>
        <w:spacing w:line="440" w:lineRule="exact"/>
        <w:rPr>
          <w:rFonts w:ascii="华文中宋" w:hAnsi="华文中宋" w:eastAsia="华文中宋" w:cs="华文中宋"/>
          <w:b/>
          <w:sz w:val="52"/>
        </w:rPr>
      </w:pPr>
    </w:p>
    <w:p w14:paraId="08BF777B">
      <w:pPr>
        <w:spacing w:line="360" w:lineRule="auto"/>
        <w:rPr>
          <w:rFonts w:ascii="华文中宋" w:hAnsi="华文中宋" w:eastAsia="华文中宋" w:cs="华文中宋"/>
          <w:szCs w:val="21"/>
        </w:rPr>
      </w:pPr>
    </w:p>
    <w:p w14:paraId="34576600">
      <w:pPr>
        <w:pStyle w:val="48"/>
        <w:spacing w:line="360" w:lineRule="auto"/>
        <w:ind w:left="1277" w:firstLine="0"/>
        <w:jc w:val="left"/>
        <w:rPr>
          <w:rFonts w:ascii="华文中宋" w:hAnsi="华文中宋" w:eastAsia="华文中宋" w:cs="华文中宋"/>
          <w:bCs/>
          <w:sz w:val="32"/>
          <w:szCs w:val="32"/>
          <w:highlight w:val="none"/>
        </w:rPr>
      </w:pPr>
      <w:r>
        <w:rPr>
          <w:rFonts w:hint="eastAsia" w:ascii="华文中宋" w:hAnsi="华文中宋" w:eastAsia="华文中宋" w:cs="华文中宋"/>
          <w:bCs/>
          <w:sz w:val="32"/>
          <w:szCs w:val="32"/>
          <w:highlight w:val="none"/>
        </w:rPr>
        <w:t>项目编号</w:t>
      </w:r>
      <w:r>
        <w:rPr>
          <w:rFonts w:hint="eastAsia" w:ascii="华文中宋" w:hAnsi="华文中宋" w:eastAsia="华文中宋" w:cs="华文中宋"/>
          <w:b/>
          <w:sz w:val="32"/>
          <w:szCs w:val="32"/>
          <w:highlight w:val="none"/>
        </w:rPr>
        <w:t>：JSZC-320000-SMDG-C2026-0083</w:t>
      </w:r>
    </w:p>
    <w:p w14:paraId="17F0F04F">
      <w:pPr>
        <w:pStyle w:val="48"/>
        <w:spacing w:line="360" w:lineRule="auto"/>
        <w:ind w:firstLine="1280"/>
        <w:rPr>
          <w:rFonts w:ascii="华文中宋" w:hAnsi="华文中宋" w:eastAsia="华文中宋" w:cs="华文中宋"/>
          <w:b/>
          <w:sz w:val="32"/>
          <w:szCs w:val="32"/>
        </w:rPr>
      </w:pPr>
      <w:r>
        <w:rPr>
          <w:rFonts w:hint="eastAsia" w:ascii="华文中宋" w:hAnsi="华文中宋" w:eastAsia="华文中宋" w:cs="华文中宋"/>
          <w:bCs/>
          <w:sz w:val="32"/>
          <w:szCs w:val="32"/>
        </w:rPr>
        <w:t>采购人：江苏省美术馆</w:t>
      </w:r>
    </w:p>
    <w:p w14:paraId="113FC62B">
      <w:pPr>
        <w:pStyle w:val="48"/>
        <w:spacing w:line="360" w:lineRule="auto"/>
        <w:ind w:firstLine="1280"/>
        <w:rPr>
          <w:rFonts w:ascii="华文中宋" w:hAnsi="华文中宋" w:eastAsia="华文中宋" w:cs="华文中宋"/>
        </w:rPr>
      </w:pPr>
      <w:r>
        <w:rPr>
          <w:rFonts w:hint="eastAsia" w:ascii="华文中宋" w:hAnsi="华文中宋" w:eastAsia="华文中宋" w:cs="华文中宋"/>
          <w:bCs/>
          <w:sz w:val="32"/>
          <w:szCs w:val="32"/>
        </w:rPr>
        <w:t>采购代理机构：苏美达国际技术贸易有限公司</w:t>
      </w:r>
    </w:p>
    <w:p w14:paraId="56A20D54">
      <w:pPr>
        <w:spacing w:line="360" w:lineRule="auto"/>
        <w:rPr>
          <w:rFonts w:ascii="华文中宋" w:hAnsi="华文中宋" w:eastAsia="华文中宋" w:cs="华文中宋"/>
          <w:b/>
          <w:sz w:val="32"/>
          <w:szCs w:val="32"/>
        </w:rPr>
      </w:pPr>
    </w:p>
    <w:p w14:paraId="21E621B7">
      <w:pPr>
        <w:spacing w:line="360" w:lineRule="auto"/>
        <w:jc w:val="center"/>
        <w:rPr>
          <w:b/>
          <w:sz w:val="36"/>
          <w:szCs w:val="36"/>
        </w:rPr>
      </w:pPr>
      <w:r>
        <w:rPr>
          <w:b/>
          <w:sz w:val="36"/>
          <w:szCs w:val="36"/>
        </w:rPr>
        <w:t>202</w:t>
      </w:r>
      <w:r>
        <w:rPr>
          <w:rFonts w:hint="eastAsia"/>
          <w:b/>
          <w:sz w:val="36"/>
          <w:szCs w:val="36"/>
        </w:rPr>
        <w:t>6年8月</w:t>
      </w:r>
    </w:p>
    <w:p w14:paraId="14A826ED">
      <w:pPr>
        <w:spacing w:line="440" w:lineRule="exact"/>
        <w:jc w:val="center"/>
        <w:rPr>
          <w:rFonts w:ascii="华文中宋" w:hAnsi="华文中宋" w:eastAsia="华文中宋" w:cs="华文中宋"/>
          <w:bCs/>
          <w:sz w:val="32"/>
        </w:rPr>
        <w:sectPr>
          <w:headerReference r:id="rId4" w:type="first"/>
          <w:footerReference r:id="rId6" w:type="first"/>
          <w:headerReference r:id="rId3" w:type="default"/>
          <w:footerReference r:id="rId5" w:type="default"/>
          <w:pgSz w:w="11906" w:h="16838"/>
          <w:pgMar w:top="1134" w:right="892" w:bottom="1134" w:left="934" w:header="851" w:footer="992" w:gutter="0"/>
          <w:pgNumType w:start="1"/>
          <w:cols w:space="720" w:num="1"/>
          <w:docGrid w:linePitch="360" w:charSpace="0"/>
        </w:sectPr>
      </w:pPr>
    </w:p>
    <w:p w14:paraId="11EA037B">
      <w:pPr>
        <w:spacing w:line="440" w:lineRule="exact"/>
        <w:jc w:val="center"/>
        <w:rPr>
          <w:rFonts w:ascii="宋体" w:hAnsi="宋体" w:cs="宋体"/>
          <w:b/>
          <w:sz w:val="32"/>
        </w:rPr>
      </w:pPr>
      <w:r>
        <w:rPr>
          <w:rFonts w:hint="eastAsia" w:ascii="宋体" w:hAnsi="宋体" w:cs="宋体"/>
          <w:b/>
          <w:sz w:val="32"/>
        </w:rPr>
        <w:t>目   录</w:t>
      </w:r>
    </w:p>
    <w:p w14:paraId="59942DB2">
      <w:pPr>
        <w:pStyle w:val="35"/>
        <w:tabs>
          <w:tab w:val="right" w:leader="dot" w:pos="9638"/>
        </w:tabs>
        <w:rPr>
          <w:rFonts w:ascii="宋体" w:hAnsi="宋体" w:cs="宋体"/>
        </w:rPr>
      </w:pPr>
      <w:r>
        <w:rPr>
          <w:rFonts w:hint="eastAsia" w:ascii="宋体" w:hAnsi="宋体" w:cs="宋体"/>
          <w:bCs/>
          <w:szCs w:val="21"/>
        </w:rPr>
        <w:fldChar w:fldCharType="begin"/>
      </w:r>
      <w:r>
        <w:rPr>
          <w:rFonts w:hint="eastAsia" w:ascii="宋体" w:hAnsi="宋体" w:cs="宋体"/>
          <w:bCs/>
          <w:szCs w:val="21"/>
        </w:rPr>
        <w:instrText xml:space="preserve">TOC \o "1-3" \h \u </w:instrText>
      </w:r>
      <w:r>
        <w:rPr>
          <w:rFonts w:hint="eastAsia" w:ascii="宋体" w:hAnsi="宋体" w:cs="宋体"/>
          <w:bCs/>
          <w:szCs w:val="21"/>
        </w:rPr>
        <w:fldChar w:fldCharType="separate"/>
      </w:r>
      <w:r>
        <w:fldChar w:fldCharType="begin"/>
      </w:r>
      <w:r>
        <w:instrText xml:space="preserve"> HYPERLINK \l "_Toc28303" </w:instrText>
      </w:r>
      <w:r>
        <w:fldChar w:fldCharType="separate"/>
      </w:r>
      <w:r>
        <w:rPr>
          <w:rFonts w:hint="eastAsia" w:ascii="宋体" w:hAnsi="宋体" w:cs="宋体"/>
          <w:szCs w:val="28"/>
        </w:rPr>
        <w:t>第一章 竞争性磋商公告</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_Toc28303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24A9DF5B">
      <w:pPr>
        <w:pStyle w:val="42"/>
        <w:tabs>
          <w:tab w:val="right" w:leader="dot" w:pos="9638"/>
        </w:tabs>
        <w:rPr>
          <w:rFonts w:ascii="宋体" w:hAnsi="宋体" w:cs="宋体"/>
        </w:rPr>
      </w:pPr>
      <w:r>
        <w:fldChar w:fldCharType="begin"/>
      </w:r>
      <w:r>
        <w:instrText xml:space="preserve"> HYPERLINK \l "_Toc31729" </w:instrText>
      </w:r>
      <w:r>
        <w:fldChar w:fldCharType="separate"/>
      </w:r>
      <w:r>
        <w:rPr>
          <w:rFonts w:hint="eastAsia" w:ascii="宋体" w:hAnsi="宋体" w:cs="宋体"/>
          <w:szCs w:val="21"/>
        </w:rPr>
        <w:t>一、项目基本情况</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_Toc31729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23EA69CC">
      <w:pPr>
        <w:pStyle w:val="42"/>
        <w:tabs>
          <w:tab w:val="right" w:leader="dot" w:pos="9638"/>
        </w:tabs>
        <w:rPr>
          <w:rFonts w:ascii="宋体" w:hAnsi="宋体" w:cs="宋体"/>
        </w:rPr>
      </w:pPr>
      <w:r>
        <w:fldChar w:fldCharType="begin"/>
      </w:r>
      <w:r>
        <w:instrText xml:space="preserve"> HYPERLINK \l "_Toc30168" </w:instrText>
      </w:r>
      <w:r>
        <w:fldChar w:fldCharType="separate"/>
      </w:r>
      <w:r>
        <w:rPr>
          <w:rFonts w:hint="eastAsia" w:ascii="宋体" w:hAnsi="宋体" w:cs="宋体"/>
          <w:szCs w:val="21"/>
        </w:rPr>
        <w:t>二、申请人的资格要求：</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_Toc30168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72E97260">
      <w:pPr>
        <w:pStyle w:val="42"/>
        <w:tabs>
          <w:tab w:val="right" w:leader="dot" w:pos="9638"/>
        </w:tabs>
        <w:rPr>
          <w:rFonts w:ascii="宋体" w:hAnsi="宋体" w:cs="宋体"/>
        </w:rPr>
      </w:pPr>
      <w:r>
        <w:fldChar w:fldCharType="begin"/>
      </w:r>
      <w:r>
        <w:instrText xml:space="preserve"> HYPERLINK \l "_Toc1586" </w:instrText>
      </w:r>
      <w:r>
        <w:fldChar w:fldCharType="separate"/>
      </w:r>
      <w:r>
        <w:rPr>
          <w:rFonts w:hint="eastAsia" w:ascii="宋体" w:hAnsi="宋体" w:cs="宋体"/>
          <w:szCs w:val="21"/>
        </w:rPr>
        <w:t>三、获取采购文件</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_Toc1586 \h </w:instrText>
      </w:r>
      <w:r>
        <w:rPr>
          <w:rFonts w:hint="eastAsia" w:ascii="宋体" w:hAnsi="宋体" w:cs="宋体"/>
        </w:rPr>
        <w:fldChar w:fldCharType="separate"/>
      </w:r>
      <w:r>
        <w:rPr>
          <w:rFonts w:hint="eastAsia" w:ascii="宋体" w:hAnsi="宋体" w:cs="宋体"/>
        </w:rPr>
        <w:t>2</w:t>
      </w:r>
      <w:r>
        <w:rPr>
          <w:rFonts w:hint="eastAsia" w:ascii="宋体" w:hAnsi="宋体" w:cs="宋体"/>
        </w:rPr>
        <w:fldChar w:fldCharType="end"/>
      </w:r>
      <w:r>
        <w:rPr>
          <w:rFonts w:hint="eastAsia" w:ascii="宋体" w:hAnsi="宋体" w:cs="宋体"/>
        </w:rPr>
        <w:fldChar w:fldCharType="end"/>
      </w:r>
    </w:p>
    <w:p w14:paraId="00D5C0B8">
      <w:pPr>
        <w:pStyle w:val="42"/>
        <w:tabs>
          <w:tab w:val="right" w:leader="dot" w:pos="9638"/>
        </w:tabs>
        <w:rPr>
          <w:rFonts w:ascii="宋体" w:hAnsi="宋体" w:cs="宋体"/>
        </w:rPr>
      </w:pPr>
      <w:r>
        <w:fldChar w:fldCharType="begin"/>
      </w:r>
      <w:r>
        <w:instrText xml:space="preserve"> HYPERLINK \l "_Toc28264" </w:instrText>
      </w:r>
      <w:r>
        <w:fldChar w:fldCharType="separate"/>
      </w:r>
      <w:r>
        <w:rPr>
          <w:rFonts w:hint="eastAsia" w:ascii="宋体" w:hAnsi="宋体" w:cs="宋体"/>
          <w:szCs w:val="21"/>
        </w:rPr>
        <w:t>四、提交响应文件截止时间和地点</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_Toc28264 \h </w:instrText>
      </w:r>
      <w:r>
        <w:rPr>
          <w:rFonts w:hint="eastAsia" w:ascii="宋体" w:hAnsi="宋体" w:cs="宋体"/>
        </w:rPr>
        <w:fldChar w:fldCharType="separate"/>
      </w:r>
      <w:r>
        <w:rPr>
          <w:rFonts w:hint="eastAsia" w:ascii="宋体" w:hAnsi="宋体" w:cs="宋体"/>
        </w:rPr>
        <w:t>2</w:t>
      </w:r>
      <w:r>
        <w:rPr>
          <w:rFonts w:hint="eastAsia" w:ascii="宋体" w:hAnsi="宋体" w:cs="宋体"/>
        </w:rPr>
        <w:fldChar w:fldCharType="end"/>
      </w:r>
      <w:r>
        <w:rPr>
          <w:rFonts w:hint="eastAsia" w:ascii="宋体" w:hAnsi="宋体" w:cs="宋体"/>
        </w:rPr>
        <w:fldChar w:fldCharType="end"/>
      </w:r>
    </w:p>
    <w:p w14:paraId="234EFF6E">
      <w:pPr>
        <w:pStyle w:val="42"/>
        <w:tabs>
          <w:tab w:val="right" w:leader="dot" w:pos="9638"/>
        </w:tabs>
        <w:rPr>
          <w:rFonts w:ascii="宋体" w:hAnsi="宋体" w:cs="宋体"/>
        </w:rPr>
      </w:pPr>
      <w:r>
        <w:fldChar w:fldCharType="begin"/>
      </w:r>
      <w:r>
        <w:instrText xml:space="preserve"> HYPERLINK \l "_Toc28580" </w:instrText>
      </w:r>
      <w:r>
        <w:fldChar w:fldCharType="separate"/>
      </w:r>
      <w:r>
        <w:rPr>
          <w:rFonts w:hint="eastAsia" w:ascii="宋体" w:hAnsi="宋体" w:cs="宋体"/>
          <w:szCs w:val="21"/>
        </w:rPr>
        <w:t>五、开启</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_Toc28580 \h </w:instrText>
      </w:r>
      <w:r>
        <w:rPr>
          <w:rFonts w:hint="eastAsia" w:ascii="宋体" w:hAnsi="宋体" w:cs="宋体"/>
        </w:rPr>
        <w:fldChar w:fldCharType="separate"/>
      </w:r>
      <w:r>
        <w:rPr>
          <w:rFonts w:hint="eastAsia" w:ascii="宋体" w:hAnsi="宋体" w:cs="宋体"/>
        </w:rPr>
        <w:t>2</w:t>
      </w:r>
      <w:r>
        <w:rPr>
          <w:rFonts w:hint="eastAsia" w:ascii="宋体" w:hAnsi="宋体" w:cs="宋体"/>
        </w:rPr>
        <w:fldChar w:fldCharType="end"/>
      </w:r>
      <w:r>
        <w:rPr>
          <w:rFonts w:hint="eastAsia" w:ascii="宋体" w:hAnsi="宋体" w:cs="宋体"/>
        </w:rPr>
        <w:fldChar w:fldCharType="end"/>
      </w:r>
    </w:p>
    <w:p w14:paraId="28A9D55D">
      <w:pPr>
        <w:pStyle w:val="42"/>
        <w:tabs>
          <w:tab w:val="right" w:leader="dot" w:pos="9638"/>
        </w:tabs>
        <w:rPr>
          <w:rFonts w:ascii="宋体" w:hAnsi="宋体" w:cs="宋体"/>
        </w:rPr>
      </w:pPr>
      <w:r>
        <w:fldChar w:fldCharType="begin"/>
      </w:r>
      <w:r>
        <w:instrText xml:space="preserve"> HYPERLINK \l "_Toc27973" </w:instrText>
      </w:r>
      <w:r>
        <w:fldChar w:fldCharType="separate"/>
      </w:r>
      <w:r>
        <w:rPr>
          <w:rFonts w:hint="eastAsia" w:ascii="宋体" w:hAnsi="宋体" w:cs="宋体"/>
          <w:szCs w:val="21"/>
        </w:rPr>
        <w:t>六、公告期限</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_Toc27973 \h </w:instrText>
      </w:r>
      <w:r>
        <w:rPr>
          <w:rFonts w:hint="eastAsia" w:ascii="宋体" w:hAnsi="宋体" w:cs="宋体"/>
        </w:rPr>
        <w:fldChar w:fldCharType="separate"/>
      </w:r>
      <w:r>
        <w:rPr>
          <w:rFonts w:hint="eastAsia" w:ascii="宋体" w:hAnsi="宋体" w:cs="宋体"/>
        </w:rPr>
        <w:t>2</w:t>
      </w:r>
      <w:r>
        <w:rPr>
          <w:rFonts w:hint="eastAsia" w:ascii="宋体" w:hAnsi="宋体" w:cs="宋体"/>
        </w:rPr>
        <w:fldChar w:fldCharType="end"/>
      </w:r>
      <w:r>
        <w:rPr>
          <w:rFonts w:hint="eastAsia" w:ascii="宋体" w:hAnsi="宋体" w:cs="宋体"/>
        </w:rPr>
        <w:fldChar w:fldCharType="end"/>
      </w:r>
    </w:p>
    <w:p w14:paraId="166B0AD2">
      <w:pPr>
        <w:pStyle w:val="42"/>
        <w:tabs>
          <w:tab w:val="right" w:leader="dot" w:pos="9638"/>
        </w:tabs>
        <w:rPr>
          <w:rFonts w:ascii="宋体" w:hAnsi="宋体" w:cs="宋体"/>
        </w:rPr>
      </w:pPr>
      <w:r>
        <w:fldChar w:fldCharType="begin"/>
      </w:r>
      <w:r>
        <w:instrText xml:space="preserve"> HYPERLINK \l "_Toc9112" </w:instrText>
      </w:r>
      <w:r>
        <w:fldChar w:fldCharType="separate"/>
      </w:r>
      <w:r>
        <w:rPr>
          <w:rFonts w:hint="eastAsia" w:ascii="宋体" w:hAnsi="宋体" w:cs="宋体"/>
          <w:szCs w:val="21"/>
        </w:rPr>
        <w:t>七、其他补充事宜</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_Toc9112 \h </w:instrText>
      </w:r>
      <w:r>
        <w:rPr>
          <w:rFonts w:hint="eastAsia" w:ascii="宋体" w:hAnsi="宋体" w:cs="宋体"/>
        </w:rPr>
        <w:fldChar w:fldCharType="separate"/>
      </w:r>
      <w:r>
        <w:rPr>
          <w:rFonts w:hint="eastAsia" w:ascii="宋体" w:hAnsi="宋体" w:cs="宋体"/>
        </w:rPr>
        <w:t>2</w:t>
      </w:r>
      <w:r>
        <w:rPr>
          <w:rFonts w:hint="eastAsia" w:ascii="宋体" w:hAnsi="宋体" w:cs="宋体"/>
        </w:rPr>
        <w:fldChar w:fldCharType="end"/>
      </w:r>
      <w:r>
        <w:rPr>
          <w:rFonts w:hint="eastAsia" w:ascii="宋体" w:hAnsi="宋体" w:cs="宋体"/>
        </w:rPr>
        <w:fldChar w:fldCharType="end"/>
      </w:r>
    </w:p>
    <w:p w14:paraId="238AD4B3">
      <w:pPr>
        <w:pStyle w:val="42"/>
        <w:tabs>
          <w:tab w:val="right" w:leader="dot" w:pos="9638"/>
        </w:tabs>
        <w:rPr>
          <w:rFonts w:ascii="宋体" w:hAnsi="宋体" w:cs="宋体"/>
        </w:rPr>
      </w:pPr>
      <w:r>
        <w:fldChar w:fldCharType="begin"/>
      </w:r>
      <w:r>
        <w:instrText xml:space="preserve"> HYPERLINK \l "_Toc6506" </w:instrText>
      </w:r>
      <w:r>
        <w:fldChar w:fldCharType="separate"/>
      </w:r>
      <w:r>
        <w:rPr>
          <w:rFonts w:hint="eastAsia" w:ascii="宋体" w:hAnsi="宋体" w:cs="宋体"/>
          <w:szCs w:val="21"/>
        </w:rPr>
        <w:t>八、凡对本次采购提出询问，请按以下方式联系。</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_Toc6506 \h </w:instrText>
      </w:r>
      <w:r>
        <w:rPr>
          <w:rFonts w:hint="eastAsia" w:ascii="宋体" w:hAnsi="宋体" w:cs="宋体"/>
        </w:rPr>
        <w:fldChar w:fldCharType="separate"/>
      </w:r>
      <w:r>
        <w:rPr>
          <w:rFonts w:hint="eastAsia" w:ascii="宋体" w:hAnsi="宋体" w:cs="宋体"/>
        </w:rPr>
        <w:t>3</w:t>
      </w:r>
      <w:r>
        <w:rPr>
          <w:rFonts w:hint="eastAsia" w:ascii="宋体" w:hAnsi="宋体" w:cs="宋体"/>
        </w:rPr>
        <w:fldChar w:fldCharType="end"/>
      </w:r>
      <w:r>
        <w:rPr>
          <w:rFonts w:hint="eastAsia" w:ascii="宋体" w:hAnsi="宋体" w:cs="宋体"/>
        </w:rPr>
        <w:fldChar w:fldCharType="end"/>
      </w:r>
    </w:p>
    <w:p w14:paraId="200E8DEA">
      <w:pPr>
        <w:pStyle w:val="35"/>
        <w:tabs>
          <w:tab w:val="right" w:leader="dot" w:pos="9638"/>
        </w:tabs>
        <w:rPr>
          <w:rFonts w:ascii="宋体" w:hAnsi="宋体" w:cs="宋体"/>
        </w:rPr>
      </w:pPr>
      <w:r>
        <w:fldChar w:fldCharType="begin"/>
      </w:r>
      <w:r>
        <w:instrText xml:space="preserve"> HYPERLINK \l "_Toc14913" </w:instrText>
      </w:r>
      <w:r>
        <w:fldChar w:fldCharType="separate"/>
      </w:r>
      <w:r>
        <w:rPr>
          <w:rFonts w:hint="eastAsia" w:ascii="宋体" w:hAnsi="宋体" w:cs="宋体"/>
          <w:szCs w:val="28"/>
        </w:rPr>
        <w:t>第二章 供应商须知</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_Toc14913 \h </w:instrText>
      </w:r>
      <w:r>
        <w:rPr>
          <w:rFonts w:hint="eastAsia" w:ascii="宋体" w:hAnsi="宋体" w:cs="宋体"/>
        </w:rPr>
        <w:fldChar w:fldCharType="separate"/>
      </w:r>
      <w:r>
        <w:rPr>
          <w:rFonts w:hint="eastAsia" w:ascii="宋体" w:hAnsi="宋体" w:cs="宋体"/>
        </w:rPr>
        <w:t>4</w:t>
      </w:r>
      <w:r>
        <w:rPr>
          <w:rFonts w:hint="eastAsia" w:ascii="宋体" w:hAnsi="宋体" w:cs="宋体"/>
        </w:rPr>
        <w:fldChar w:fldCharType="end"/>
      </w:r>
      <w:r>
        <w:rPr>
          <w:rFonts w:hint="eastAsia" w:ascii="宋体" w:hAnsi="宋体" w:cs="宋体"/>
        </w:rPr>
        <w:fldChar w:fldCharType="end"/>
      </w:r>
    </w:p>
    <w:p w14:paraId="696712A6">
      <w:pPr>
        <w:pStyle w:val="42"/>
        <w:tabs>
          <w:tab w:val="right" w:leader="dot" w:pos="9638"/>
        </w:tabs>
        <w:rPr>
          <w:rFonts w:ascii="宋体" w:hAnsi="宋体" w:cs="宋体"/>
        </w:rPr>
      </w:pPr>
      <w:r>
        <w:fldChar w:fldCharType="begin"/>
      </w:r>
      <w:r>
        <w:instrText xml:space="preserve"> HYPERLINK \l "_Toc10948" </w:instrText>
      </w:r>
      <w:r>
        <w:fldChar w:fldCharType="separate"/>
      </w:r>
      <w:r>
        <w:rPr>
          <w:rFonts w:hint="eastAsia" w:ascii="宋体" w:hAnsi="宋体" w:cs="宋体"/>
          <w:bCs/>
          <w:szCs w:val="21"/>
        </w:rPr>
        <w:t>一、总 则</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_Toc10948 \h </w:instrText>
      </w:r>
      <w:r>
        <w:rPr>
          <w:rFonts w:hint="eastAsia" w:ascii="宋体" w:hAnsi="宋体" w:cs="宋体"/>
        </w:rPr>
        <w:fldChar w:fldCharType="separate"/>
      </w:r>
      <w:r>
        <w:rPr>
          <w:rFonts w:hint="eastAsia" w:ascii="宋体" w:hAnsi="宋体" w:cs="宋体"/>
        </w:rPr>
        <w:t>6</w:t>
      </w:r>
      <w:r>
        <w:rPr>
          <w:rFonts w:hint="eastAsia" w:ascii="宋体" w:hAnsi="宋体" w:cs="宋体"/>
        </w:rPr>
        <w:fldChar w:fldCharType="end"/>
      </w:r>
      <w:r>
        <w:rPr>
          <w:rFonts w:hint="eastAsia" w:ascii="宋体" w:hAnsi="宋体" w:cs="宋体"/>
        </w:rPr>
        <w:fldChar w:fldCharType="end"/>
      </w:r>
    </w:p>
    <w:p w14:paraId="32435B2F">
      <w:pPr>
        <w:pStyle w:val="25"/>
        <w:tabs>
          <w:tab w:val="right" w:leader="dot" w:pos="9638"/>
        </w:tabs>
        <w:rPr>
          <w:rFonts w:ascii="宋体" w:hAnsi="宋体" w:cs="宋体"/>
        </w:rPr>
      </w:pPr>
      <w:r>
        <w:fldChar w:fldCharType="begin"/>
      </w:r>
      <w:r>
        <w:instrText xml:space="preserve"> HYPERLINK \l "_Toc4695" </w:instrText>
      </w:r>
      <w:r>
        <w:fldChar w:fldCharType="separate"/>
      </w:r>
      <w:r>
        <w:rPr>
          <w:rFonts w:hint="eastAsia" w:ascii="宋体" w:hAnsi="宋体" w:cs="宋体"/>
          <w:bCs/>
          <w:szCs w:val="21"/>
          <w:lang w:val="zh-CN"/>
        </w:rPr>
        <w:t>1.</w:t>
      </w:r>
      <w:r>
        <w:rPr>
          <w:rFonts w:hint="eastAsia" w:ascii="宋体" w:hAnsi="宋体" w:cs="宋体"/>
          <w:szCs w:val="21"/>
          <w:lang w:val="zh-CN"/>
        </w:rPr>
        <w:t>适用法律</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_Toc4695 \h </w:instrText>
      </w:r>
      <w:r>
        <w:rPr>
          <w:rFonts w:hint="eastAsia" w:ascii="宋体" w:hAnsi="宋体" w:cs="宋体"/>
        </w:rPr>
        <w:fldChar w:fldCharType="separate"/>
      </w:r>
      <w:r>
        <w:rPr>
          <w:rFonts w:hint="eastAsia" w:ascii="宋体" w:hAnsi="宋体" w:cs="宋体"/>
        </w:rPr>
        <w:t>6</w:t>
      </w:r>
      <w:r>
        <w:rPr>
          <w:rFonts w:hint="eastAsia" w:ascii="宋体" w:hAnsi="宋体" w:cs="宋体"/>
        </w:rPr>
        <w:fldChar w:fldCharType="end"/>
      </w:r>
      <w:r>
        <w:rPr>
          <w:rFonts w:hint="eastAsia" w:ascii="宋体" w:hAnsi="宋体" w:cs="宋体"/>
        </w:rPr>
        <w:fldChar w:fldCharType="end"/>
      </w:r>
    </w:p>
    <w:p w14:paraId="5D0DF962">
      <w:pPr>
        <w:pStyle w:val="25"/>
        <w:tabs>
          <w:tab w:val="right" w:leader="dot" w:pos="9638"/>
        </w:tabs>
        <w:rPr>
          <w:rFonts w:ascii="宋体" w:hAnsi="宋体" w:cs="宋体"/>
        </w:rPr>
      </w:pPr>
      <w:r>
        <w:fldChar w:fldCharType="begin"/>
      </w:r>
      <w:r>
        <w:instrText xml:space="preserve"> HYPERLINK \l "_Toc22972" </w:instrText>
      </w:r>
      <w:r>
        <w:fldChar w:fldCharType="separate"/>
      </w:r>
      <w:r>
        <w:rPr>
          <w:rFonts w:hint="eastAsia" w:ascii="宋体" w:hAnsi="宋体" w:cs="宋体"/>
          <w:bCs/>
          <w:szCs w:val="21"/>
          <w:lang w:val="zh-CN"/>
        </w:rPr>
        <w:t>2.</w:t>
      </w:r>
      <w:r>
        <w:rPr>
          <w:rFonts w:hint="eastAsia" w:ascii="宋体" w:hAnsi="宋体" w:cs="宋体"/>
          <w:szCs w:val="21"/>
          <w:lang w:val="zh-CN"/>
        </w:rPr>
        <w:t>定义</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_Toc22972 \h </w:instrText>
      </w:r>
      <w:r>
        <w:rPr>
          <w:rFonts w:hint="eastAsia" w:ascii="宋体" w:hAnsi="宋体" w:cs="宋体"/>
        </w:rPr>
        <w:fldChar w:fldCharType="separate"/>
      </w:r>
      <w:r>
        <w:rPr>
          <w:rFonts w:hint="eastAsia" w:ascii="宋体" w:hAnsi="宋体" w:cs="宋体"/>
        </w:rPr>
        <w:t>6</w:t>
      </w:r>
      <w:r>
        <w:rPr>
          <w:rFonts w:hint="eastAsia" w:ascii="宋体" w:hAnsi="宋体" w:cs="宋体"/>
        </w:rPr>
        <w:fldChar w:fldCharType="end"/>
      </w:r>
      <w:r>
        <w:rPr>
          <w:rFonts w:hint="eastAsia" w:ascii="宋体" w:hAnsi="宋体" w:cs="宋体"/>
        </w:rPr>
        <w:fldChar w:fldCharType="end"/>
      </w:r>
    </w:p>
    <w:p w14:paraId="7C25003C">
      <w:pPr>
        <w:pStyle w:val="25"/>
        <w:tabs>
          <w:tab w:val="right" w:leader="dot" w:pos="9638"/>
        </w:tabs>
        <w:rPr>
          <w:rFonts w:ascii="宋体" w:hAnsi="宋体" w:cs="宋体"/>
        </w:rPr>
      </w:pPr>
      <w:r>
        <w:fldChar w:fldCharType="begin"/>
      </w:r>
      <w:r>
        <w:instrText xml:space="preserve"> HYPERLINK \l "_Toc19685" </w:instrText>
      </w:r>
      <w:r>
        <w:fldChar w:fldCharType="separate"/>
      </w:r>
      <w:r>
        <w:rPr>
          <w:rFonts w:hint="eastAsia" w:ascii="宋体" w:hAnsi="宋体" w:cs="宋体"/>
          <w:bCs/>
          <w:szCs w:val="21"/>
          <w:lang w:val="zh-CN"/>
        </w:rPr>
        <w:t>3.政策功能：</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_Toc19685 \h </w:instrText>
      </w:r>
      <w:r>
        <w:rPr>
          <w:rFonts w:hint="eastAsia" w:ascii="宋体" w:hAnsi="宋体" w:cs="宋体"/>
        </w:rPr>
        <w:fldChar w:fldCharType="separate"/>
      </w:r>
      <w:r>
        <w:rPr>
          <w:rFonts w:hint="eastAsia" w:ascii="宋体" w:hAnsi="宋体" w:cs="宋体"/>
        </w:rPr>
        <w:t>6</w:t>
      </w:r>
      <w:r>
        <w:rPr>
          <w:rFonts w:hint="eastAsia" w:ascii="宋体" w:hAnsi="宋体" w:cs="宋体"/>
        </w:rPr>
        <w:fldChar w:fldCharType="end"/>
      </w:r>
      <w:r>
        <w:rPr>
          <w:rFonts w:hint="eastAsia" w:ascii="宋体" w:hAnsi="宋体" w:cs="宋体"/>
        </w:rPr>
        <w:fldChar w:fldCharType="end"/>
      </w:r>
    </w:p>
    <w:p w14:paraId="3287039F">
      <w:pPr>
        <w:pStyle w:val="25"/>
        <w:tabs>
          <w:tab w:val="right" w:leader="dot" w:pos="9638"/>
        </w:tabs>
        <w:rPr>
          <w:rFonts w:ascii="宋体" w:hAnsi="宋体" w:cs="宋体"/>
        </w:rPr>
      </w:pPr>
      <w:r>
        <w:fldChar w:fldCharType="begin"/>
      </w:r>
      <w:r>
        <w:instrText xml:space="preserve"> HYPERLINK \l "_Toc3152" </w:instrText>
      </w:r>
      <w:r>
        <w:fldChar w:fldCharType="separate"/>
      </w:r>
      <w:r>
        <w:rPr>
          <w:rFonts w:hint="eastAsia" w:ascii="宋体" w:hAnsi="宋体" w:cs="宋体"/>
          <w:szCs w:val="21"/>
        </w:rPr>
        <w:t>4.</w:t>
      </w:r>
      <w:r>
        <w:rPr>
          <w:rFonts w:hint="eastAsia" w:ascii="宋体" w:hAnsi="宋体" w:cs="宋体"/>
          <w:bCs/>
          <w:szCs w:val="21"/>
        </w:rPr>
        <w:t>采购</w:t>
      </w:r>
      <w:r>
        <w:rPr>
          <w:rFonts w:hint="eastAsia" w:ascii="宋体" w:hAnsi="宋体" w:cs="宋体"/>
          <w:bCs/>
          <w:szCs w:val="21"/>
          <w:lang w:val="zh-CN"/>
        </w:rPr>
        <w:t>费用</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_Toc3152 \h </w:instrText>
      </w:r>
      <w:r>
        <w:rPr>
          <w:rFonts w:hint="eastAsia" w:ascii="宋体" w:hAnsi="宋体" w:cs="宋体"/>
        </w:rPr>
        <w:fldChar w:fldCharType="separate"/>
      </w:r>
      <w:r>
        <w:rPr>
          <w:rFonts w:hint="eastAsia" w:ascii="宋体" w:hAnsi="宋体" w:cs="宋体"/>
        </w:rPr>
        <w:t>8</w:t>
      </w:r>
      <w:r>
        <w:rPr>
          <w:rFonts w:hint="eastAsia" w:ascii="宋体" w:hAnsi="宋体" w:cs="宋体"/>
        </w:rPr>
        <w:fldChar w:fldCharType="end"/>
      </w:r>
      <w:r>
        <w:rPr>
          <w:rFonts w:hint="eastAsia" w:ascii="宋体" w:hAnsi="宋体" w:cs="宋体"/>
        </w:rPr>
        <w:fldChar w:fldCharType="end"/>
      </w:r>
    </w:p>
    <w:p w14:paraId="00A2AE20">
      <w:pPr>
        <w:pStyle w:val="25"/>
        <w:tabs>
          <w:tab w:val="right" w:leader="dot" w:pos="9638"/>
        </w:tabs>
        <w:rPr>
          <w:rFonts w:ascii="宋体" w:hAnsi="宋体" w:cs="宋体"/>
        </w:rPr>
      </w:pPr>
      <w:r>
        <w:fldChar w:fldCharType="begin"/>
      </w:r>
      <w:r>
        <w:instrText xml:space="preserve"> HYPERLINK \l "_Toc25738" </w:instrText>
      </w:r>
      <w:r>
        <w:fldChar w:fldCharType="separate"/>
      </w:r>
      <w:r>
        <w:rPr>
          <w:rFonts w:hint="eastAsia" w:ascii="宋体" w:hAnsi="宋体" w:cs="宋体"/>
          <w:szCs w:val="21"/>
        </w:rPr>
        <w:t>5.磋商文件的约束力</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_Toc25738 \h </w:instrText>
      </w:r>
      <w:r>
        <w:rPr>
          <w:rFonts w:hint="eastAsia" w:ascii="宋体" w:hAnsi="宋体" w:cs="宋体"/>
        </w:rPr>
        <w:fldChar w:fldCharType="separate"/>
      </w:r>
      <w:r>
        <w:rPr>
          <w:rFonts w:hint="eastAsia" w:ascii="宋体" w:hAnsi="宋体" w:cs="宋体"/>
        </w:rPr>
        <w:t>8</w:t>
      </w:r>
      <w:r>
        <w:rPr>
          <w:rFonts w:hint="eastAsia" w:ascii="宋体" w:hAnsi="宋体" w:cs="宋体"/>
        </w:rPr>
        <w:fldChar w:fldCharType="end"/>
      </w:r>
      <w:r>
        <w:rPr>
          <w:rFonts w:hint="eastAsia" w:ascii="宋体" w:hAnsi="宋体" w:cs="宋体"/>
        </w:rPr>
        <w:fldChar w:fldCharType="end"/>
      </w:r>
    </w:p>
    <w:p w14:paraId="7BFEC069">
      <w:pPr>
        <w:pStyle w:val="42"/>
        <w:tabs>
          <w:tab w:val="right" w:leader="dot" w:pos="9638"/>
        </w:tabs>
        <w:rPr>
          <w:rFonts w:ascii="宋体" w:hAnsi="宋体" w:cs="宋体"/>
        </w:rPr>
      </w:pPr>
      <w:r>
        <w:fldChar w:fldCharType="begin"/>
      </w:r>
      <w:r>
        <w:instrText xml:space="preserve"> HYPERLINK \l "_Toc13527" </w:instrText>
      </w:r>
      <w:r>
        <w:fldChar w:fldCharType="separate"/>
      </w:r>
      <w:r>
        <w:rPr>
          <w:rFonts w:hint="eastAsia" w:ascii="宋体" w:hAnsi="宋体" w:cs="宋体"/>
          <w:bCs/>
          <w:szCs w:val="21"/>
        </w:rPr>
        <w:t>二、磋商文件</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_Toc13527 \h </w:instrText>
      </w:r>
      <w:r>
        <w:rPr>
          <w:rFonts w:hint="eastAsia" w:ascii="宋体" w:hAnsi="宋体" w:cs="宋体"/>
        </w:rPr>
        <w:fldChar w:fldCharType="separate"/>
      </w:r>
      <w:r>
        <w:rPr>
          <w:rFonts w:hint="eastAsia" w:ascii="宋体" w:hAnsi="宋体" w:cs="宋体"/>
        </w:rPr>
        <w:t>8</w:t>
      </w:r>
      <w:r>
        <w:rPr>
          <w:rFonts w:hint="eastAsia" w:ascii="宋体" w:hAnsi="宋体" w:cs="宋体"/>
        </w:rPr>
        <w:fldChar w:fldCharType="end"/>
      </w:r>
      <w:r>
        <w:rPr>
          <w:rFonts w:hint="eastAsia" w:ascii="宋体" w:hAnsi="宋体" w:cs="宋体"/>
        </w:rPr>
        <w:fldChar w:fldCharType="end"/>
      </w:r>
    </w:p>
    <w:p w14:paraId="77288496">
      <w:pPr>
        <w:pStyle w:val="25"/>
        <w:tabs>
          <w:tab w:val="right" w:leader="dot" w:pos="9638"/>
        </w:tabs>
        <w:rPr>
          <w:rFonts w:ascii="宋体" w:hAnsi="宋体" w:cs="宋体"/>
        </w:rPr>
      </w:pPr>
      <w:r>
        <w:fldChar w:fldCharType="begin"/>
      </w:r>
      <w:r>
        <w:instrText xml:space="preserve"> HYPERLINK \l "_Toc9138" </w:instrText>
      </w:r>
      <w:r>
        <w:fldChar w:fldCharType="separate"/>
      </w:r>
      <w:r>
        <w:rPr>
          <w:rFonts w:hint="eastAsia" w:ascii="宋体" w:hAnsi="宋体" w:cs="宋体"/>
          <w:szCs w:val="21"/>
        </w:rPr>
        <w:t>6.</w:t>
      </w:r>
      <w:r>
        <w:rPr>
          <w:rFonts w:hint="eastAsia" w:ascii="宋体" w:hAnsi="宋体" w:cs="宋体"/>
          <w:bCs/>
          <w:szCs w:val="21"/>
        </w:rPr>
        <w:t>磋商</w:t>
      </w:r>
      <w:r>
        <w:rPr>
          <w:rFonts w:hint="eastAsia" w:ascii="宋体" w:hAnsi="宋体" w:cs="宋体"/>
          <w:szCs w:val="21"/>
        </w:rPr>
        <w:t>文件构成</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_Toc9138 \h </w:instrText>
      </w:r>
      <w:r>
        <w:rPr>
          <w:rFonts w:hint="eastAsia" w:ascii="宋体" w:hAnsi="宋体" w:cs="宋体"/>
        </w:rPr>
        <w:fldChar w:fldCharType="separate"/>
      </w:r>
      <w:r>
        <w:rPr>
          <w:rFonts w:hint="eastAsia" w:ascii="宋体" w:hAnsi="宋体" w:cs="宋体"/>
        </w:rPr>
        <w:t>8</w:t>
      </w:r>
      <w:r>
        <w:rPr>
          <w:rFonts w:hint="eastAsia" w:ascii="宋体" w:hAnsi="宋体" w:cs="宋体"/>
        </w:rPr>
        <w:fldChar w:fldCharType="end"/>
      </w:r>
      <w:r>
        <w:rPr>
          <w:rFonts w:hint="eastAsia" w:ascii="宋体" w:hAnsi="宋体" w:cs="宋体"/>
        </w:rPr>
        <w:fldChar w:fldCharType="end"/>
      </w:r>
    </w:p>
    <w:p w14:paraId="68737164">
      <w:pPr>
        <w:pStyle w:val="25"/>
        <w:tabs>
          <w:tab w:val="right" w:leader="dot" w:pos="9638"/>
        </w:tabs>
        <w:rPr>
          <w:rFonts w:ascii="宋体" w:hAnsi="宋体" w:cs="宋体"/>
        </w:rPr>
      </w:pPr>
      <w:r>
        <w:fldChar w:fldCharType="begin"/>
      </w:r>
      <w:r>
        <w:instrText xml:space="preserve"> HYPERLINK \l "_Toc14291" </w:instrText>
      </w:r>
      <w:r>
        <w:fldChar w:fldCharType="separate"/>
      </w:r>
      <w:r>
        <w:rPr>
          <w:rFonts w:hint="eastAsia" w:ascii="宋体" w:hAnsi="宋体" w:cs="宋体"/>
          <w:szCs w:val="21"/>
        </w:rPr>
        <w:t>7.</w:t>
      </w:r>
      <w:r>
        <w:rPr>
          <w:rFonts w:hint="eastAsia" w:ascii="宋体" w:hAnsi="宋体" w:cs="宋体"/>
          <w:bCs/>
          <w:szCs w:val="21"/>
        </w:rPr>
        <w:t>磋商文件的澄清、补充或修改</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_Toc14291 \h </w:instrText>
      </w:r>
      <w:r>
        <w:rPr>
          <w:rFonts w:hint="eastAsia" w:ascii="宋体" w:hAnsi="宋体" w:cs="宋体"/>
        </w:rPr>
        <w:fldChar w:fldCharType="separate"/>
      </w:r>
      <w:r>
        <w:rPr>
          <w:rFonts w:hint="eastAsia" w:ascii="宋体" w:hAnsi="宋体" w:cs="宋体"/>
        </w:rPr>
        <w:t>9</w:t>
      </w:r>
      <w:r>
        <w:rPr>
          <w:rFonts w:hint="eastAsia" w:ascii="宋体" w:hAnsi="宋体" w:cs="宋体"/>
        </w:rPr>
        <w:fldChar w:fldCharType="end"/>
      </w:r>
      <w:r>
        <w:rPr>
          <w:rFonts w:hint="eastAsia" w:ascii="宋体" w:hAnsi="宋体" w:cs="宋体"/>
        </w:rPr>
        <w:fldChar w:fldCharType="end"/>
      </w:r>
    </w:p>
    <w:p w14:paraId="2FD1EFC2">
      <w:pPr>
        <w:pStyle w:val="42"/>
        <w:tabs>
          <w:tab w:val="right" w:leader="dot" w:pos="9638"/>
        </w:tabs>
        <w:rPr>
          <w:rFonts w:ascii="宋体" w:hAnsi="宋体" w:cs="宋体"/>
        </w:rPr>
      </w:pPr>
      <w:r>
        <w:fldChar w:fldCharType="begin"/>
      </w:r>
      <w:r>
        <w:instrText xml:space="preserve"> HYPERLINK \l "_Toc6537" </w:instrText>
      </w:r>
      <w:r>
        <w:fldChar w:fldCharType="separate"/>
      </w:r>
      <w:r>
        <w:rPr>
          <w:rFonts w:hint="eastAsia" w:ascii="宋体" w:hAnsi="宋体" w:cs="宋体"/>
          <w:bCs/>
          <w:szCs w:val="21"/>
        </w:rPr>
        <w:t>三、响应文件的编制</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_Toc6537 \h </w:instrText>
      </w:r>
      <w:r>
        <w:rPr>
          <w:rFonts w:hint="eastAsia" w:ascii="宋体" w:hAnsi="宋体" w:cs="宋体"/>
        </w:rPr>
        <w:fldChar w:fldCharType="separate"/>
      </w:r>
      <w:r>
        <w:rPr>
          <w:rFonts w:hint="eastAsia" w:ascii="宋体" w:hAnsi="宋体" w:cs="宋体"/>
        </w:rPr>
        <w:t>9</w:t>
      </w:r>
      <w:r>
        <w:rPr>
          <w:rFonts w:hint="eastAsia" w:ascii="宋体" w:hAnsi="宋体" w:cs="宋体"/>
        </w:rPr>
        <w:fldChar w:fldCharType="end"/>
      </w:r>
      <w:r>
        <w:rPr>
          <w:rFonts w:hint="eastAsia" w:ascii="宋体" w:hAnsi="宋体" w:cs="宋体"/>
        </w:rPr>
        <w:fldChar w:fldCharType="end"/>
      </w:r>
    </w:p>
    <w:p w14:paraId="23E7A491">
      <w:pPr>
        <w:pStyle w:val="25"/>
        <w:tabs>
          <w:tab w:val="right" w:leader="dot" w:pos="9638"/>
        </w:tabs>
        <w:rPr>
          <w:rFonts w:ascii="宋体" w:hAnsi="宋体" w:cs="宋体"/>
        </w:rPr>
      </w:pPr>
      <w:r>
        <w:fldChar w:fldCharType="begin"/>
      </w:r>
      <w:r>
        <w:instrText xml:space="preserve"> HYPERLINK \l "_Toc6540" </w:instrText>
      </w:r>
      <w:r>
        <w:fldChar w:fldCharType="separate"/>
      </w:r>
      <w:r>
        <w:rPr>
          <w:rFonts w:hint="eastAsia" w:ascii="宋体" w:hAnsi="宋体" w:cs="宋体"/>
          <w:szCs w:val="21"/>
        </w:rPr>
        <w:t>8.响应文件的语言、计量单位、货币</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_Toc6540 \h </w:instrText>
      </w:r>
      <w:r>
        <w:rPr>
          <w:rFonts w:hint="eastAsia" w:ascii="宋体" w:hAnsi="宋体" w:cs="宋体"/>
        </w:rPr>
        <w:fldChar w:fldCharType="separate"/>
      </w:r>
      <w:r>
        <w:rPr>
          <w:rFonts w:hint="eastAsia" w:ascii="宋体" w:hAnsi="宋体" w:cs="宋体"/>
        </w:rPr>
        <w:t>9</w:t>
      </w:r>
      <w:r>
        <w:rPr>
          <w:rFonts w:hint="eastAsia" w:ascii="宋体" w:hAnsi="宋体" w:cs="宋体"/>
        </w:rPr>
        <w:fldChar w:fldCharType="end"/>
      </w:r>
      <w:r>
        <w:rPr>
          <w:rFonts w:hint="eastAsia" w:ascii="宋体" w:hAnsi="宋体" w:cs="宋体"/>
        </w:rPr>
        <w:fldChar w:fldCharType="end"/>
      </w:r>
    </w:p>
    <w:p w14:paraId="08A12645">
      <w:pPr>
        <w:pStyle w:val="25"/>
        <w:tabs>
          <w:tab w:val="right" w:leader="dot" w:pos="9638"/>
        </w:tabs>
        <w:rPr>
          <w:rFonts w:ascii="宋体" w:hAnsi="宋体" w:cs="宋体"/>
        </w:rPr>
      </w:pPr>
      <w:r>
        <w:fldChar w:fldCharType="begin"/>
      </w:r>
      <w:r>
        <w:instrText xml:space="preserve"> HYPERLINK \l "_Toc27588" </w:instrText>
      </w:r>
      <w:r>
        <w:fldChar w:fldCharType="separate"/>
      </w:r>
      <w:r>
        <w:rPr>
          <w:rFonts w:hint="eastAsia" w:ascii="宋体" w:hAnsi="宋体" w:cs="宋体"/>
          <w:bCs/>
          <w:szCs w:val="21"/>
        </w:rPr>
        <w:t>9.响应文件的组成</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_Toc27588 \h </w:instrText>
      </w:r>
      <w:r>
        <w:rPr>
          <w:rFonts w:hint="eastAsia" w:ascii="宋体" w:hAnsi="宋体" w:cs="宋体"/>
        </w:rPr>
        <w:fldChar w:fldCharType="separate"/>
      </w:r>
      <w:r>
        <w:rPr>
          <w:rFonts w:hint="eastAsia" w:ascii="宋体" w:hAnsi="宋体" w:cs="宋体"/>
        </w:rPr>
        <w:t>9</w:t>
      </w:r>
      <w:r>
        <w:rPr>
          <w:rFonts w:hint="eastAsia" w:ascii="宋体" w:hAnsi="宋体" w:cs="宋体"/>
        </w:rPr>
        <w:fldChar w:fldCharType="end"/>
      </w:r>
      <w:r>
        <w:rPr>
          <w:rFonts w:hint="eastAsia" w:ascii="宋体" w:hAnsi="宋体" w:cs="宋体"/>
        </w:rPr>
        <w:fldChar w:fldCharType="end"/>
      </w:r>
    </w:p>
    <w:p w14:paraId="2945E582">
      <w:pPr>
        <w:pStyle w:val="25"/>
        <w:tabs>
          <w:tab w:val="right" w:leader="dot" w:pos="9638"/>
        </w:tabs>
        <w:rPr>
          <w:rFonts w:ascii="宋体" w:hAnsi="宋体" w:cs="宋体"/>
        </w:rPr>
      </w:pPr>
      <w:r>
        <w:fldChar w:fldCharType="begin"/>
      </w:r>
      <w:r>
        <w:instrText xml:space="preserve"> HYPERLINK \l "_Toc31046" </w:instrText>
      </w:r>
      <w:r>
        <w:fldChar w:fldCharType="separate"/>
      </w:r>
      <w:r>
        <w:rPr>
          <w:rFonts w:hint="eastAsia" w:ascii="宋体" w:hAnsi="宋体" w:cs="宋体"/>
          <w:bCs/>
          <w:szCs w:val="21"/>
        </w:rPr>
        <w:t>10.磋商保证金（如有）</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_Toc31046 \h </w:instrText>
      </w:r>
      <w:r>
        <w:rPr>
          <w:rFonts w:hint="eastAsia" w:ascii="宋体" w:hAnsi="宋体" w:cs="宋体"/>
        </w:rPr>
        <w:fldChar w:fldCharType="separate"/>
      </w:r>
      <w:r>
        <w:rPr>
          <w:rFonts w:hint="eastAsia" w:ascii="宋体" w:hAnsi="宋体" w:cs="宋体"/>
        </w:rPr>
        <w:t>10</w:t>
      </w:r>
      <w:r>
        <w:rPr>
          <w:rFonts w:hint="eastAsia" w:ascii="宋体" w:hAnsi="宋体" w:cs="宋体"/>
        </w:rPr>
        <w:fldChar w:fldCharType="end"/>
      </w:r>
      <w:r>
        <w:rPr>
          <w:rFonts w:hint="eastAsia" w:ascii="宋体" w:hAnsi="宋体" w:cs="宋体"/>
        </w:rPr>
        <w:fldChar w:fldCharType="end"/>
      </w:r>
    </w:p>
    <w:p w14:paraId="798267CB">
      <w:pPr>
        <w:pStyle w:val="25"/>
        <w:tabs>
          <w:tab w:val="right" w:leader="dot" w:pos="9638"/>
        </w:tabs>
        <w:rPr>
          <w:rFonts w:ascii="宋体" w:hAnsi="宋体" w:cs="宋体"/>
        </w:rPr>
      </w:pPr>
      <w:r>
        <w:fldChar w:fldCharType="begin"/>
      </w:r>
      <w:r>
        <w:instrText xml:space="preserve"> HYPERLINK \l "_Toc4978" </w:instrText>
      </w:r>
      <w:r>
        <w:fldChar w:fldCharType="separate"/>
      </w:r>
      <w:r>
        <w:rPr>
          <w:rFonts w:hint="eastAsia" w:ascii="宋体" w:hAnsi="宋体" w:cs="宋体"/>
          <w:bCs/>
          <w:szCs w:val="21"/>
        </w:rPr>
        <w:t>11.响应文件的有效期</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_Toc4978 \h </w:instrText>
      </w:r>
      <w:r>
        <w:rPr>
          <w:rFonts w:hint="eastAsia" w:ascii="宋体" w:hAnsi="宋体" w:cs="宋体"/>
        </w:rPr>
        <w:fldChar w:fldCharType="separate"/>
      </w:r>
      <w:r>
        <w:rPr>
          <w:rFonts w:hint="eastAsia" w:ascii="宋体" w:hAnsi="宋体" w:cs="宋体"/>
        </w:rPr>
        <w:t>11</w:t>
      </w:r>
      <w:r>
        <w:rPr>
          <w:rFonts w:hint="eastAsia" w:ascii="宋体" w:hAnsi="宋体" w:cs="宋体"/>
        </w:rPr>
        <w:fldChar w:fldCharType="end"/>
      </w:r>
      <w:r>
        <w:rPr>
          <w:rFonts w:hint="eastAsia" w:ascii="宋体" w:hAnsi="宋体" w:cs="宋体"/>
        </w:rPr>
        <w:fldChar w:fldCharType="end"/>
      </w:r>
    </w:p>
    <w:p w14:paraId="1AD4C019">
      <w:pPr>
        <w:pStyle w:val="25"/>
        <w:tabs>
          <w:tab w:val="right" w:leader="dot" w:pos="9638"/>
        </w:tabs>
        <w:rPr>
          <w:rFonts w:ascii="宋体" w:hAnsi="宋体" w:cs="宋体"/>
        </w:rPr>
      </w:pPr>
      <w:r>
        <w:fldChar w:fldCharType="begin"/>
      </w:r>
      <w:r>
        <w:instrText xml:space="preserve"> HYPERLINK \l "_Toc20296" </w:instrText>
      </w:r>
      <w:r>
        <w:fldChar w:fldCharType="separate"/>
      </w:r>
      <w:r>
        <w:rPr>
          <w:rFonts w:hint="eastAsia" w:ascii="宋体" w:hAnsi="宋体" w:cs="宋体"/>
          <w:bCs/>
          <w:szCs w:val="21"/>
        </w:rPr>
        <w:t>12.响应文件的签署及其形式</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_Toc20296 \h </w:instrText>
      </w:r>
      <w:r>
        <w:rPr>
          <w:rFonts w:hint="eastAsia" w:ascii="宋体" w:hAnsi="宋体" w:cs="宋体"/>
        </w:rPr>
        <w:fldChar w:fldCharType="separate"/>
      </w:r>
      <w:r>
        <w:rPr>
          <w:rFonts w:hint="eastAsia" w:ascii="宋体" w:hAnsi="宋体" w:cs="宋体"/>
        </w:rPr>
        <w:t>11</w:t>
      </w:r>
      <w:r>
        <w:rPr>
          <w:rFonts w:hint="eastAsia" w:ascii="宋体" w:hAnsi="宋体" w:cs="宋体"/>
        </w:rPr>
        <w:fldChar w:fldCharType="end"/>
      </w:r>
      <w:r>
        <w:rPr>
          <w:rFonts w:hint="eastAsia" w:ascii="宋体" w:hAnsi="宋体" w:cs="宋体"/>
        </w:rPr>
        <w:fldChar w:fldCharType="end"/>
      </w:r>
    </w:p>
    <w:p w14:paraId="6EDA418A">
      <w:pPr>
        <w:pStyle w:val="42"/>
        <w:tabs>
          <w:tab w:val="right" w:leader="dot" w:pos="9638"/>
        </w:tabs>
        <w:rPr>
          <w:rFonts w:ascii="宋体" w:hAnsi="宋体" w:cs="宋体"/>
        </w:rPr>
      </w:pPr>
      <w:r>
        <w:fldChar w:fldCharType="begin"/>
      </w:r>
      <w:r>
        <w:instrText xml:space="preserve"> HYPERLINK \l "_Toc17766" </w:instrText>
      </w:r>
      <w:r>
        <w:fldChar w:fldCharType="separate"/>
      </w:r>
      <w:r>
        <w:rPr>
          <w:rFonts w:hint="eastAsia" w:ascii="宋体" w:hAnsi="宋体" w:cs="宋体"/>
          <w:bCs/>
          <w:szCs w:val="21"/>
        </w:rPr>
        <w:t>四、响应文件的递交</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_Toc17766 \h </w:instrText>
      </w:r>
      <w:r>
        <w:rPr>
          <w:rFonts w:hint="eastAsia" w:ascii="宋体" w:hAnsi="宋体" w:cs="宋体"/>
        </w:rPr>
        <w:fldChar w:fldCharType="separate"/>
      </w:r>
      <w:r>
        <w:rPr>
          <w:rFonts w:hint="eastAsia" w:ascii="宋体" w:hAnsi="宋体" w:cs="宋体"/>
        </w:rPr>
        <w:t>11</w:t>
      </w:r>
      <w:r>
        <w:rPr>
          <w:rFonts w:hint="eastAsia" w:ascii="宋体" w:hAnsi="宋体" w:cs="宋体"/>
        </w:rPr>
        <w:fldChar w:fldCharType="end"/>
      </w:r>
      <w:r>
        <w:rPr>
          <w:rFonts w:hint="eastAsia" w:ascii="宋体" w:hAnsi="宋体" w:cs="宋体"/>
        </w:rPr>
        <w:fldChar w:fldCharType="end"/>
      </w:r>
    </w:p>
    <w:p w14:paraId="46114FC1">
      <w:pPr>
        <w:pStyle w:val="25"/>
        <w:tabs>
          <w:tab w:val="right" w:leader="dot" w:pos="9638"/>
        </w:tabs>
        <w:rPr>
          <w:rFonts w:ascii="宋体" w:hAnsi="宋体" w:cs="宋体"/>
        </w:rPr>
      </w:pPr>
      <w:r>
        <w:fldChar w:fldCharType="begin"/>
      </w:r>
      <w:r>
        <w:instrText xml:space="preserve"> HYPERLINK \l "_Toc19481" </w:instrText>
      </w:r>
      <w:r>
        <w:fldChar w:fldCharType="separate"/>
      </w:r>
      <w:r>
        <w:rPr>
          <w:rFonts w:hint="eastAsia" w:ascii="宋体" w:hAnsi="宋体" w:cs="宋体"/>
          <w:bCs/>
          <w:szCs w:val="21"/>
        </w:rPr>
        <w:t>13.响应文件的密封及标记</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_Toc19481 \h </w:instrText>
      </w:r>
      <w:r>
        <w:rPr>
          <w:rFonts w:hint="eastAsia" w:ascii="宋体" w:hAnsi="宋体" w:cs="宋体"/>
        </w:rPr>
        <w:fldChar w:fldCharType="separate"/>
      </w:r>
      <w:r>
        <w:rPr>
          <w:rFonts w:hint="eastAsia" w:ascii="宋体" w:hAnsi="宋体" w:cs="宋体"/>
        </w:rPr>
        <w:t>11</w:t>
      </w:r>
      <w:r>
        <w:rPr>
          <w:rFonts w:hint="eastAsia" w:ascii="宋体" w:hAnsi="宋体" w:cs="宋体"/>
        </w:rPr>
        <w:fldChar w:fldCharType="end"/>
      </w:r>
      <w:r>
        <w:rPr>
          <w:rFonts w:hint="eastAsia" w:ascii="宋体" w:hAnsi="宋体" w:cs="宋体"/>
        </w:rPr>
        <w:fldChar w:fldCharType="end"/>
      </w:r>
    </w:p>
    <w:p w14:paraId="212D8C70">
      <w:pPr>
        <w:pStyle w:val="25"/>
        <w:tabs>
          <w:tab w:val="right" w:leader="dot" w:pos="9638"/>
        </w:tabs>
        <w:rPr>
          <w:rFonts w:ascii="宋体" w:hAnsi="宋体" w:cs="宋体"/>
        </w:rPr>
      </w:pPr>
      <w:r>
        <w:fldChar w:fldCharType="begin"/>
      </w:r>
      <w:r>
        <w:instrText xml:space="preserve"> HYPERLINK \l "_Toc2824" </w:instrText>
      </w:r>
      <w:r>
        <w:fldChar w:fldCharType="separate"/>
      </w:r>
      <w:r>
        <w:rPr>
          <w:rFonts w:hint="eastAsia" w:ascii="宋体" w:hAnsi="宋体" w:cs="宋体"/>
          <w:bCs/>
          <w:szCs w:val="21"/>
        </w:rPr>
        <w:t>14.磋商的截止日期</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_Toc2824 \h </w:instrText>
      </w:r>
      <w:r>
        <w:rPr>
          <w:rFonts w:hint="eastAsia" w:ascii="宋体" w:hAnsi="宋体" w:cs="宋体"/>
        </w:rPr>
        <w:fldChar w:fldCharType="separate"/>
      </w:r>
      <w:r>
        <w:rPr>
          <w:rFonts w:hint="eastAsia" w:ascii="宋体" w:hAnsi="宋体" w:cs="宋体"/>
        </w:rPr>
        <w:t>11</w:t>
      </w:r>
      <w:r>
        <w:rPr>
          <w:rFonts w:hint="eastAsia" w:ascii="宋体" w:hAnsi="宋体" w:cs="宋体"/>
        </w:rPr>
        <w:fldChar w:fldCharType="end"/>
      </w:r>
      <w:r>
        <w:rPr>
          <w:rFonts w:hint="eastAsia" w:ascii="宋体" w:hAnsi="宋体" w:cs="宋体"/>
        </w:rPr>
        <w:fldChar w:fldCharType="end"/>
      </w:r>
    </w:p>
    <w:p w14:paraId="6B7158AF">
      <w:pPr>
        <w:pStyle w:val="25"/>
        <w:tabs>
          <w:tab w:val="right" w:leader="dot" w:pos="9638"/>
        </w:tabs>
        <w:rPr>
          <w:rFonts w:ascii="宋体" w:hAnsi="宋体" w:cs="宋体"/>
        </w:rPr>
      </w:pPr>
      <w:r>
        <w:fldChar w:fldCharType="begin"/>
      </w:r>
      <w:r>
        <w:instrText xml:space="preserve"> HYPERLINK \l "_Toc27287" </w:instrText>
      </w:r>
      <w:r>
        <w:fldChar w:fldCharType="separate"/>
      </w:r>
      <w:r>
        <w:rPr>
          <w:rFonts w:hint="eastAsia" w:ascii="宋体" w:hAnsi="宋体" w:cs="宋体"/>
          <w:bCs/>
          <w:szCs w:val="21"/>
        </w:rPr>
        <w:t>15.迟交的响应文件</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_Toc27287 \h </w:instrText>
      </w:r>
      <w:r>
        <w:rPr>
          <w:rFonts w:hint="eastAsia" w:ascii="宋体" w:hAnsi="宋体" w:cs="宋体"/>
        </w:rPr>
        <w:fldChar w:fldCharType="separate"/>
      </w:r>
      <w:r>
        <w:rPr>
          <w:rFonts w:hint="eastAsia" w:ascii="宋体" w:hAnsi="宋体" w:cs="宋体"/>
        </w:rPr>
        <w:t>11</w:t>
      </w:r>
      <w:r>
        <w:rPr>
          <w:rFonts w:hint="eastAsia" w:ascii="宋体" w:hAnsi="宋体" w:cs="宋体"/>
        </w:rPr>
        <w:fldChar w:fldCharType="end"/>
      </w:r>
      <w:r>
        <w:rPr>
          <w:rFonts w:hint="eastAsia" w:ascii="宋体" w:hAnsi="宋体" w:cs="宋体"/>
        </w:rPr>
        <w:fldChar w:fldCharType="end"/>
      </w:r>
    </w:p>
    <w:p w14:paraId="76643405">
      <w:pPr>
        <w:pStyle w:val="25"/>
        <w:tabs>
          <w:tab w:val="right" w:leader="dot" w:pos="9638"/>
        </w:tabs>
        <w:rPr>
          <w:rFonts w:ascii="宋体" w:hAnsi="宋体" w:cs="宋体"/>
        </w:rPr>
      </w:pPr>
      <w:r>
        <w:fldChar w:fldCharType="begin"/>
      </w:r>
      <w:r>
        <w:instrText xml:space="preserve"> HYPERLINK \l "_Toc30342" </w:instrText>
      </w:r>
      <w:r>
        <w:fldChar w:fldCharType="separate"/>
      </w:r>
      <w:r>
        <w:rPr>
          <w:rFonts w:hint="eastAsia" w:ascii="宋体" w:hAnsi="宋体" w:cs="宋体"/>
          <w:bCs/>
          <w:szCs w:val="21"/>
        </w:rPr>
        <w:t>16.响应文件的修改或撤回</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_Toc30342 \h </w:instrText>
      </w:r>
      <w:r>
        <w:rPr>
          <w:rFonts w:hint="eastAsia" w:ascii="宋体" w:hAnsi="宋体" w:cs="宋体"/>
        </w:rPr>
        <w:fldChar w:fldCharType="separate"/>
      </w:r>
      <w:r>
        <w:rPr>
          <w:rFonts w:hint="eastAsia" w:ascii="宋体" w:hAnsi="宋体" w:cs="宋体"/>
        </w:rPr>
        <w:t>12</w:t>
      </w:r>
      <w:r>
        <w:rPr>
          <w:rFonts w:hint="eastAsia" w:ascii="宋体" w:hAnsi="宋体" w:cs="宋体"/>
        </w:rPr>
        <w:fldChar w:fldCharType="end"/>
      </w:r>
      <w:r>
        <w:rPr>
          <w:rFonts w:hint="eastAsia" w:ascii="宋体" w:hAnsi="宋体" w:cs="宋体"/>
        </w:rPr>
        <w:fldChar w:fldCharType="end"/>
      </w:r>
    </w:p>
    <w:p w14:paraId="7D2CAD28">
      <w:pPr>
        <w:pStyle w:val="42"/>
        <w:tabs>
          <w:tab w:val="right" w:leader="dot" w:pos="9638"/>
        </w:tabs>
        <w:rPr>
          <w:rFonts w:ascii="宋体" w:hAnsi="宋体" w:cs="宋体"/>
        </w:rPr>
      </w:pPr>
      <w:r>
        <w:fldChar w:fldCharType="begin"/>
      </w:r>
      <w:r>
        <w:instrText xml:space="preserve"> HYPERLINK \l "_Toc5077" </w:instrText>
      </w:r>
      <w:r>
        <w:fldChar w:fldCharType="separate"/>
      </w:r>
      <w:r>
        <w:rPr>
          <w:rFonts w:hint="eastAsia" w:ascii="宋体" w:hAnsi="宋体" w:cs="宋体"/>
          <w:bCs/>
          <w:szCs w:val="21"/>
        </w:rPr>
        <w:t>五、磋商程序及评标</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_Toc5077 \h </w:instrText>
      </w:r>
      <w:r>
        <w:rPr>
          <w:rFonts w:hint="eastAsia" w:ascii="宋体" w:hAnsi="宋体" w:cs="宋体"/>
        </w:rPr>
        <w:fldChar w:fldCharType="separate"/>
      </w:r>
      <w:r>
        <w:rPr>
          <w:rFonts w:hint="eastAsia" w:ascii="宋体" w:hAnsi="宋体" w:cs="宋体"/>
        </w:rPr>
        <w:t>12</w:t>
      </w:r>
      <w:r>
        <w:rPr>
          <w:rFonts w:hint="eastAsia" w:ascii="宋体" w:hAnsi="宋体" w:cs="宋体"/>
        </w:rPr>
        <w:fldChar w:fldCharType="end"/>
      </w:r>
      <w:r>
        <w:rPr>
          <w:rFonts w:hint="eastAsia" w:ascii="宋体" w:hAnsi="宋体" w:cs="宋体"/>
        </w:rPr>
        <w:fldChar w:fldCharType="end"/>
      </w:r>
    </w:p>
    <w:p w14:paraId="35FBD5C9">
      <w:pPr>
        <w:pStyle w:val="25"/>
        <w:tabs>
          <w:tab w:val="right" w:leader="dot" w:pos="9638"/>
        </w:tabs>
        <w:rPr>
          <w:rFonts w:ascii="宋体" w:hAnsi="宋体" w:cs="宋体"/>
        </w:rPr>
      </w:pPr>
      <w:r>
        <w:fldChar w:fldCharType="begin"/>
      </w:r>
      <w:r>
        <w:instrText xml:space="preserve"> HYPERLINK \l "_Toc30145" </w:instrText>
      </w:r>
      <w:r>
        <w:fldChar w:fldCharType="separate"/>
      </w:r>
      <w:r>
        <w:rPr>
          <w:rFonts w:hint="eastAsia" w:ascii="宋体" w:hAnsi="宋体" w:cs="宋体"/>
          <w:bCs/>
          <w:szCs w:val="21"/>
        </w:rPr>
        <w:t>17.磋商</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_Toc30145 \h </w:instrText>
      </w:r>
      <w:r>
        <w:rPr>
          <w:rFonts w:hint="eastAsia" w:ascii="宋体" w:hAnsi="宋体" w:cs="宋体"/>
        </w:rPr>
        <w:fldChar w:fldCharType="separate"/>
      </w:r>
      <w:r>
        <w:rPr>
          <w:rFonts w:hint="eastAsia" w:ascii="宋体" w:hAnsi="宋体" w:cs="宋体"/>
        </w:rPr>
        <w:t>12</w:t>
      </w:r>
      <w:r>
        <w:rPr>
          <w:rFonts w:hint="eastAsia" w:ascii="宋体" w:hAnsi="宋体" w:cs="宋体"/>
        </w:rPr>
        <w:fldChar w:fldCharType="end"/>
      </w:r>
      <w:r>
        <w:rPr>
          <w:rFonts w:hint="eastAsia" w:ascii="宋体" w:hAnsi="宋体" w:cs="宋体"/>
        </w:rPr>
        <w:fldChar w:fldCharType="end"/>
      </w:r>
    </w:p>
    <w:p w14:paraId="19455C69">
      <w:pPr>
        <w:pStyle w:val="25"/>
        <w:tabs>
          <w:tab w:val="right" w:leader="dot" w:pos="9638"/>
        </w:tabs>
        <w:rPr>
          <w:rFonts w:ascii="宋体" w:hAnsi="宋体" w:cs="宋体"/>
        </w:rPr>
      </w:pPr>
      <w:r>
        <w:fldChar w:fldCharType="begin"/>
      </w:r>
      <w:r>
        <w:instrText xml:space="preserve"> HYPERLINK \l "_Toc8551" </w:instrText>
      </w:r>
      <w:r>
        <w:fldChar w:fldCharType="separate"/>
      </w:r>
      <w:r>
        <w:rPr>
          <w:rFonts w:hint="eastAsia" w:ascii="宋体" w:hAnsi="宋体" w:cs="宋体"/>
          <w:bCs/>
          <w:szCs w:val="21"/>
        </w:rPr>
        <w:t>18.磋商小组</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_Toc8551 \h </w:instrText>
      </w:r>
      <w:r>
        <w:rPr>
          <w:rFonts w:hint="eastAsia" w:ascii="宋体" w:hAnsi="宋体" w:cs="宋体"/>
        </w:rPr>
        <w:fldChar w:fldCharType="separate"/>
      </w:r>
      <w:r>
        <w:rPr>
          <w:rFonts w:hint="eastAsia" w:ascii="宋体" w:hAnsi="宋体" w:cs="宋体"/>
        </w:rPr>
        <w:t>12</w:t>
      </w:r>
      <w:r>
        <w:rPr>
          <w:rFonts w:hint="eastAsia" w:ascii="宋体" w:hAnsi="宋体" w:cs="宋体"/>
        </w:rPr>
        <w:fldChar w:fldCharType="end"/>
      </w:r>
      <w:r>
        <w:rPr>
          <w:rFonts w:hint="eastAsia" w:ascii="宋体" w:hAnsi="宋体" w:cs="宋体"/>
        </w:rPr>
        <w:fldChar w:fldCharType="end"/>
      </w:r>
    </w:p>
    <w:p w14:paraId="14F6DA33">
      <w:pPr>
        <w:pStyle w:val="25"/>
        <w:tabs>
          <w:tab w:val="right" w:leader="dot" w:pos="9638"/>
        </w:tabs>
        <w:rPr>
          <w:rFonts w:ascii="宋体" w:hAnsi="宋体" w:cs="宋体"/>
        </w:rPr>
      </w:pPr>
      <w:r>
        <w:fldChar w:fldCharType="begin"/>
      </w:r>
      <w:r>
        <w:instrText xml:space="preserve"> HYPERLINK \l "_Toc18432" </w:instrText>
      </w:r>
      <w:r>
        <w:fldChar w:fldCharType="separate"/>
      </w:r>
      <w:r>
        <w:rPr>
          <w:rFonts w:hint="eastAsia" w:ascii="宋体" w:hAnsi="宋体" w:cs="宋体"/>
          <w:bCs/>
          <w:szCs w:val="21"/>
        </w:rPr>
        <w:t>19.磋商程序</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_Toc18432 \h </w:instrText>
      </w:r>
      <w:r>
        <w:rPr>
          <w:rFonts w:hint="eastAsia" w:ascii="宋体" w:hAnsi="宋体" w:cs="宋体"/>
        </w:rPr>
        <w:fldChar w:fldCharType="separate"/>
      </w:r>
      <w:r>
        <w:rPr>
          <w:rFonts w:hint="eastAsia" w:ascii="宋体" w:hAnsi="宋体" w:cs="宋体"/>
        </w:rPr>
        <w:t>12</w:t>
      </w:r>
      <w:r>
        <w:rPr>
          <w:rFonts w:hint="eastAsia" w:ascii="宋体" w:hAnsi="宋体" w:cs="宋体"/>
        </w:rPr>
        <w:fldChar w:fldCharType="end"/>
      </w:r>
      <w:r>
        <w:rPr>
          <w:rFonts w:hint="eastAsia" w:ascii="宋体" w:hAnsi="宋体" w:cs="宋体"/>
        </w:rPr>
        <w:fldChar w:fldCharType="end"/>
      </w:r>
    </w:p>
    <w:p w14:paraId="5D1D96E4">
      <w:pPr>
        <w:pStyle w:val="25"/>
        <w:tabs>
          <w:tab w:val="right" w:leader="dot" w:pos="9638"/>
        </w:tabs>
        <w:rPr>
          <w:rFonts w:ascii="宋体" w:hAnsi="宋体" w:cs="宋体"/>
        </w:rPr>
      </w:pPr>
      <w:r>
        <w:fldChar w:fldCharType="begin"/>
      </w:r>
      <w:r>
        <w:instrText xml:space="preserve"> HYPERLINK \l "_Toc4634" </w:instrText>
      </w:r>
      <w:r>
        <w:fldChar w:fldCharType="separate"/>
      </w:r>
      <w:r>
        <w:rPr>
          <w:rFonts w:hint="eastAsia" w:ascii="宋体" w:hAnsi="宋体" w:cs="宋体"/>
          <w:bCs/>
          <w:szCs w:val="21"/>
        </w:rPr>
        <w:t>21.无效响应文件与终止磋商</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_Toc4634 \h </w:instrText>
      </w:r>
      <w:r>
        <w:rPr>
          <w:rFonts w:hint="eastAsia" w:ascii="宋体" w:hAnsi="宋体" w:cs="宋体"/>
        </w:rPr>
        <w:fldChar w:fldCharType="separate"/>
      </w:r>
      <w:r>
        <w:rPr>
          <w:rFonts w:hint="eastAsia" w:ascii="宋体" w:hAnsi="宋体" w:cs="宋体"/>
        </w:rPr>
        <w:t>14</w:t>
      </w:r>
      <w:r>
        <w:rPr>
          <w:rFonts w:hint="eastAsia" w:ascii="宋体" w:hAnsi="宋体" w:cs="宋体"/>
        </w:rPr>
        <w:fldChar w:fldCharType="end"/>
      </w:r>
      <w:r>
        <w:rPr>
          <w:rFonts w:hint="eastAsia" w:ascii="宋体" w:hAnsi="宋体" w:cs="宋体"/>
        </w:rPr>
        <w:fldChar w:fldCharType="end"/>
      </w:r>
    </w:p>
    <w:p w14:paraId="533283CA">
      <w:pPr>
        <w:pStyle w:val="25"/>
        <w:tabs>
          <w:tab w:val="right" w:leader="dot" w:pos="9638"/>
        </w:tabs>
        <w:rPr>
          <w:rFonts w:ascii="宋体" w:hAnsi="宋体" w:cs="宋体"/>
        </w:rPr>
      </w:pPr>
      <w:r>
        <w:fldChar w:fldCharType="begin"/>
      </w:r>
      <w:r>
        <w:instrText xml:space="preserve"> HYPERLINK \l "_Toc25999" </w:instrText>
      </w:r>
      <w:r>
        <w:fldChar w:fldCharType="separate"/>
      </w:r>
      <w:r>
        <w:rPr>
          <w:rFonts w:hint="eastAsia" w:ascii="宋体" w:hAnsi="宋体" w:cs="宋体"/>
          <w:bCs/>
          <w:szCs w:val="21"/>
        </w:rPr>
        <w:t>22.首次磋商失败，重新组织磋商后供应商不足的处理</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_Toc25999 \h </w:instrText>
      </w:r>
      <w:r>
        <w:rPr>
          <w:rFonts w:hint="eastAsia" w:ascii="宋体" w:hAnsi="宋体" w:cs="宋体"/>
        </w:rPr>
        <w:fldChar w:fldCharType="separate"/>
      </w:r>
      <w:r>
        <w:rPr>
          <w:rFonts w:hint="eastAsia" w:ascii="宋体" w:hAnsi="宋体" w:cs="宋体"/>
        </w:rPr>
        <w:t>14</w:t>
      </w:r>
      <w:r>
        <w:rPr>
          <w:rFonts w:hint="eastAsia" w:ascii="宋体" w:hAnsi="宋体" w:cs="宋体"/>
        </w:rPr>
        <w:fldChar w:fldCharType="end"/>
      </w:r>
      <w:r>
        <w:rPr>
          <w:rFonts w:hint="eastAsia" w:ascii="宋体" w:hAnsi="宋体" w:cs="宋体"/>
        </w:rPr>
        <w:fldChar w:fldCharType="end"/>
      </w:r>
    </w:p>
    <w:p w14:paraId="53F6C9DA">
      <w:pPr>
        <w:pStyle w:val="42"/>
        <w:tabs>
          <w:tab w:val="right" w:leader="dot" w:pos="9638"/>
        </w:tabs>
        <w:rPr>
          <w:rFonts w:ascii="宋体" w:hAnsi="宋体" w:cs="宋体"/>
        </w:rPr>
      </w:pPr>
      <w:r>
        <w:fldChar w:fldCharType="begin"/>
      </w:r>
      <w:r>
        <w:instrText xml:space="preserve"> HYPERLINK \l "_Toc21398" </w:instrText>
      </w:r>
      <w:r>
        <w:fldChar w:fldCharType="separate"/>
      </w:r>
      <w:r>
        <w:rPr>
          <w:rFonts w:hint="eastAsia" w:ascii="宋体" w:hAnsi="宋体" w:cs="宋体"/>
          <w:bCs/>
          <w:szCs w:val="21"/>
        </w:rPr>
        <w:t>六、成交</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_Toc21398 \h </w:instrText>
      </w:r>
      <w:r>
        <w:rPr>
          <w:rFonts w:hint="eastAsia" w:ascii="宋体" w:hAnsi="宋体" w:cs="宋体"/>
        </w:rPr>
        <w:fldChar w:fldCharType="separate"/>
      </w:r>
      <w:r>
        <w:rPr>
          <w:rFonts w:hint="eastAsia" w:ascii="宋体" w:hAnsi="宋体" w:cs="宋体"/>
        </w:rPr>
        <w:t>14</w:t>
      </w:r>
      <w:r>
        <w:rPr>
          <w:rFonts w:hint="eastAsia" w:ascii="宋体" w:hAnsi="宋体" w:cs="宋体"/>
        </w:rPr>
        <w:fldChar w:fldCharType="end"/>
      </w:r>
      <w:r>
        <w:rPr>
          <w:rFonts w:hint="eastAsia" w:ascii="宋体" w:hAnsi="宋体" w:cs="宋体"/>
        </w:rPr>
        <w:fldChar w:fldCharType="end"/>
      </w:r>
    </w:p>
    <w:p w14:paraId="3DAA987F">
      <w:pPr>
        <w:pStyle w:val="25"/>
        <w:tabs>
          <w:tab w:val="right" w:leader="dot" w:pos="9638"/>
        </w:tabs>
        <w:rPr>
          <w:rFonts w:ascii="宋体" w:hAnsi="宋体" w:cs="宋体"/>
        </w:rPr>
      </w:pPr>
      <w:r>
        <w:fldChar w:fldCharType="begin"/>
      </w:r>
      <w:r>
        <w:instrText xml:space="preserve"> HYPERLINK \l "_Toc5953" </w:instrText>
      </w:r>
      <w:r>
        <w:fldChar w:fldCharType="separate"/>
      </w:r>
      <w:r>
        <w:rPr>
          <w:rFonts w:hint="eastAsia" w:ascii="宋体" w:hAnsi="宋体" w:cs="宋体"/>
          <w:bCs/>
          <w:szCs w:val="21"/>
        </w:rPr>
        <w:t>23.</w:t>
      </w:r>
      <w:r>
        <w:rPr>
          <w:rFonts w:hint="eastAsia" w:ascii="宋体" w:hAnsi="宋体" w:cs="宋体"/>
          <w:bCs/>
          <w:szCs w:val="21"/>
          <w:lang w:val="zh-CN"/>
        </w:rPr>
        <w:t>评定成交方法和标准</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_Toc5953 \h </w:instrText>
      </w:r>
      <w:r>
        <w:rPr>
          <w:rFonts w:hint="eastAsia" w:ascii="宋体" w:hAnsi="宋体" w:cs="宋体"/>
        </w:rPr>
        <w:fldChar w:fldCharType="separate"/>
      </w:r>
      <w:r>
        <w:rPr>
          <w:rFonts w:hint="eastAsia" w:ascii="宋体" w:hAnsi="宋体" w:cs="宋体"/>
        </w:rPr>
        <w:t>14</w:t>
      </w:r>
      <w:r>
        <w:rPr>
          <w:rFonts w:hint="eastAsia" w:ascii="宋体" w:hAnsi="宋体" w:cs="宋体"/>
        </w:rPr>
        <w:fldChar w:fldCharType="end"/>
      </w:r>
      <w:r>
        <w:rPr>
          <w:rFonts w:hint="eastAsia" w:ascii="宋体" w:hAnsi="宋体" w:cs="宋体"/>
        </w:rPr>
        <w:fldChar w:fldCharType="end"/>
      </w:r>
    </w:p>
    <w:p w14:paraId="54A913FB">
      <w:pPr>
        <w:pStyle w:val="25"/>
        <w:tabs>
          <w:tab w:val="right" w:leader="dot" w:pos="9638"/>
        </w:tabs>
        <w:rPr>
          <w:rFonts w:ascii="宋体" w:hAnsi="宋体" w:cs="宋体"/>
        </w:rPr>
      </w:pPr>
      <w:r>
        <w:fldChar w:fldCharType="begin"/>
      </w:r>
      <w:r>
        <w:instrText xml:space="preserve"> HYPERLINK \l "_Toc3630" </w:instrText>
      </w:r>
      <w:r>
        <w:fldChar w:fldCharType="separate"/>
      </w:r>
      <w:r>
        <w:rPr>
          <w:rFonts w:hint="eastAsia" w:ascii="宋体" w:hAnsi="宋体" w:cs="宋体"/>
          <w:bCs/>
          <w:szCs w:val="21"/>
        </w:rPr>
        <w:t>24.磋商过程保密</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_Toc3630 \h </w:instrText>
      </w:r>
      <w:r>
        <w:rPr>
          <w:rFonts w:hint="eastAsia" w:ascii="宋体" w:hAnsi="宋体" w:cs="宋体"/>
        </w:rPr>
        <w:fldChar w:fldCharType="separate"/>
      </w:r>
      <w:r>
        <w:rPr>
          <w:rFonts w:hint="eastAsia" w:ascii="宋体" w:hAnsi="宋体" w:cs="宋体"/>
        </w:rPr>
        <w:t>14</w:t>
      </w:r>
      <w:r>
        <w:rPr>
          <w:rFonts w:hint="eastAsia" w:ascii="宋体" w:hAnsi="宋体" w:cs="宋体"/>
        </w:rPr>
        <w:fldChar w:fldCharType="end"/>
      </w:r>
      <w:r>
        <w:rPr>
          <w:rFonts w:hint="eastAsia" w:ascii="宋体" w:hAnsi="宋体" w:cs="宋体"/>
        </w:rPr>
        <w:fldChar w:fldCharType="end"/>
      </w:r>
    </w:p>
    <w:p w14:paraId="757067D6">
      <w:pPr>
        <w:pStyle w:val="25"/>
        <w:tabs>
          <w:tab w:val="right" w:leader="dot" w:pos="9638"/>
        </w:tabs>
        <w:rPr>
          <w:rFonts w:ascii="宋体" w:hAnsi="宋体" w:cs="宋体"/>
        </w:rPr>
      </w:pPr>
      <w:r>
        <w:fldChar w:fldCharType="begin"/>
      </w:r>
      <w:r>
        <w:instrText xml:space="preserve"> HYPERLINK \l "_Toc25103" </w:instrText>
      </w:r>
      <w:r>
        <w:fldChar w:fldCharType="separate"/>
      </w:r>
      <w:r>
        <w:rPr>
          <w:rFonts w:hint="eastAsia" w:ascii="宋体" w:hAnsi="宋体" w:cs="宋体"/>
          <w:bCs/>
          <w:szCs w:val="21"/>
        </w:rPr>
        <w:t>25.确认成交供应商</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_Toc25103 \h </w:instrText>
      </w:r>
      <w:r>
        <w:rPr>
          <w:rFonts w:hint="eastAsia" w:ascii="宋体" w:hAnsi="宋体" w:cs="宋体"/>
        </w:rPr>
        <w:fldChar w:fldCharType="separate"/>
      </w:r>
      <w:r>
        <w:rPr>
          <w:rFonts w:hint="eastAsia" w:ascii="宋体" w:hAnsi="宋体" w:cs="宋体"/>
        </w:rPr>
        <w:t>15</w:t>
      </w:r>
      <w:r>
        <w:rPr>
          <w:rFonts w:hint="eastAsia" w:ascii="宋体" w:hAnsi="宋体" w:cs="宋体"/>
        </w:rPr>
        <w:fldChar w:fldCharType="end"/>
      </w:r>
      <w:r>
        <w:rPr>
          <w:rFonts w:hint="eastAsia" w:ascii="宋体" w:hAnsi="宋体" w:cs="宋体"/>
        </w:rPr>
        <w:fldChar w:fldCharType="end"/>
      </w:r>
    </w:p>
    <w:p w14:paraId="744C6CE8">
      <w:pPr>
        <w:pStyle w:val="25"/>
        <w:tabs>
          <w:tab w:val="right" w:leader="dot" w:pos="9638"/>
        </w:tabs>
        <w:rPr>
          <w:rFonts w:ascii="宋体" w:hAnsi="宋体" w:cs="宋体"/>
        </w:rPr>
      </w:pPr>
      <w:r>
        <w:fldChar w:fldCharType="begin"/>
      </w:r>
      <w:r>
        <w:instrText xml:space="preserve"> HYPERLINK \l "_Toc287" </w:instrText>
      </w:r>
      <w:r>
        <w:fldChar w:fldCharType="separate"/>
      </w:r>
      <w:r>
        <w:rPr>
          <w:rFonts w:hint="eastAsia" w:ascii="宋体" w:hAnsi="宋体" w:cs="宋体"/>
          <w:bCs/>
          <w:szCs w:val="21"/>
        </w:rPr>
        <w:t>26.成交的通知</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_Toc287 \h </w:instrText>
      </w:r>
      <w:r>
        <w:rPr>
          <w:rFonts w:hint="eastAsia" w:ascii="宋体" w:hAnsi="宋体" w:cs="宋体"/>
        </w:rPr>
        <w:fldChar w:fldCharType="separate"/>
      </w:r>
      <w:r>
        <w:rPr>
          <w:rFonts w:hint="eastAsia" w:ascii="宋体" w:hAnsi="宋体" w:cs="宋体"/>
        </w:rPr>
        <w:t>15</w:t>
      </w:r>
      <w:r>
        <w:rPr>
          <w:rFonts w:hint="eastAsia" w:ascii="宋体" w:hAnsi="宋体" w:cs="宋体"/>
        </w:rPr>
        <w:fldChar w:fldCharType="end"/>
      </w:r>
      <w:r>
        <w:rPr>
          <w:rFonts w:hint="eastAsia" w:ascii="宋体" w:hAnsi="宋体" w:cs="宋体"/>
        </w:rPr>
        <w:fldChar w:fldCharType="end"/>
      </w:r>
    </w:p>
    <w:p w14:paraId="32FAFD56">
      <w:pPr>
        <w:pStyle w:val="25"/>
        <w:tabs>
          <w:tab w:val="right" w:leader="dot" w:pos="9638"/>
        </w:tabs>
        <w:rPr>
          <w:rFonts w:ascii="宋体" w:hAnsi="宋体" w:cs="宋体"/>
        </w:rPr>
      </w:pPr>
      <w:r>
        <w:fldChar w:fldCharType="begin"/>
      </w:r>
      <w:r>
        <w:instrText xml:space="preserve"> HYPERLINK \l "_Toc17860" </w:instrText>
      </w:r>
      <w:r>
        <w:fldChar w:fldCharType="separate"/>
      </w:r>
      <w:r>
        <w:rPr>
          <w:rFonts w:hint="eastAsia" w:ascii="宋体" w:hAnsi="宋体" w:cs="宋体"/>
          <w:bCs/>
          <w:szCs w:val="21"/>
        </w:rPr>
        <w:t>27.签订合同</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_Toc17860 \h </w:instrText>
      </w:r>
      <w:r>
        <w:rPr>
          <w:rFonts w:hint="eastAsia" w:ascii="宋体" w:hAnsi="宋体" w:cs="宋体"/>
        </w:rPr>
        <w:fldChar w:fldCharType="separate"/>
      </w:r>
      <w:r>
        <w:rPr>
          <w:rFonts w:hint="eastAsia" w:ascii="宋体" w:hAnsi="宋体" w:cs="宋体"/>
        </w:rPr>
        <w:t>15</w:t>
      </w:r>
      <w:r>
        <w:rPr>
          <w:rFonts w:hint="eastAsia" w:ascii="宋体" w:hAnsi="宋体" w:cs="宋体"/>
        </w:rPr>
        <w:fldChar w:fldCharType="end"/>
      </w:r>
      <w:r>
        <w:rPr>
          <w:rFonts w:hint="eastAsia" w:ascii="宋体" w:hAnsi="宋体" w:cs="宋体"/>
        </w:rPr>
        <w:fldChar w:fldCharType="end"/>
      </w:r>
    </w:p>
    <w:p w14:paraId="61D5AC39">
      <w:pPr>
        <w:pStyle w:val="42"/>
        <w:tabs>
          <w:tab w:val="right" w:leader="dot" w:pos="9638"/>
        </w:tabs>
        <w:rPr>
          <w:rFonts w:ascii="宋体" w:hAnsi="宋体" w:cs="宋体"/>
        </w:rPr>
      </w:pPr>
      <w:r>
        <w:fldChar w:fldCharType="begin"/>
      </w:r>
      <w:r>
        <w:instrText xml:space="preserve"> HYPERLINK \l "_Toc31879" </w:instrText>
      </w:r>
      <w:r>
        <w:fldChar w:fldCharType="separate"/>
      </w:r>
      <w:r>
        <w:rPr>
          <w:rFonts w:hint="eastAsia" w:ascii="宋体" w:hAnsi="宋体" w:cs="宋体"/>
          <w:bCs/>
        </w:rPr>
        <w:t>七、质疑</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_Toc31879 \h </w:instrText>
      </w:r>
      <w:r>
        <w:rPr>
          <w:rFonts w:hint="eastAsia" w:ascii="宋体" w:hAnsi="宋体" w:cs="宋体"/>
        </w:rPr>
        <w:fldChar w:fldCharType="separate"/>
      </w:r>
      <w:r>
        <w:rPr>
          <w:rFonts w:hint="eastAsia" w:ascii="宋体" w:hAnsi="宋体" w:cs="宋体"/>
        </w:rPr>
        <w:t>15</w:t>
      </w:r>
      <w:r>
        <w:rPr>
          <w:rFonts w:hint="eastAsia" w:ascii="宋体" w:hAnsi="宋体" w:cs="宋体"/>
        </w:rPr>
        <w:fldChar w:fldCharType="end"/>
      </w:r>
      <w:r>
        <w:rPr>
          <w:rFonts w:hint="eastAsia" w:ascii="宋体" w:hAnsi="宋体" w:cs="宋体"/>
        </w:rPr>
        <w:fldChar w:fldCharType="end"/>
      </w:r>
    </w:p>
    <w:p w14:paraId="5D3CFAB2">
      <w:pPr>
        <w:pStyle w:val="25"/>
        <w:tabs>
          <w:tab w:val="right" w:leader="dot" w:pos="9638"/>
        </w:tabs>
        <w:rPr>
          <w:rFonts w:ascii="宋体" w:hAnsi="宋体" w:cs="宋体"/>
        </w:rPr>
      </w:pPr>
      <w:r>
        <w:fldChar w:fldCharType="begin"/>
      </w:r>
      <w:r>
        <w:instrText xml:space="preserve"> HYPERLINK \l "_Toc19353" </w:instrText>
      </w:r>
      <w:r>
        <w:fldChar w:fldCharType="separate"/>
      </w:r>
      <w:r>
        <w:rPr>
          <w:rFonts w:hint="eastAsia" w:ascii="宋体" w:hAnsi="宋体" w:cs="宋体"/>
          <w:bCs/>
          <w:szCs w:val="21"/>
        </w:rPr>
        <w:t>29.质疑</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_Toc19353 \h </w:instrText>
      </w:r>
      <w:r>
        <w:rPr>
          <w:rFonts w:hint="eastAsia" w:ascii="宋体" w:hAnsi="宋体" w:cs="宋体"/>
        </w:rPr>
        <w:fldChar w:fldCharType="separate"/>
      </w:r>
      <w:r>
        <w:rPr>
          <w:rFonts w:hint="eastAsia" w:ascii="宋体" w:hAnsi="宋体" w:cs="宋体"/>
        </w:rPr>
        <w:t>15</w:t>
      </w:r>
      <w:r>
        <w:rPr>
          <w:rFonts w:hint="eastAsia" w:ascii="宋体" w:hAnsi="宋体" w:cs="宋体"/>
        </w:rPr>
        <w:fldChar w:fldCharType="end"/>
      </w:r>
      <w:r>
        <w:rPr>
          <w:rFonts w:hint="eastAsia" w:ascii="宋体" w:hAnsi="宋体" w:cs="宋体"/>
        </w:rPr>
        <w:fldChar w:fldCharType="end"/>
      </w:r>
    </w:p>
    <w:p w14:paraId="076A5F66">
      <w:pPr>
        <w:pStyle w:val="35"/>
        <w:tabs>
          <w:tab w:val="right" w:leader="dot" w:pos="9638"/>
        </w:tabs>
        <w:rPr>
          <w:rFonts w:ascii="宋体" w:hAnsi="宋体" w:cs="宋体"/>
        </w:rPr>
      </w:pPr>
      <w:r>
        <w:fldChar w:fldCharType="begin"/>
      </w:r>
      <w:r>
        <w:instrText xml:space="preserve"> HYPERLINK \l "_Toc16384" </w:instrText>
      </w:r>
      <w:r>
        <w:fldChar w:fldCharType="separate"/>
      </w:r>
      <w:r>
        <w:rPr>
          <w:rFonts w:hint="eastAsia" w:ascii="宋体" w:hAnsi="宋体" w:cs="宋体"/>
          <w:szCs w:val="28"/>
        </w:rPr>
        <w:t>第三章 评分标准</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_Toc16384 \h </w:instrText>
      </w:r>
      <w:r>
        <w:rPr>
          <w:rFonts w:hint="eastAsia" w:ascii="宋体" w:hAnsi="宋体" w:cs="宋体"/>
        </w:rPr>
        <w:fldChar w:fldCharType="separate"/>
      </w:r>
      <w:r>
        <w:rPr>
          <w:rFonts w:hint="eastAsia" w:ascii="宋体" w:hAnsi="宋体" w:cs="宋体"/>
        </w:rPr>
        <w:t>17</w:t>
      </w:r>
      <w:r>
        <w:rPr>
          <w:rFonts w:hint="eastAsia" w:ascii="宋体" w:hAnsi="宋体" w:cs="宋体"/>
        </w:rPr>
        <w:fldChar w:fldCharType="end"/>
      </w:r>
      <w:r>
        <w:rPr>
          <w:rFonts w:hint="eastAsia" w:ascii="宋体" w:hAnsi="宋体" w:cs="宋体"/>
        </w:rPr>
        <w:fldChar w:fldCharType="end"/>
      </w:r>
    </w:p>
    <w:p w14:paraId="16DA92A4">
      <w:pPr>
        <w:pStyle w:val="35"/>
        <w:tabs>
          <w:tab w:val="right" w:leader="dot" w:pos="9638"/>
        </w:tabs>
        <w:rPr>
          <w:rFonts w:ascii="宋体" w:hAnsi="宋体" w:cs="宋体"/>
        </w:rPr>
      </w:pPr>
      <w:r>
        <w:fldChar w:fldCharType="begin"/>
      </w:r>
      <w:r>
        <w:instrText xml:space="preserve"> HYPERLINK \l "_Toc19168" </w:instrText>
      </w:r>
      <w:r>
        <w:fldChar w:fldCharType="separate"/>
      </w:r>
      <w:r>
        <w:rPr>
          <w:rFonts w:hint="eastAsia" w:ascii="宋体" w:hAnsi="宋体" w:cs="宋体"/>
          <w:szCs w:val="28"/>
        </w:rPr>
        <w:t>第四章 采购技术规格及要求</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_Toc19168 \h </w:instrText>
      </w:r>
      <w:r>
        <w:rPr>
          <w:rFonts w:hint="eastAsia" w:ascii="宋体" w:hAnsi="宋体" w:cs="宋体"/>
        </w:rPr>
        <w:fldChar w:fldCharType="separate"/>
      </w:r>
      <w:r>
        <w:rPr>
          <w:rFonts w:hint="eastAsia" w:ascii="宋体" w:hAnsi="宋体" w:cs="宋体"/>
        </w:rPr>
        <w:t>21</w:t>
      </w:r>
      <w:r>
        <w:rPr>
          <w:rFonts w:hint="eastAsia" w:ascii="宋体" w:hAnsi="宋体" w:cs="宋体"/>
        </w:rPr>
        <w:fldChar w:fldCharType="end"/>
      </w:r>
      <w:r>
        <w:rPr>
          <w:rFonts w:hint="eastAsia" w:ascii="宋体" w:hAnsi="宋体" w:cs="宋体"/>
        </w:rPr>
        <w:fldChar w:fldCharType="end"/>
      </w:r>
    </w:p>
    <w:p w14:paraId="5A385519">
      <w:pPr>
        <w:pStyle w:val="35"/>
        <w:tabs>
          <w:tab w:val="right" w:leader="dot" w:pos="9638"/>
        </w:tabs>
        <w:rPr>
          <w:rFonts w:ascii="宋体" w:hAnsi="宋体" w:cs="宋体"/>
        </w:rPr>
      </w:pPr>
      <w:r>
        <w:fldChar w:fldCharType="begin"/>
      </w:r>
      <w:r>
        <w:instrText xml:space="preserve"> HYPERLINK \l "_Toc8914" </w:instrText>
      </w:r>
      <w:r>
        <w:fldChar w:fldCharType="separate"/>
      </w:r>
      <w:r>
        <w:rPr>
          <w:rFonts w:hint="eastAsia" w:ascii="宋体" w:hAnsi="宋体" w:cs="宋体"/>
          <w:szCs w:val="28"/>
        </w:rPr>
        <w:t>第五章 拟签订的合同文本</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_Toc8914 \h </w:instrText>
      </w:r>
      <w:r>
        <w:rPr>
          <w:rFonts w:hint="eastAsia" w:ascii="宋体" w:hAnsi="宋体" w:cs="宋体"/>
        </w:rPr>
        <w:fldChar w:fldCharType="separate"/>
      </w:r>
      <w:r>
        <w:rPr>
          <w:rFonts w:hint="eastAsia" w:ascii="宋体" w:hAnsi="宋体" w:cs="宋体"/>
        </w:rPr>
        <w:t>27</w:t>
      </w:r>
      <w:r>
        <w:rPr>
          <w:rFonts w:hint="eastAsia" w:ascii="宋体" w:hAnsi="宋体" w:cs="宋体"/>
        </w:rPr>
        <w:fldChar w:fldCharType="end"/>
      </w:r>
      <w:r>
        <w:rPr>
          <w:rFonts w:hint="eastAsia" w:ascii="宋体" w:hAnsi="宋体" w:cs="宋体"/>
        </w:rPr>
        <w:fldChar w:fldCharType="end"/>
      </w:r>
    </w:p>
    <w:p w14:paraId="3E2590C6">
      <w:pPr>
        <w:pStyle w:val="35"/>
        <w:tabs>
          <w:tab w:val="right" w:leader="dot" w:pos="9638"/>
        </w:tabs>
        <w:rPr>
          <w:rFonts w:ascii="宋体" w:hAnsi="宋体" w:cs="宋体"/>
        </w:rPr>
      </w:pPr>
      <w:r>
        <w:fldChar w:fldCharType="begin"/>
      </w:r>
      <w:r>
        <w:instrText xml:space="preserve"> HYPERLINK \l "_Toc31223" </w:instrText>
      </w:r>
      <w:r>
        <w:fldChar w:fldCharType="separate"/>
      </w:r>
      <w:r>
        <w:rPr>
          <w:rFonts w:hint="eastAsia" w:ascii="宋体" w:hAnsi="宋体" w:cs="宋体"/>
          <w:szCs w:val="24"/>
        </w:rPr>
        <w:t>第六章 响应文件格式及附件</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_Toc31223 \h </w:instrText>
      </w:r>
      <w:r>
        <w:rPr>
          <w:rFonts w:hint="eastAsia" w:ascii="宋体" w:hAnsi="宋体" w:cs="宋体"/>
        </w:rPr>
        <w:fldChar w:fldCharType="separate"/>
      </w:r>
      <w:r>
        <w:rPr>
          <w:rFonts w:hint="eastAsia" w:ascii="宋体" w:hAnsi="宋体" w:cs="宋体"/>
        </w:rPr>
        <w:t>37</w:t>
      </w:r>
      <w:r>
        <w:rPr>
          <w:rFonts w:hint="eastAsia" w:ascii="宋体" w:hAnsi="宋体" w:cs="宋体"/>
        </w:rPr>
        <w:fldChar w:fldCharType="end"/>
      </w:r>
      <w:r>
        <w:rPr>
          <w:rFonts w:hint="eastAsia" w:ascii="宋体" w:hAnsi="宋体" w:cs="宋体"/>
        </w:rPr>
        <w:fldChar w:fldCharType="end"/>
      </w:r>
    </w:p>
    <w:p w14:paraId="422FDCF6">
      <w:pPr>
        <w:pStyle w:val="42"/>
        <w:tabs>
          <w:tab w:val="right" w:leader="dot" w:pos="9638"/>
        </w:tabs>
        <w:rPr>
          <w:rFonts w:ascii="宋体" w:hAnsi="宋体" w:cs="宋体"/>
        </w:rPr>
      </w:pPr>
      <w:r>
        <w:fldChar w:fldCharType="begin"/>
      </w:r>
      <w:r>
        <w:instrText xml:space="preserve"> HYPERLINK \l "_Toc670" </w:instrText>
      </w:r>
      <w:r>
        <w:fldChar w:fldCharType="separate"/>
      </w:r>
      <w:r>
        <w:rPr>
          <w:rFonts w:hint="eastAsia" w:ascii="宋体" w:hAnsi="宋体" w:cs="宋体"/>
          <w:szCs w:val="24"/>
        </w:rPr>
        <w:t>资格审查索引表</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_Toc670 \h </w:instrText>
      </w:r>
      <w:r>
        <w:rPr>
          <w:rFonts w:hint="eastAsia" w:ascii="宋体" w:hAnsi="宋体" w:cs="宋体"/>
        </w:rPr>
        <w:fldChar w:fldCharType="separate"/>
      </w:r>
      <w:r>
        <w:rPr>
          <w:rFonts w:hint="eastAsia" w:ascii="宋体" w:hAnsi="宋体" w:cs="宋体"/>
        </w:rPr>
        <w:t>39</w:t>
      </w:r>
      <w:r>
        <w:rPr>
          <w:rFonts w:hint="eastAsia" w:ascii="宋体" w:hAnsi="宋体" w:cs="宋体"/>
        </w:rPr>
        <w:fldChar w:fldCharType="end"/>
      </w:r>
      <w:r>
        <w:rPr>
          <w:rFonts w:hint="eastAsia" w:ascii="宋体" w:hAnsi="宋体" w:cs="宋体"/>
        </w:rPr>
        <w:fldChar w:fldCharType="end"/>
      </w:r>
    </w:p>
    <w:p w14:paraId="413CABD3">
      <w:pPr>
        <w:pStyle w:val="42"/>
        <w:tabs>
          <w:tab w:val="right" w:leader="dot" w:pos="9638"/>
        </w:tabs>
        <w:rPr>
          <w:rFonts w:ascii="宋体" w:hAnsi="宋体" w:cs="宋体"/>
        </w:rPr>
      </w:pPr>
      <w:r>
        <w:fldChar w:fldCharType="begin"/>
      </w:r>
      <w:r>
        <w:instrText xml:space="preserve"> HYPERLINK \l "_Toc17809" </w:instrText>
      </w:r>
      <w:r>
        <w:fldChar w:fldCharType="separate"/>
      </w:r>
      <w:r>
        <w:rPr>
          <w:rFonts w:hint="eastAsia" w:ascii="宋体" w:hAnsi="宋体" w:cs="宋体"/>
          <w:szCs w:val="24"/>
        </w:rPr>
        <w:t>评审索引表</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_Toc17809 \h </w:instrText>
      </w:r>
      <w:r>
        <w:rPr>
          <w:rFonts w:hint="eastAsia" w:ascii="宋体" w:hAnsi="宋体" w:cs="宋体"/>
        </w:rPr>
        <w:fldChar w:fldCharType="separate"/>
      </w:r>
      <w:r>
        <w:rPr>
          <w:rFonts w:hint="eastAsia" w:ascii="宋体" w:hAnsi="宋体" w:cs="宋体"/>
        </w:rPr>
        <w:t>40</w:t>
      </w:r>
      <w:r>
        <w:rPr>
          <w:rFonts w:hint="eastAsia" w:ascii="宋体" w:hAnsi="宋体" w:cs="宋体"/>
        </w:rPr>
        <w:fldChar w:fldCharType="end"/>
      </w:r>
      <w:r>
        <w:rPr>
          <w:rFonts w:hint="eastAsia" w:ascii="宋体" w:hAnsi="宋体" w:cs="宋体"/>
        </w:rPr>
        <w:fldChar w:fldCharType="end"/>
      </w:r>
    </w:p>
    <w:p w14:paraId="4F988B0D">
      <w:pPr>
        <w:pStyle w:val="42"/>
        <w:tabs>
          <w:tab w:val="right" w:leader="dot" w:pos="9638"/>
        </w:tabs>
        <w:rPr>
          <w:rFonts w:ascii="宋体" w:hAnsi="宋体" w:cs="宋体"/>
        </w:rPr>
      </w:pPr>
      <w:r>
        <w:fldChar w:fldCharType="begin"/>
      </w:r>
      <w:r>
        <w:instrText xml:space="preserve"> HYPERLINK \l "_Toc4209" </w:instrText>
      </w:r>
      <w:r>
        <w:fldChar w:fldCharType="separate"/>
      </w:r>
      <w:r>
        <w:rPr>
          <w:rFonts w:hint="eastAsia" w:ascii="宋体" w:hAnsi="宋体" w:cs="宋体"/>
          <w:bCs/>
        </w:rPr>
        <w:t xml:space="preserve">附件一 </w:t>
      </w:r>
      <w:r>
        <w:rPr>
          <w:rFonts w:hint="eastAsia" w:ascii="宋体" w:hAnsi="宋体" w:cs="宋体"/>
          <w:bCs/>
          <w:szCs w:val="22"/>
        </w:rPr>
        <w:t>磋商申请及申明</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_Toc4209 \h </w:instrText>
      </w:r>
      <w:r>
        <w:rPr>
          <w:rFonts w:hint="eastAsia" w:ascii="宋体" w:hAnsi="宋体" w:cs="宋体"/>
        </w:rPr>
        <w:fldChar w:fldCharType="separate"/>
      </w:r>
      <w:r>
        <w:rPr>
          <w:rFonts w:hint="eastAsia" w:ascii="宋体" w:hAnsi="宋体" w:cs="宋体"/>
        </w:rPr>
        <w:t>41</w:t>
      </w:r>
      <w:r>
        <w:rPr>
          <w:rFonts w:hint="eastAsia" w:ascii="宋体" w:hAnsi="宋体" w:cs="宋体"/>
        </w:rPr>
        <w:fldChar w:fldCharType="end"/>
      </w:r>
      <w:r>
        <w:rPr>
          <w:rFonts w:hint="eastAsia" w:ascii="宋体" w:hAnsi="宋体" w:cs="宋体"/>
        </w:rPr>
        <w:fldChar w:fldCharType="end"/>
      </w:r>
    </w:p>
    <w:p w14:paraId="2A1B63EA">
      <w:pPr>
        <w:pStyle w:val="42"/>
        <w:tabs>
          <w:tab w:val="right" w:leader="dot" w:pos="9638"/>
        </w:tabs>
        <w:rPr>
          <w:rFonts w:ascii="宋体" w:hAnsi="宋体" w:cs="宋体"/>
        </w:rPr>
      </w:pPr>
      <w:r>
        <w:fldChar w:fldCharType="begin"/>
      </w:r>
      <w:r>
        <w:instrText xml:space="preserve"> HYPERLINK \l "_Toc13656" </w:instrText>
      </w:r>
      <w:r>
        <w:fldChar w:fldCharType="separate"/>
      </w:r>
      <w:r>
        <w:rPr>
          <w:rFonts w:hint="eastAsia" w:ascii="宋体" w:hAnsi="宋体" w:cs="宋体"/>
          <w:bCs/>
          <w:szCs w:val="22"/>
        </w:rPr>
        <w:t>附件二 响应一览表</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_Toc13656 \h </w:instrText>
      </w:r>
      <w:r>
        <w:rPr>
          <w:rFonts w:hint="eastAsia" w:ascii="宋体" w:hAnsi="宋体" w:cs="宋体"/>
        </w:rPr>
        <w:fldChar w:fldCharType="separate"/>
      </w:r>
      <w:r>
        <w:rPr>
          <w:rFonts w:hint="eastAsia" w:ascii="宋体" w:hAnsi="宋体" w:cs="宋体"/>
        </w:rPr>
        <w:t>42</w:t>
      </w:r>
      <w:r>
        <w:rPr>
          <w:rFonts w:hint="eastAsia" w:ascii="宋体" w:hAnsi="宋体" w:cs="宋体"/>
        </w:rPr>
        <w:fldChar w:fldCharType="end"/>
      </w:r>
      <w:r>
        <w:rPr>
          <w:rFonts w:hint="eastAsia" w:ascii="宋体" w:hAnsi="宋体" w:cs="宋体"/>
        </w:rPr>
        <w:fldChar w:fldCharType="end"/>
      </w:r>
    </w:p>
    <w:p w14:paraId="77D4DAF3">
      <w:pPr>
        <w:pStyle w:val="42"/>
        <w:tabs>
          <w:tab w:val="right" w:leader="dot" w:pos="9638"/>
        </w:tabs>
        <w:rPr>
          <w:rFonts w:ascii="宋体" w:hAnsi="宋体" w:cs="宋体"/>
        </w:rPr>
      </w:pPr>
      <w:r>
        <w:fldChar w:fldCharType="begin"/>
      </w:r>
      <w:r>
        <w:instrText xml:space="preserve"> HYPERLINK \l "_Toc13310" </w:instrText>
      </w:r>
      <w:r>
        <w:fldChar w:fldCharType="separate"/>
      </w:r>
      <w:r>
        <w:rPr>
          <w:rFonts w:hint="eastAsia" w:ascii="宋体" w:hAnsi="宋体" w:cs="宋体"/>
          <w:bCs/>
          <w:szCs w:val="22"/>
        </w:rPr>
        <w:t>附件三 分项报价表</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_Toc13310 \h </w:instrText>
      </w:r>
      <w:r>
        <w:rPr>
          <w:rFonts w:hint="eastAsia" w:ascii="宋体" w:hAnsi="宋体" w:cs="宋体"/>
        </w:rPr>
        <w:fldChar w:fldCharType="separate"/>
      </w:r>
      <w:r>
        <w:rPr>
          <w:rFonts w:hint="eastAsia" w:ascii="宋体" w:hAnsi="宋体" w:cs="宋体"/>
        </w:rPr>
        <w:t>43</w:t>
      </w:r>
      <w:r>
        <w:rPr>
          <w:rFonts w:hint="eastAsia" w:ascii="宋体" w:hAnsi="宋体" w:cs="宋体"/>
        </w:rPr>
        <w:fldChar w:fldCharType="end"/>
      </w:r>
      <w:r>
        <w:rPr>
          <w:rFonts w:hint="eastAsia" w:ascii="宋体" w:hAnsi="宋体" w:cs="宋体"/>
        </w:rPr>
        <w:fldChar w:fldCharType="end"/>
      </w:r>
    </w:p>
    <w:p w14:paraId="3BE09F67">
      <w:pPr>
        <w:pStyle w:val="42"/>
        <w:tabs>
          <w:tab w:val="right" w:leader="dot" w:pos="9638"/>
        </w:tabs>
        <w:rPr>
          <w:rFonts w:ascii="宋体" w:hAnsi="宋体" w:cs="宋体"/>
        </w:rPr>
      </w:pPr>
      <w:r>
        <w:fldChar w:fldCharType="begin"/>
      </w:r>
      <w:r>
        <w:instrText xml:space="preserve"> HYPERLINK \l "_Toc13864" </w:instrText>
      </w:r>
      <w:r>
        <w:fldChar w:fldCharType="separate"/>
      </w:r>
      <w:r>
        <w:rPr>
          <w:rFonts w:hint="eastAsia" w:ascii="宋体" w:hAnsi="宋体" w:cs="宋体"/>
          <w:bCs/>
          <w:szCs w:val="22"/>
        </w:rPr>
        <w:t>附件四 商务条款偏离表</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_Toc13864 \h </w:instrText>
      </w:r>
      <w:r>
        <w:rPr>
          <w:rFonts w:hint="eastAsia" w:ascii="宋体" w:hAnsi="宋体" w:cs="宋体"/>
        </w:rPr>
        <w:fldChar w:fldCharType="separate"/>
      </w:r>
      <w:r>
        <w:rPr>
          <w:rFonts w:hint="eastAsia" w:ascii="宋体" w:hAnsi="宋体" w:cs="宋体"/>
        </w:rPr>
        <w:t>44</w:t>
      </w:r>
      <w:r>
        <w:rPr>
          <w:rFonts w:hint="eastAsia" w:ascii="宋体" w:hAnsi="宋体" w:cs="宋体"/>
        </w:rPr>
        <w:fldChar w:fldCharType="end"/>
      </w:r>
      <w:r>
        <w:rPr>
          <w:rFonts w:hint="eastAsia" w:ascii="宋体" w:hAnsi="宋体" w:cs="宋体"/>
        </w:rPr>
        <w:fldChar w:fldCharType="end"/>
      </w:r>
    </w:p>
    <w:p w14:paraId="33500776">
      <w:pPr>
        <w:pStyle w:val="42"/>
        <w:tabs>
          <w:tab w:val="right" w:leader="dot" w:pos="9638"/>
        </w:tabs>
        <w:rPr>
          <w:rFonts w:ascii="宋体" w:hAnsi="宋体" w:cs="宋体"/>
        </w:rPr>
      </w:pPr>
      <w:r>
        <w:fldChar w:fldCharType="begin"/>
      </w:r>
      <w:r>
        <w:instrText xml:space="preserve"> HYPERLINK \l "_Toc8901" </w:instrText>
      </w:r>
      <w:r>
        <w:fldChar w:fldCharType="separate"/>
      </w:r>
      <w:r>
        <w:rPr>
          <w:rFonts w:hint="eastAsia" w:ascii="宋体" w:hAnsi="宋体" w:cs="宋体"/>
          <w:bCs/>
          <w:szCs w:val="22"/>
        </w:rPr>
        <w:t>附件五 技术条款偏离表</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_Toc8901 \h </w:instrText>
      </w:r>
      <w:r>
        <w:rPr>
          <w:rFonts w:hint="eastAsia" w:ascii="宋体" w:hAnsi="宋体" w:cs="宋体"/>
        </w:rPr>
        <w:fldChar w:fldCharType="separate"/>
      </w:r>
      <w:r>
        <w:rPr>
          <w:rFonts w:hint="eastAsia" w:ascii="宋体" w:hAnsi="宋体" w:cs="宋体"/>
        </w:rPr>
        <w:t>45</w:t>
      </w:r>
      <w:r>
        <w:rPr>
          <w:rFonts w:hint="eastAsia" w:ascii="宋体" w:hAnsi="宋体" w:cs="宋体"/>
        </w:rPr>
        <w:fldChar w:fldCharType="end"/>
      </w:r>
      <w:r>
        <w:rPr>
          <w:rFonts w:hint="eastAsia" w:ascii="宋体" w:hAnsi="宋体" w:cs="宋体"/>
        </w:rPr>
        <w:fldChar w:fldCharType="end"/>
      </w:r>
    </w:p>
    <w:p w14:paraId="203B19ED">
      <w:pPr>
        <w:pStyle w:val="42"/>
        <w:tabs>
          <w:tab w:val="right" w:leader="dot" w:pos="9638"/>
        </w:tabs>
        <w:rPr>
          <w:rFonts w:ascii="宋体" w:hAnsi="宋体" w:cs="宋体"/>
        </w:rPr>
      </w:pPr>
      <w:r>
        <w:fldChar w:fldCharType="begin"/>
      </w:r>
      <w:r>
        <w:instrText xml:space="preserve"> HYPERLINK \l "_Toc31568" </w:instrText>
      </w:r>
      <w:r>
        <w:fldChar w:fldCharType="separate"/>
      </w:r>
      <w:r>
        <w:rPr>
          <w:rFonts w:hint="eastAsia" w:ascii="宋体" w:hAnsi="宋体" w:cs="宋体"/>
          <w:bCs/>
          <w:szCs w:val="22"/>
        </w:rPr>
        <w:t>附件六 政府采购政策</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_Toc31568 \h </w:instrText>
      </w:r>
      <w:r>
        <w:rPr>
          <w:rFonts w:hint="eastAsia" w:ascii="宋体" w:hAnsi="宋体" w:cs="宋体"/>
        </w:rPr>
        <w:fldChar w:fldCharType="separate"/>
      </w:r>
      <w:r>
        <w:rPr>
          <w:rFonts w:hint="eastAsia" w:ascii="宋体" w:hAnsi="宋体" w:cs="宋体"/>
        </w:rPr>
        <w:t>46</w:t>
      </w:r>
      <w:r>
        <w:rPr>
          <w:rFonts w:hint="eastAsia" w:ascii="宋体" w:hAnsi="宋体" w:cs="宋体"/>
        </w:rPr>
        <w:fldChar w:fldCharType="end"/>
      </w:r>
      <w:r>
        <w:rPr>
          <w:rFonts w:hint="eastAsia" w:ascii="宋体" w:hAnsi="宋体" w:cs="宋体"/>
        </w:rPr>
        <w:fldChar w:fldCharType="end"/>
      </w:r>
    </w:p>
    <w:p w14:paraId="165E6DB2">
      <w:pPr>
        <w:pStyle w:val="42"/>
        <w:tabs>
          <w:tab w:val="right" w:leader="dot" w:pos="9638"/>
        </w:tabs>
        <w:rPr>
          <w:rFonts w:ascii="宋体" w:hAnsi="宋体" w:cs="宋体"/>
        </w:rPr>
      </w:pPr>
      <w:r>
        <w:fldChar w:fldCharType="begin"/>
      </w:r>
      <w:r>
        <w:instrText xml:space="preserve"> HYPERLINK \l "_Toc28538" </w:instrText>
      </w:r>
      <w:r>
        <w:fldChar w:fldCharType="separate"/>
      </w:r>
      <w:r>
        <w:rPr>
          <w:rFonts w:hint="eastAsia" w:ascii="宋体" w:hAnsi="宋体" w:cs="宋体"/>
          <w:bCs/>
          <w:szCs w:val="22"/>
          <w:lang w:val="zh-CN"/>
        </w:rPr>
        <w:t>附件</w:t>
      </w:r>
      <w:r>
        <w:rPr>
          <w:rFonts w:hint="eastAsia" w:ascii="宋体" w:hAnsi="宋体" w:cs="宋体"/>
          <w:bCs/>
          <w:szCs w:val="22"/>
        </w:rPr>
        <w:t xml:space="preserve">七 </w:t>
      </w:r>
      <w:r>
        <w:rPr>
          <w:rFonts w:hint="eastAsia" w:ascii="宋体" w:hAnsi="宋体" w:cs="宋体"/>
          <w:bCs/>
          <w:szCs w:val="22"/>
          <w:lang w:val="zh-CN"/>
        </w:rPr>
        <w:t>供应商基本情况表</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_Toc28538 \h </w:instrText>
      </w:r>
      <w:r>
        <w:rPr>
          <w:rFonts w:hint="eastAsia" w:ascii="宋体" w:hAnsi="宋体" w:cs="宋体"/>
        </w:rPr>
        <w:fldChar w:fldCharType="separate"/>
      </w:r>
      <w:r>
        <w:rPr>
          <w:rFonts w:hint="eastAsia" w:ascii="宋体" w:hAnsi="宋体" w:cs="宋体"/>
        </w:rPr>
        <w:t>50</w:t>
      </w:r>
      <w:r>
        <w:rPr>
          <w:rFonts w:hint="eastAsia" w:ascii="宋体" w:hAnsi="宋体" w:cs="宋体"/>
        </w:rPr>
        <w:fldChar w:fldCharType="end"/>
      </w:r>
      <w:r>
        <w:rPr>
          <w:rFonts w:hint="eastAsia" w:ascii="宋体" w:hAnsi="宋体" w:cs="宋体"/>
        </w:rPr>
        <w:fldChar w:fldCharType="end"/>
      </w:r>
    </w:p>
    <w:p w14:paraId="3FA2FBEA">
      <w:pPr>
        <w:pStyle w:val="42"/>
        <w:tabs>
          <w:tab w:val="right" w:leader="dot" w:pos="9638"/>
        </w:tabs>
        <w:rPr>
          <w:rFonts w:ascii="宋体" w:hAnsi="宋体" w:cs="宋体"/>
        </w:rPr>
      </w:pPr>
      <w:r>
        <w:fldChar w:fldCharType="begin"/>
      </w:r>
      <w:r>
        <w:instrText xml:space="preserve"> HYPERLINK \l "_Toc20168" </w:instrText>
      </w:r>
      <w:r>
        <w:fldChar w:fldCharType="separate"/>
      </w:r>
      <w:r>
        <w:rPr>
          <w:rFonts w:hint="eastAsia" w:ascii="宋体" w:hAnsi="宋体" w:cs="宋体"/>
          <w:bCs/>
          <w:szCs w:val="22"/>
          <w:lang w:val="zh-CN"/>
        </w:rPr>
        <w:t>附件</w:t>
      </w:r>
      <w:r>
        <w:rPr>
          <w:rFonts w:hint="eastAsia" w:ascii="宋体" w:hAnsi="宋体" w:cs="宋体"/>
          <w:bCs/>
          <w:szCs w:val="22"/>
        </w:rPr>
        <w:t xml:space="preserve">七 </w:t>
      </w:r>
      <w:r>
        <w:rPr>
          <w:rFonts w:hint="eastAsia" w:ascii="宋体" w:hAnsi="宋体" w:cs="宋体"/>
          <w:bCs/>
          <w:szCs w:val="22"/>
          <w:lang w:val="zh-CN"/>
        </w:rPr>
        <w:t>供应商情况告知表</w:t>
      </w:r>
      <w:r>
        <w:rPr>
          <w:rFonts w:hint="eastAsia" w:ascii="宋体" w:hAnsi="宋体" w:cs="宋体"/>
          <w:bCs/>
          <w:szCs w:val="22"/>
        </w:rPr>
        <w:t>—附表</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_Toc20168 \h </w:instrText>
      </w:r>
      <w:r>
        <w:rPr>
          <w:rFonts w:hint="eastAsia" w:ascii="宋体" w:hAnsi="宋体" w:cs="宋体"/>
        </w:rPr>
        <w:fldChar w:fldCharType="separate"/>
      </w:r>
      <w:r>
        <w:rPr>
          <w:rFonts w:hint="eastAsia" w:ascii="宋体" w:hAnsi="宋体" w:cs="宋体"/>
        </w:rPr>
        <w:t>51</w:t>
      </w:r>
      <w:r>
        <w:rPr>
          <w:rFonts w:hint="eastAsia" w:ascii="宋体" w:hAnsi="宋体" w:cs="宋体"/>
        </w:rPr>
        <w:fldChar w:fldCharType="end"/>
      </w:r>
      <w:r>
        <w:rPr>
          <w:rFonts w:hint="eastAsia" w:ascii="宋体" w:hAnsi="宋体" w:cs="宋体"/>
        </w:rPr>
        <w:fldChar w:fldCharType="end"/>
      </w:r>
    </w:p>
    <w:p w14:paraId="6AA706F6">
      <w:pPr>
        <w:pStyle w:val="42"/>
        <w:tabs>
          <w:tab w:val="right" w:leader="dot" w:pos="9638"/>
        </w:tabs>
        <w:rPr>
          <w:rFonts w:ascii="宋体" w:hAnsi="宋体" w:cs="宋体"/>
        </w:rPr>
      </w:pPr>
      <w:r>
        <w:fldChar w:fldCharType="begin"/>
      </w:r>
      <w:r>
        <w:instrText xml:space="preserve"> HYPERLINK \l "_Toc7655" </w:instrText>
      </w:r>
      <w:r>
        <w:fldChar w:fldCharType="separate"/>
      </w:r>
      <w:r>
        <w:rPr>
          <w:rFonts w:hint="eastAsia" w:ascii="宋体" w:hAnsi="宋体" w:cs="宋体"/>
          <w:bCs/>
          <w:szCs w:val="22"/>
          <w:lang w:val="zh-CN"/>
        </w:rPr>
        <w:t>附件</w:t>
      </w:r>
      <w:r>
        <w:rPr>
          <w:rFonts w:hint="eastAsia" w:ascii="宋体" w:hAnsi="宋体" w:cs="宋体"/>
          <w:bCs/>
          <w:szCs w:val="22"/>
        </w:rPr>
        <w:t>八</w:t>
      </w:r>
      <w:r>
        <w:rPr>
          <w:rFonts w:hint="eastAsia" w:ascii="宋体" w:hAnsi="宋体" w:cs="宋体"/>
          <w:bCs/>
          <w:szCs w:val="22"/>
          <w:lang w:val="zh-CN"/>
        </w:rPr>
        <w:t xml:space="preserve"> 资格证明文件</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_Toc7655 \h </w:instrText>
      </w:r>
      <w:r>
        <w:rPr>
          <w:rFonts w:hint="eastAsia" w:ascii="宋体" w:hAnsi="宋体" w:cs="宋体"/>
        </w:rPr>
        <w:fldChar w:fldCharType="separate"/>
      </w:r>
      <w:r>
        <w:rPr>
          <w:rFonts w:hint="eastAsia" w:ascii="宋体" w:hAnsi="宋体" w:cs="宋体"/>
        </w:rPr>
        <w:t>53</w:t>
      </w:r>
      <w:r>
        <w:rPr>
          <w:rFonts w:hint="eastAsia" w:ascii="宋体" w:hAnsi="宋体" w:cs="宋体"/>
        </w:rPr>
        <w:fldChar w:fldCharType="end"/>
      </w:r>
      <w:r>
        <w:rPr>
          <w:rFonts w:hint="eastAsia" w:ascii="宋体" w:hAnsi="宋体" w:cs="宋体"/>
        </w:rPr>
        <w:fldChar w:fldCharType="end"/>
      </w:r>
    </w:p>
    <w:p w14:paraId="24C30C19">
      <w:pPr>
        <w:pStyle w:val="42"/>
        <w:tabs>
          <w:tab w:val="right" w:leader="dot" w:pos="9638"/>
        </w:tabs>
      </w:pPr>
      <w:r>
        <w:fldChar w:fldCharType="begin"/>
      </w:r>
      <w:r>
        <w:instrText xml:space="preserve"> HYPERLINK \l "_Toc18468" </w:instrText>
      </w:r>
      <w:r>
        <w:fldChar w:fldCharType="separate"/>
      </w:r>
      <w:r>
        <w:rPr>
          <w:rFonts w:hint="eastAsia" w:ascii="宋体" w:hAnsi="宋体" w:cs="宋体"/>
          <w:bCs/>
          <w:szCs w:val="22"/>
          <w:lang w:val="zh-CN"/>
        </w:rPr>
        <w:t>附件</w:t>
      </w:r>
      <w:r>
        <w:rPr>
          <w:rFonts w:hint="eastAsia" w:ascii="宋体" w:hAnsi="宋体" w:cs="宋体"/>
          <w:bCs/>
          <w:szCs w:val="22"/>
        </w:rPr>
        <w:t xml:space="preserve">九 </w:t>
      </w:r>
      <w:r>
        <w:rPr>
          <w:rFonts w:hint="eastAsia" w:ascii="宋体" w:hAnsi="宋体" w:cs="宋体"/>
          <w:bCs/>
          <w:szCs w:val="22"/>
          <w:lang w:val="zh-CN"/>
        </w:rPr>
        <w:t>供应商认为应提供的其他材料</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_Toc18468 \h </w:instrText>
      </w:r>
      <w:r>
        <w:rPr>
          <w:rFonts w:hint="eastAsia" w:ascii="宋体" w:hAnsi="宋体" w:cs="宋体"/>
        </w:rPr>
        <w:fldChar w:fldCharType="separate"/>
      </w:r>
      <w:r>
        <w:rPr>
          <w:rFonts w:hint="eastAsia" w:ascii="宋体" w:hAnsi="宋体" w:cs="宋体"/>
        </w:rPr>
        <w:t>62</w:t>
      </w:r>
      <w:r>
        <w:rPr>
          <w:rFonts w:hint="eastAsia" w:ascii="宋体" w:hAnsi="宋体" w:cs="宋体"/>
        </w:rPr>
        <w:fldChar w:fldCharType="end"/>
      </w:r>
      <w:r>
        <w:rPr>
          <w:rFonts w:hint="eastAsia" w:ascii="宋体" w:hAnsi="宋体" w:cs="宋体"/>
        </w:rPr>
        <w:fldChar w:fldCharType="end"/>
      </w:r>
    </w:p>
    <w:p w14:paraId="69B3D0CE">
      <w:pPr>
        <w:spacing w:line="440" w:lineRule="exact"/>
        <w:rPr>
          <w:rFonts w:ascii="宋体" w:hAnsi="宋体" w:cs="宋体"/>
          <w:b/>
          <w:sz w:val="32"/>
        </w:rPr>
        <w:sectPr>
          <w:footerReference r:id="rId9" w:type="first"/>
          <w:headerReference r:id="rId7" w:type="default"/>
          <w:footerReference r:id="rId8" w:type="default"/>
          <w:pgSz w:w="11906" w:h="16838"/>
          <w:pgMar w:top="1134" w:right="1134" w:bottom="1134" w:left="1134" w:header="851" w:footer="992" w:gutter="0"/>
          <w:pgNumType w:start="1"/>
          <w:cols w:space="720" w:num="1"/>
          <w:docGrid w:linePitch="360" w:charSpace="0"/>
        </w:sectPr>
      </w:pPr>
      <w:r>
        <w:rPr>
          <w:rFonts w:hint="eastAsia" w:ascii="宋体" w:hAnsi="宋体" w:cs="宋体"/>
          <w:bCs/>
          <w:szCs w:val="21"/>
        </w:rPr>
        <w:fldChar w:fldCharType="end"/>
      </w:r>
    </w:p>
    <w:p w14:paraId="325E51BE">
      <w:pPr>
        <w:spacing w:line="360" w:lineRule="auto"/>
        <w:jc w:val="center"/>
        <w:outlineLvl w:val="0"/>
        <w:rPr>
          <w:rFonts w:ascii="宋体" w:hAnsi="宋体" w:cs="宋体"/>
          <w:b/>
          <w:sz w:val="28"/>
          <w:szCs w:val="28"/>
        </w:rPr>
      </w:pPr>
      <w:bookmarkStart w:id="0" w:name="_Toc1"/>
      <w:bookmarkStart w:id="1" w:name="_Toc28303"/>
      <w:r>
        <w:rPr>
          <w:rFonts w:hint="eastAsia" w:ascii="宋体" w:hAnsi="宋体" w:cs="宋体"/>
          <w:b/>
          <w:sz w:val="28"/>
          <w:szCs w:val="28"/>
        </w:rPr>
        <w:t xml:space="preserve">第一章 </w:t>
      </w:r>
      <w:bookmarkEnd w:id="0"/>
      <w:r>
        <w:rPr>
          <w:rFonts w:ascii="Arial" w:hAnsi="Arial" w:eastAsia="黑体" w:cs="Arial"/>
          <w:b/>
          <w:sz w:val="28"/>
          <w:szCs w:val="28"/>
        </w:rPr>
        <w:t>竞争性磋商公告</w:t>
      </w:r>
      <w:bookmarkEnd w:id="1"/>
    </w:p>
    <w:p w14:paraId="6772B6DE">
      <w:pPr>
        <w:pBdr>
          <w:top w:val="single" w:color="auto" w:sz="4" w:space="1"/>
          <w:left w:val="single" w:color="auto" w:sz="4" w:space="1"/>
          <w:bottom w:val="single" w:color="auto" w:sz="4" w:space="1"/>
          <w:right w:val="single" w:color="auto" w:sz="4" w:space="4"/>
        </w:pBdr>
        <w:spacing w:line="360" w:lineRule="auto"/>
        <w:ind w:firstLine="422"/>
        <w:rPr>
          <w:rFonts w:ascii="宋体" w:hAnsi="宋体" w:cs="宋体"/>
          <w:b/>
          <w:bCs/>
          <w:szCs w:val="21"/>
        </w:rPr>
      </w:pPr>
      <w:r>
        <w:rPr>
          <w:rFonts w:hint="eastAsia" w:ascii="宋体" w:hAnsi="宋体" w:cs="宋体"/>
          <w:b/>
          <w:bCs/>
          <w:szCs w:val="21"/>
        </w:rPr>
        <w:t>项目概况</w:t>
      </w:r>
    </w:p>
    <w:p w14:paraId="36DE627A">
      <w:pPr>
        <w:pBdr>
          <w:top w:val="single" w:color="auto" w:sz="4" w:space="1"/>
          <w:left w:val="single" w:color="auto" w:sz="4" w:space="1"/>
          <w:bottom w:val="single" w:color="auto" w:sz="4" w:space="1"/>
          <w:right w:val="single" w:color="auto" w:sz="4" w:space="4"/>
        </w:pBdr>
        <w:spacing w:line="360" w:lineRule="auto"/>
        <w:ind w:firstLine="420"/>
        <w:rPr>
          <w:rFonts w:ascii="宋体" w:hAnsi="宋体" w:cs="宋体"/>
          <w:bCs/>
          <w:szCs w:val="21"/>
        </w:rPr>
      </w:pPr>
      <w:r>
        <w:rPr>
          <w:rFonts w:hint="eastAsia" w:ascii="宋体" w:hAnsi="宋体" w:cs="宋体"/>
          <w:szCs w:val="21"/>
          <w:u w:val="single"/>
        </w:rPr>
        <w:t>江苏省美术馆</w:t>
      </w:r>
      <w:r>
        <w:rPr>
          <w:rFonts w:hint="eastAsia" w:ascii="宋体" w:hAnsi="宋体" w:cs="宋体"/>
          <w:szCs w:val="21"/>
          <w:u w:val="single"/>
          <w:lang w:eastAsia="zh-CN"/>
        </w:rPr>
        <w:t>“全景江苏-百年视觉中的旅行与文化”展览设计制作</w:t>
      </w:r>
      <w:r>
        <w:rPr>
          <w:rFonts w:hint="eastAsia" w:ascii="宋体" w:hAnsi="宋体" w:cs="宋体"/>
          <w:szCs w:val="21"/>
        </w:rPr>
        <w:t>项目</w:t>
      </w:r>
      <w:r>
        <w:rPr>
          <w:rFonts w:hint="eastAsia" w:ascii="宋体" w:hAnsi="宋体" w:cs="宋体"/>
          <w:bCs/>
          <w:szCs w:val="21"/>
        </w:rPr>
        <w:t>的潜在供应商应在</w:t>
      </w:r>
      <w:r>
        <w:rPr>
          <w:rFonts w:hint="eastAsia" w:ascii="宋体" w:hAnsi="宋体" w:cs="宋体"/>
          <w:szCs w:val="21"/>
          <w:u w:val="single"/>
        </w:rPr>
        <w:t>“苏采云”系统内免费下载</w:t>
      </w:r>
      <w:r>
        <w:rPr>
          <w:rFonts w:hint="eastAsia" w:ascii="宋体" w:hAnsi="宋体" w:cs="宋体"/>
          <w:szCs w:val="21"/>
        </w:rPr>
        <w:t>采购文件，</w:t>
      </w:r>
      <w:r>
        <w:rPr>
          <w:rFonts w:hint="eastAsia" w:ascii="宋体" w:hAnsi="宋体" w:cs="宋体"/>
          <w:bCs/>
          <w:szCs w:val="21"/>
        </w:rPr>
        <w:t>并于</w:t>
      </w:r>
      <w:r>
        <w:rPr>
          <w:rFonts w:hint="eastAsia" w:ascii="宋体" w:hAnsi="宋体" w:cs="宋体"/>
          <w:bCs/>
          <w:szCs w:val="21"/>
          <w:highlight w:val="none"/>
          <w:u w:val="single"/>
        </w:rPr>
        <w:t>2026年</w:t>
      </w:r>
      <w:r>
        <w:rPr>
          <w:rFonts w:hint="eastAsia" w:ascii="宋体" w:hAnsi="宋体" w:cs="宋体"/>
          <w:bCs/>
          <w:szCs w:val="21"/>
          <w:highlight w:val="none"/>
          <w:u w:val="single"/>
          <w:lang w:val="en-US" w:eastAsia="zh-CN"/>
        </w:rPr>
        <w:t>9</w:t>
      </w:r>
      <w:r>
        <w:rPr>
          <w:rFonts w:hint="eastAsia" w:ascii="宋体" w:hAnsi="宋体" w:cs="宋体"/>
          <w:bCs/>
          <w:szCs w:val="21"/>
          <w:highlight w:val="none"/>
          <w:u w:val="single"/>
        </w:rPr>
        <w:t>月</w:t>
      </w:r>
      <w:r>
        <w:rPr>
          <w:rFonts w:hint="eastAsia" w:ascii="宋体" w:hAnsi="宋体" w:cs="宋体"/>
          <w:bCs/>
          <w:szCs w:val="21"/>
          <w:highlight w:val="none"/>
          <w:u w:val="single"/>
          <w:lang w:val="en-US" w:eastAsia="zh-CN"/>
        </w:rPr>
        <w:t>9</w:t>
      </w:r>
      <w:r>
        <w:rPr>
          <w:rFonts w:hint="eastAsia" w:ascii="宋体" w:hAnsi="宋体" w:cs="宋体"/>
          <w:bCs/>
          <w:szCs w:val="21"/>
          <w:highlight w:val="none"/>
          <w:u w:val="single"/>
        </w:rPr>
        <w:t>日</w:t>
      </w:r>
      <w:r>
        <w:rPr>
          <w:rFonts w:hint="eastAsia" w:ascii="宋体" w:hAnsi="宋体" w:cs="宋体"/>
          <w:bCs/>
          <w:szCs w:val="21"/>
          <w:highlight w:val="none"/>
          <w:u w:val="single"/>
          <w:lang w:val="en-US" w:eastAsia="zh-CN"/>
        </w:rPr>
        <w:t>0</w:t>
      </w:r>
      <w:r>
        <w:rPr>
          <w:rFonts w:hint="eastAsia" w:ascii="宋体" w:hAnsi="宋体" w:cs="宋体"/>
          <w:bCs/>
          <w:szCs w:val="21"/>
          <w:highlight w:val="none"/>
          <w:u w:val="single"/>
        </w:rPr>
        <w:t>9点30分</w:t>
      </w:r>
      <w:r>
        <w:rPr>
          <w:rFonts w:hint="eastAsia" w:ascii="宋体" w:hAnsi="宋体" w:cs="宋体"/>
          <w:bCs/>
          <w:szCs w:val="21"/>
          <w:highlight w:val="none"/>
        </w:rPr>
        <w:t>（北</w:t>
      </w:r>
      <w:r>
        <w:rPr>
          <w:rFonts w:hint="eastAsia" w:ascii="宋体" w:hAnsi="宋体" w:cs="宋体"/>
          <w:bCs/>
          <w:szCs w:val="21"/>
        </w:rPr>
        <w:t>京时间）前递交响应文件</w:t>
      </w:r>
      <w:r>
        <w:rPr>
          <w:rFonts w:hint="eastAsia" w:ascii="宋体" w:hAnsi="宋体" w:cs="宋体"/>
          <w:szCs w:val="21"/>
        </w:rPr>
        <w:t>。</w:t>
      </w:r>
    </w:p>
    <w:p w14:paraId="0C74B784">
      <w:pPr>
        <w:pStyle w:val="4"/>
        <w:spacing w:before="0" w:after="0" w:line="360" w:lineRule="auto"/>
        <w:ind w:firstLine="422"/>
        <w:rPr>
          <w:rFonts w:ascii="宋体" w:hAnsi="宋体" w:eastAsia="宋体" w:cs="宋体"/>
          <w:bCs w:val="0"/>
          <w:sz w:val="21"/>
          <w:szCs w:val="21"/>
        </w:rPr>
      </w:pPr>
      <w:bookmarkStart w:id="2" w:name="_Toc28359089"/>
      <w:bookmarkStart w:id="3" w:name="_Toc28359012"/>
      <w:bookmarkStart w:id="4" w:name="_Toc13154"/>
      <w:bookmarkStart w:id="5" w:name="_Toc35393798"/>
      <w:bookmarkStart w:id="6" w:name="_Toc35393629"/>
      <w:bookmarkStart w:id="7" w:name="_Toc25683"/>
      <w:bookmarkStart w:id="8" w:name="_Toc31729"/>
      <w:r>
        <w:rPr>
          <w:rFonts w:hint="eastAsia" w:ascii="宋体" w:hAnsi="宋体" w:eastAsia="宋体" w:cs="宋体"/>
          <w:bCs w:val="0"/>
          <w:sz w:val="21"/>
          <w:szCs w:val="21"/>
        </w:rPr>
        <w:t>一、项目基本情况</w:t>
      </w:r>
      <w:bookmarkEnd w:id="2"/>
      <w:bookmarkEnd w:id="3"/>
      <w:bookmarkEnd w:id="4"/>
      <w:bookmarkEnd w:id="5"/>
      <w:bookmarkEnd w:id="6"/>
      <w:bookmarkEnd w:id="7"/>
      <w:bookmarkEnd w:id="8"/>
    </w:p>
    <w:p w14:paraId="74B10A95">
      <w:pPr>
        <w:spacing w:line="360" w:lineRule="auto"/>
        <w:ind w:firstLine="420"/>
        <w:rPr>
          <w:rFonts w:ascii="宋体" w:hAnsi="宋体" w:cs="宋体"/>
          <w:szCs w:val="21"/>
          <w:highlight w:val="none"/>
        </w:rPr>
      </w:pPr>
      <w:bookmarkStart w:id="9" w:name="_Toc35393630"/>
      <w:bookmarkStart w:id="10" w:name="_Toc35393799"/>
      <w:bookmarkStart w:id="11" w:name="_Toc28359090"/>
      <w:bookmarkStart w:id="12" w:name="_Toc28359013"/>
      <w:r>
        <w:rPr>
          <w:rFonts w:hint="eastAsia" w:ascii="宋体" w:hAnsi="宋体" w:cs="宋体"/>
          <w:szCs w:val="21"/>
          <w:highlight w:val="none"/>
        </w:rPr>
        <w:t>1、项目编号：</w:t>
      </w:r>
      <w:bookmarkStart w:id="342" w:name="_GoBack"/>
      <w:r>
        <w:rPr>
          <w:rFonts w:hint="eastAsia" w:ascii="宋体" w:hAnsi="宋体" w:cs="宋体"/>
          <w:szCs w:val="21"/>
          <w:highlight w:val="none"/>
        </w:rPr>
        <w:t>JSZC-320000-SMDG-C2026-0083</w:t>
      </w:r>
      <w:bookmarkEnd w:id="342"/>
    </w:p>
    <w:p w14:paraId="46EFE8D8">
      <w:pPr>
        <w:spacing w:line="360" w:lineRule="auto"/>
        <w:ind w:firstLine="420"/>
        <w:rPr>
          <w:rFonts w:hint="eastAsia" w:ascii="宋体" w:hAnsi="宋体" w:eastAsia="宋体" w:cs="宋体"/>
          <w:lang w:eastAsia="zh-CN"/>
        </w:rPr>
      </w:pPr>
      <w:r>
        <w:rPr>
          <w:rFonts w:hint="eastAsia" w:ascii="宋体" w:hAnsi="宋体" w:cs="宋体"/>
          <w:szCs w:val="21"/>
        </w:rPr>
        <w:t>2、项目名称：</w:t>
      </w:r>
      <w:r>
        <w:rPr>
          <w:rFonts w:hint="eastAsia" w:ascii="宋体" w:hAnsi="宋体" w:cs="宋体"/>
          <w:lang w:eastAsia="zh-CN"/>
        </w:rPr>
        <w:t>江苏省美术馆“全景江苏-百年视觉中的旅行与文化”展览设计制作</w:t>
      </w:r>
    </w:p>
    <w:p w14:paraId="7CC483E7">
      <w:pPr>
        <w:spacing w:line="360" w:lineRule="auto"/>
        <w:ind w:firstLine="420"/>
        <w:rPr>
          <w:rFonts w:ascii="宋体" w:hAnsi="宋体" w:cs="宋体"/>
          <w:szCs w:val="21"/>
        </w:rPr>
      </w:pPr>
      <w:r>
        <w:rPr>
          <w:rFonts w:hint="eastAsia" w:ascii="宋体" w:hAnsi="宋体" w:cs="宋体"/>
          <w:szCs w:val="21"/>
        </w:rPr>
        <w:t>3、采购方式：竞争性磋商</w:t>
      </w:r>
    </w:p>
    <w:p w14:paraId="1A05222B">
      <w:pPr>
        <w:spacing w:line="360" w:lineRule="auto"/>
        <w:ind w:firstLine="420"/>
        <w:rPr>
          <w:rFonts w:ascii="宋体" w:hAnsi="宋体" w:cs="宋体"/>
          <w:szCs w:val="21"/>
          <w:highlight w:val="none"/>
        </w:rPr>
      </w:pPr>
      <w:r>
        <w:rPr>
          <w:rFonts w:hint="eastAsia" w:ascii="宋体" w:hAnsi="宋体" w:cs="宋体"/>
          <w:szCs w:val="21"/>
        </w:rPr>
        <w:t>4、预算金额</w:t>
      </w:r>
      <w:r>
        <w:rPr>
          <w:rFonts w:hint="eastAsia" w:ascii="宋体" w:hAnsi="宋体" w:cs="宋体"/>
          <w:szCs w:val="21"/>
          <w:highlight w:val="none"/>
        </w:rPr>
        <w:t>：223.5267万元</w:t>
      </w:r>
    </w:p>
    <w:p w14:paraId="51FC78CD">
      <w:pPr>
        <w:spacing w:line="360" w:lineRule="auto"/>
        <w:ind w:firstLine="420"/>
        <w:rPr>
          <w:rFonts w:ascii="宋体" w:hAnsi="宋体" w:cs="宋体"/>
          <w:szCs w:val="21"/>
        </w:rPr>
      </w:pPr>
      <w:r>
        <w:rPr>
          <w:rFonts w:hint="eastAsia" w:ascii="宋体" w:hAnsi="宋体" w:cs="宋体"/>
          <w:szCs w:val="21"/>
          <w:highlight w:val="none"/>
        </w:rPr>
        <w:t>5、最高限价：222.4万元，</w:t>
      </w:r>
      <w:r>
        <w:rPr>
          <w:rFonts w:hint="eastAsia" w:ascii="宋体" w:hAnsi="宋体" w:cs="宋体"/>
          <w:szCs w:val="21"/>
        </w:rPr>
        <w:t>报价超过最高限价作无效响应处理。</w:t>
      </w:r>
    </w:p>
    <w:p w14:paraId="5DB33E9E">
      <w:pPr>
        <w:spacing w:line="360" w:lineRule="auto"/>
        <w:ind w:firstLine="420"/>
        <w:rPr>
          <w:rFonts w:ascii="宋体" w:hAnsi="宋体" w:cs="宋体"/>
          <w:b/>
          <w:bCs/>
          <w:szCs w:val="21"/>
        </w:rPr>
      </w:pPr>
      <w:r>
        <w:rPr>
          <w:rFonts w:hint="eastAsia" w:ascii="宋体" w:hAnsi="宋体" w:cs="宋体"/>
          <w:szCs w:val="21"/>
        </w:rPr>
        <w:t>6、采购需求：江苏省美术馆</w:t>
      </w:r>
      <w:r>
        <w:rPr>
          <w:rFonts w:hint="eastAsia" w:ascii="宋体" w:hAnsi="宋体" w:cs="宋体"/>
          <w:szCs w:val="21"/>
          <w:lang w:eastAsia="zh-CN"/>
        </w:rPr>
        <w:t>“全景江苏-百年视觉中的旅行与文化”展览设计制作</w:t>
      </w:r>
      <w:r>
        <w:rPr>
          <w:rFonts w:hint="eastAsia" w:ascii="宋体" w:hAnsi="宋体" w:cs="宋体"/>
          <w:szCs w:val="21"/>
        </w:rPr>
        <w:t>,具体要求详见磋商文件第四章。</w:t>
      </w:r>
    </w:p>
    <w:p w14:paraId="40760DB0">
      <w:pPr>
        <w:spacing w:line="360" w:lineRule="auto"/>
        <w:ind w:firstLine="420"/>
        <w:rPr>
          <w:rFonts w:ascii="宋体" w:hAnsi="宋体" w:cs="宋体"/>
          <w:bCs/>
          <w:color w:val="000000"/>
          <w:szCs w:val="21"/>
        </w:rPr>
      </w:pPr>
      <w:r>
        <w:rPr>
          <w:rFonts w:hint="eastAsia" w:ascii="宋体" w:hAnsi="宋体" w:cs="宋体"/>
          <w:szCs w:val="21"/>
        </w:rPr>
        <w:t>7、合同履行期限：</w:t>
      </w:r>
      <w:r>
        <w:rPr>
          <w:rFonts w:hint="eastAsia" w:ascii="宋体" w:hAnsi="宋体" w:cs="宋体"/>
          <w:szCs w:val="21"/>
          <w:highlight w:val="none"/>
        </w:rPr>
        <w:t>展览时间</w:t>
      </w:r>
      <w:r>
        <w:rPr>
          <w:rFonts w:hint="eastAsia" w:ascii="宋体" w:hAnsi="宋体" w:cs="宋体"/>
          <w:szCs w:val="21"/>
          <w:highlight w:val="none"/>
          <w:lang w:eastAsia="zh-CN"/>
        </w:rPr>
        <w:t>（</w:t>
      </w:r>
      <w:r>
        <w:rPr>
          <w:rFonts w:hint="eastAsia" w:ascii="宋体" w:hAnsi="宋体" w:cs="宋体"/>
          <w:szCs w:val="21"/>
          <w:highlight w:val="none"/>
          <w:lang w:val="en-US" w:eastAsia="zh-CN"/>
        </w:rPr>
        <w:t>预计</w:t>
      </w:r>
      <w:r>
        <w:rPr>
          <w:rFonts w:hint="eastAsia" w:ascii="宋体" w:hAnsi="宋体" w:cs="宋体"/>
          <w:szCs w:val="21"/>
          <w:highlight w:val="none"/>
          <w:lang w:eastAsia="zh-CN"/>
        </w:rPr>
        <w:t>）</w:t>
      </w:r>
      <w:r>
        <w:rPr>
          <w:rFonts w:hint="eastAsia" w:ascii="宋体" w:hAnsi="宋体" w:cs="宋体"/>
          <w:szCs w:val="21"/>
          <w:highlight w:val="none"/>
        </w:rPr>
        <w:t>：2026/9/23-2026/11/1</w:t>
      </w:r>
      <w:r>
        <w:rPr>
          <w:rFonts w:hint="eastAsia" w:ascii="宋体" w:hAnsi="宋体" w:cs="宋体"/>
          <w:szCs w:val="21"/>
          <w:highlight w:val="none"/>
          <w:lang w:val="en-US" w:eastAsia="zh-CN"/>
        </w:rPr>
        <w:t>5</w:t>
      </w:r>
      <w:r>
        <w:rPr>
          <w:rFonts w:hint="eastAsia" w:ascii="宋体" w:hAnsi="宋体" w:cs="宋体"/>
          <w:szCs w:val="21"/>
          <w:highlight w:val="none"/>
        </w:rPr>
        <w:t>（布撤展时间以采购人通知为准）</w:t>
      </w:r>
      <w:r>
        <w:rPr>
          <w:rFonts w:hint="eastAsia" w:ascii="宋体" w:hAnsi="宋体" w:cs="宋体"/>
          <w:highlight w:val="none"/>
        </w:rPr>
        <w:t xml:space="preserve"> </w:t>
      </w:r>
    </w:p>
    <w:p w14:paraId="0BF7EE0F">
      <w:pPr>
        <w:spacing w:line="360" w:lineRule="auto"/>
        <w:ind w:firstLine="420"/>
        <w:rPr>
          <w:rFonts w:ascii="宋体" w:hAnsi="宋体" w:cs="宋体"/>
          <w:color w:val="0000FF"/>
          <w:szCs w:val="21"/>
        </w:rPr>
      </w:pPr>
      <w:r>
        <w:rPr>
          <w:rFonts w:hint="eastAsia" w:ascii="宋体" w:hAnsi="宋体" w:cs="宋体"/>
          <w:szCs w:val="21"/>
        </w:rPr>
        <w:t>8、本项目不接受联合体，成交后不允许转包、分包。</w:t>
      </w:r>
    </w:p>
    <w:p w14:paraId="4174761D">
      <w:pPr>
        <w:pStyle w:val="4"/>
        <w:spacing w:before="0" w:after="0" w:line="360" w:lineRule="auto"/>
        <w:ind w:firstLine="422"/>
        <w:rPr>
          <w:rFonts w:ascii="宋体" w:hAnsi="宋体" w:eastAsia="宋体" w:cs="宋体"/>
          <w:bCs w:val="0"/>
          <w:sz w:val="21"/>
          <w:szCs w:val="21"/>
        </w:rPr>
      </w:pPr>
      <w:bookmarkStart w:id="13" w:name="_Toc15995"/>
      <w:bookmarkStart w:id="14" w:name="_Toc2946"/>
      <w:bookmarkStart w:id="15" w:name="_Toc30168"/>
      <w:r>
        <w:rPr>
          <w:rFonts w:hint="eastAsia" w:ascii="宋体" w:hAnsi="宋体" w:eastAsia="宋体" w:cs="宋体"/>
          <w:bCs w:val="0"/>
          <w:sz w:val="21"/>
          <w:szCs w:val="21"/>
        </w:rPr>
        <w:t>二、申请人的资格要求：</w:t>
      </w:r>
      <w:bookmarkEnd w:id="9"/>
      <w:bookmarkEnd w:id="10"/>
      <w:bookmarkEnd w:id="11"/>
      <w:bookmarkEnd w:id="12"/>
      <w:bookmarkEnd w:id="13"/>
      <w:bookmarkEnd w:id="14"/>
      <w:bookmarkEnd w:id="15"/>
    </w:p>
    <w:p w14:paraId="2BE40702">
      <w:pPr>
        <w:spacing w:line="360" w:lineRule="auto"/>
        <w:ind w:firstLine="422"/>
        <w:rPr>
          <w:rFonts w:ascii="宋体" w:hAnsi="宋体" w:cs="宋体"/>
          <w:b/>
          <w:bCs/>
          <w:color w:val="000000"/>
          <w:szCs w:val="21"/>
        </w:rPr>
      </w:pPr>
      <w:r>
        <w:rPr>
          <w:rFonts w:hint="eastAsia" w:ascii="宋体" w:hAnsi="宋体" w:cs="宋体"/>
          <w:b/>
          <w:bCs/>
          <w:szCs w:val="21"/>
        </w:rPr>
        <w:t>1、满足《中华人民共和国政府采购法》第二十二条规定，</w:t>
      </w:r>
      <w:r>
        <w:rPr>
          <w:rFonts w:hint="eastAsia" w:ascii="宋体" w:hAnsi="宋体" w:cs="宋体"/>
          <w:b/>
          <w:bCs/>
          <w:color w:val="000000"/>
          <w:szCs w:val="21"/>
        </w:rPr>
        <w:t>提供证明材料（包括但不限于）：</w:t>
      </w:r>
    </w:p>
    <w:p w14:paraId="65EDB4B6">
      <w:pPr>
        <w:spacing w:line="360" w:lineRule="auto"/>
        <w:ind w:firstLine="210"/>
        <w:rPr>
          <w:rFonts w:ascii="宋体" w:hAnsi="宋体" w:cs="宋体"/>
          <w:szCs w:val="21"/>
        </w:rPr>
      </w:pPr>
      <w:bookmarkStart w:id="16" w:name="_Toc28359014"/>
      <w:bookmarkStart w:id="17" w:name="_Toc28359091"/>
      <w:r>
        <w:rPr>
          <w:rFonts w:hint="eastAsia" w:ascii="宋体" w:hAnsi="宋体" w:cs="宋体"/>
          <w:szCs w:val="21"/>
        </w:rPr>
        <w:t>（1）具有独立承担民事责任的能力，提供法人或其他组织的营业执照等证明文件，复印件加盖公章；</w:t>
      </w:r>
    </w:p>
    <w:p w14:paraId="6B3A93EA">
      <w:pPr>
        <w:spacing w:line="360" w:lineRule="auto"/>
        <w:ind w:firstLine="210"/>
        <w:rPr>
          <w:rFonts w:ascii="宋体" w:hAnsi="宋体" w:cs="宋体"/>
          <w:szCs w:val="21"/>
        </w:rPr>
      </w:pPr>
      <w:r>
        <w:rPr>
          <w:rFonts w:hint="eastAsia" w:ascii="宋体" w:hAnsi="宋体" w:cs="宋体"/>
          <w:szCs w:val="21"/>
        </w:rPr>
        <w:t>（2）法人代表授权书（原件）及法定代表人、授权代表身份证复印件（如果是法定代表人直接参与投标的可以不提供授权书）；</w:t>
      </w:r>
    </w:p>
    <w:p w14:paraId="41496421">
      <w:pPr>
        <w:spacing w:line="360" w:lineRule="auto"/>
        <w:ind w:firstLine="210"/>
        <w:rPr>
          <w:rFonts w:ascii="宋体" w:hAnsi="宋体" w:cs="宋体"/>
          <w:szCs w:val="21"/>
        </w:rPr>
      </w:pPr>
      <w:r>
        <w:rPr>
          <w:rFonts w:hint="eastAsia" w:ascii="宋体" w:hAnsi="宋体" w:cs="宋体"/>
          <w:szCs w:val="21"/>
        </w:rPr>
        <w:t>（3）具有良好的商业信誉和健全的财务会计制度，提供距磋商时间六个月内任意一月份的财务状况报告（</w:t>
      </w:r>
      <w:r>
        <w:rPr>
          <w:rFonts w:hint="eastAsia" w:ascii="宋体" w:hAnsi="宋体" w:cs="宋体"/>
          <w:b/>
          <w:bCs/>
          <w:szCs w:val="21"/>
        </w:rPr>
        <w:t>至少包括资产负债表和利润表</w:t>
      </w:r>
      <w:r>
        <w:rPr>
          <w:rFonts w:hint="eastAsia" w:ascii="宋体" w:hAnsi="宋体" w:cs="宋体"/>
          <w:szCs w:val="21"/>
        </w:rPr>
        <w:t>）（法人或者其他组织成立未满三个月的可以不提供），或其银行出具的资信证书（复印件）（开标前六个月内），或其2024或者2025年度经审计的财务报告复印件加盖公章；</w:t>
      </w:r>
    </w:p>
    <w:p w14:paraId="37932406">
      <w:pPr>
        <w:spacing w:line="360" w:lineRule="auto"/>
        <w:ind w:firstLine="210"/>
        <w:rPr>
          <w:rFonts w:ascii="宋体" w:hAnsi="宋体" w:cs="宋体"/>
          <w:szCs w:val="21"/>
        </w:rPr>
      </w:pPr>
      <w:r>
        <w:rPr>
          <w:rFonts w:hint="eastAsia" w:ascii="宋体" w:hAnsi="宋体" w:cs="宋体"/>
          <w:szCs w:val="21"/>
        </w:rPr>
        <w:t>（4）具有履行合同所必需的设备和专业技术能力（根据项目需求提供履行合同所必需的设备和专业技术能力的证明材料或相关加盖公章的承诺函，承诺函自行编写）；</w:t>
      </w:r>
    </w:p>
    <w:p w14:paraId="22D9D273">
      <w:pPr>
        <w:spacing w:line="360" w:lineRule="auto"/>
        <w:ind w:firstLine="210"/>
        <w:rPr>
          <w:rFonts w:ascii="宋体" w:hAnsi="宋体" w:cs="宋体"/>
          <w:szCs w:val="21"/>
        </w:rPr>
      </w:pPr>
      <w:r>
        <w:rPr>
          <w:rFonts w:hint="eastAsia" w:ascii="宋体" w:hAnsi="宋体" w:cs="宋体"/>
          <w:szCs w:val="21"/>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196B3835">
      <w:pPr>
        <w:spacing w:line="360" w:lineRule="auto"/>
        <w:ind w:firstLine="210"/>
        <w:rPr>
          <w:rFonts w:ascii="宋体" w:hAnsi="宋体" w:cs="宋体"/>
          <w:szCs w:val="21"/>
        </w:rPr>
      </w:pPr>
      <w:r>
        <w:rPr>
          <w:rFonts w:hint="eastAsia" w:ascii="宋体" w:hAnsi="宋体" w:cs="宋体"/>
          <w:szCs w:val="21"/>
        </w:rPr>
        <w:t>（6）有依法缴纳税收的良好记录，提供距磋商时间六个月内任意一个月份的（企业代缴的个人所得税除外）纳税凭据复印件加盖公章（依法免税的应提供相应文件说明）；</w:t>
      </w:r>
    </w:p>
    <w:p w14:paraId="41580619">
      <w:pPr>
        <w:spacing w:line="360" w:lineRule="auto"/>
        <w:ind w:firstLine="210"/>
        <w:rPr>
          <w:rFonts w:ascii="宋体" w:hAnsi="宋体" w:cs="宋体"/>
          <w:szCs w:val="21"/>
        </w:rPr>
      </w:pPr>
      <w:r>
        <w:rPr>
          <w:rFonts w:hint="eastAsia" w:ascii="宋体" w:hAnsi="宋体" w:cs="宋体"/>
          <w:szCs w:val="21"/>
        </w:rPr>
        <w:t>（7）有依法缴纳社会保障资金的良好记录，提供距磋商时间六个月内任意一个月份的依法缴纳社会保障资金的凭据复印件加盖公章；</w:t>
      </w:r>
    </w:p>
    <w:p w14:paraId="68EEB370">
      <w:pPr>
        <w:spacing w:line="360" w:lineRule="auto"/>
        <w:ind w:firstLine="211"/>
        <w:rPr>
          <w:rFonts w:ascii="宋体" w:hAnsi="宋体" w:cs="宋体"/>
          <w:szCs w:val="21"/>
        </w:rPr>
      </w:pPr>
      <w:r>
        <w:rPr>
          <w:rFonts w:hint="eastAsia" w:ascii="宋体" w:hAnsi="宋体" w:cs="宋体"/>
          <w:b/>
          <w:bCs/>
          <w:szCs w:val="21"/>
        </w:rPr>
        <w:t>2、落实政府采购政策需满足的资格要求：</w:t>
      </w:r>
      <w:r>
        <w:rPr>
          <w:rFonts w:hint="eastAsia" w:ascii="宋体" w:hAnsi="宋体" w:cs="宋体"/>
          <w:szCs w:val="21"/>
          <w:highlight w:val="none"/>
        </w:rPr>
        <w:t>无（本项目不属于专门面向中小企业采购的项目）</w:t>
      </w:r>
      <w:r>
        <w:rPr>
          <w:rFonts w:hint="eastAsia" w:ascii="宋体" w:hAnsi="宋体" w:cs="宋体"/>
          <w:szCs w:val="21"/>
        </w:rPr>
        <w:t>。</w:t>
      </w:r>
    </w:p>
    <w:p w14:paraId="2866BF08">
      <w:pPr>
        <w:spacing w:line="360" w:lineRule="auto"/>
        <w:ind w:firstLine="211"/>
        <w:rPr>
          <w:rFonts w:ascii="宋体" w:hAnsi="宋体" w:cs="宋体"/>
          <w:szCs w:val="21"/>
        </w:rPr>
      </w:pPr>
      <w:r>
        <w:rPr>
          <w:rFonts w:hint="eastAsia" w:ascii="宋体" w:hAnsi="宋体" w:cs="宋体"/>
          <w:b/>
          <w:bCs/>
          <w:szCs w:val="21"/>
        </w:rPr>
        <w:t>3、本项目的特定资格要求：</w:t>
      </w:r>
      <w:r>
        <w:rPr>
          <w:rFonts w:hint="eastAsia" w:ascii="宋体" w:hAnsi="宋体" w:cs="宋体"/>
          <w:szCs w:val="21"/>
        </w:rPr>
        <w:t>无。</w:t>
      </w:r>
    </w:p>
    <w:p w14:paraId="08BB6C9A">
      <w:pPr>
        <w:spacing w:line="360" w:lineRule="auto"/>
        <w:ind w:firstLine="211"/>
        <w:rPr>
          <w:rFonts w:ascii="宋体" w:hAnsi="宋体" w:cs="宋体"/>
          <w:b/>
          <w:bCs/>
          <w:szCs w:val="21"/>
        </w:rPr>
      </w:pPr>
      <w:r>
        <w:rPr>
          <w:rFonts w:hint="eastAsia" w:ascii="宋体" w:hAnsi="宋体" w:cs="宋体"/>
          <w:b/>
          <w:bCs/>
          <w:szCs w:val="21"/>
        </w:rPr>
        <w:t>4、拒绝下述供应商参加本次采购活动的情形：</w:t>
      </w:r>
    </w:p>
    <w:p w14:paraId="1942097E">
      <w:pPr>
        <w:spacing w:line="360" w:lineRule="auto"/>
        <w:ind w:firstLine="420"/>
        <w:rPr>
          <w:rFonts w:ascii="宋体" w:hAnsi="宋体" w:cs="宋体"/>
          <w:szCs w:val="21"/>
        </w:rPr>
      </w:pPr>
      <w:r>
        <w:rPr>
          <w:rFonts w:hint="eastAsia" w:ascii="宋体" w:hAnsi="宋体" w:cs="宋体"/>
          <w:szCs w:val="21"/>
        </w:rPr>
        <w:t>①供应商单位负责人为同一人或者存在直接控股、管理关系的不同供应商，不得参加同一合同项下的政府采购活动。</w:t>
      </w:r>
    </w:p>
    <w:p w14:paraId="1572ED6F">
      <w:pPr>
        <w:spacing w:line="360" w:lineRule="auto"/>
        <w:ind w:firstLine="420"/>
        <w:rPr>
          <w:rFonts w:ascii="宋体" w:hAnsi="宋体" w:cs="宋体"/>
          <w:szCs w:val="21"/>
        </w:rPr>
      </w:pPr>
      <w:r>
        <w:rPr>
          <w:rFonts w:hint="eastAsia" w:ascii="宋体" w:hAnsi="宋体" w:cs="宋体"/>
          <w:szCs w:val="21"/>
        </w:rPr>
        <w:t>②凡为采购项目提供整体设计、规范编制或者项目管理、监理、检测等服务的供应商，不得再参加本项目的采购活动。</w:t>
      </w:r>
    </w:p>
    <w:p w14:paraId="750B79D0">
      <w:pPr>
        <w:spacing w:line="360" w:lineRule="auto"/>
        <w:ind w:firstLine="420"/>
        <w:rPr>
          <w:rFonts w:ascii="宋体" w:hAnsi="宋体" w:cs="宋体"/>
          <w:szCs w:val="21"/>
        </w:rPr>
      </w:pPr>
      <w:r>
        <w:rPr>
          <w:rFonts w:hint="eastAsia" w:ascii="宋体" w:hAnsi="宋体" w:cs="宋体"/>
          <w:szCs w:val="21"/>
        </w:rPr>
        <w:t>③拒绝列入失信被执行人、重大税收违法案件当事人名单、政府采购严重违法失信行为记录名单的供应商参与政府采购活动。采购代理机构在评标时通过“信用中国”网站(www.creditchina.gov.cn)、中国政府采购网(www.ccgp.gov.cn)等渠道查询供应商在</w:t>
      </w:r>
      <w:r>
        <w:rPr>
          <w:rFonts w:hint="eastAsia" w:ascii="宋体" w:hAnsi="宋体" w:cs="宋体"/>
          <w:b/>
          <w:bCs/>
        </w:rPr>
        <w:t>递交响应文件截止之日前</w:t>
      </w:r>
      <w:r>
        <w:rPr>
          <w:rFonts w:hint="eastAsia" w:ascii="宋体" w:hAnsi="宋体" w:cs="宋体"/>
          <w:szCs w:val="21"/>
        </w:rPr>
        <w:t>的信用记录并保存。</w:t>
      </w:r>
    </w:p>
    <w:p w14:paraId="544D0D22">
      <w:pPr>
        <w:pStyle w:val="4"/>
        <w:spacing w:before="0" w:after="0" w:line="360" w:lineRule="auto"/>
        <w:ind w:firstLine="422"/>
        <w:rPr>
          <w:rFonts w:ascii="宋体" w:hAnsi="宋体" w:eastAsia="宋体" w:cs="宋体"/>
          <w:bCs w:val="0"/>
          <w:sz w:val="21"/>
          <w:szCs w:val="21"/>
        </w:rPr>
      </w:pPr>
      <w:bookmarkStart w:id="18" w:name="_Toc35393800"/>
      <w:bookmarkStart w:id="19" w:name="_Toc1586"/>
      <w:bookmarkStart w:id="20" w:name="_Toc17042"/>
      <w:bookmarkStart w:id="21" w:name="_Toc30217"/>
      <w:bookmarkStart w:id="22" w:name="_Toc35393631"/>
      <w:r>
        <w:rPr>
          <w:rFonts w:hint="eastAsia" w:ascii="宋体" w:hAnsi="宋体" w:eastAsia="宋体" w:cs="宋体"/>
          <w:bCs w:val="0"/>
          <w:sz w:val="21"/>
          <w:szCs w:val="21"/>
        </w:rPr>
        <w:t>三、获取采购文件</w:t>
      </w:r>
      <w:bookmarkEnd w:id="16"/>
      <w:bookmarkEnd w:id="17"/>
      <w:bookmarkEnd w:id="18"/>
      <w:bookmarkEnd w:id="19"/>
      <w:bookmarkEnd w:id="20"/>
      <w:bookmarkEnd w:id="21"/>
      <w:bookmarkEnd w:id="22"/>
    </w:p>
    <w:p w14:paraId="2AFDB2D6">
      <w:pPr>
        <w:spacing w:line="360" w:lineRule="auto"/>
        <w:ind w:firstLine="420"/>
        <w:rPr>
          <w:rFonts w:ascii="宋体" w:hAnsi="宋体" w:cs="宋体"/>
          <w:szCs w:val="21"/>
        </w:rPr>
      </w:pPr>
      <w:bookmarkStart w:id="23" w:name="_Toc28359015"/>
      <w:bookmarkStart w:id="24" w:name="_Toc32194"/>
      <w:bookmarkStart w:id="25" w:name="_Toc17338"/>
      <w:bookmarkStart w:id="26" w:name="_Toc35393801"/>
      <w:bookmarkStart w:id="27" w:name="_Toc35393632"/>
      <w:bookmarkStart w:id="28" w:name="_Toc28359092"/>
      <w:r>
        <w:rPr>
          <w:rFonts w:hint="eastAsia" w:ascii="宋体" w:hAnsi="宋体" w:cs="宋体"/>
          <w:szCs w:val="21"/>
        </w:rPr>
        <w:t>时间：自本公告发布之日起5个工作日</w:t>
      </w:r>
    </w:p>
    <w:p w14:paraId="61C27B48">
      <w:pPr>
        <w:spacing w:line="360" w:lineRule="auto"/>
        <w:ind w:firstLine="420"/>
        <w:rPr>
          <w:rFonts w:ascii="宋体" w:hAnsi="宋体" w:cs="宋体"/>
          <w:szCs w:val="21"/>
        </w:rPr>
      </w:pPr>
      <w:r>
        <w:rPr>
          <w:rFonts w:hint="eastAsia" w:ascii="宋体" w:hAnsi="宋体" w:cs="宋体"/>
          <w:szCs w:val="21"/>
        </w:rPr>
        <w:t>地点：“苏采云”系统内免费下载（供应商必须在苏采云系统中获取采购文件，方能参与政府采购项目）</w:t>
      </w:r>
    </w:p>
    <w:p w14:paraId="7D005431">
      <w:pPr>
        <w:spacing w:line="360" w:lineRule="auto"/>
        <w:ind w:firstLine="420"/>
        <w:rPr>
          <w:rFonts w:ascii="宋体" w:hAnsi="宋体" w:cs="宋体"/>
          <w:szCs w:val="21"/>
        </w:rPr>
      </w:pPr>
      <w:r>
        <w:rPr>
          <w:rFonts w:hint="eastAsia" w:ascii="宋体" w:hAnsi="宋体" w:cs="宋体"/>
          <w:szCs w:val="21"/>
        </w:rPr>
        <w:t>方式：苏采云系统注册登记成功后系统内免费下载。</w:t>
      </w:r>
    </w:p>
    <w:p w14:paraId="10AAD03E">
      <w:pPr>
        <w:spacing w:line="360" w:lineRule="auto"/>
        <w:ind w:firstLine="420"/>
        <w:rPr>
          <w:rFonts w:ascii="宋体" w:hAnsi="宋体" w:cs="宋体"/>
          <w:szCs w:val="21"/>
        </w:rPr>
      </w:pPr>
      <w:r>
        <w:rPr>
          <w:rFonts w:hint="eastAsia" w:ascii="宋体" w:hAnsi="宋体" w:cs="宋体"/>
          <w:szCs w:val="21"/>
        </w:rPr>
        <w:t>售价：0元。</w:t>
      </w:r>
      <w:bookmarkEnd w:id="23"/>
      <w:bookmarkEnd w:id="24"/>
      <w:bookmarkEnd w:id="25"/>
      <w:bookmarkEnd w:id="26"/>
      <w:bookmarkEnd w:id="27"/>
      <w:bookmarkEnd w:id="28"/>
    </w:p>
    <w:p w14:paraId="0403987E">
      <w:pPr>
        <w:pStyle w:val="4"/>
        <w:spacing w:before="0" w:after="0" w:line="360" w:lineRule="auto"/>
        <w:ind w:firstLine="422"/>
        <w:rPr>
          <w:rFonts w:ascii="宋体" w:hAnsi="宋体" w:eastAsia="宋体" w:cs="宋体"/>
          <w:bCs w:val="0"/>
          <w:sz w:val="21"/>
          <w:szCs w:val="21"/>
        </w:rPr>
      </w:pPr>
      <w:bookmarkStart w:id="29" w:name="_Toc28264"/>
      <w:bookmarkStart w:id="30" w:name="_Toc28359016"/>
      <w:bookmarkStart w:id="31" w:name="_Toc28359093"/>
      <w:bookmarkStart w:id="32" w:name="_Toc35393802"/>
      <w:bookmarkStart w:id="33" w:name="_Toc35393633"/>
      <w:r>
        <w:rPr>
          <w:rFonts w:hint="eastAsia" w:ascii="宋体" w:hAnsi="宋体" w:eastAsia="宋体" w:cs="宋体"/>
          <w:bCs w:val="0"/>
          <w:sz w:val="21"/>
          <w:szCs w:val="21"/>
        </w:rPr>
        <w:t>四、提交响应文件截止时间和地点</w:t>
      </w:r>
      <w:bookmarkEnd w:id="29"/>
    </w:p>
    <w:p w14:paraId="18FDD592">
      <w:pPr>
        <w:spacing w:line="360" w:lineRule="auto"/>
        <w:ind w:firstLine="420"/>
        <w:rPr>
          <w:rFonts w:ascii="宋体" w:hAnsi="宋体" w:cs="宋体"/>
          <w:highlight w:val="none"/>
        </w:rPr>
      </w:pPr>
      <w:r>
        <w:rPr>
          <w:rFonts w:hint="eastAsia" w:ascii="宋体" w:hAnsi="宋体" w:cs="宋体"/>
        </w:rPr>
        <w:t>提交响应文件截止</w:t>
      </w:r>
      <w:r>
        <w:rPr>
          <w:rFonts w:hint="eastAsia" w:ascii="宋体" w:hAnsi="宋体" w:cs="宋体"/>
          <w:highlight w:val="none"/>
        </w:rPr>
        <w:t>时间：2026年</w:t>
      </w:r>
      <w:r>
        <w:rPr>
          <w:rFonts w:hint="eastAsia" w:ascii="宋体" w:hAnsi="宋体" w:cs="宋体"/>
          <w:highlight w:val="none"/>
          <w:lang w:val="en-US" w:eastAsia="zh-CN"/>
        </w:rPr>
        <w:t>9</w:t>
      </w:r>
      <w:r>
        <w:rPr>
          <w:rFonts w:hint="eastAsia" w:ascii="宋体" w:hAnsi="宋体" w:cs="宋体"/>
          <w:highlight w:val="none"/>
        </w:rPr>
        <w:t>月</w:t>
      </w:r>
      <w:r>
        <w:rPr>
          <w:rFonts w:hint="eastAsia" w:ascii="宋体" w:hAnsi="宋体" w:cs="宋体"/>
          <w:highlight w:val="none"/>
          <w:lang w:val="en-US" w:eastAsia="zh-CN"/>
        </w:rPr>
        <w:t>9</w:t>
      </w:r>
      <w:r>
        <w:rPr>
          <w:rFonts w:hint="eastAsia" w:ascii="宋体" w:hAnsi="宋体" w:cs="宋体"/>
          <w:highlight w:val="none"/>
        </w:rPr>
        <w:t>日</w:t>
      </w:r>
      <w:r>
        <w:rPr>
          <w:rFonts w:hint="eastAsia" w:ascii="宋体" w:hAnsi="宋体" w:cs="宋体"/>
          <w:highlight w:val="none"/>
          <w:lang w:val="en-US" w:eastAsia="zh-CN"/>
        </w:rPr>
        <w:t>0</w:t>
      </w:r>
      <w:r>
        <w:rPr>
          <w:rFonts w:hint="eastAsia" w:ascii="宋体" w:hAnsi="宋体" w:cs="宋体"/>
          <w:highlight w:val="none"/>
        </w:rPr>
        <w:t>9点30分（北京时间）</w:t>
      </w:r>
    </w:p>
    <w:p w14:paraId="5CF6F391">
      <w:pPr>
        <w:spacing w:line="360" w:lineRule="auto"/>
        <w:ind w:firstLine="420"/>
        <w:rPr>
          <w:rFonts w:ascii="宋体" w:hAnsi="宋体" w:cs="宋体"/>
          <w:b/>
          <w:highlight w:val="none"/>
        </w:rPr>
      </w:pPr>
      <w:r>
        <w:rPr>
          <w:rFonts w:hint="eastAsia" w:ascii="宋体" w:hAnsi="宋体" w:cs="宋体"/>
          <w:bCs/>
          <w:highlight w:val="none"/>
        </w:rPr>
        <w:t>地点：“苏采云”系统（网址： http://jszfcg.jsczt.cn/）“开标大厅”</w:t>
      </w:r>
    </w:p>
    <w:p w14:paraId="08EADDFE">
      <w:pPr>
        <w:pStyle w:val="4"/>
        <w:spacing w:before="0" w:after="0" w:line="360" w:lineRule="auto"/>
        <w:ind w:firstLine="422"/>
        <w:rPr>
          <w:rFonts w:ascii="宋体" w:hAnsi="宋体" w:eastAsia="宋体" w:cs="宋体"/>
          <w:bCs w:val="0"/>
          <w:sz w:val="21"/>
          <w:szCs w:val="21"/>
          <w:highlight w:val="none"/>
        </w:rPr>
      </w:pPr>
      <w:bookmarkStart w:id="34" w:name="_Toc28580"/>
      <w:bookmarkStart w:id="35" w:name="_Toc28829"/>
      <w:bookmarkStart w:id="36" w:name="_Toc2218"/>
      <w:r>
        <w:rPr>
          <w:rFonts w:hint="eastAsia" w:ascii="宋体" w:hAnsi="宋体" w:eastAsia="宋体" w:cs="宋体"/>
          <w:bCs w:val="0"/>
          <w:sz w:val="21"/>
          <w:szCs w:val="21"/>
          <w:highlight w:val="none"/>
        </w:rPr>
        <w:t>五、开启</w:t>
      </w:r>
      <w:bookmarkEnd w:id="30"/>
      <w:bookmarkEnd w:id="31"/>
      <w:bookmarkEnd w:id="32"/>
      <w:bookmarkEnd w:id="33"/>
      <w:bookmarkEnd w:id="34"/>
      <w:bookmarkEnd w:id="35"/>
      <w:bookmarkEnd w:id="36"/>
    </w:p>
    <w:p w14:paraId="3553045C">
      <w:pPr>
        <w:spacing w:line="360" w:lineRule="auto"/>
        <w:ind w:firstLine="420"/>
        <w:rPr>
          <w:rFonts w:ascii="宋体" w:hAnsi="宋体" w:cs="宋体"/>
          <w:bCs/>
          <w:szCs w:val="21"/>
          <w:highlight w:val="none"/>
          <w:u w:val="single"/>
        </w:rPr>
      </w:pPr>
      <w:r>
        <w:rPr>
          <w:rFonts w:hint="eastAsia" w:ascii="宋体" w:hAnsi="宋体" w:cs="宋体"/>
          <w:szCs w:val="21"/>
          <w:highlight w:val="none"/>
        </w:rPr>
        <w:t>1、时间：</w:t>
      </w:r>
      <w:r>
        <w:rPr>
          <w:rFonts w:hint="eastAsia" w:ascii="宋体" w:hAnsi="宋体" w:cs="宋体"/>
          <w:highlight w:val="none"/>
        </w:rPr>
        <w:t>2026年</w:t>
      </w:r>
      <w:r>
        <w:rPr>
          <w:rFonts w:hint="eastAsia" w:ascii="宋体" w:hAnsi="宋体" w:cs="宋体"/>
          <w:highlight w:val="none"/>
          <w:lang w:val="en-US" w:eastAsia="zh-CN"/>
        </w:rPr>
        <w:t>9</w:t>
      </w:r>
      <w:r>
        <w:rPr>
          <w:rFonts w:hint="eastAsia" w:ascii="宋体" w:hAnsi="宋体" w:cs="宋体"/>
          <w:highlight w:val="none"/>
        </w:rPr>
        <w:t>月</w:t>
      </w:r>
      <w:r>
        <w:rPr>
          <w:rFonts w:hint="eastAsia" w:ascii="宋体" w:hAnsi="宋体" w:cs="宋体"/>
          <w:highlight w:val="none"/>
          <w:lang w:val="en-US" w:eastAsia="zh-CN"/>
        </w:rPr>
        <w:t>9</w:t>
      </w:r>
      <w:r>
        <w:rPr>
          <w:rFonts w:hint="eastAsia" w:ascii="宋体" w:hAnsi="宋体" w:cs="宋体"/>
          <w:highlight w:val="none"/>
        </w:rPr>
        <w:t>日</w:t>
      </w:r>
      <w:r>
        <w:rPr>
          <w:rFonts w:hint="eastAsia" w:ascii="宋体" w:hAnsi="宋体" w:cs="宋体"/>
          <w:highlight w:val="none"/>
          <w:lang w:val="en-US" w:eastAsia="zh-CN"/>
        </w:rPr>
        <w:t>0</w:t>
      </w:r>
      <w:r>
        <w:rPr>
          <w:rFonts w:hint="eastAsia" w:ascii="宋体" w:hAnsi="宋体" w:cs="宋体"/>
          <w:highlight w:val="none"/>
        </w:rPr>
        <w:t>9点30分</w:t>
      </w:r>
      <w:r>
        <w:rPr>
          <w:rFonts w:hint="eastAsia" w:ascii="宋体" w:hAnsi="宋体" w:cs="宋体"/>
          <w:szCs w:val="21"/>
          <w:highlight w:val="none"/>
        </w:rPr>
        <w:t>（北京时间）</w:t>
      </w:r>
    </w:p>
    <w:p w14:paraId="4CDB01E8">
      <w:pPr>
        <w:spacing w:line="360" w:lineRule="auto"/>
        <w:ind w:firstLine="420"/>
        <w:rPr>
          <w:rFonts w:ascii="宋体" w:hAnsi="宋体" w:cs="宋体"/>
          <w:szCs w:val="21"/>
        </w:rPr>
      </w:pPr>
      <w:r>
        <w:rPr>
          <w:rFonts w:hint="eastAsia" w:ascii="宋体" w:hAnsi="宋体" w:cs="宋体"/>
          <w:szCs w:val="21"/>
        </w:rPr>
        <w:t>2、地点：</w:t>
      </w:r>
      <w:r>
        <w:rPr>
          <w:rFonts w:hint="eastAsia" w:ascii="宋体" w:hAnsi="宋体" w:cs="宋体"/>
          <w:bCs/>
        </w:rPr>
        <w:t>“苏采云”系统（网址： http://jszfcg.jsczt.cn/）“开标大厅”</w:t>
      </w:r>
    </w:p>
    <w:p w14:paraId="08E4FBE0">
      <w:pPr>
        <w:pStyle w:val="4"/>
        <w:spacing w:before="0" w:after="0" w:line="360" w:lineRule="auto"/>
        <w:ind w:firstLine="422"/>
        <w:rPr>
          <w:rFonts w:ascii="宋体" w:hAnsi="宋体" w:eastAsia="宋体" w:cs="宋体"/>
          <w:b w:val="0"/>
          <w:bCs w:val="0"/>
          <w:sz w:val="21"/>
          <w:szCs w:val="21"/>
        </w:rPr>
      </w:pPr>
      <w:bookmarkStart w:id="37" w:name="_Toc28359094"/>
      <w:bookmarkStart w:id="38" w:name="_Toc35393803"/>
      <w:bookmarkStart w:id="39" w:name="_Toc31339"/>
      <w:bookmarkStart w:id="40" w:name="_Toc35393634"/>
      <w:bookmarkStart w:id="41" w:name="_Toc28242"/>
      <w:bookmarkStart w:id="42" w:name="_Toc28359017"/>
      <w:bookmarkStart w:id="43" w:name="_Toc27973"/>
      <w:r>
        <w:rPr>
          <w:rFonts w:hint="eastAsia" w:ascii="宋体" w:hAnsi="宋体" w:eastAsia="宋体" w:cs="宋体"/>
          <w:bCs w:val="0"/>
          <w:sz w:val="21"/>
          <w:szCs w:val="21"/>
        </w:rPr>
        <w:t>六、</w:t>
      </w:r>
      <w:bookmarkEnd w:id="37"/>
      <w:bookmarkEnd w:id="38"/>
      <w:bookmarkEnd w:id="39"/>
      <w:bookmarkEnd w:id="40"/>
      <w:bookmarkEnd w:id="41"/>
      <w:bookmarkEnd w:id="42"/>
      <w:r>
        <w:rPr>
          <w:rFonts w:hint="eastAsia" w:ascii="宋体" w:hAnsi="宋体" w:eastAsia="宋体" w:cs="宋体"/>
          <w:bCs w:val="0"/>
          <w:sz w:val="21"/>
          <w:szCs w:val="21"/>
        </w:rPr>
        <w:t>公告期限</w:t>
      </w:r>
      <w:bookmarkEnd w:id="43"/>
    </w:p>
    <w:p w14:paraId="539F64A4">
      <w:pPr>
        <w:spacing w:line="360" w:lineRule="auto"/>
        <w:ind w:firstLine="420"/>
        <w:rPr>
          <w:rFonts w:ascii="宋体" w:hAnsi="宋体" w:cs="宋体"/>
        </w:rPr>
      </w:pPr>
      <w:bookmarkStart w:id="44" w:name="_Toc8098"/>
      <w:bookmarkStart w:id="45" w:name="_Toc17325"/>
      <w:bookmarkStart w:id="46" w:name="_Toc28870"/>
      <w:bookmarkStart w:id="47" w:name="_Toc4183"/>
      <w:bookmarkStart w:id="48" w:name="_Toc6473"/>
      <w:r>
        <w:rPr>
          <w:rFonts w:hint="eastAsia" w:ascii="宋体" w:hAnsi="宋体" w:cs="宋体"/>
          <w:szCs w:val="21"/>
        </w:rPr>
        <w:t>自本公告发布之日起3个工作日。</w:t>
      </w:r>
      <w:bookmarkEnd w:id="44"/>
      <w:bookmarkEnd w:id="45"/>
      <w:bookmarkEnd w:id="46"/>
      <w:bookmarkEnd w:id="47"/>
      <w:bookmarkEnd w:id="48"/>
    </w:p>
    <w:p w14:paraId="24E4BE1F">
      <w:pPr>
        <w:pStyle w:val="4"/>
        <w:spacing w:before="0" w:after="0" w:line="360" w:lineRule="auto"/>
        <w:ind w:firstLine="422"/>
        <w:rPr>
          <w:rFonts w:ascii="宋体" w:hAnsi="宋体" w:eastAsia="宋体" w:cs="宋体"/>
          <w:bCs w:val="0"/>
          <w:sz w:val="21"/>
          <w:szCs w:val="21"/>
        </w:rPr>
      </w:pPr>
      <w:bookmarkStart w:id="49" w:name="_Toc14048"/>
      <w:bookmarkStart w:id="50" w:name="_Toc29842"/>
      <w:bookmarkStart w:id="51" w:name="_Toc35393804"/>
      <w:bookmarkStart w:id="52" w:name="_Toc9112"/>
      <w:bookmarkStart w:id="53" w:name="_Toc35393635"/>
      <w:r>
        <w:rPr>
          <w:rFonts w:hint="eastAsia" w:ascii="宋体" w:hAnsi="宋体" w:eastAsia="宋体" w:cs="宋体"/>
          <w:bCs w:val="0"/>
          <w:sz w:val="21"/>
          <w:szCs w:val="21"/>
        </w:rPr>
        <w:t>七、其他补充事宜</w:t>
      </w:r>
      <w:bookmarkEnd w:id="49"/>
      <w:bookmarkEnd w:id="50"/>
      <w:bookmarkEnd w:id="51"/>
      <w:bookmarkEnd w:id="52"/>
      <w:bookmarkEnd w:id="53"/>
    </w:p>
    <w:p w14:paraId="765E7D3B">
      <w:pPr>
        <w:spacing w:line="360" w:lineRule="auto"/>
        <w:ind w:firstLine="420"/>
        <w:rPr>
          <w:rFonts w:ascii="宋体" w:hAnsi="宋体" w:cs="宋体"/>
          <w:szCs w:val="21"/>
        </w:rPr>
      </w:pPr>
      <w:r>
        <w:rPr>
          <w:rFonts w:hint="eastAsia" w:ascii="宋体" w:hAnsi="宋体" w:cs="宋体"/>
          <w:szCs w:val="21"/>
        </w:rPr>
        <w:t>1、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bookmarkStart w:id="54" w:name="_Toc35393805"/>
      <w:bookmarkStart w:id="55" w:name="_Toc27607"/>
      <w:bookmarkStart w:id="56" w:name="_Toc28359018"/>
      <w:bookmarkStart w:id="57" w:name="_Toc17244"/>
      <w:bookmarkStart w:id="58" w:name="_Toc35393636"/>
      <w:bookmarkStart w:id="59" w:name="_Toc28359095"/>
    </w:p>
    <w:p w14:paraId="21F735B3">
      <w:pPr>
        <w:spacing w:line="360" w:lineRule="auto"/>
        <w:ind w:firstLine="420"/>
        <w:rPr>
          <w:rFonts w:ascii="宋体" w:hAnsi="宋体" w:cs="宋体"/>
          <w:szCs w:val="21"/>
        </w:rPr>
      </w:pPr>
      <w:r>
        <w:rPr>
          <w:rFonts w:hint="eastAsia" w:ascii="宋体" w:hAnsi="宋体" w:cs="宋体"/>
          <w:szCs w:val="21"/>
        </w:rPr>
        <w:t>2、潜在供应商访问电子招标响应交易平台的网络地址和方法：</w:t>
      </w:r>
    </w:p>
    <w:p w14:paraId="23D3D1D8">
      <w:pPr>
        <w:spacing w:line="360" w:lineRule="auto"/>
        <w:ind w:firstLine="420"/>
        <w:rPr>
          <w:rFonts w:ascii="宋体" w:hAnsi="宋体" w:cs="宋体"/>
          <w:szCs w:val="21"/>
        </w:rPr>
      </w:pPr>
      <w:r>
        <w:rPr>
          <w:rFonts w:hint="eastAsia" w:ascii="宋体" w:hAnsi="宋体" w:cs="宋体"/>
          <w:szCs w:val="21"/>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10261FB1">
      <w:pPr>
        <w:spacing w:line="360" w:lineRule="auto"/>
        <w:ind w:firstLine="420"/>
        <w:rPr>
          <w:rFonts w:ascii="宋体" w:hAnsi="宋体" w:cs="宋体"/>
          <w:szCs w:val="21"/>
        </w:rPr>
      </w:pPr>
      <w:r>
        <w:rPr>
          <w:rFonts w:hint="eastAsia" w:ascii="宋体" w:hAnsi="宋体" w:cs="宋体"/>
          <w:szCs w:val="21"/>
        </w:rPr>
        <w:t>3、潜在供应商访问“苏采云”系统的网络地址和方法：“苏采云”系统的网址：http://jszfcg.jsczt.cn/。</w:t>
      </w:r>
    </w:p>
    <w:p w14:paraId="219A8313">
      <w:pPr>
        <w:spacing w:line="360" w:lineRule="auto"/>
        <w:ind w:firstLine="420"/>
        <w:rPr>
          <w:rFonts w:ascii="宋体" w:hAnsi="宋体" w:cs="宋体"/>
          <w:szCs w:val="21"/>
        </w:rPr>
      </w:pPr>
      <w:r>
        <w:rPr>
          <w:rFonts w:hint="eastAsia" w:ascii="宋体" w:hAnsi="宋体" w:cs="宋体"/>
          <w:szCs w:val="21"/>
        </w:rPr>
        <w:t>4、“CA数字证书”的获取：</w:t>
      </w:r>
    </w:p>
    <w:p w14:paraId="3FA3251A">
      <w:pPr>
        <w:spacing w:line="360" w:lineRule="auto"/>
        <w:ind w:firstLine="420"/>
        <w:rPr>
          <w:rFonts w:ascii="宋体" w:hAnsi="宋体" w:cs="宋体"/>
          <w:szCs w:val="21"/>
        </w:rPr>
      </w:pPr>
      <w:r>
        <w:rPr>
          <w:rFonts w:hint="eastAsia" w:ascii="宋体" w:hAnsi="宋体" w:cs="宋体"/>
          <w:szCs w:val="21"/>
        </w:rPr>
        <w:t>响应供应商需办理“CA数字证书”，CA办理指南及“苏采云”操作手册可至江苏省政府采购网―办事指南-资料下载中心下载。</w:t>
      </w:r>
    </w:p>
    <w:p w14:paraId="70D32EEF">
      <w:pPr>
        <w:spacing w:line="360" w:lineRule="auto"/>
        <w:ind w:firstLine="420"/>
        <w:rPr>
          <w:rFonts w:ascii="宋体" w:hAnsi="宋体" w:cs="宋体"/>
          <w:szCs w:val="21"/>
        </w:rPr>
      </w:pPr>
      <w:r>
        <w:rPr>
          <w:rFonts w:hint="eastAsia" w:ascii="宋体" w:hAnsi="宋体" w:cs="宋体"/>
          <w:szCs w:val="21"/>
        </w:rPr>
        <w:t>通过苏采云系统首页（http://jszfcg.jscz.gov.cn/）的“苏采云控件驱动下载”，选择“政务CA、方正签章控件驱动安装包及安装说明”下载安装，具体安装方法详见下载文件内的《安装说明》。</w:t>
      </w:r>
    </w:p>
    <w:p w14:paraId="70BC7484">
      <w:pPr>
        <w:spacing w:line="360" w:lineRule="auto"/>
        <w:ind w:firstLine="420"/>
        <w:rPr>
          <w:rFonts w:ascii="宋体" w:hAnsi="宋体" w:cs="宋体"/>
          <w:szCs w:val="21"/>
        </w:rPr>
      </w:pPr>
      <w:r>
        <w:rPr>
          <w:rFonts w:hint="eastAsia" w:ascii="宋体" w:hAnsi="宋体" w:cs="宋体"/>
          <w:szCs w:val="21"/>
        </w:rPr>
        <w:t>5、采购文件（后缀名为“.kedt”）、供应商操作手册及政府采购客户端工具可通过“苏采云”系统--已报名项目--报名详情页面内相应链接进行下载。</w:t>
      </w:r>
    </w:p>
    <w:p w14:paraId="08CEE929">
      <w:pPr>
        <w:spacing w:line="360" w:lineRule="auto"/>
        <w:ind w:firstLine="420"/>
        <w:rPr>
          <w:rFonts w:ascii="宋体" w:hAnsi="宋体" w:cs="宋体"/>
          <w:szCs w:val="21"/>
        </w:rPr>
      </w:pPr>
      <w:r>
        <w:rPr>
          <w:rFonts w:hint="eastAsia" w:ascii="宋体" w:hAnsi="宋体" w:cs="宋体"/>
          <w:szCs w:val="21"/>
        </w:rPr>
        <w:t>6、请潜在供应商提前安装相应的控件（详见《江苏省政府采购管理交易系统（苏采云）供应商操作手册》）并使用谷歌浏览器登录“苏采云”系统参与不见面开评标。</w:t>
      </w:r>
    </w:p>
    <w:p w14:paraId="04D39174">
      <w:pPr>
        <w:spacing w:line="360" w:lineRule="auto"/>
        <w:ind w:firstLine="420"/>
        <w:rPr>
          <w:rFonts w:ascii="宋体" w:hAnsi="宋体" w:cs="宋体"/>
          <w:szCs w:val="21"/>
        </w:rPr>
      </w:pPr>
      <w:r>
        <w:rPr>
          <w:rFonts w:hint="eastAsia" w:ascii="宋体" w:hAnsi="宋体" w:cs="宋体"/>
          <w:szCs w:val="21"/>
        </w:rPr>
        <w:t>注：如潜在供应商未按上述要求操作，将自行承担所产生的风险。</w:t>
      </w:r>
    </w:p>
    <w:p w14:paraId="437FD486">
      <w:pPr>
        <w:spacing w:line="360" w:lineRule="auto"/>
        <w:ind w:firstLine="420"/>
        <w:rPr>
          <w:rFonts w:ascii="宋体" w:hAnsi="宋体" w:cs="宋体"/>
          <w:szCs w:val="21"/>
        </w:rPr>
      </w:pPr>
      <w:r>
        <w:rPr>
          <w:rFonts w:hint="eastAsia" w:ascii="宋体" w:hAnsi="宋体" w:cs="宋体"/>
          <w:szCs w:val="21"/>
        </w:rPr>
        <w:t>7、项目开标活动模式：不见面远程开标模式，供应商在各自地点通过不见面交易系统参加开标会。</w:t>
      </w:r>
    </w:p>
    <w:p w14:paraId="1A08FA2A">
      <w:pPr>
        <w:spacing w:line="360" w:lineRule="auto"/>
        <w:ind w:firstLine="420"/>
        <w:rPr>
          <w:rFonts w:ascii="宋体" w:hAnsi="宋体" w:cs="宋体"/>
          <w:szCs w:val="21"/>
        </w:rPr>
      </w:pPr>
      <w:r>
        <w:rPr>
          <w:rFonts w:hint="eastAsia" w:ascii="宋体" w:hAnsi="宋体" w:cs="宋体"/>
          <w:szCs w:val="21"/>
        </w:rPr>
        <w:t>8、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6571DCCC">
      <w:pPr>
        <w:pStyle w:val="4"/>
        <w:spacing w:before="0" w:after="0" w:line="360" w:lineRule="auto"/>
        <w:ind w:firstLine="422"/>
        <w:rPr>
          <w:rFonts w:ascii="宋体" w:hAnsi="宋体" w:eastAsia="宋体" w:cs="宋体"/>
          <w:bCs w:val="0"/>
          <w:sz w:val="21"/>
          <w:szCs w:val="21"/>
        </w:rPr>
      </w:pPr>
      <w:bookmarkStart w:id="60" w:name="_Toc6506"/>
      <w:r>
        <w:rPr>
          <w:rFonts w:hint="eastAsia" w:ascii="宋体" w:hAnsi="宋体" w:eastAsia="宋体" w:cs="宋体"/>
          <w:bCs w:val="0"/>
          <w:sz w:val="21"/>
          <w:szCs w:val="21"/>
        </w:rPr>
        <w:t>八、凡对本次采购提出询问，请按以下方式联系。</w:t>
      </w:r>
      <w:bookmarkEnd w:id="54"/>
      <w:bookmarkEnd w:id="55"/>
      <w:bookmarkEnd w:id="56"/>
      <w:bookmarkEnd w:id="57"/>
      <w:bookmarkEnd w:id="58"/>
      <w:bookmarkEnd w:id="59"/>
      <w:bookmarkEnd w:id="60"/>
    </w:p>
    <w:p w14:paraId="5C305925">
      <w:pPr>
        <w:widowControl/>
        <w:shd w:val="clear" w:color="auto" w:fill="FFFFFF"/>
        <w:snapToGrid w:val="0"/>
        <w:spacing w:line="360" w:lineRule="auto"/>
        <w:ind w:firstLine="420"/>
        <w:rPr>
          <w:rFonts w:ascii="宋体" w:hAnsi="宋体" w:cs="宋体"/>
          <w:szCs w:val="21"/>
        </w:rPr>
      </w:pPr>
      <w:r>
        <w:rPr>
          <w:rFonts w:hint="eastAsia" w:ascii="宋体" w:hAnsi="宋体" w:cs="宋体"/>
          <w:szCs w:val="21"/>
        </w:rPr>
        <w:t>1.采购人信息</w:t>
      </w:r>
    </w:p>
    <w:p w14:paraId="45D8D4E1">
      <w:pPr>
        <w:widowControl/>
        <w:shd w:val="clear" w:color="auto" w:fill="FFFFFF"/>
        <w:snapToGrid w:val="0"/>
        <w:spacing w:line="360" w:lineRule="auto"/>
        <w:ind w:firstLine="420"/>
        <w:rPr>
          <w:rFonts w:ascii="宋体" w:hAnsi="宋体" w:cs="宋体"/>
          <w:szCs w:val="21"/>
        </w:rPr>
      </w:pPr>
      <w:r>
        <w:rPr>
          <w:rFonts w:hint="eastAsia" w:ascii="宋体" w:hAnsi="宋体" w:cs="宋体"/>
          <w:szCs w:val="21"/>
        </w:rPr>
        <w:t>名     称：江苏省美术馆</w:t>
      </w:r>
    </w:p>
    <w:p w14:paraId="2A6B9FEB">
      <w:pPr>
        <w:widowControl/>
        <w:shd w:val="clear" w:color="auto" w:fill="FFFFFF"/>
        <w:snapToGrid w:val="0"/>
        <w:spacing w:line="360" w:lineRule="auto"/>
        <w:ind w:firstLine="420"/>
        <w:rPr>
          <w:rFonts w:ascii="宋体" w:hAnsi="宋体" w:cs="宋体"/>
          <w:szCs w:val="21"/>
        </w:rPr>
      </w:pPr>
      <w:r>
        <w:rPr>
          <w:rFonts w:hint="eastAsia" w:ascii="宋体" w:hAnsi="宋体" w:cs="宋体"/>
          <w:szCs w:val="21"/>
        </w:rPr>
        <w:t>地     址：江苏省南京市长江路333号</w:t>
      </w:r>
    </w:p>
    <w:p w14:paraId="7DE2CE96">
      <w:pPr>
        <w:widowControl/>
        <w:shd w:val="clear" w:color="auto" w:fill="FFFFFF"/>
        <w:snapToGrid w:val="0"/>
        <w:spacing w:line="360" w:lineRule="auto"/>
        <w:ind w:firstLine="420"/>
        <w:rPr>
          <w:rFonts w:ascii="宋体" w:hAnsi="宋体" w:cs="宋体"/>
          <w:szCs w:val="21"/>
          <w:highlight w:val="none"/>
        </w:rPr>
      </w:pPr>
      <w:r>
        <w:rPr>
          <w:rFonts w:hint="eastAsia" w:ascii="宋体" w:hAnsi="宋体" w:cs="宋体"/>
          <w:szCs w:val="21"/>
          <w:highlight w:val="none"/>
        </w:rPr>
        <w:t>联 系 人：刘夏燕</w:t>
      </w:r>
    </w:p>
    <w:p w14:paraId="011C56FE">
      <w:pPr>
        <w:widowControl/>
        <w:shd w:val="clear" w:color="auto" w:fill="FFFFFF"/>
        <w:snapToGrid w:val="0"/>
        <w:spacing w:line="360" w:lineRule="auto"/>
        <w:ind w:firstLine="420"/>
        <w:rPr>
          <w:rFonts w:ascii="宋体" w:hAnsi="宋体" w:cs="宋体"/>
          <w:szCs w:val="21"/>
          <w:highlight w:val="none"/>
        </w:rPr>
      </w:pPr>
      <w:r>
        <w:rPr>
          <w:rFonts w:hint="eastAsia" w:ascii="宋体" w:hAnsi="宋体" w:cs="宋体"/>
          <w:szCs w:val="21"/>
          <w:highlight w:val="none"/>
        </w:rPr>
        <w:t>电     话：025-89610817</w:t>
      </w:r>
    </w:p>
    <w:p w14:paraId="3742038C">
      <w:pPr>
        <w:widowControl/>
        <w:shd w:val="clear" w:color="auto" w:fill="FFFFFF"/>
        <w:snapToGrid w:val="0"/>
        <w:spacing w:line="360" w:lineRule="auto"/>
        <w:ind w:firstLine="420"/>
        <w:rPr>
          <w:rFonts w:ascii="宋体" w:hAnsi="宋体" w:cs="宋体"/>
          <w:szCs w:val="21"/>
        </w:rPr>
      </w:pPr>
      <w:r>
        <w:rPr>
          <w:rFonts w:hint="eastAsia" w:ascii="宋体" w:hAnsi="宋体" w:cs="宋体"/>
          <w:szCs w:val="21"/>
        </w:rPr>
        <w:t>2.采购代理机构信息</w:t>
      </w:r>
    </w:p>
    <w:p w14:paraId="7A8EF151">
      <w:pPr>
        <w:widowControl/>
        <w:shd w:val="clear" w:color="auto" w:fill="FFFFFF"/>
        <w:snapToGrid w:val="0"/>
        <w:spacing w:line="360" w:lineRule="auto"/>
        <w:ind w:firstLine="420"/>
        <w:rPr>
          <w:rFonts w:ascii="宋体" w:hAnsi="宋体" w:cs="宋体"/>
          <w:szCs w:val="21"/>
        </w:rPr>
      </w:pPr>
      <w:r>
        <w:rPr>
          <w:rFonts w:hint="eastAsia" w:ascii="宋体" w:hAnsi="宋体" w:cs="宋体"/>
          <w:szCs w:val="21"/>
        </w:rPr>
        <w:t>名    称：苏美达国际技术贸易有限公司</w:t>
      </w:r>
    </w:p>
    <w:p w14:paraId="58CCA576">
      <w:pPr>
        <w:widowControl/>
        <w:shd w:val="clear" w:color="auto" w:fill="FFFFFF"/>
        <w:snapToGrid w:val="0"/>
        <w:spacing w:line="360" w:lineRule="auto"/>
        <w:ind w:firstLine="420"/>
        <w:rPr>
          <w:rFonts w:ascii="宋体" w:hAnsi="宋体" w:cs="宋体"/>
          <w:szCs w:val="21"/>
        </w:rPr>
      </w:pPr>
      <w:r>
        <w:rPr>
          <w:rFonts w:hint="eastAsia" w:ascii="宋体" w:hAnsi="宋体" w:cs="宋体"/>
          <w:szCs w:val="21"/>
        </w:rPr>
        <w:t>地　　址：江苏省南京市长江路198号苏美达大厦</w:t>
      </w:r>
    </w:p>
    <w:p w14:paraId="3DF49594">
      <w:pPr>
        <w:widowControl/>
        <w:shd w:val="clear" w:color="auto" w:fill="FFFFFF"/>
        <w:snapToGrid w:val="0"/>
        <w:spacing w:line="360" w:lineRule="auto"/>
        <w:ind w:firstLine="420"/>
        <w:rPr>
          <w:rFonts w:ascii="宋体" w:hAnsi="宋体" w:cs="宋体"/>
          <w:szCs w:val="21"/>
        </w:rPr>
      </w:pPr>
      <w:r>
        <w:rPr>
          <w:rFonts w:hint="eastAsia" w:ascii="宋体" w:hAnsi="宋体" w:cs="宋体"/>
          <w:szCs w:val="21"/>
        </w:rPr>
        <w:t>联系方式：025-84532455</w:t>
      </w:r>
    </w:p>
    <w:p w14:paraId="6B1B3650">
      <w:pPr>
        <w:widowControl/>
        <w:shd w:val="clear" w:color="auto" w:fill="FFFFFF"/>
        <w:snapToGrid w:val="0"/>
        <w:spacing w:line="360" w:lineRule="auto"/>
        <w:ind w:firstLine="420"/>
        <w:rPr>
          <w:rFonts w:ascii="宋体" w:hAnsi="宋体" w:cs="宋体"/>
          <w:szCs w:val="21"/>
        </w:rPr>
      </w:pPr>
      <w:r>
        <w:rPr>
          <w:rFonts w:hint="eastAsia" w:ascii="宋体" w:hAnsi="宋体" w:cs="宋体"/>
          <w:szCs w:val="21"/>
        </w:rPr>
        <w:t>3.项目联系方式</w:t>
      </w:r>
    </w:p>
    <w:p w14:paraId="0DFF9C51">
      <w:pPr>
        <w:widowControl/>
        <w:shd w:val="clear" w:color="auto" w:fill="FFFFFF"/>
        <w:snapToGrid w:val="0"/>
        <w:spacing w:line="360" w:lineRule="auto"/>
        <w:ind w:firstLine="420"/>
        <w:rPr>
          <w:rFonts w:ascii="宋体" w:hAnsi="宋体" w:cs="宋体"/>
          <w:szCs w:val="21"/>
          <w:highlight w:val="none"/>
        </w:rPr>
      </w:pPr>
      <w:r>
        <w:rPr>
          <w:rFonts w:hint="eastAsia" w:ascii="宋体" w:hAnsi="宋体" w:cs="宋体"/>
          <w:szCs w:val="21"/>
        </w:rPr>
        <w:t>项目联系</w:t>
      </w:r>
      <w:r>
        <w:rPr>
          <w:rFonts w:hint="eastAsia" w:ascii="宋体" w:hAnsi="宋体" w:cs="宋体"/>
          <w:szCs w:val="21"/>
          <w:highlight w:val="none"/>
        </w:rPr>
        <w:t>人：</w:t>
      </w:r>
      <w:r>
        <w:rPr>
          <w:rFonts w:hint="eastAsia" w:ascii="宋体" w:hAnsi="宋体" w:cs="宋体"/>
          <w:szCs w:val="21"/>
          <w:highlight w:val="none"/>
          <w:lang w:val="en-US" w:eastAsia="zh-CN"/>
        </w:rPr>
        <w:t>周翠</w:t>
      </w:r>
      <w:r>
        <w:rPr>
          <w:rFonts w:hint="eastAsia" w:ascii="宋体" w:hAnsi="宋体" w:cs="宋体"/>
          <w:szCs w:val="21"/>
          <w:highlight w:val="none"/>
        </w:rPr>
        <w:t>、张静雯、杨扬</w:t>
      </w:r>
    </w:p>
    <w:p w14:paraId="221C8FA4">
      <w:pPr>
        <w:pStyle w:val="26"/>
        <w:spacing w:line="360" w:lineRule="auto"/>
        <w:ind w:firstLine="420"/>
        <w:rPr>
          <w:rFonts w:hAnsi="宋体" w:cs="宋体"/>
          <w:szCs w:val="21"/>
        </w:rPr>
        <w:sectPr>
          <w:footerReference r:id="rId10" w:type="default"/>
          <w:pgSz w:w="11906" w:h="16838"/>
          <w:pgMar w:top="1134" w:right="1134" w:bottom="1134" w:left="1134" w:header="851" w:footer="992" w:gutter="0"/>
          <w:pgNumType w:start="1"/>
          <w:cols w:space="720" w:num="1"/>
          <w:docGrid w:linePitch="360" w:charSpace="0"/>
        </w:sectPr>
      </w:pPr>
      <w:r>
        <w:rPr>
          <w:rFonts w:hint="eastAsia" w:hAnsi="宋体" w:cs="宋体"/>
          <w:szCs w:val="21"/>
          <w:highlight w:val="none"/>
        </w:rPr>
        <w:t>电　　 话：025-84531056</w:t>
      </w:r>
      <w:r>
        <w:rPr>
          <w:rFonts w:hint="eastAsia" w:hAnsi="宋体" w:cs="宋体"/>
          <w:szCs w:val="21"/>
        </w:rPr>
        <w:t>、025-84532458、025-84532455</w:t>
      </w:r>
    </w:p>
    <w:p w14:paraId="3CBF539B">
      <w:pPr>
        <w:spacing w:line="360" w:lineRule="auto"/>
        <w:jc w:val="center"/>
        <w:outlineLvl w:val="0"/>
        <w:rPr>
          <w:rFonts w:ascii="Arial" w:hAnsi="Arial" w:eastAsia="黑体" w:cs="Arial"/>
          <w:b/>
          <w:sz w:val="28"/>
          <w:szCs w:val="28"/>
        </w:rPr>
      </w:pPr>
      <w:bookmarkStart w:id="61" w:name="_Toc26929"/>
      <w:bookmarkStart w:id="62" w:name="_Toc14913"/>
      <w:r>
        <w:rPr>
          <w:rFonts w:ascii="Arial" w:hAnsi="Arial" w:eastAsia="黑体" w:cs="Arial"/>
          <w:b/>
          <w:sz w:val="28"/>
          <w:szCs w:val="28"/>
        </w:rPr>
        <w:t>第二章 供应商须知</w:t>
      </w:r>
      <w:bookmarkEnd w:id="61"/>
      <w:bookmarkEnd w:id="62"/>
    </w:p>
    <w:p w14:paraId="12F730A9">
      <w:pPr>
        <w:widowControl/>
        <w:shd w:val="clear" w:color="auto" w:fill="FFFFFF"/>
        <w:spacing w:line="360" w:lineRule="auto"/>
        <w:rPr>
          <w:rFonts w:ascii="宋体" w:hAnsi="宋体" w:cs="宋体"/>
          <w:b/>
          <w:bCs/>
          <w:sz w:val="24"/>
        </w:rPr>
      </w:pPr>
      <w:r>
        <w:rPr>
          <w:rFonts w:ascii="Arial" w:hAnsi="Arial" w:cs="Arial"/>
          <w:b/>
          <w:bCs/>
          <w:sz w:val="24"/>
        </w:rPr>
        <w:t>供应商须知前附表（本表是对供应商须知的具体补充和修改，如有矛盾，应以本表为准）</w:t>
      </w:r>
    </w:p>
    <w:tbl>
      <w:tblPr>
        <w:tblStyle w:val="49"/>
        <w:tblW w:w="974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8980"/>
      </w:tblGrid>
      <w:tr w14:paraId="15CD3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66" w:type="dxa"/>
            <w:vAlign w:val="center"/>
          </w:tcPr>
          <w:p w14:paraId="30128495">
            <w:pPr>
              <w:spacing w:line="440" w:lineRule="exact"/>
              <w:jc w:val="center"/>
              <w:rPr>
                <w:rFonts w:ascii="宋体" w:hAnsi="宋体" w:cs="宋体"/>
                <w:bCs/>
                <w:szCs w:val="21"/>
              </w:rPr>
            </w:pPr>
            <w:r>
              <w:rPr>
                <w:rFonts w:hint="eastAsia" w:ascii="宋体" w:hAnsi="宋体" w:cs="宋体"/>
                <w:bCs/>
                <w:szCs w:val="21"/>
              </w:rPr>
              <w:t>序号</w:t>
            </w:r>
          </w:p>
        </w:tc>
        <w:tc>
          <w:tcPr>
            <w:tcW w:w="8980" w:type="dxa"/>
            <w:vAlign w:val="center"/>
          </w:tcPr>
          <w:p w14:paraId="51752304">
            <w:pPr>
              <w:spacing w:line="440" w:lineRule="exact"/>
              <w:jc w:val="center"/>
              <w:rPr>
                <w:rFonts w:ascii="宋体" w:hAnsi="宋体" w:cs="宋体"/>
                <w:bCs/>
                <w:szCs w:val="21"/>
              </w:rPr>
            </w:pPr>
            <w:r>
              <w:rPr>
                <w:rFonts w:hint="eastAsia" w:ascii="宋体" w:hAnsi="宋体" w:cs="宋体"/>
                <w:bCs/>
                <w:szCs w:val="21"/>
              </w:rPr>
              <w:t>主要内容</w:t>
            </w:r>
          </w:p>
        </w:tc>
      </w:tr>
      <w:tr w14:paraId="037B9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66" w:type="dxa"/>
            <w:vAlign w:val="center"/>
          </w:tcPr>
          <w:p w14:paraId="7CC21B0F">
            <w:pPr>
              <w:spacing w:line="440" w:lineRule="exact"/>
              <w:jc w:val="center"/>
              <w:rPr>
                <w:rFonts w:ascii="宋体" w:hAnsi="宋体" w:cs="宋体"/>
                <w:bCs/>
                <w:szCs w:val="21"/>
              </w:rPr>
            </w:pPr>
            <w:r>
              <w:rPr>
                <w:rFonts w:hint="eastAsia" w:ascii="宋体" w:hAnsi="宋体" w:cs="宋体"/>
                <w:bCs/>
                <w:szCs w:val="21"/>
              </w:rPr>
              <w:t>1</w:t>
            </w:r>
          </w:p>
        </w:tc>
        <w:tc>
          <w:tcPr>
            <w:tcW w:w="8980" w:type="dxa"/>
            <w:vAlign w:val="center"/>
          </w:tcPr>
          <w:p w14:paraId="3D950848">
            <w:pPr>
              <w:widowControl/>
              <w:shd w:val="clear" w:color="auto" w:fill="FFFFFF"/>
              <w:spacing w:line="440" w:lineRule="exact"/>
              <w:rPr>
                <w:rFonts w:ascii="宋体" w:hAnsi="宋体" w:cs="宋体"/>
                <w:szCs w:val="21"/>
              </w:rPr>
            </w:pPr>
            <w:r>
              <w:rPr>
                <w:rFonts w:hint="eastAsia" w:ascii="宋体" w:hAnsi="宋体" w:cs="宋体"/>
                <w:szCs w:val="21"/>
              </w:rPr>
              <w:t>采购人：江苏省美术馆</w:t>
            </w:r>
          </w:p>
          <w:p w14:paraId="196B997C">
            <w:pPr>
              <w:widowControl/>
              <w:shd w:val="clear" w:color="auto" w:fill="FFFFFF"/>
              <w:spacing w:line="440" w:lineRule="exact"/>
              <w:rPr>
                <w:rFonts w:ascii="宋体" w:hAnsi="宋体" w:cs="宋体"/>
                <w:szCs w:val="21"/>
                <w:highlight w:val="none"/>
              </w:rPr>
            </w:pPr>
            <w:r>
              <w:rPr>
                <w:rFonts w:hint="eastAsia" w:ascii="宋体" w:hAnsi="宋体" w:cs="宋体"/>
                <w:szCs w:val="21"/>
              </w:rPr>
              <w:t>联系人：</w:t>
            </w:r>
            <w:r>
              <w:rPr>
                <w:rFonts w:hint="eastAsia" w:ascii="宋体" w:hAnsi="宋体" w:cs="宋体"/>
                <w:szCs w:val="21"/>
                <w:highlight w:val="none"/>
              </w:rPr>
              <w:t>刘夏燕</w:t>
            </w:r>
          </w:p>
          <w:p w14:paraId="4FEBF007">
            <w:pPr>
              <w:widowControl/>
              <w:shd w:val="clear" w:color="auto" w:fill="FFFFFF"/>
              <w:spacing w:line="440" w:lineRule="exact"/>
              <w:rPr>
                <w:rFonts w:ascii="宋体" w:hAnsi="宋体" w:cs="宋体"/>
                <w:szCs w:val="21"/>
                <w:highlight w:val="none"/>
              </w:rPr>
            </w:pPr>
            <w:r>
              <w:rPr>
                <w:rFonts w:hint="eastAsia" w:ascii="宋体" w:hAnsi="宋体" w:cs="宋体"/>
                <w:szCs w:val="21"/>
                <w:highlight w:val="none"/>
              </w:rPr>
              <w:t>联系方式：025-89610817</w:t>
            </w:r>
          </w:p>
          <w:p w14:paraId="29642F69">
            <w:pPr>
              <w:spacing w:line="440" w:lineRule="exact"/>
              <w:rPr>
                <w:rFonts w:ascii="宋体" w:hAnsi="宋体" w:cs="宋体"/>
                <w:b/>
                <w:szCs w:val="21"/>
              </w:rPr>
            </w:pPr>
            <w:r>
              <w:rPr>
                <w:rFonts w:hint="eastAsia" w:ascii="宋体" w:hAnsi="宋体" w:cs="宋体"/>
                <w:szCs w:val="21"/>
              </w:rPr>
              <w:t>地址：江苏省南京市长江路333号</w:t>
            </w:r>
          </w:p>
        </w:tc>
      </w:tr>
      <w:tr w14:paraId="7381F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66" w:type="dxa"/>
            <w:vAlign w:val="center"/>
          </w:tcPr>
          <w:p w14:paraId="36ECA14D">
            <w:pPr>
              <w:spacing w:line="440" w:lineRule="exact"/>
              <w:jc w:val="center"/>
              <w:rPr>
                <w:rFonts w:ascii="宋体" w:hAnsi="宋体" w:cs="宋体"/>
                <w:bCs/>
                <w:szCs w:val="21"/>
              </w:rPr>
            </w:pPr>
            <w:r>
              <w:rPr>
                <w:rFonts w:hint="eastAsia" w:ascii="宋体" w:hAnsi="宋体" w:cs="宋体"/>
                <w:bCs/>
                <w:szCs w:val="21"/>
              </w:rPr>
              <w:t>2</w:t>
            </w:r>
          </w:p>
        </w:tc>
        <w:tc>
          <w:tcPr>
            <w:tcW w:w="8980" w:type="dxa"/>
            <w:vAlign w:val="center"/>
          </w:tcPr>
          <w:p w14:paraId="2EF4DF3D">
            <w:pPr>
              <w:widowControl/>
              <w:shd w:val="clear" w:color="auto" w:fill="FFFFFF"/>
              <w:spacing w:line="440" w:lineRule="exact"/>
              <w:rPr>
                <w:rFonts w:ascii="宋体" w:hAnsi="宋体" w:cs="宋体"/>
                <w:szCs w:val="21"/>
              </w:rPr>
            </w:pPr>
            <w:r>
              <w:rPr>
                <w:rFonts w:hint="eastAsia" w:ascii="宋体" w:hAnsi="宋体" w:cs="宋体"/>
                <w:szCs w:val="21"/>
              </w:rPr>
              <w:t>采购代理机构：苏美达国际技术贸易有限公司</w:t>
            </w:r>
          </w:p>
          <w:p w14:paraId="0324FFF4">
            <w:pPr>
              <w:widowControl/>
              <w:shd w:val="clear" w:color="auto" w:fill="FFFFFF"/>
              <w:spacing w:line="440" w:lineRule="exact"/>
              <w:rPr>
                <w:rFonts w:ascii="宋体" w:hAnsi="宋体" w:cs="宋体"/>
                <w:szCs w:val="21"/>
                <w:highlight w:val="none"/>
              </w:rPr>
            </w:pPr>
            <w:r>
              <w:rPr>
                <w:rFonts w:hint="eastAsia" w:ascii="宋体" w:hAnsi="宋体" w:cs="宋体"/>
                <w:szCs w:val="21"/>
              </w:rPr>
              <w:t>项目联系人</w:t>
            </w:r>
            <w:r>
              <w:rPr>
                <w:rFonts w:hint="eastAsia" w:ascii="宋体" w:hAnsi="宋体" w:cs="宋体"/>
                <w:szCs w:val="21"/>
                <w:highlight w:val="none"/>
              </w:rPr>
              <w:t>：</w:t>
            </w:r>
            <w:r>
              <w:rPr>
                <w:rFonts w:hint="eastAsia" w:ascii="宋体" w:hAnsi="宋体" w:cs="宋体"/>
                <w:szCs w:val="21"/>
                <w:highlight w:val="none"/>
                <w:lang w:val="en-US" w:eastAsia="zh-CN"/>
              </w:rPr>
              <w:t>周翠</w:t>
            </w:r>
            <w:r>
              <w:rPr>
                <w:rFonts w:hint="eastAsia" w:ascii="宋体" w:hAnsi="宋体" w:cs="宋体"/>
                <w:szCs w:val="21"/>
                <w:highlight w:val="none"/>
              </w:rPr>
              <w:t>、张静雯、杨扬</w:t>
            </w:r>
          </w:p>
          <w:p w14:paraId="3D7BF07C">
            <w:pPr>
              <w:widowControl/>
              <w:shd w:val="clear" w:color="auto" w:fill="FFFFFF"/>
              <w:spacing w:line="440" w:lineRule="exact"/>
              <w:rPr>
                <w:rFonts w:ascii="宋体" w:hAnsi="宋体" w:cs="宋体"/>
                <w:szCs w:val="21"/>
              </w:rPr>
            </w:pPr>
            <w:r>
              <w:rPr>
                <w:rFonts w:hint="eastAsia" w:ascii="宋体" w:hAnsi="宋体" w:cs="宋体"/>
                <w:szCs w:val="21"/>
                <w:highlight w:val="none"/>
              </w:rPr>
              <w:t>电话：025-84531056、</w:t>
            </w:r>
            <w:r>
              <w:rPr>
                <w:rFonts w:hint="eastAsia" w:ascii="宋体" w:hAnsi="宋体" w:cs="宋体"/>
                <w:szCs w:val="21"/>
              </w:rPr>
              <w:t>025-84532458、025-84532455</w:t>
            </w:r>
          </w:p>
          <w:p w14:paraId="56C58B68">
            <w:pPr>
              <w:spacing w:line="440" w:lineRule="exact"/>
              <w:rPr>
                <w:rFonts w:ascii="宋体" w:hAnsi="宋体" w:cs="宋体"/>
                <w:szCs w:val="21"/>
              </w:rPr>
            </w:pPr>
            <w:r>
              <w:rPr>
                <w:rFonts w:hint="eastAsia" w:ascii="宋体" w:hAnsi="宋体" w:cs="宋体"/>
                <w:szCs w:val="21"/>
              </w:rPr>
              <w:t>联系地址：江苏省南京市长江路198号苏美达大厦</w:t>
            </w:r>
          </w:p>
        </w:tc>
      </w:tr>
      <w:tr w14:paraId="5F4F1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766" w:type="dxa"/>
            <w:vAlign w:val="center"/>
          </w:tcPr>
          <w:p w14:paraId="5B97D0D4">
            <w:pPr>
              <w:spacing w:line="440" w:lineRule="exact"/>
              <w:jc w:val="center"/>
              <w:rPr>
                <w:rFonts w:ascii="宋体" w:hAnsi="宋体" w:cs="宋体"/>
                <w:bCs/>
                <w:szCs w:val="21"/>
              </w:rPr>
            </w:pPr>
            <w:r>
              <w:rPr>
                <w:rFonts w:hint="eastAsia" w:ascii="宋体" w:hAnsi="宋体" w:cs="宋体"/>
                <w:bCs/>
                <w:szCs w:val="21"/>
              </w:rPr>
              <w:t>3</w:t>
            </w:r>
          </w:p>
        </w:tc>
        <w:tc>
          <w:tcPr>
            <w:tcW w:w="8980" w:type="dxa"/>
            <w:vAlign w:val="center"/>
          </w:tcPr>
          <w:p w14:paraId="6A3335BF">
            <w:pPr>
              <w:pStyle w:val="45"/>
              <w:spacing w:before="0" w:beforeAutospacing="0" w:after="0" w:afterAutospacing="0" w:line="440" w:lineRule="exact"/>
              <w:rPr>
                <w:rFonts w:ascii="宋体" w:hAnsi="宋体" w:eastAsia="宋体" w:cs="宋体"/>
                <w:color w:val="auto"/>
                <w:sz w:val="21"/>
                <w:szCs w:val="21"/>
              </w:rPr>
            </w:pPr>
            <w:r>
              <w:rPr>
                <w:rFonts w:hint="eastAsia" w:ascii="宋体" w:hAnsi="宋体" w:eastAsia="宋体" w:cs="宋体"/>
                <w:bCs/>
                <w:color w:val="auto"/>
                <w:sz w:val="21"/>
                <w:szCs w:val="21"/>
              </w:rPr>
              <w:t>项目名称：</w:t>
            </w:r>
            <w:r>
              <w:rPr>
                <w:rFonts w:hint="eastAsia" w:ascii="宋体" w:hAnsi="宋体" w:eastAsia="宋体" w:cs="宋体"/>
                <w:color w:val="auto"/>
                <w:sz w:val="21"/>
                <w:szCs w:val="21"/>
                <w:lang w:eastAsia="zh-CN"/>
              </w:rPr>
              <w:t>江苏省美术馆“全景江苏-百年视觉中的旅行与文化”展览设计制作</w:t>
            </w:r>
            <w:r>
              <w:rPr>
                <w:rFonts w:hint="eastAsia" w:ascii="宋体" w:hAnsi="宋体" w:eastAsia="宋体" w:cs="宋体"/>
                <w:color w:val="auto"/>
                <w:sz w:val="21"/>
                <w:szCs w:val="21"/>
              </w:rPr>
              <w:t xml:space="preserve"> </w:t>
            </w:r>
          </w:p>
          <w:p w14:paraId="49A1CD55">
            <w:pPr>
              <w:pStyle w:val="45"/>
              <w:spacing w:before="0" w:beforeAutospacing="0" w:after="0" w:afterAutospacing="0" w:line="440" w:lineRule="exact"/>
              <w:rPr>
                <w:rFonts w:ascii="宋体" w:hAnsi="宋体" w:eastAsia="宋体" w:cs="宋体"/>
                <w:bCs/>
                <w:color w:val="auto"/>
                <w:sz w:val="21"/>
                <w:szCs w:val="21"/>
              </w:rPr>
            </w:pPr>
            <w:r>
              <w:rPr>
                <w:rFonts w:hint="eastAsia" w:ascii="宋体" w:hAnsi="宋体" w:eastAsia="宋体" w:cs="宋体"/>
                <w:bCs/>
                <w:color w:val="auto"/>
                <w:sz w:val="21"/>
                <w:szCs w:val="21"/>
                <w:highlight w:val="none"/>
              </w:rPr>
              <w:t>项目编号：JSZC-320000-SMDG-C2026-0083</w:t>
            </w:r>
          </w:p>
        </w:tc>
      </w:tr>
      <w:tr w14:paraId="3DC13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66" w:type="dxa"/>
            <w:vAlign w:val="center"/>
          </w:tcPr>
          <w:p w14:paraId="77B61087">
            <w:pPr>
              <w:spacing w:line="440" w:lineRule="exact"/>
              <w:jc w:val="center"/>
              <w:rPr>
                <w:rFonts w:ascii="宋体" w:hAnsi="宋体" w:cs="宋体"/>
                <w:bCs/>
                <w:szCs w:val="21"/>
              </w:rPr>
            </w:pPr>
            <w:r>
              <w:rPr>
                <w:rFonts w:hint="eastAsia" w:ascii="宋体" w:hAnsi="宋体" w:cs="宋体"/>
                <w:bCs/>
                <w:szCs w:val="21"/>
              </w:rPr>
              <w:t>4</w:t>
            </w:r>
          </w:p>
        </w:tc>
        <w:tc>
          <w:tcPr>
            <w:tcW w:w="8980" w:type="dxa"/>
            <w:vAlign w:val="center"/>
          </w:tcPr>
          <w:p w14:paraId="1EA51271">
            <w:pPr>
              <w:widowControl/>
              <w:shd w:val="clear" w:color="auto" w:fill="FFFFFF"/>
              <w:spacing w:line="440" w:lineRule="exact"/>
              <w:rPr>
                <w:rFonts w:ascii="宋体" w:hAnsi="宋体" w:cs="宋体"/>
                <w:szCs w:val="21"/>
              </w:rPr>
            </w:pPr>
            <w:r>
              <w:rPr>
                <w:rFonts w:hint="eastAsia" w:ascii="宋体" w:hAnsi="宋体" w:cs="宋体"/>
                <w:szCs w:val="21"/>
              </w:rPr>
              <w:t>采购方式：竞争性磋商</w:t>
            </w:r>
          </w:p>
        </w:tc>
      </w:tr>
      <w:tr w14:paraId="7B95E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766" w:type="dxa"/>
            <w:vAlign w:val="center"/>
          </w:tcPr>
          <w:p w14:paraId="382379B7">
            <w:pPr>
              <w:spacing w:line="440" w:lineRule="exact"/>
              <w:jc w:val="center"/>
              <w:rPr>
                <w:rFonts w:ascii="宋体" w:hAnsi="宋体" w:cs="宋体"/>
                <w:bCs/>
                <w:szCs w:val="21"/>
              </w:rPr>
            </w:pPr>
            <w:r>
              <w:rPr>
                <w:rFonts w:hint="eastAsia" w:ascii="宋体" w:hAnsi="宋体" w:cs="宋体"/>
                <w:bCs/>
                <w:szCs w:val="21"/>
              </w:rPr>
              <w:t>5</w:t>
            </w:r>
          </w:p>
        </w:tc>
        <w:tc>
          <w:tcPr>
            <w:tcW w:w="8980" w:type="dxa"/>
            <w:vAlign w:val="center"/>
          </w:tcPr>
          <w:p w14:paraId="44012930">
            <w:pPr>
              <w:widowControl/>
              <w:shd w:val="clear" w:color="auto" w:fill="FFFFFF"/>
              <w:spacing w:line="440" w:lineRule="exact"/>
              <w:rPr>
                <w:rFonts w:ascii="宋体" w:hAnsi="宋体" w:cs="宋体"/>
                <w:szCs w:val="21"/>
              </w:rPr>
            </w:pPr>
            <w:r>
              <w:rPr>
                <w:rFonts w:hint="eastAsia" w:ascii="宋体" w:hAnsi="宋体" w:cs="宋体"/>
                <w:szCs w:val="21"/>
              </w:rPr>
              <w:t>响应有效期：递交响应文件截止之日起90天</w:t>
            </w:r>
          </w:p>
        </w:tc>
      </w:tr>
      <w:tr w14:paraId="236B0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766" w:type="dxa"/>
            <w:vAlign w:val="center"/>
          </w:tcPr>
          <w:p w14:paraId="413590B7">
            <w:pPr>
              <w:spacing w:line="440" w:lineRule="exact"/>
              <w:jc w:val="center"/>
              <w:rPr>
                <w:rFonts w:ascii="宋体" w:hAnsi="宋体" w:cs="宋体"/>
                <w:bCs/>
                <w:szCs w:val="21"/>
              </w:rPr>
            </w:pPr>
            <w:r>
              <w:rPr>
                <w:rFonts w:hint="eastAsia" w:ascii="宋体" w:hAnsi="宋体" w:cs="宋体"/>
                <w:bCs/>
                <w:szCs w:val="21"/>
              </w:rPr>
              <w:t>6</w:t>
            </w:r>
          </w:p>
        </w:tc>
        <w:tc>
          <w:tcPr>
            <w:tcW w:w="8980" w:type="dxa"/>
            <w:vAlign w:val="center"/>
          </w:tcPr>
          <w:p w14:paraId="3EFDA335">
            <w:pPr>
              <w:pStyle w:val="210"/>
              <w:spacing w:line="440" w:lineRule="exact"/>
              <w:ind w:firstLine="0"/>
              <w:jc w:val="left"/>
              <w:rPr>
                <w:rFonts w:ascii="宋体" w:hAnsi="宋体" w:cs="宋体"/>
                <w:szCs w:val="21"/>
              </w:rPr>
            </w:pPr>
            <w:r>
              <w:rPr>
                <w:rFonts w:hint="eastAsia" w:ascii="宋体" w:hAnsi="宋体" w:cs="宋体"/>
                <w:b/>
                <w:bCs/>
                <w:szCs w:val="21"/>
              </w:rPr>
              <w:t>磋商保证金：本项目不收取</w:t>
            </w:r>
            <w:r>
              <w:rPr>
                <w:rFonts w:hint="eastAsia" w:ascii="宋体" w:hAnsi="宋体" w:cs="宋体"/>
                <w:szCs w:val="21"/>
              </w:rPr>
              <w:t>，本文件中与磋商保证金有关条款不生效</w:t>
            </w:r>
          </w:p>
        </w:tc>
      </w:tr>
      <w:tr w14:paraId="2C27B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766" w:type="dxa"/>
            <w:vAlign w:val="center"/>
          </w:tcPr>
          <w:p w14:paraId="5B674273">
            <w:pPr>
              <w:spacing w:line="440" w:lineRule="exact"/>
              <w:jc w:val="center"/>
              <w:rPr>
                <w:rFonts w:ascii="宋体" w:hAnsi="宋体" w:cs="宋体"/>
                <w:bCs/>
                <w:szCs w:val="21"/>
              </w:rPr>
            </w:pPr>
            <w:r>
              <w:rPr>
                <w:rFonts w:hint="eastAsia" w:ascii="宋体" w:hAnsi="宋体" w:cs="宋体"/>
                <w:bCs/>
                <w:szCs w:val="21"/>
              </w:rPr>
              <w:t>7</w:t>
            </w:r>
          </w:p>
        </w:tc>
        <w:tc>
          <w:tcPr>
            <w:tcW w:w="8980" w:type="dxa"/>
            <w:vAlign w:val="center"/>
          </w:tcPr>
          <w:p w14:paraId="236D1E14">
            <w:pPr>
              <w:spacing w:line="440" w:lineRule="exact"/>
              <w:jc w:val="left"/>
              <w:rPr>
                <w:rFonts w:ascii="宋体" w:hAnsi="宋体" w:cs="宋体"/>
                <w:szCs w:val="21"/>
              </w:rPr>
            </w:pPr>
            <w:r>
              <w:rPr>
                <w:rFonts w:hint="eastAsia" w:ascii="宋体" w:hAnsi="宋体" w:cs="宋体"/>
                <w:szCs w:val="21"/>
              </w:rPr>
              <w:t>响应文件份数：电子响应文件一份(通过系统提交)</w:t>
            </w:r>
          </w:p>
        </w:tc>
      </w:tr>
      <w:tr w14:paraId="0DE4C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766" w:type="dxa"/>
            <w:vAlign w:val="center"/>
          </w:tcPr>
          <w:p w14:paraId="0AF54AD4">
            <w:pPr>
              <w:spacing w:line="440" w:lineRule="exact"/>
              <w:jc w:val="center"/>
              <w:rPr>
                <w:rFonts w:ascii="宋体" w:hAnsi="宋体" w:cs="宋体"/>
                <w:bCs/>
                <w:szCs w:val="21"/>
              </w:rPr>
            </w:pPr>
            <w:r>
              <w:rPr>
                <w:rFonts w:hint="eastAsia" w:ascii="宋体" w:hAnsi="宋体" w:cs="宋体"/>
                <w:bCs/>
                <w:szCs w:val="21"/>
              </w:rPr>
              <w:t>8</w:t>
            </w:r>
          </w:p>
        </w:tc>
        <w:tc>
          <w:tcPr>
            <w:tcW w:w="8980" w:type="dxa"/>
            <w:vAlign w:val="center"/>
          </w:tcPr>
          <w:p w14:paraId="7F4470D1">
            <w:pPr>
              <w:spacing w:line="460" w:lineRule="exact"/>
              <w:rPr>
                <w:rFonts w:ascii="宋体" w:hAnsi="宋体" w:cs="宋体"/>
                <w:szCs w:val="21"/>
              </w:rPr>
            </w:pPr>
            <w:r>
              <w:rPr>
                <w:rFonts w:hint="eastAsia" w:ascii="宋体" w:hAnsi="宋体" w:cs="宋体"/>
                <w:szCs w:val="21"/>
              </w:rPr>
              <w:t>响应文件提交截止时间：详见竞争性磋商公告</w:t>
            </w:r>
          </w:p>
          <w:p w14:paraId="7FA8FEE7">
            <w:pPr>
              <w:spacing w:line="460" w:lineRule="exact"/>
              <w:rPr>
                <w:rFonts w:ascii="宋体" w:hAnsi="宋体" w:cs="宋体"/>
                <w:szCs w:val="21"/>
              </w:rPr>
            </w:pPr>
            <w:r>
              <w:rPr>
                <w:rFonts w:hint="eastAsia" w:ascii="宋体" w:hAnsi="宋体" w:cs="宋体"/>
                <w:szCs w:val="21"/>
              </w:rPr>
              <w:t>开启时间：详见竞争性磋商公告</w:t>
            </w:r>
          </w:p>
          <w:p w14:paraId="1147E339">
            <w:pPr>
              <w:spacing w:line="440" w:lineRule="exact"/>
              <w:jc w:val="left"/>
              <w:rPr>
                <w:rFonts w:ascii="宋体" w:hAnsi="宋体" w:cs="宋体"/>
                <w:szCs w:val="21"/>
              </w:rPr>
            </w:pPr>
            <w:r>
              <w:rPr>
                <w:rFonts w:hint="eastAsia" w:ascii="宋体" w:hAnsi="宋体" w:cs="宋体"/>
                <w:szCs w:val="21"/>
              </w:rPr>
              <w:t>地点：详见竞争性磋商公告</w:t>
            </w:r>
          </w:p>
        </w:tc>
      </w:tr>
      <w:tr w14:paraId="71141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2" w:hRule="atLeast"/>
        </w:trPr>
        <w:tc>
          <w:tcPr>
            <w:tcW w:w="766" w:type="dxa"/>
            <w:vAlign w:val="center"/>
          </w:tcPr>
          <w:p w14:paraId="1D887566">
            <w:pPr>
              <w:spacing w:line="440" w:lineRule="exact"/>
              <w:jc w:val="center"/>
              <w:rPr>
                <w:rFonts w:ascii="宋体" w:hAnsi="宋体" w:cs="宋体"/>
                <w:bCs/>
                <w:szCs w:val="21"/>
              </w:rPr>
            </w:pPr>
            <w:r>
              <w:rPr>
                <w:rFonts w:hint="eastAsia" w:ascii="宋体" w:hAnsi="宋体" w:cs="宋体"/>
                <w:bCs/>
                <w:szCs w:val="21"/>
              </w:rPr>
              <w:t>9</w:t>
            </w:r>
          </w:p>
        </w:tc>
        <w:tc>
          <w:tcPr>
            <w:tcW w:w="8980" w:type="dxa"/>
            <w:vAlign w:val="center"/>
          </w:tcPr>
          <w:p w14:paraId="170C8FAA">
            <w:pPr>
              <w:spacing w:line="440" w:lineRule="exact"/>
              <w:rPr>
                <w:rFonts w:ascii="宋体" w:hAnsi="宋体" w:cs="宋体"/>
                <w:szCs w:val="21"/>
              </w:rPr>
            </w:pPr>
            <w:r>
              <w:rPr>
                <w:rFonts w:hint="eastAsia" w:ascii="宋体" w:hAnsi="宋体" w:cs="宋体"/>
                <w:szCs w:val="21"/>
              </w:rPr>
              <w:t>磋商报价：</w:t>
            </w:r>
          </w:p>
          <w:p w14:paraId="57F03CC8">
            <w:pPr>
              <w:pStyle w:val="48"/>
              <w:spacing w:line="440" w:lineRule="exact"/>
              <w:ind w:firstLine="0"/>
              <w:rPr>
                <w:rFonts w:hAnsi="宋体" w:cs="宋体"/>
                <w:sz w:val="21"/>
                <w:szCs w:val="21"/>
              </w:rPr>
            </w:pPr>
            <w:r>
              <w:rPr>
                <w:rFonts w:hint="eastAsia" w:hAnsi="宋体" w:cs="宋体"/>
                <w:sz w:val="21"/>
                <w:szCs w:val="21"/>
              </w:rPr>
              <w:t>1.本项目以人民币报价，采用总承包方式，磋商报价为项目履约涉及到的一切费用。</w:t>
            </w:r>
          </w:p>
          <w:p w14:paraId="36589E32">
            <w:pPr>
              <w:pStyle w:val="48"/>
              <w:spacing w:line="440" w:lineRule="exact"/>
              <w:ind w:firstLine="0"/>
              <w:rPr>
                <w:rFonts w:hAnsi="宋体" w:cs="宋体"/>
                <w:sz w:val="21"/>
                <w:szCs w:val="21"/>
              </w:rPr>
            </w:pPr>
            <w:r>
              <w:rPr>
                <w:rFonts w:hint="eastAsia" w:hAnsi="宋体" w:cs="宋体"/>
                <w:sz w:val="21"/>
                <w:szCs w:val="21"/>
              </w:rPr>
              <w:t>2.除非采购文件有特别说明，采购人不接受备选的响应方案或有选择的报价。</w:t>
            </w:r>
          </w:p>
          <w:p w14:paraId="00B9C054">
            <w:pPr>
              <w:pStyle w:val="48"/>
              <w:spacing w:line="440" w:lineRule="exact"/>
              <w:ind w:firstLine="0"/>
              <w:rPr>
                <w:rFonts w:hAnsi="宋体" w:cs="宋体"/>
                <w:sz w:val="21"/>
                <w:szCs w:val="21"/>
              </w:rPr>
            </w:pPr>
            <w:r>
              <w:rPr>
                <w:rFonts w:hint="eastAsia" w:hAnsi="宋体" w:cs="宋体"/>
                <w:sz w:val="21"/>
                <w:szCs w:val="21"/>
              </w:rPr>
              <w:t>3.磋商报价不得超过采购预算及最高限价，否则响应文件作无效处理。</w:t>
            </w:r>
          </w:p>
        </w:tc>
      </w:tr>
      <w:tr w14:paraId="1B3F9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766" w:type="dxa"/>
            <w:vAlign w:val="center"/>
          </w:tcPr>
          <w:p w14:paraId="2B374B46">
            <w:pPr>
              <w:spacing w:line="440" w:lineRule="exact"/>
              <w:jc w:val="center"/>
              <w:rPr>
                <w:rFonts w:ascii="宋体" w:hAnsi="宋体" w:cs="宋体"/>
                <w:bCs/>
                <w:szCs w:val="21"/>
              </w:rPr>
            </w:pPr>
            <w:r>
              <w:rPr>
                <w:rFonts w:hint="eastAsia" w:ascii="宋体" w:hAnsi="宋体" w:cs="宋体"/>
                <w:bCs/>
                <w:szCs w:val="21"/>
              </w:rPr>
              <w:t>10</w:t>
            </w:r>
          </w:p>
        </w:tc>
        <w:tc>
          <w:tcPr>
            <w:tcW w:w="8980" w:type="dxa"/>
            <w:vAlign w:val="center"/>
          </w:tcPr>
          <w:p w14:paraId="034F7B73">
            <w:pPr>
              <w:spacing w:line="440" w:lineRule="exact"/>
              <w:ind w:firstLine="15"/>
              <w:rPr>
                <w:rFonts w:ascii="宋体" w:hAnsi="宋体" w:cs="宋体"/>
                <w:bCs/>
                <w:szCs w:val="21"/>
              </w:rPr>
            </w:pPr>
            <w:r>
              <w:rPr>
                <w:rFonts w:hint="eastAsia" w:ascii="宋体" w:hAnsi="宋体" w:cs="宋体"/>
                <w:b/>
                <w:szCs w:val="21"/>
                <w:highlight w:val="none"/>
              </w:rPr>
              <w:t>现场勘查要求：</w:t>
            </w:r>
            <w:r>
              <w:rPr>
                <w:rFonts w:hint="eastAsia" w:ascii="宋体" w:hAnsi="宋体" w:cs="宋体"/>
                <w:szCs w:val="21"/>
                <w:highlight w:val="none"/>
              </w:rPr>
              <w:t>本项</w:t>
            </w:r>
            <w:r>
              <w:rPr>
                <w:rFonts w:hint="eastAsia" w:ascii="宋体" w:hAnsi="宋体" w:cs="宋体"/>
                <w:szCs w:val="21"/>
              </w:rPr>
              <w:t>目不组织现场勘查。</w:t>
            </w:r>
          </w:p>
        </w:tc>
      </w:tr>
      <w:tr w14:paraId="0A393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9" w:hRule="atLeast"/>
        </w:trPr>
        <w:tc>
          <w:tcPr>
            <w:tcW w:w="766" w:type="dxa"/>
            <w:vAlign w:val="center"/>
          </w:tcPr>
          <w:p w14:paraId="71456531">
            <w:pPr>
              <w:spacing w:line="440" w:lineRule="exact"/>
              <w:jc w:val="center"/>
              <w:rPr>
                <w:rFonts w:ascii="宋体" w:hAnsi="宋体" w:cs="宋体"/>
                <w:bCs/>
                <w:szCs w:val="21"/>
              </w:rPr>
            </w:pPr>
            <w:r>
              <w:rPr>
                <w:rFonts w:hint="eastAsia" w:ascii="宋体" w:hAnsi="宋体" w:cs="宋体"/>
                <w:bCs/>
                <w:szCs w:val="21"/>
              </w:rPr>
              <w:t>11</w:t>
            </w:r>
          </w:p>
        </w:tc>
        <w:tc>
          <w:tcPr>
            <w:tcW w:w="8980" w:type="dxa"/>
            <w:vAlign w:val="center"/>
          </w:tcPr>
          <w:p w14:paraId="0E48015D">
            <w:pPr>
              <w:spacing w:line="440" w:lineRule="exact"/>
              <w:rPr>
                <w:rFonts w:ascii="宋体" w:hAnsi="宋体" w:cs="宋体"/>
                <w:b/>
                <w:bCs/>
                <w:szCs w:val="21"/>
              </w:rPr>
            </w:pPr>
            <w:r>
              <w:rPr>
                <w:rFonts w:hint="eastAsia" w:ascii="宋体" w:hAnsi="宋体" w:cs="宋体"/>
                <w:b/>
                <w:bCs/>
                <w:szCs w:val="21"/>
              </w:rPr>
              <w:t>信用信息：</w:t>
            </w:r>
          </w:p>
          <w:p w14:paraId="7B690A4C">
            <w:pPr>
              <w:spacing w:line="440" w:lineRule="exact"/>
              <w:rPr>
                <w:rFonts w:ascii="宋体" w:hAnsi="宋体" w:cs="宋体"/>
                <w:szCs w:val="21"/>
              </w:rPr>
            </w:pPr>
            <w:r>
              <w:rPr>
                <w:rFonts w:hint="eastAsia" w:ascii="宋体" w:hAnsi="宋体" w:cs="宋体"/>
                <w:szCs w:val="21"/>
              </w:rPr>
              <w:t>1）信用信息查询渠道：“信用中国”网站(www.creditchina.gov.cn)、中国政府采购网(www.ccgp.gov.cn)等。</w:t>
            </w:r>
          </w:p>
          <w:p w14:paraId="07BD0AB0">
            <w:pPr>
              <w:spacing w:line="440" w:lineRule="exact"/>
              <w:rPr>
                <w:rFonts w:ascii="宋体" w:hAnsi="宋体" w:cs="宋体"/>
                <w:szCs w:val="21"/>
              </w:rPr>
            </w:pPr>
            <w:r>
              <w:rPr>
                <w:rFonts w:hint="eastAsia" w:ascii="宋体" w:hAnsi="宋体" w:cs="宋体"/>
                <w:szCs w:val="21"/>
              </w:rPr>
              <w:t>2）信用信息查询截止时点：</w:t>
            </w:r>
            <w:r>
              <w:rPr>
                <w:rFonts w:hint="eastAsia" w:ascii="宋体" w:hAnsi="宋体" w:cs="宋体"/>
                <w:b/>
                <w:bCs/>
                <w:szCs w:val="21"/>
              </w:rPr>
              <w:t>递交响应文件截止之日前。</w:t>
            </w:r>
          </w:p>
          <w:p w14:paraId="7A4FA5D3">
            <w:pPr>
              <w:spacing w:line="440" w:lineRule="exact"/>
              <w:rPr>
                <w:rFonts w:ascii="宋体" w:hAnsi="宋体" w:cs="宋体"/>
                <w:szCs w:val="21"/>
              </w:rPr>
            </w:pPr>
            <w:r>
              <w:rPr>
                <w:rFonts w:hint="eastAsia" w:ascii="宋体" w:hAnsi="宋体" w:cs="宋体"/>
                <w:szCs w:val="21"/>
              </w:rPr>
              <w:t>3）信用信息查询记录和证据留存的具体方式：信用信息查询记录将以网站截图打印稿形式与其他采购文件一并保存。</w:t>
            </w:r>
          </w:p>
          <w:p w14:paraId="5C999014">
            <w:pPr>
              <w:widowControl/>
              <w:shd w:val="clear" w:color="auto" w:fill="FFFFFF"/>
              <w:spacing w:line="440" w:lineRule="exact"/>
              <w:rPr>
                <w:rFonts w:ascii="宋体" w:hAnsi="宋体" w:cs="宋体"/>
                <w:szCs w:val="21"/>
              </w:rPr>
            </w:pPr>
            <w:r>
              <w:rPr>
                <w:rFonts w:hint="eastAsia" w:ascii="宋体" w:hAnsi="宋体" w:cs="宋体"/>
                <w:szCs w:val="21"/>
              </w:rPr>
              <w:t>4）信用信息的使用规则：拒绝列入失信被执行人、重大税收违法案件当事人名单、政府采购严重违法失信行为记录名单的供应商参与政府采购活动。联合体成员存在不良信用记录的，视同联合体存在不良信用记录。</w:t>
            </w:r>
          </w:p>
        </w:tc>
      </w:tr>
      <w:tr w14:paraId="0DEF0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66" w:type="dxa"/>
            <w:vAlign w:val="center"/>
          </w:tcPr>
          <w:p w14:paraId="4FD92C3C">
            <w:pPr>
              <w:jc w:val="center"/>
              <w:rPr>
                <w:rFonts w:ascii="宋体" w:hAnsi="宋体" w:cs="宋体"/>
                <w:bCs/>
                <w:szCs w:val="21"/>
              </w:rPr>
            </w:pPr>
            <w:r>
              <w:rPr>
                <w:rFonts w:hint="eastAsia" w:ascii="宋体" w:hAnsi="宋体" w:cs="宋体"/>
                <w:bCs/>
                <w:szCs w:val="21"/>
              </w:rPr>
              <w:t>12</w:t>
            </w:r>
          </w:p>
        </w:tc>
        <w:tc>
          <w:tcPr>
            <w:tcW w:w="8980" w:type="dxa"/>
            <w:vAlign w:val="center"/>
          </w:tcPr>
          <w:p w14:paraId="5982E744">
            <w:pPr>
              <w:rPr>
                <w:rFonts w:ascii="宋体" w:hAnsi="宋体" w:cs="宋体"/>
                <w:color w:val="000000"/>
                <w:szCs w:val="21"/>
              </w:rPr>
            </w:pPr>
            <w:r>
              <w:rPr>
                <w:rFonts w:hint="eastAsia" w:ascii="宋体" w:hAnsi="宋体" w:cs="宋体"/>
                <w:szCs w:val="21"/>
              </w:rPr>
              <w:t>采购标的对应中小企业划分标准所属行</w:t>
            </w:r>
            <w:r>
              <w:rPr>
                <w:rFonts w:hint="eastAsia" w:ascii="宋体" w:hAnsi="宋体" w:cs="宋体"/>
                <w:szCs w:val="21"/>
                <w:highlight w:val="none"/>
              </w:rPr>
              <w:t>业：</w:t>
            </w:r>
            <w:r>
              <w:rPr>
                <w:rFonts w:hint="eastAsia" w:ascii="宋体" w:hAnsi="宋体" w:cs="宋体"/>
                <w:b w:val="0"/>
                <w:bCs w:val="0"/>
                <w:color w:val="000000"/>
                <w:szCs w:val="21"/>
                <w:highlight w:val="none"/>
              </w:rPr>
              <w:t>租赁和商务服务业。</w:t>
            </w:r>
          </w:p>
        </w:tc>
      </w:tr>
      <w:tr w14:paraId="554FD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9" w:hRule="atLeast"/>
        </w:trPr>
        <w:tc>
          <w:tcPr>
            <w:tcW w:w="766" w:type="dxa"/>
            <w:vAlign w:val="center"/>
          </w:tcPr>
          <w:p w14:paraId="25796E36">
            <w:pPr>
              <w:spacing w:line="440" w:lineRule="exact"/>
              <w:jc w:val="center"/>
              <w:rPr>
                <w:rFonts w:ascii="宋体" w:hAnsi="宋体" w:cs="宋体"/>
                <w:bCs/>
                <w:szCs w:val="21"/>
              </w:rPr>
            </w:pPr>
            <w:r>
              <w:rPr>
                <w:rFonts w:hint="eastAsia" w:ascii="宋体" w:hAnsi="宋体" w:cs="宋体"/>
                <w:bCs/>
                <w:szCs w:val="21"/>
              </w:rPr>
              <w:t>13</w:t>
            </w:r>
          </w:p>
        </w:tc>
        <w:tc>
          <w:tcPr>
            <w:tcW w:w="8980" w:type="dxa"/>
            <w:vAlign w:val="center"/>
          </w:tcPr>
          <w:p w14:paraId="3E85CAE9">
            <w:pPr>
              <w:autoSpaceDE w:val="0"/>
              <w:autoSpaceDN w:val="0"/>
              <w:adjustRightInd w:val="0"/>
              <w:snapToGrid w:val="0"/>
              <w:spacing w:line="360" w:lineRule="auto"/>
              <w:rPr>
                <w:rFonts w:ascii="宋体" w:hAnsi="宋体"/>
                <w:szCs w:val="21"/>
              </w:rPr>
            </w:pPr>
            <w:r>
              <w:rPr>
                <w:rFonts w:hint="eastAsia" w:ascii="宋体" w:hAnsi="宋体"/>
                <w:szCs w:val="21"/>
              </w:rPr>
              <w:t>供应商应承担所有与准备和参加磋商有关的费用，无论采购结果如何，代理机构和采购人在任何情况下均无义务和责任承担这些费用。</w:t>
            </w:r>
          </w:p>
          <w:p w14:paraId="2DC61673">
            <w:pPr>
              <w:autoSpaceDE w:val="0"/>
              <w:autoSpaceDN w:val="0"/>
              <w:adjustRightInd w:val="0"/>
              <w:snapToGrid w:val="0"/>
              <w:spacing w:line="360" w:lineRule="auto"/>
              <w:rPr>
                <w:rFonts w:ascii="宋体" w:hAnsi="宋体"/>
                <w:szCs w:val="21"/>
              </w:rPr>
            </w:pPr>
            <w:r>
              <w:rPr>
                <w:rFonts w:hint="eastAsia" w:ascii="宋体" w:hAnsi="宋体"/>
                <w:szCs w:val="21"/>
              </w:rPr>
              <w:t>代理服务费（包含由代理机构代付的专家评审费和差旅费等）收取标准。</w:t>
            </w:r>
          </w:p>
          <w:p w14:paraId="23581066">
            <w:pPr>
              <w:autoSpaceDE w:val="0"/>
              <w:autoSpaceDN w:val="0"/>
              <w:adjustRightInd w:val="0"/>
              <w:snapToGrid w:val="0"/>
              <w:spacing w:line="360" w:lineRule="auto"/>
              <w:rPr>
                <w:rFonts w:ascii="宋体" w:hAnsi="宋体"/>
                <w:szCs w:val="21"/>
              </w:rPr>
            </w:pPr>
            <w:r>
              <w:rPr>
                <w:rFonts w:hint="eastAsia" w:ascii="宋体" w:hAnsi="宋体"/>
                <w:szCs w:val="21"/>
              </w:rPr>
              <w:t>（1）成交金额100万元（不含）以下的项目，代理服务费收取标准：按照固定价4000元收取。</w:t>
            </w:r>
          </w:p>
          <w:p w14:paraId="0479CBA3">
            <w:pPr>
              <w:autoSpaceDE w:val="0"/>
              <w:autoSpaceDN w:val="0"/>
              <w:adjustRightInd w:val="0"/>
              <w:snapToGrid w:val="0"/>
              <w:spacing w:line="360" w:lineRule="auto"/>
              <w:rPr>
                <w:rFonts w:ascii="宋体" w:hAnsi="宋体"/>
                <w:szCs w:val="21"/>
              </w:rPr>
            </w:pPr>
            <w:r>
              <w:rPr>
                <w:rFonts w:hint="eastAsia" w:ascii="宋体" w:hAnsi="宋体"/>
                <w:szCs w:val="21"/>
              </w:rPr>
              <w:t>（2）成交金额100万元（含）以上的项目，代理服务费=成交金额或预算金额*0.5%。</w:t>
            </w:r>
          </w:p>
          <w:p w14:paraId="4F85D0A1">
            <w:pPr>
              <w:autoSpaceDE w:val="0"/>
              <w:autoSpaceDN w:val="0"/>
              <w:adjustRightInd w:val="0"/>
              <w:snapToGrid w:val="0"/>
              <w:spacing w:line="360" w:lineRule="auto"/>
              <w:rPr>
                <w:rFonts w:ascii="宋体" w:hAnsi="宋体"/>
                <w:szCs w:val="21"/>
              </w:rPr>
            </w:pPr>
            <w:r>
              <w:rPr>
                <w:rFonts w:hint="eastAsia" w:ascii="宋体" w:hAnsi="宋体"/>
                <w:szCs w:val="21"/>
              </w:rPr>
              <w:t>（3）无成交总金额（或含仅有成交单价）的项目，代理服务费按照预算金额测算。</w:t>
            </w:r>
          </w:p>
          <w:p w14:paraId="5BA194F7">
            <w:pPr>
              <w:autoSpaceDE w:val="0"/>
              <w:autoSpaceDN w:val="0"/>
              <w:adjustRightInd w:val="0"/>
              <w:snapToGrid w:val="0"/>
              <w:spacing w:line="360" w:lineRule="auto"/>
              <w:rPr>
                <w:rFonts w:ascii="宋体" w:hAnsi="宋体"/>
                <w:szCs w:val="21"/>
              </w:rPr>
            </w:pPr>
            <w:r>
              <w:rPr>
                <w:rFonts w:hint="eastAsia" w:ascii="宋体" w:hAnsi="宋体"/>
                <w:szCs w:val="21"/>
              </w:rPr>
              <w:t>（4）代理服务费付款方式：按项目测算，由采购人每半年支付。</w:t>
            </w:r>
          </w:p>
          <w:p w14:paraId="60DCB7D2">
            <w:pPr>
              <w:spacing w:line="360" w:lineRule="auto"/>
              <w:rPr>
                <w:rFonts w:ascii="宋体" w:hAnsi="宋体" w:cs="宋体"/>
                <w:szCs w:val="21"/>
              </w:rPr>
            </w:pPr>
            <w:r>
              <w:rPr>
                <w:rFonts w:hint="eastAsia" w:ascii="宋体" w:hAnsi="宋体" w:cs="宋体"/>
                <w:szCs w:val="21"/>
              </w:rPr>
              <w:t>服务费受理单位：</w:t>
            </w:r>
          </w:p>
          <w:p w14:paraId="0E84E94E">
            <w:pPr>
              <w:spacing w:line="360" w:lineRule="auto"/>
              <w:rPr>
                <w:rFonts w:ascii="宋体" w:hAnsi="宋体" w:cs="宋体"/>
                <w:szCs w:val="21"/>
              </w:rPr>
            </w:pPr>
            <w:r>
              <w:rPr>
                <w:rFonts w:hint="eastAsia" w:ascii="宋体" w:hAnsi="宋体" w:cs="宋体"/>
                <w:szCs w:val="21"/>
              </w:rPr>
              <w:t>单位名称：苏美达国际技术贸易有限公司</w:t>
            </w:r>
          </w:p>
          <w:p w14:paraId="1BF70C09">
            <w:pPr>
              <w:spacing w:line="360" w:lineRule="auto"/>
              <w:rPr>
                <w:rFonts w:ascii="宋体" w:hAnsi="宋体" w:cs="宋体"/>
                <w:szCs w:val="21"/>
              </w:rPr>
            </w:pPr>
            <w:r>
              <w:rPr>
                <w:rFonts w:hint="eastAsia" w:ascii="宋体" w:hAnsi="宋体" w:cs="宋体"/>
                <w:szCs w:val="21"/>
              </w:rPr>
              <w:t>开户银行：中信南京分行营业部</w:t>
            </w:r>
          </w:p>
          <w:p w14:paraId="6F957FAC">
            <w:pPr>
              <w:spacing w:line="360" w:lineRule="auto"/>
              <w:rPr>
                <w:rFonts w:ascii="宋体" w:hAnsi="宋体" w:cs="宋体"/>
                <w:szCs w:val="21"/>
              </w:rPr>
            </w:pPr>
            <w:r>
              <w:rPr>
                <w:rFonts w:hint="eastAsia" w:ascii="宋体" w:hAnsi="宋体" w:cs="宋体"/>
                <w:szCs w:val="21"/>
              </w:rPr>
              <w:t>账号：7321010182300013675</w:t>
            </w:r>
          </w:p>
        </w:tc>
      </w:tr>
      <w:tr w14:paraId="2CBE7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trPr>
        <w:tc>
          <w:tcPr>
            <w:tcW w:w="766" w:type="dxa"/>
            <w:vAlign w:val="center"/>
          </w:tcPr>
          <w:p w14:paraId="72246061">
            <w:pPr>
              <w:jc w:val="center"/>
              <w:rPr>
                <w:rFonts w:ascii="宋体" w:hAnsi="宋体" w:cs="宋体"/>
                <w:bCs/>
                <w:szCs w:val="21"/>
              </w:rPr>
            </w:pPr>
            <w:r>
              <w:rPr>
                <w:rFonts w:hint="eastAsia" w:ascii="宋体" w:hAnsi="宋体" w:cs="宋体"/>
                <w:bCs/>
                <w:szCs w:val="21"/>
              </w:rPr>
              <w:t>14</w:t>
            </w:r>
          </w:p>
        </w:tc>
        <w:tc>
          <w:tcPr>
            <w:tcW w:w="8980" w:type="dxa"/>
            <w:vAlign w:val="center"/>
          </w:tcPr>
          <w:p w14:paraId="78925D60">
            <w:pPr>
              <w:keepLines/>
              <w:spacing w:line="440" w:lineRule="exact"/>
              <w:rPr>
                <w:rFonts w:ascii="宋体" w:hAnsi="宋体" w:cs="宋体"/>
                <w:bCs/>
                <w:szCs w:val="21"/>
              </w:rPr>
            </w:pPr>
            <w:r>
              <w:rPr>
                <w:rFonts w:hint="eastAsia" w:ascii="宋体" w:hAnsi="宋体" w:cs="宋体"/>
                <w:bCs/>
                <w:szCs w:val="21"/>
              </w:rPr>
              <w:t>1、供应商对政府采购活动事项有疑问的，可以提出询问，</w:t>
            </w:r>
            <w:r>
              <w:rPr>
                <w:rFonts w:hint="eastAsia" w:ascii="宋体" w:hAnsi="宋体" w:cs="宋体"/>
                <w:b/>
                <w:szCs w:val="21"/>
              </w:rPr>
              <w:t>联系方式详见第一章竞争性磋商公告</w:t>
            </w:r>
            <w:r>
              <w:rPr>
                <w:rFonts w:hint="eastAsia" w:ascii="宋体" w:hAnsi="宋体" w:cs="宋体"/>
                <w:bCs/>
                <w:szCs w:val="21"/>
              </w:rPr>
              <w:t>。</w:t>
            </w:r>
          </w:p>
          <w:p w14:paraId="22151AB2">
            <w:pPr>
              <w:keepLines/>
              <w:spacing w:line="440" w:lineRule="exact"/>
              <w:rPr>
                <w:rFonts w:ascii="宋体" w:hAnsi="宋体" w:cs="宋体"/>
                <w:bCs/>
                <w:szCs w:val="21"/>
              </w:rPr>
            </w:pPr>
            <w:r>
              <w:rPr>
                <w:rFonts w:hint="eastAsia" w:ascii="宋体" w:hAnsi="宋体" w:cs="宋体"/>
                <w:bCs/>
                <w:szCs w:val="21"/>
              </w:rPr>
              <w:t>2、供应商认为采购文件、采购过程、中标或者成交结果使自己的权益受到损害的，可以在知道或者应知权益受到损害之日起7个工作日内，提出质疑。</w:t>
            </w:r>
          </w:p>
          <w:p w14:paraId="1EADEB05">
            <w:pPr>
              <w:keepLines/>
              <w:spacing w:line="440" w:lineRule="exact"/>
              <w:rPr>
                <w:rFonts w:ascii="宋体" w:hAnsi="宋体" w:cs="宋体"/>
                <w:bCs/>
                <w:szCs w:val="21"/>
              </w:rPr>
            </w:pPr>
            <w:r>
              <w:rPr>
                <w:rFonts w:hint="eastAsia" w:ascii="宋体" w:hAnsi="宋体" w:cs="宋体"/>
                <w:bCs/>
                <w:szCs w:val="21"/>
              </w:rPr>
              <w:t>（1）接收质疑函的方式：供应商应在法定质疑期内将质疑函以</w:t>
            </w:r>
            <w:r>
              <w:rPr>
                <w:rFonts w:hint="eastAsia" w:ascii="宋体" w:hAnsi="宋体" w:cs="宋体"/>
                <w:b/>
                <w:szCs w:val="21"/>
              </w:rPr>
              <w:t>书面形式（原件）</w:t>
            </w:r>
            <w:r>
              <w:rPr>
                <w:rFonts w:hint="eastAsia" w:ascii="宋体" w:hAnsi="宋体" w:cs="宋体"/>
                <w:bCs/>
                <w:szCs w:val="21"/>
              </w:rPr>
              <w:t>送达代理机构，</w:t>
            </w:r>
            <w:r>
              <w:rPr>
                <w:rFonts w:hint="eastAsia" w:ascii="宋体" w:hAnsi="宋体" w:cs="宋体"/>
                <w:b/>
                <w:szCs w:val="21"/>
              </w:rPr>
              <w:t>针对本项目同一采购程序环节</w:t>
            </w:r>
            <w:r>
              <w:rPr>
                <w:rFonts w:hint="eastAsia" w:ascii="宋体" w:hAnsi="宋体" w:cs="宋体"/>
                <w:bCs/>
                <w:szCs w:val="21"/>
              </w:rPr>
              <w:t>的质疑应</w:t>
            </w:r>
            <w:r>
              <w:rPr>
                <w:rFonts w:hint="eastAsia" w:ascii="宋体" w:hAnsi="宋体" w:cs="宋体"/>
                <w:b/>
                <w:szCs w:val="21"/>
              </w:rPr>
              <w:t>一次性提出</w:t>
            </w:r>
            <w:r>
              <w:rPr>
                <w:rFonts w:hint="eastAsia" w:ascii="宋体" w:hAnsi="宋体" w:cs="宋体"/>
                <w:bCs/>
                <w:szCs w:val="21"/>
              </w:rPr>
              <w:t>。</w:t>
            </w:r>
          </w:p>
          <w:p w14:paraId="111DD5D1">
            <w:pPr>
              <w:keepLines/>
              <w:spacing w:line="440" w:lineRule="exact"/>
              <w:rPr>
                <w:rFonts w:ascii="宋体" w:hAnsi="宋体" w:cs="宋体"/>
                <w:bCs/>
                <w:szCs w:val="21"/>
              </w:rPr>
            </w:pPr>
            <w:r>
              <w:rPr>
                <w:rFonts w:hint="eastAsia" w:ascii="宋体" w:hAnsi="宋体" w:cs="宋体"/>
                <w:bCs/>
                <w:szCs w:val="21"/>
              </w:rPr>
              <w:t>（2）质疑函应包括以下主要内容，并按照“谁主张、谁举证”的原则，附上相关证明材料。质疑函的质疑事项应具体、明确，并有必要的事实依据和法律依据。质疑函的质疑请求应与质疑事项相关。否则，代理机构不予受理：</w:t>
            </w:r>
          </w:p>
          <w:p w14:paraId="40A072D7">
            <w:pPr>
              <w:keepLines/>
              <w:spacing w:line="440" w:lineRule="exact"/>
              <w:ind w:firstLine="210"/>
              <w:rPr>
                <w:rFonts w:ascii="宋体" w:hAnsi="宋体" w:cs="宋体"/>
                <w:bCs/>
                <w:szCs w:val="21"/>
              </w:rPr>
            </w:pPr>
            <w:r>
              <w:rPr>
                <w:rFonts w:hint="eastAsia" w:ascii="宋体" w:hAnsi="宋体" w:cs="宋体"/>
                <w:bCs/>
                <w:szCs w:val="21"/>
              </w:rPr>
              <w:t>①供应商的姓名或者名称、地址、邮编、联系人及联系电话；</w:t>
            </w:r>
          </w:p>
          <w:p w14:paraId="6662799F">
            <w:pPr>
              <w:keepLines/>
              <w:spacing w:line="440" w:lineRule="exact"/>
              <w:ind w:firstLine="210"/>
              <w:rPr>
                <w:rFonts w:ascii="宋体" w:hAnsi="宋体" w:cs="宋体"/>
                <w:bCs/>
                <w:szCs w:val="21"/>
              </w:rPr>
            </w:pPr>
            <w:r>
              <w:rPr>
                <w:rFonts w:hint="eastAsia" w:ascii="宋体" w:hAnsi="宋体" w:cs="宋体"/>
                <w:bCs/>
                <w:szCs w:val="21"/>
              </w:rPr>
              <w:t>②质疑项目的名称、编号；</w:t>
            </w:r>
          </w:p>
          <w:p w14:paraId="6AE0A898">
            <w:pPr>
              <w:keepLines/>
              <w:spacing w:line="440" w:lineRule="exact"/>
              <w:ind w:firstLine="210"/>
              <w:rPr>
                <w:rFonts w:ascii="宋体" w:hAnsi="宋体" w:cs="宋体"/>
                <w:bCs/>
                <w:szCs w:val="21"/>
              </w:rPr>
            </w:pPr>
            <w:r>
              <w:rPr>
                <w:rFonts w:hint="eastAsia" w:ascii="宋体" w:hAnsi="宋体" w:cs="宋体"/>
                <w:bCs/>
                <w:szCs w:val="21"/>
              </w:rPr>
              <w:t>③具体、明确的质疑事项和与质疑事项相关的请求；</w:t>
            </w:r>
          </w:p>
          <w:p w14:paraId="47B0B545">
            <w:pPr>
              <w:keepLines/>
              <w:spacing w:line="440" w:lineRule="exact"/>
              <w:ind w:firstLine="210"/>
              <w:rPr>
                <w:rFonts w:ascii="宋体" w:hAnsi="宋体" w:cs="宋体"/>
                <w:bCs/>
                <w:szCs w:val="21"/>
              </w:rPr>
            </w:pPr>
            <w:r>
              <w:rPr>
                <w:rFonts w:hint="eastAsia" w:ascii="宋体" w:hAnsi="宋体" w:cs="宋体"/>
                <w:bCs/>
                <w:szCs w:val="21"/>
              </w:rPr>
              <w:t>④事实依据；</w:t>
            </w:r>
          </w:p>
          <w:p w14:paraId="61270130">
            <w:pPr>
              <w:keepLines/>
              <w:spacing w:line="440" w:lineRule="exact"/>
              <w:ind w:firstLine="210"/>
              <w:rPr>
                <w:rFonts w:ascii="宋体" w:hAnsi="宋体" w:cs="宋体"/>
                <w:bCs/>
                <w:szCs w:val="21"/>
              </w:rPr>
            </w:pPr>
            <w:r>
              <w:rPr>
                <w:rFonts w:hint="eastAsia" w:ascii="宋体" w:hAnsi="宋体" w:cs="宋体"/>
                <w:bCs/>
                <w:szCs w:val="21"/>
              </w:rPr>
              <w:t>⑤必要的法律依据；</w:t>
            </w:r>
          </w:p>
          <w:p w14:paraId="30658892">
            <w:pPr>
              <w:keepLines/>
              <w:spacing w:line="440" w:lineRule="exact"/>
              <w:ind w:firstLine="210"/>
              <w:rPr>
                <w:rFonts w:ascii="宋体" w:hAnsi="宋体" w:cs="宋体"/>
                <w:bCs/>
                <w:szCs w:val="21"/>
              </w:rPr>
            </w:pPr>
            <w:r>
              <w:rPr>
                <w:rFonts w:hint="eastAsia" w:ascii="宋体" w:hAnsi="宋体" w:cs="宋体"/>
                <w:bCs/>
                <w:szCs w:val="21"/>
              </w:rPr>
              <w:t>⑥提出质疑的日期；</w:t>
            </w:r>
          </w:p>
          <w:p w14:paraId="423525BA">
            <w:pPr>
              <w:keepLines/>
              <w:spacing w:line="440" w:lineRule="exact"/>
              <w:ind w:firstLine="210"/>
              <w:rPr>
                <w:rFonts w:ascii="宋体" w:hAnsi="宋体" w:cs="宋体"/>
                <w:bCs/>
                <w:szCs w:val="21"/>
              </w:rPr>
            </w:pPr>
            <w:r>
              <w:rPr>
                <w:rFonts w:hint="eastAsia" w:ascii="宋体" w:hAnsi="宋体" w:cs="宋体"/>
                <w:bCs/>
                <w:szCs w:val="21"/>
              </w:rPr>
              <w:t>质疑人为自然人的，应当由本人签字并附有效身份证明；质疑人为法人或其他组织的，应当由法定代表人、主要负责人，或者其授权代表签署本人姓名或印盖本人姓名章并加盖单位公章。</w:t>
            </w:r>
          </w:p>
          <w:p w14:paraId="0BF51E80">
            <w:pPr>
              <w:keepLines/>
              <w:spacing w:line="440" w:lineRule="exact"/>
              <w:rPr>
                <w:rFonts w:ascii="宋体" w:hAnsi="宋体" w:cs="宋体"/>
                <w:bCs/>
                <w:szCs w:val="21"/>
              </w:rPr>
            </w:pPr>
            <w:r>
              <w:rPr>
                <w:rFonts w:hint="eastAsia" w:ascii="宋体" w:hAnsi="宋体" w:cs="宋体"/>
                <w:bCs/>
                <w:szCs w:val="21"/>
              </w:rPr>
              <w:t>（3）质疑供应商若对项目的某一分包进行质疑，质疑函中应列明具体分包号。</w:t>
            </w:r>
          </w:p>
          <w:p w14:paraId="559FC461">
            <w:pPr>
              <w:keepLines/>
              <w:spacing w:line="440" w:lineRule="exact"/>
              <w:rPr>
                <w:rFonts w:ascii="宋体" w:hAnsi="宋体" w:cs="宋体"/>
                <w:bCs/>
                <w:szCs w:val="21"/>
              </w:rPr>
            </w:pPr>
            <w:r>
              <w:rPr>
                <w:rFonts w:hint="eastAsia" w:ascii="宋体" w:hAnsi="宋体" w:cs="宋体"/>
                <w:bCs/>
                <w:szCs w:val="21"/>
              </w:rPr>
              <w:t>（4）质疑供应商若委托代理人进行质疑的，质疑函应按响应文件要求列明“授权代表”的有关内容，并在附件中提交由质疑供应商签署的授权委托书。授权委托书应载明代理人的姓名或者名称、代理事项、具体权限、期限和相关事项。</w:t>
            </w:r>
          </w:p>
          <w:p w14:paraId="6D3D99B3">
            <w:pPr>
              <w:keepLines/>
              <w:spacing w:line="440" w:lineRule="exact"/>
              <w:rPr>
                <w:rFonts w:ascii="宋体" w:hAnsi="宋体" w:cs="宋体"/>
                <w:bCs/>
                <w:color w:val="000000"/>
                <w:szCs w:val="21"/>
              </w:rPr>
            </w:pPr>
            <w:r>
              <w:rPr>
                <w:rFonts w:hint="eastAsia" w:ascii="宋体" w:hAnsi="宋体" w:cs="宋体"/>
                <w:bCs/>
                <w:szCs w:val="21"/>
              </w:rPr>
              <w:t>（5）</w:t>
            </w:r>
            <w:r>
              <w:rPr>
                <w:rFonts w:hint="eastAsia" w:ascii="宋体" w:hAnsi="宋体" w:cs="宋体"/>
                <w:bCs/>
                <w:color w:val="000000"/>
                <w:szCs w:val="21"/>
              </w:rPr>
              <w:t>质疑人是指直接参加本项目采购活动的供应商，未参加投标活动的供应商或在投标活动中自身权益未受到损害的供应商所提出的质疑不予受理。对采购文件提出质疑的，自供应商收到响应文件之日起或响应文件公告期限届满之日计算；对采购过程提出质疑的，自采购程序环节结束之日起计算；对中标结果提出质疑的，自中标结果公告期限届满之日计算。</w:t>
            </w:r>
          </w:p>
          <w:p w14:paraId="6F3E4769">
            <w:pPr>
              <w:keepLines/>
              <w:spacing w:line="440" w:lineRule="exact"/>
              <w:rPr>
                <w:rFonts w:ascii="宋体" w:hAnsi="宋体" w:cs="宋体"/>
                <w:bCs/>
                <w:szCs w:val="21"/>
              </w:rPr>
            </w:pPr>
            <w:r>
              <w:rPr>
                <w:rFonts w:hint="eastAsia" w:ascii="宋体" w:hAnsi="宋体" w:cs="宋体"/>
                <w:bCs/>
                <w:szCs w:val="21"/>
              </w:rPr>
              <w:t>（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434669D3">
            <w:pPr>
              <w:keepLines/>
              <w:spacing w:line="440" w:lineRule="exact"/>
              <w:rPr>
                <w:rFonts w:ascii="宋体" w:hAnsi="宋体" w:cs="宋体"/>
                <w:bCs/>
                <w:szCs w:val="21"/>
              </w:rPr>
            </w:pPr>
            <w:r>
              <w:rPr>
                <w:rFonts w:hint="eastAsia" w:ascii="宋体" w:hAnsi="宋体" w:cs="宋体"/>
                <w:bCs/>
                <w:szCs w:val="21"/>
              </w:rPr>
              <w:t>（7）本项目质疑函的联系部门、联系电话和通讯地址如下：</w:t>
            </w:r>
          </w:p>
          <w:p w14:paraId="7F56A608">
            <w:pPr>
              <w:keepLines/>
              <w:spacing w:line="440" w:lineRule="exact"/>
              <w:ind w:firstLine="210"/>
              <w:rPr>
                <w:rFonts w:ascii="宋体" w:hAnsi="宋体" w:cs="宋体"/>
                <w:bCs/>
                <w:szCs w:val="21"/>
              </w:rPr>
            </w:pPr>
            <w:r>
              <w:rPr>
                <w:rFonts w:hint="eastAsia" w:ascii="宋体" w:hAnsi="宋体" w:cs="宋体"/>
                <w:bCs/>
                <w:szCs w:val="21"/>
              </w:rPr>
              <w:t>联系部门：苏美达国际技术贸易有限公司</w:t>
            </w:r>
          </w:p>
          <w:p w14:paraId="3A2C6DB4">
            <w:pPr>
              <w:keepLines/>
              <w:spacing w:line="440" w:lineRule="exact"/>
              <w:ind w:firstLine="210"/>
              <w:rPr>
                <w:rFonts w:ascii="宋体" w:hAnsi="宋体" w:cs="宋体"/>
                <w:bCs/>
                <w:szCs w:val="21"/>
              </w:rPr>
            </w:pPr>
            <w:r>
              <w:rPr>
                <w:rFonts w:hint="eastAsia" w:ascii="宋体" w:hAnsi="宋体" w:cs="宋体"/>
                <w:bCs/>
                <w:szCs w:val="21"/>
              </w:rPr>
              <w:t>联系电话</w:t>
            </w:r>
            <w:r>
              <w:rPr>
                <w:rFonts w:hint="eastAsia" w:ascii="宋体" w:hAnsi="宋体" w:cs="宋体"/>
                <w:bCs/>
                <w:szCs w:val="21"/>
                <w:highlight w:val="none"/>
              </w:rPr>
              <w:t>：</w:t>
            </w:r>
            <w:r>
              <w:rPr>
                <w:rFonts w:hint="eastAsia" w:ascii="宋体" w:hAnsi="宋体" w:cs="宋体"/>
                <w:bCs/>
                <w:szCs w:val="21"/>
                <w:highlight w:val="none"/>
                <w:lang w:val="en-US" w:eastAsia="zh-CN"/>
              </w:rPr>
              <w:t>周翠025-84531056</w:t>
            </w:r>
          </w:p>
          <w:p w14:paraId="55796257">
            <w:pPr>
              <w:keepLines/>
              <w:spacing w:line="440" w:lineRule="exact"/>
              <w:ind w:firstLine="210"/>
              <w:rPr>
                <w:rFonts w:ascii="宋体" w:hAnsi="宋体" w:cs="宋体"/>
                <w:b/>
                <w:bCs/>
                <w:szCs w:val="21"/>
              </w:rPr>
            </w:pPr>
            <w:r>
              <w:rPr>
                <w:rFonts w:hint="eastAsia" w:ascii="宋体" w:hAnsi="宋体" w:cs="宋体"/>
                <w:bCs/>
                <w:szCs w:val="21"/>
              </w:rPr>
              <w:t>通讯地址：</w:t>
            </w:r>
            <w:r>
              <w:rPr>
                <w:rFonts w:hint="eastAsia" w:ascii="宋体" w:hAnsi="宋体" w:cs="宋体"/>
                <w:szCs w:val="21"/>
              </w:rPr>
              <w:t>江苏省南京市长江路198号苏美达大厦</w:t>
            </w:r>
          </w:p>
        </w:tc>
      </w:tr>
      <w:tr w14:paraId="04F25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trPr>
        <w:tc>
          <w:tcPr>
            <w:tcW w:w="766" w:type="dxa"/>
            <w:vAlign w:val="center"/>
          </w:tcPr>
          <w:p w14:paraId="21C87CA2">
            <w:pPr>
              <w:spacing w:line="440" w:lineRule="exact"/>
              <w:jc w:val="center"/>
              <w:rPr>
                <w:rFonts w:ascii="宋体" w:hAnsi="宋体" w:cs="宋体"/>
                <w:bCs/>
                <w:szCs w:val="21"/>
              </w:rPr>
            </w:pPr>
            <w:r>
              <w:rPr>
                <w:rFonts w:hint="eastAsia" w:ascii="宋体" w:hAnsi="宋体" w:cs="宋体"/>
                <w:bCs/>
                <w:szCs w:val="21"/>
              </w:rPr>
              <w:t>15</w:t>
            </w:r>
          </w:p>
        </w:tc>
        <w:tc>
          <w:tcPr>
            <w:tcW w:w="8980" w:type="dxa"/>
            <w:vAlign w:val="center"/>
          </w:tcPr>
          <w:p w14:paraId="236215FD">
            <w:pPr>
              <w:widowControl/>
              <w:shd w:val="clear" w:color="auto" w:fill="FFFFFF"/>
              <w:spacing w:line="440" w:lineRule="exact"/>
              <w:rPr>
                <w:rFonts w:ascii="宋体" w:hAnsi="宋体" w:cs="宋体"/>
                <w:szCs w:val="21"/>
              </w:rPr>
            </w:pPr>
            <w:r>
              <w:rPr>
                <w:rFonts w:hint="eastAsia" w:ascii="宋体" w:hAnsi="宋体" w:cs="宋体"/>
                <w:b/>
                <w:bCs/>
                <w:szCs w:val="21"/>
              </w:rPr>
              <w:t xml:space="preserve">磋商报价不得超过采购公告、采购文件规定的预算价或最高限价，超过规定的预算价或最高限价的响应文件，按无效响应处理。 </w:t>
            </w:r>
          </w:p>
        </w:tc>
      </w:tr>
    </w:tbl>
    <w:p w14:paraId="2A739D3C">
      <w:pPr>
        <w:rPr>
          <w:rFonts w:hint="eastAsia" w:ascii="宋体" w:hAnsi="宋体" w:cs="宋体"/>
          <w:b/>
          <w:bCs/>
          <w:szCs w:val="21"/>
        </w:rPr>
      </w:pPr>
      <w:bookmarkStart w:id="63" w:name="_Toc8580"/>
      <w:bookmarkStart w:id="64" w:name="_Toc10948"/>
      <w:bookmarkStart w:id="65" w:name="_Toc17151"/>
      <w:bookmarkStart w:id="66" w:name="_Toc4722"/>
      <w:r>
        <w:rPr>
          <w:rFonts w:hint="eastAsia" w:ascii="宋体" w:hAnsi="宋体" w:cs="宋体"/>
          <w:b/>
          <w:bCs/>
          <w:szCs w:val="21"/>
        </w:rPr>
        <w:br w:type="page"/>
      </w:r>
    </w:p>
    <w:p w14:paraId="609FFBF9">
      <w:pPr>
        <w:widowControl/>
        <w:shd w:val="clear" w:color="auto" w:fill="FFFFFF"/>
        <w:spacing w:line="360" w:lineRule="auto"/>
        <w:ind w:firstLine="422" w:firstLineChars="200"/>
        <w:outlineLvl w:val="1"/>
        <w:rPr>
          <w:rFonts w:ascii="宋体" w:hAnsi="宋体" w:cs="宋体"/>
          <w:b/>
          <w:bCs/>
          <w:szCs w:val="21"/>
        </w:rPr>
      </w:pPr>
      <w:r>
        <w:rPr>
          <w:rFonts w:hint="eastAsia" w:ascii="宋体" w:hAnsi="宋体" w:cs="宋体"/>
          <w:b/>
          <w:bCs/>
          <w:szCs w:val="21"/>
        </w:rPr>
        <w:t>一、总 则</w:t>
      </w:r>
      <w:bookmarkEnd w:id="63"/>
      <w:bookmarkEnd w:id="64"/>
      <w:bookmarkEnd w:id="65"/>
      <w:bookmarkEnd w:id="66"/>
    </w:p>
    <w:p w14:paraId="7492759E">
      <w:pPr>
        <w:spacing w:line="360" w:lineRule="auto"/>
        <w:ind w:firstLine="422" w:firstLineChars="200"/>
        <w:outlineLvl w:val="2"/>
        <w:rPr>
          <w:rFonts w:ascii="宋体" w:hAnsi="宋体" w:cs="宋体"/>
          <w:b/>
          <w:szCs w:val="21"/>
          <w:lang w:val="zh-CN"/>
        </w:rPr>
      </w:pPr>
      <w:bookmarkStart w:id="67" w:name="_Toc3951"/>
      <w:bookmarkStart w:id="68" w:name="_Toc9594"/>
      <w:bookmarkStart w:id="69" w:name="_Toc21738"/>
      <w:bookmarkStart w:id="70" w:name="_Toc4695"/>
      <w:bookmarkStart w:id="71" w:name="_Toc25955"/>
      <w:bookmarkStart w:id="72" w:name="_Toc458694821"/>
      <w:bookmarkStart w:id="73" w:name="_Toc513029204"/>
      <w:bookmarkStart w:id="74" w:name="_Toc16938520"/>
      <w:bookmarkStart w:id="75" w:name="_Toc24947"/>
      <w:bookmarkStart w:id="76" w:name="_Toc20823276"/>
      <w:r>
        <w:rPr>
          <w:rFonts w:hint="eastAsia" w:ascii="宋体" w:hAnsi="宋体" w:cs="宋体"/>
          <w:b/>
          <w:bCs/>
          <w:szCs w:val="21"/>
          <w:lang w:val="zh-CN"/>
        </w:rPr>
        <w:t>1.</w:t>
      </w:r>
      <w:r>
        <w:rPr>
          <w:rFonts w:hint="eastAsia" w:ascii="宋体" w:hAnsi="宋体" w:cs="宋体"/>
          <w:b/>
          <w:szCs w:val="21"/>
          <w:lang w:val="zh-CN"/>
        </w:rPr>
        <w:t>适用法律</w:t>
      </w:r>
      <w:bookmarkEnd w:id="67"/>
      <w:bookmarkEnd w:id="68"/>
      <w:bookmarkEnd w:id="69"/>
      <w:bookmarkEnd w:id="70"/>
      <w:bookmarkEnd w:id="71"/>
    </w:p>
    <w:p w14:paraId="31B71966">
      <w:pPr>
        <w:spacing w:line="360" w:lineRule="auto"/>
        <w:ind w:firstLine="420" w:firstLineChars="200"/>
        <w:rPr>
          <w:rFonts w:ascii="宋体" w:hAnsi="宋体" w:cs="宋体"/>
          <w:szCs w:val="21"/>
          <w:lang w:val="zh-CN"/>
        </w:rPr>
      </w:pPr>
      <w:bookmarkStart w:id="77" w:name="_Toc6182"/>
      <w:bookmarkStart w:id="78" w:name="_Toc2953"/>
      <w:r>
        <w:rPr>
          <w:rFonts w:hint="eastAsia" w:ascii="宋体" w:hAnsi="宋体" w:cs="宋体"/>
          <w:szCs w:val="21"/>
          <w:lang w:val="zh-CN"/>
        </w:rPr>
        <w:t>1.1 执行</w:t>
      </w:r>
      <w:bookmarkStart w:id="79" w:name="_Toc27367"/>
      <w:bookmarkStart w:id="80" w:name="_Toc29463"/>
      <w:bookmarkStart w:id="81" w:name="_Toc10994"/>
      <w:bookmarkStart w:id="82" w:name="_Toc23120"/>
      <w:r>
        <w:rPr>
          <w:rFonts w:hint="eastAsia" w:ascii="宋体" w:hAnsi="宋体" w:cs="宋体"/>
          <w:szCs w:val="21"/>
          <w:lang w:val="zh-CN"/>
        </w:rPr>
        <w:t>《中华人民共和国政府采购法》、《中华人民共和国政府采购法实施条例》、《政府采购竞争性磋商采购方式管理暂行办法》等有关法律、规章和规定等。</w:t>
      </w:r>
      <w:bookmarkEnd w:id="77"/>
      <w:bookmarkEnd w:id="78"/>
    </w:p>
    <w:p w14:paraId="58562037">
      <w:pPr>
        <w:spacing w:line="360" w:lineRule="auto"/>
        <w:ind w:firstLine="422" w:firstLineChars="200"/>
        <w:outlineLvl w:val="2"/>
        <w:rPr>
          <w:rFonts w:ascii="宋体" w:hAnsi="宋体" w:cs="宋体"/>
          <w:b/>
          <w:szCs w:val="21"/>
          <w:lang w:val="zh-CN"/>
        </w:rPr>
      </w:pPr>
      <w:bookmarkStart w:id="83" w:name="_Toc22972"/>
      <w:r>
        <w:rPr>
          <w:rFonts w:hint="eastAsia" w:ascii="宋体" w:hAnsi="宋体" w:cs="宋体"/>
          <w:b/>
          <w:bCs/>
          <w:szCs w:val="21"/>
          <w:lang w:val="zh-CN"/>
        </w:rPr>
        <w:t>2.</w:t>
      </w:r>
      <w:r>
        <w:rPr>
          <w:rFonts w:hint="eastAsia" w:ascii="宋体" w:hAnsi="宋体" w:cs="宋体"/>
          <w:b/>
          <w:szCs w:val="21"/>
          <w:lang w:val="zh-CN"/>
        </w:rPr>
        <w:t>定义</w:t>
      </w:r>
      <w:bookmarkEnd w:id="72"/>
      <w:bookmarkEnd w:id="73"/>
      <w:bookmarkEnd w:id="74"/>
      <w:bookmarkEnd w:id="75"/>
      <w:bookmarkEnd w:id="76"/>
      <w:bookmarkEnd w:id="79"/>
      <w:bookmarkEnd w:id="80"/>
      <w:bookmarkEnd w:id="81"/>
      <w:bookmarkEnd w:id="82"/>
      <w:bookmarkEnd w:id="83"/>
    </w:p>
    <w:p w14:paraId="7B1EC6BA">
      <w:pPr>
        <w:spacing w:line="360" w:lineRule="auto"/>
        <w:ind w:firstLine="420" w:firstLineChars="200"/>
        <w:rPr>
          <w:rFonts w:ascii="宋体" w:hAnsi="宋体" w:cs="宋体"/>
          <w:bCs/>
          <w:szCs w:val="21"/>
        </w:rPr>
      </w:pPr>
      <w:r>
        <w:rPr>
          <w:rFonts w:hint="eastAsia" w:ascii="宋体" w:hAnsi="宋体" w:cs="宋体"/>
          <w:szCs w:val="21"/>
        </w:rPr>
        <w:t>2.1本文件</w:t>
      </w:r>
      <w:r>
        <w:rPr>
          <w:rFonts w:hint="eastAsia" w:ascii="宋体" w:hAnsi="宋体" w:cs="宋体"/>
          <w:bCs/>
          <w:szCs w:val="21"/>
        </w:rPr>
        <w:t xml:space="preserve">中采购代理机构为 </w:t>
      </w:r>
      <w:r>
        <w:rPr>
          <w:rFonts w:hint="eastAsia" w:ascii="宋体" w:hAnsi="宋体" w:cs="宋体"/>
          <w:b/>
          <w:szCs w:val="21"/>
          <w:u w:val="single"/>
        </w:rPr>
        <w:t>苏美达国际技术贸易有限公司</w:t>
      </w:r>
      <w:r>
        <w:rPr>
          <w:rFonts w:hint="eastAsia" w:ascii="宋体" w:hAnsi="宋体" w:cs="宋体"/>
          <w:bCs/>
          <w:szCs w:val="21"/>
        </w:rPr>
        <w:t>；采购人为</w:t>
      </w:r>
      <w:r>
        <w:rPr>
          <w:rFonts w:hint="eastAsia" w:ascii="宋体" w:hAnsi="宋体" w:cs="宋体"/>
          <w:b/>
          <w:szCs w:val="21"/>
          <w:u w:val="single"/>
        </w:rPr>
        <w:t>江苏省美术馆</w:t>
      </w:r>
      <w:r>
        <w:rPr>
          <w:rFonts w:hint="eastAsia" w:ascii="宋体" w:hAnsi="宋体" w:cs="宋体"/>
          <w:bCs/>
          <w:szCs w:val="21"/>
        </w:rPr>
        <w:t>；响应人（亦称供应商）系指参加投标竞争并满足响应文件资格要求规定的法人、其他组织或者自然人。</w:t>
      </w:r>
    </w:p>
    <w:p w14:paraId="66BACB39">
      <w:pPr>
        <w:spacing w:line="360" w:lineRule="auto"/>
        <w:ind w:firstLine="420" w:firstLineChars="200"/>
        <w:rPr>
          <w:rFonts w:ascii="宋体" w:hAnsi="宋体" w:cs="宋体"/>
          <w:bCs/>
          <w:szCs w:val="21"/>
        </w:rPr>
      </w:pPr>
      <w:r>
        <w:rPr>
          <w:rFonts w:hint="eastAsia" w:ascii="宋体" w:hAnsi="宋体" w:cs="宋体"/>
          <w:bCs/>
          <w:szCs w:val="21"/>
        </w:rPr>
        <w:t>2.2“货物和服务”指本文件中所述产品及相关货物和服务。</w:t>
      </w:r>
    </w:p>
    <w:p w14:paraId="27133B13">
      <w:pPr>
        <w:spacing w:line="360" w:lineRule="auto"/>
        <w:ind w:firstLine="420" w:firstLineChars="200"/>
        <w:rPr>
          <w:rFonts w:ascii="宋体" w:hAnsi="宋体" w:cs="宋体"/>
          <w:bCs/>
          <w:szCs w:val="21"/>
        </w:rPr>
      </w:pPr>
      <w:r>
        <w:rPr>
          <w:rFonts w:hint="eastAsia" w:ascii="宋体" w:hAnsi="宋体" w:cs="宋体"/>
          <w:bCs/>
          <w:szCs w:val="21"/>
        </w:rPr>
        <w:t>2.3“用户或使用单位”指使用</w:t>
      </w:r>
      <w:r>
        <w:rPr>
          <w:rFonts w:hint="eastAsia" w:ascii="宋体" w:hAnsi="宋体" w:cs="宋体"/>
          <w:szCs w:val="21"/>
          <w:lang w:val="zh-CN"/>
        </w:rPr>
        <w:t>货物、服务的</w:t>
      </w:r>
      <w:r>
        <w:rPr>
          <w:rFonts w:hint="eastAsia" w:ascii="宋体" w:hAnsi="宋体" w:cs="宋体"/>
          <w:bCs/>
          <w:szCs w:val="21"/>
        </w:rPr>
        <w:t>单位。</w:t>
      </w:r>
    </w:p>
    <w:p w14:paraId="27CE1AED">
      <w:pPr>
        <w:spacing w:line="360" w:lineRule="auto"/>
        <w:ind w:firstLine="422" w:firstLineChars="200"/>
        <w:outlineLvl w:val="2"/>
        <w:rPr>
          <w:rFonts w:ascii="宋体" w:hAnsi="宋体" w:cs="宋体"/>
          <w:b/>
          <w:bCs/>
          <w:szCs w:val="21"/>
        </w:rPr>
      </w:pPr>
      <w:bookmarkStart w:id="84" w:name="_Toc13479"/>
      <w:bookmarkStart w:id="85" w:name="_Toc19685"/>
      <w:bookmarkStart w:id="86" w:name="_Toc29913"/>
      <w:bookmarkStart w:id="87" w:name="_Toc9659"/>
      <w:bookmarkStart w:id="88" w:name="_Toc11967"/>
      <w:bookmarkStart w:id="89" w:name="_Toc120614215"/>
      <w:bookmarkStart w:id="90" w:name="_Toc16938525"/>
      <w:bookmarkStart w:id="91" w:name="_Toc20823281"/>
      <w:bookmarkStart w:id="92" w:name="_Toc513029209"/>
      <w:r>
        <w:rPr>
          <w:rFonts w:hint="eastAsia" w:ascii="宋体" w:hAnsi="宋体" w:cs="宋体"/>
          <w:b/>
          <w:bCs/>
          <w:szCs w:val="21"/>
          <w:lang w:val="zh-CN"/>
        </w:rPr>
        <w:t>3.政策功能</w:t>
      </w:r>
      <w:bookmarkEnd w:id="84"/>
      <w:r>
        <w:rPr>
          <w:rFonts w:hint="eastAsia" w:ascii="宋体" w:hAnsi="宋体" w:cs="宋体"/>
          <w:b/>
          <w:bCs/>
          <w:szCs w:val="21"/>
          <w:lang w:val="zh-CN"/>
        </w:rPr>
        <w:t>：</w:t>
      </w:r>
      <w:bookmarkEnd w:id="85"/>
      <w:bookmarkEnd w:id="86"/>
      <w:bookmarkEnd w:id="87"/>
    </w:p>
    <w:p w14:paraId="28EBB377">
      <w:pPr>
        <w:spacing w:line="360" w:lineRule="auto"/>
        <w:ind w:firstLine="420" w:firstLineChars="200"/>
        <w:rPr>
          <w:rFonts w:ascii="宋体" w:hAnsi="宋体" w:cs="宋体"/>
          <w:bCs/>
          <w:szCs w:val="21"/>
        </w:rPr>
      </w:pPr>
      <w:r>
        <w:rPr>
          <w:rFonts w:hint="eastAsia" w:ascii="宋体" w:hAnsi="宋体" w:cs="宋体"/>
          <w:bCs/>
          <w:szCs w:val="21"/>
        </w:rPr>
        <w:t>3.1促进中小企业发展政策：</w:t>
      </w:r>
    </w:p>
    <w:p w14:paraId="7550AD00">
      <w:pPr>
        <w:spacing w:line="360" w:lineRule="auto"/>
        <w:ind w:firstLine="420" w:firstLineChars="200"/>
        <w:rPr>
          <w:rFonts w:ascii="宋体" w:hAnsi="宋体" w:cs="宋体"/>
          <w:bCs/>
          <w:szCs w:val="21"/>
        </w:rPr>
      </w:pPr>
      <w:r>
        <w:rPr>
          <w:rFonts w:hint="eastAsia" w:ascii="宋体" w:hAnsi="宋体" w:cs="宋体"/>
          <w:bCs/>
          <w:szCs w:val="21"/>
        </w:rPr>
        <w:t>（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p>
    <w:p w14:paraId="3309D1DC">
      <w:pPr>
        <w:spacing w:line="360" w:lineRule="auto"/>
        <w:ind w:firstLine="420" w:firstLineChars="200"/>
        <w:rPr>
          <w:rFonts w:ascii="宋体" w:hAnsi="宋体" w:cs="宋体"/>
          <w:bCs/>
          <w:szCs w:val="21"/>
        </w:rPr>
      </w:pPr>
      <w:r>
        <w:rPr>
          <w:rFonts w:hint="eastAsia" w:ascii="宋体" w:hAnsi="宋体" w:cs="宋体"/>
          <w:bCs/>
          <w:szCs w:val="21"/>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p>
    <w:p w14:paraId="1AC4BE50">
      <w:pPr>
        <w:spacing w:line="360" w:lineRule="auto"/>
        <w:ind w:firstLine="420" w:firstLineChars="200"/>
        <w:rPr>
          <w:rFonts w:ascii="宋体" w:hAnsi="宋体" w:cs="宋体"/>
          <w:bCs/>
          <w:szCs w:val="21"/>
        </w:rPr>
      </w:pPr>
      <w:r>
        <w:rPr>
          <w:rFonts w:hint="eastAsia" w:ascii="宋体" w:hAnsi="宋体" w:cs="宋体"/>
          <w:bCs/>
          <w:szCs w:val="21"/>
        </w:rPr>
        <w:t>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08C5D14B">
      <w:pPr>
        <w:spacing w:line="360" w:lineRule="auto"/>
        <w:ind w:firstLine="420" w:firstLineChars="200"/>
        <w:rPr>
          <w:rFonts w:ascii="宋体" w:hAnsi="宋体" w:cs="宋体"/>
          <w:bCs/>
          <w:szCs w:val="21"/>
        </w:rPr>
      </w:pPr>
      <w:r>
        <w:rPr>
          <w:rFonts w:hint="eastAsia" w:ascii="宋体" w:hAnsi="宋体" w:cs="宋体"/>
          <w:bCs/>
          <w:szCs w:val="21"/>
        </w:rPr>
        <w:t>（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p>
    <w:p w14:paraId="27FACFA3">
      <w:pPr>
        <w:spacing w:line="360" w:lineRule="auto"/>
        <w:ind w:firstLine="420" w:firstLineChars="200"/>
        <w:rPr>
          <w:rFonts w:ascii="宋体" w:hAnsi="宋体" w:cs="宋体"/>
          <w:bCs/>
          <w:szCs w:val="21"/>
        </w:rPr>
      </w:pPr>
      <w:r>
        <w:rPr>
          <w:rFonts w:hint="eastAsia" w:ascii="宋体" w:hAnsi="宋体" w:cs="宋体"/>
          <w:bCs/>
          <w:szCs w:val="21"/>
        </w:rPr>
        <w:t>（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p>
    <w:p w14:paraId="5BFC6C31">
      <w:pPr>
        <w:spacing w:line="360" w:lineRule="auto"/>
        <w:ind w:firstLine="420" w:firstLineChars="200"/>
        <w:rPr>
          <w:rFonts w:ascii="宋体" w:hAnsi="宋体" w:cs="宋体"/>
          <w:bCs/>
          <w:szCs w:val="21"/>
        </w:rPr>
      </w:pPr>
      <w:r>
        <w:rPr>
          <w:rFonts w:hint="eastAsia" w:ascii="宋体" w:hAnsi="宋体" w:cs="宋体"/>
          <w:bCs/>
          <w:szCs w:val="21"/>
        </w:rPr>
        <w:t>3.2节能产品、环境标志产品政策</w:t>
      </w:r>
    </w:p>
    <w:p w14:paraId="7DCF74AE">
      <w:pPr>
        <w:spacing w:line="360" w:lineRule="auto"/>
        <w:ind w:firstLine="420" w:firstLineChars="200"/>
        <w:rPr>
          <w:rFonts w:ascii="宋体" w:hAnsi="宋体" w:cs="宋体"/>
          <w:bCs/>
          <w:szCs w:val="21"/>
        </w:rPr>
      </w:pPr>
      <w:r>
        <w:rPr>
          <w:rFonts w:hint="eastAsia" w:ascii="宋体" w:hAnsi="宋体" w:cs="宋体"/>
          <w:bCs/>
          <w:szCs w:val="21"/>
        </w:rPr>
        <w:t>（1）政府采购节能产品、环境标志产品实施品目清单管理。</w:t>
      </w:r>
    </w:p>
    <w:p w14:paraId="1ABC3219">
      <w:pPr>
        <w:spacing w:line="360" w:lineRule="auto"/>
        <w:ind w:firstLine="420" w:firstLineChars="200"/>
        <w:rPr>
          <w:rFonts w:ascii="宋体" w:hAnsi="宋体" w:cs="宋体"/>
          <w:bCs/>
          <w:szCs w:val="21"/>
        </w:rPr>
      </w:pPr>
      <w:r>
        <w:rPr>
          <w:rFonts w:hint="eastAsia" w:ascii="宋体" w:hAnsi="宋体" w:cs="宋体"/>
          <w:bCs/>
          <w:szCs w:val="21"/>
        </w:rPr>
        <w:t>（2）拟采购产品属于节能产品、环境标志产品品目清单规定必须强制采购的，实行强制采购。</w:t>
      </w:r>
    </w:p>
    <w:p w14:paraId="40DA985D">
      <w:pPr>
        <w:spacing w:line="360" w:lineRule="auto"/>
        <w:ind w:firstLine="420" w:firstLineChars="200"/>
        <w:rPr>
          <w:rFonts w:ascii="宋体" w:hAnsi="宋体" w:cs="宋体"/>
          <w:bCs/>
          <w:szCs w:val="21"/>
        </w:rPr>
      </w:pPr>
      <w:r>
        <w:rPr>
          <w:rFonts w:hint="eastAsia" w:ascii="宋体" w:hAnsi="宋体" w:cs="宋体"/>
          <w:bCs/>
          <w:szCs w:val="21"/>
        </w:rPr>
        <w:t>（3）拟采购产品属于节能产品、环境标志产品品目清单规定优先采购的，在性能、技术、服务等指标同等条件下，实行优先采购，优先采购的评审标准详见本响应文件第三章。</w:t>
      </w:r>
    </w:p>
    <w:p w14:paraId="1D13F2DE">
      <w:pPr>
        <w:spacing w:line="360" w:lineRule="auto"/>
        <w:ind w:firstLine="420" w:firstLineChars="200"/>
        <w:rPr>
          <w:rFonts w:ascii="宋体" w:hAnsi="宋体" w:cs="宋体"/>
          <w:bCs/>
          <w:szCs w:val="21"/>
        </w:rPr>
      </w:pPr>
      <w:r>
        <w:rPr>
          <w:rFonts w:hint="eastAsia" w:ascii="宋体" w:hAnsi="宋体" w:cs="宋体"/>
          <w:bCs/>
          <w:szCs w:val="21"/>
        </w:rPr>
        <w:t>（4）参加政府采购活动的节能产品、环境标志产品供应商应当提供国家确定的认证机构出具的、处于有效期之内的节能产品、环境标志产品认证证书。</w:t>
      </w:r>
    </w:p>
    <w:p w14:paraId="2158E247">
      <w:pPr>
        <w:spacing w:line="360" w:lineRule="auto"/>
        <w:ind w:firstLine="420" w:firstLineChars="200"/>
        <w:rPr>
          <w:rFonts w:ascii="宋体" w:hAnsi="宋体" w:cs="宋体"/>
          <w:b/>
          <w:bCs/>
          <w:szCs w:val="21"/>
        </w:rPr>
      </w:pPr>
      <w:r>
        <w:rPr>
          <w:rFonts w:hint="eastAsia" w:ascii="宋体" w:hAnsi="宋体" w:cs="宋体"/>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p>
    <w:p w14:paraId="69ED7709">
      <w:pPr>
        <w:spacing w:line="360" w:lineRule="auto"/>
        <w:ind w:firstLine="420" w:firstLineChars="200"/>
        <w:rPr>
          <w:rFonts w:ascii="宋体" w:hAnsi="宋体" w:cs="宋体"/>
          <w:bCs/>
          <w:szCs w:val="21"/>
        </w:rPr>
      </w:pPr>
      <w:r>
        <w:rPr>
          <w:rFonts w:hint="eastAsia" w:ascii="宋体" w:hAnsi="宋体" w:cs="宋体"/>
          <w:bCs/>
          <w:szCs w:val="21"/>
        </w:rPr>
        <w:t>3.4提供的产品属于信息安全产品的，供应商应当选择经国家认证的信息安全产品投标，并提供由中国信息安全认证中心按国家标准认证颁发的有效认证证书复印件。</w:t>
      </w:r>
    </w:p>
    <w:p w14:paraId="55FC8BC7">
      <w:pPr>
        <w:spacing w:line="360" w:lineRule="auto"/>
        <w:ind w:firstLine="420" w:firstLineChars="200"/>
        <w:rPr>
          <w:rFonts w:ascii="宋体" w:hAnsi="宋体" w:cs="宋体"/>
          <w:bCs/>
          <w:szCs w:val="21"/>
        </w:rPr>
      </w:pPr>
      <w:r>
        <w:rPr>
          <w:rFonts w:hint="eastAsia" w:ascii="宋体" w:hAnsi="宋体" w:cs="宋体"/>
          <w:bCs/>
          <w:szCs w:val="21"/>
        </w:rPr>
        <w:t>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p>
    <w:p w14:paraId="548B46A1">
      <w:pPr>
        <w:spacing w:line="360" w:lineRule="auto"/>
        <w:ind w:firstLine="420" w:firstLineChars="200"/>
        <w:rPr>
          <w:rFonts w:ascii="宋体" w:hAnsi="宋体" w:cs="宋体"/>
          <w:bCs/>
          <w:szCs w:val="21"/>
        </w:rPr>
      </w:pPr>
      <w:r>
        <w:rPr>
          <w:rFonts w:hint="eastAsia" w:ascii="宋体" w:hAnsi="宋体" w:cs="宋体"/>
          <w:bCs/>
          <w:szCs w:val="21"/>
        </w:rPr>
        <w:t>3.6为推进社会诚信体系建设，根据财政部等政策要求，在政府采购活动中查询、使用信用记录，推进政府采购领域联合惩戒工作。</w:t>
      </w:r>
    </w:p>
    <w:p w14:paraId="7E21798F">
      <w:pPr>
        <w:spacing w:line="360" w:lineRule="auto"/>
        <w:ind w:firstLine="420" w:firstLineChars="200"/>
        <w:rPr>
          <w:rFonts w:ascii="宋体" w:hAnsi="宋体" w:cs="宋体"/>
          <w:bCs/>
          <w:szCs w:val="21"/>
        </w:rPr>
      </w:pPr>
      <w:r>
        <w:rPr>
          <w:rFonts w:hint="eastAsia" w:ascii="宋体" w:hAnsi="宋体" w:cs="宋体"/>
          <w:bCs/>
          <w:szCs w:val="21"/>
        </w:rPr>
        <w:t>在政府采购活动中，通过“信用中国”、“中国政府采购网”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p>
    <w:p w14:paraId="65415271">
      <w:pPr>
        <w:spacing w:line="360" w:lineRule="auto"/>
        <w:ind w:firstLine="420" w:firstLineChars="200"/>
        <w:rPr>
          <w:rFonts w:ascii="宋体" w:hAnsi="宋体" w:cs="宋体"/>
          <w:bCs/>
          <w:szCs w:val="21"/>
        </w:rPr>
      </w:pPr>
      <w:r>
        <w:rPr>
          <w:rFonts w:hint="eastAsia" w:ascii="宋体" w:hAnsi="宋体" w:cs="宋体"/>
          <w:bCs/>
          <w:szCs w:val="21"/>
        </w:rPr>
        <w:t>3.7采购本国产品的支持政策：</w:t>
      </w:r>
    </w:p>
    <w:p w14:paraId="16049DAF">
      <w:pPr>
        <w:spacing w:line="360" w:lineRule="auto"/>
        <w:ind w:firstLine="420" w:firstLineChars="200"/>
        <w:rPr>
          <w:rFonts w:ascii="宋体" w:hAnsi="宋体" w:cs="宋体"/>
          <w:bCs/>
          <w:szCs w:val="21"/>
        </w:rPr>
      </w:pPr>
      <w:r>
        <w:rPr>
          <w:rFonts w:hint="eastAsia" w:ascii="宋体" w:hAnsi="宋体" w:cs="宋体"/>
          <w:bCs/>
          <w:szCs w:val="21"/>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4A21F3E0">
      <w:pPr>
        <w:spacing w:line="360" w:lineRule="auto"/>
        <w:ind w:firstLine="420" w:firstLineChars="200"/>
        <w:rPr>
          <w:rFonts w:ascii="宋体" w:hAnsi="宋体" w:cs="宋体"/>
          <w:bCs/>
          <w:szCs w:val="21"/>
        </w:rPr>
      </w:pPr>
      <w:r>
        <w:rPr>
          <w:rFonts w:hint="eastAsia" w:ascii="宋体" w:hAnsi="宋体" w:cs="宋体"/>
          <w:bCs/>
          <w:szCs w:val="21"/>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395C626">
      <w:pPr>
        <w:spacing w:line="360" w:lineRule="auto"/>
        <w:ind w:firstLine="420" w:firstLineChars="200"/>
        <w:rPr>
          <w:rFonts w:ascii="宋体" w:hAnsi="宋体" w:cs="宋体"/>
          <w:bCs/>
          <w:szCs w:val="21"/>
        </w:rPr>
      </w:pPr>
      <w:r>
        <w:rPr>
          <w:rFonts w:hint="eastAsia" w:ascii="宋体" w:hAnsi="宋体" w:cs="宋体"/>
          <w:bCs/>
          <w:szCs w:val="21"/>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88"/>
    </w:p>
    <w:p w14:paraId="73DF5740">
      <w:pPr>
        <w:spacing w:line="360" w:lineRule="auto"/>
        <w:ind w:firstLine="422" w:firstLineChars="200"/>
        <w:outlineLvl w:val="2"/>
        <w:rPr>
          <w:rFonts w:ascii="宋体" w:hAnsi="宋体" w:cs="宋体"/>
          <w:b/>
          <w:bCs/>
          <w:szCs w:val="21"/>
          <w:lang w:val="zh-CN"/>
        </w:rPr>
      </w:pPr>
      <w:bookmarkStart w:id="93" w:name="_Toc5363"/>
      <w:bookmarkStart w:id="94" w:name="_Toc3152"/>
      <w:r>
        <w:rPr>
          <w:rFonts w:hint="eastAsia" w:ascii="宋体" w:hAnsi="宋体" w:cs="宋体"/>
          <w:b/>
          <w:szCs w:val="21"/>
        </w:rPr>
        <w:t>4.</w:t>
      </w:r>
      <w:r>
        <w:rPr>
          <w:rFonts w:hint="eastAsia" w:ascii="宋体" w:hAnsi="宋体" w:cs="宋体"/>
          <w:b/>
          <w:bCs/>
          <w:szCs w:val="21"/>
        </w:rPr>
        <w:t>采购</w:t>
      </w:r>
      <w:r>
        <w:rPr>
          <w:rFonts w:hint="eastAsia" w:ascii="宋体" w:hAnsi="宋体" w:cs="宋体"/>
          <w:b/>
          <w:bCs/>
          <w:szCs w:val="21"/>
          <w:lang w:val="zh-CN"/>
        </w:rPr>
        <w:t>费用</w:t>
      </w:r>
      <w:bookmarkEnd w:id="93"/>
      <w:bookmarkEnd w:id="94"/>
    </w:p>
    <w:p w14:paraId="5A231BF9">
      <w:pPr>
        <w:spacing w:line="360" w:lineRule="auto"/>
        <w:ind w:firstLine="420" w:firstLineChars="200"/>
        <w:rPr>
          <w:rFonts w:ascii="宋体" w:hAnsi="宋体" w:cs="宋体"/>
          <w:szCs w:val="21"/>
        </w:rPr>
      </w:pPr>
      <w:r>
        <w:rPr>
          <w:rFonts w:hint="eastAsia" w:ascii="宋体" w:hAnsi="宋体" w:cs="宋体"/>
          <w:szCs w:val="21"/>
          <w:lang w:val="zh-CN"/>
        </w:rPr>
        <w:t>4.1</w:t>
      </w:r>
      <w:r>
        <w:rPr>
          <w:rFonts w:hint="eastAsia" w:ascii="宋体" w:hAnsi="宋体" w:cs="宋体"/>
          <w:szCs w:val="21"/>
        </w:rPr>
        <w:t>供应商应自行承担所有与参加采购的费用，无论采购结果如何，代理机构和采购人在任何情况下均无义务和责任承担这些费用。</w:t>
      </w:r>
    </w:p>
    <w:p w14:paraId="0FF504B0">
      <w:pPr>
        <w:pStyle w:val="5"/>
        <w:numPr>
          <w:ilvl w:val="0"/>
          <w:numId w:val="0"/>
        </w:numPr>
        <w:spacing w:line="360" w:lineRule="auto"/>
        <w:ind w:firstLine="422" w:firstLineChars="200"/>
        <w:jc w:val="both"/>
        <w:rPr>
          <w:rFonts w:ascii="宋体" w:hAnsi="宋体" w:eastAsia="宋体" w:cs="宋体"/>
          <w:b/>
          <w:sz w:val="21"/>
          <w:szCs w:val="21"/>
        </w:rPr>
      </w:pPr>
      <w:bookmarkStart w:id="95" w:name="_Toc15300"/>
      <w:bookmarkStart w:id="96" w:name="_Toc29486"/>
      <w:bookmarkStart w:id="97" w:name="_Toc22000"/>
      <w:bookmarkStart w:id="98" w:name="_Toc632"/>
      <w:bookmarkStart w:id="99" w:name="_Toc8516"/>
      <w:bookmarkStart w:id="100" w:name="_Toc25738"/>
      <w:r>
        <w:rPr>
          <w:rFonts w:hint="eastAsia" w:ascii="宋体" w:hAnsi="宋体" w:eastAsia="宋体" w:cs="宋体"/>
          <w:b/>
          <w:sz w:val="21"/>
          <w:szCs w:val="21"/>
        </w:rPr>
        <w:t>5.磋商文件的约束力</w:t>
      </w:r>
      <w:bookmarkEnd w:id="95"/>
      <w:bookmarkEnd w:id="96"/>
      <w:bookmarkEnd w:id="97"/>
      <w:bookmarkEnd w:id="98"/>
      <w:bookmarkEnd w:id="99"/>
      <w:bookmarkEnd w:id="100"/>
    </w:p>
    <w:p w14:paraId="45C196A0">
      <w:pPr>
        <w:spacing w:line="360" w:lineRule="auto"/>
        <w:ind w:firstLine="420" w:firstLineChars="200"/>
        <w:rPr>
          <w:rFonts w:ascii="宋体" w:hAnsi="宋体" w:cs="宋体"/>
          <w:szCs w:val="21"/>
        </w:rPr>
      </w:pPr>
      <w:r>
        <w:rPr>
          <w:rFonts w:hint="eastAsia" w:ascii="宋体" w:hAnsi="宋体" w:cs="宋体"/>
          <w:szCs w:val="21"/>
        </w:rPr>
        <w:t>5.1供应商一旦参加本项目采购活动，即被认为接受了本磋商文件的规定和约束。</w:t>
      </w:r>
      <w:bookmarkEnd w:id="89"/>
      <w:bookmarkEnd w:id="90"/>
      <w:bookmarkEnd w:id="91"/>
      <w:bookmarkEnd w:id="92"/>
    </w:p>
    <w:p w14:paraId="2EBC44EE">
      <w:pPr>
        <w:widowControl/>
        <w:shd w:val="clear" w:color="auto" w:fill="FFFFFF"/>
        <w:spacing w:line="360" w:lineRule="auto"/>
        <w:ind w:firstLine="422" w:firstLineChars="200"/>
        <w:outlineLvl w:val="1"/>
        <w:rPr>
          <w:rFonts w:ascii="宋体" w:hAnsi="宋体" w:cs="宋体"/>
          <w:b/>
          <w:bCs/>
          <w:szCs w:val="21"/>
        </w:rPr>
      </w:pPr>
      <w:bookmarkStart w:id="101" w:name="_Toc13527"/>
      <w:bookmarkStart w:id="102" w:name="_Toc13287"/>
      <w:bookmarkStart w:id="103" w:name="_Toc18333"/>
      <w:bookmarkStart w:id="104" w:name="_Toc20106"/>
      <w:r>
        <w:rPr>
          <w:rFonts w:hint="eastAsia" w:ascii="宋体" w:hAnsi="宋体" w:cs="宋体"/>
          <w:b/>
          <w:bCs/>
          <w:szCs w:val="21"/>
        </w:rPr>
        <w:t>二、磋商文件</w:t>
      </w:r>
      <w:bookmarkEnd w:id="101"/>
      <w:bookmarkEnd w:id="102"/>
      <w:bookmarkEnd w:id="103"/>
      <w:bookmarkEnd w:id="104"/>
    </w:p>
    <w:p w14:paraId="07AD18E9">
      <w:pPr>
        <w:pStyle w:val="5"/>
        <w:numPr>
          <w:ilvl w:val="0"/>
          <w:numId w:val="0"/>
        </w:numPr>
        <w:spacing w:line="360" w:lineRule="auto"/>
        <w:ind w:firstLine="422" w:firstLineChars="200"/>
        <w:jc w:val="both"/>
        <w:rPr>
          <w:rFonts w:ascii="宋体" w:hAnsi="宋体" w:eastAsia="宋体" w:cs="宋体"/>
          <w:b/>
          <w:sz w:val="21"/>
          <w:szCs w:val="21"/>
        </w:rPr>
      </w:pPr>
      <w:bookmarkStart w:id="105" w:name="_Toc10625"/>
      <w:bookmarkStart w:id="106" w:name="_Toc513029210"/>
      <w:bookmarkStart w:id="107" w:name="_Toc28750"/>
      <w:bookmarkStart w:id="108" w:name="_Toc20823282"/>
      <w:bookmarkStart w:id="109" w:name="_Toc16938526"/>
      <w:bookmarkStart w:id="110" w:name="_Toc9138"/>
      <w:bookmarkStart w:id="111" w:name="_Toc22815"/>
      <w:bookmarkStart w:id="112" w:name="_Toc4774"/>
      <w:r>
        <w:rPr>
          <w:rFonts w:hint="eastAsia" w:ascii="宋体" w:hAnsi="宋体" w:eastAsia="宋体" w:cs="宋体"/>
          <w:b/>
          <w:sz w:val="21"/>
          <w:szCs w:val="21"/>
        </w:rPr>
        <w:t>6.</w:t>
      </w:r>
      <w:r>
        <w:rPr>
          <w:rFonts w:hint="eastAsia" w:ascii="宋体" w:hAnsi="宋体" w:eastAsia="宋体" w:cs="宋体"/>
          <w:b/>
          <w:bCs/>
          <w:sz w:val="21"/>
          <w:szCs w:val="21"/>
        </w:rPr>
        <w:t>磋商</w:t>
      </w:r>
      <w:r>
        <w:rPr>
          <w:rFonts w:hint="eastAsia" w:ascii="宋体" w:hAnsi="宋体" w:eastAsia="宋体" w:cs="宋体"/>
          <w:b/>
          <w:sz w:val="21"/>
          <w:szCs w:val="21"/>
        </w:rPr>
        <w:t>文件构成</w:t>
      </w:r>
      <w:bookmarkEnd w:id="105"/>
      <w:bookmarkEnd w:id="106"/>
      <w:bookmarkEnd w:id="107"/>
      <w:bookmarkEnd w:id="108"/>
      <w:bookmarkEnd w:id="109"/>
      <w:bookmarkEnd w:id="110"/>
      <w:bookmarkEnd w:id="111"/>
      <w:bookmarkEnd w:id="112"/>
    </w:p>
    <w:p w14:paraId="16A149D6">
      <w:pPr>
        <w:spacing w:line="360" w:lineRule="auto"/>
        <w:ind w:firstLine="420" w:firstLineChars="200"/>
        <w:rPr>
          <w:rFonts w:ascii="宋体" w:hAnsi="宋体" w:cs="宋体"/>
          <w:szCs w:val="21"/>
        </w:rPr>
      </w:pPr>
      <w:r>
        <w:rPr>
          <w:rFonts w:hint="eastAsia" w:ascii="宋体" w:hAnsi="宋体" w:cs="宋体"/>
          <w:szCs w:val="21"/>
        </w:rPr>
        <w:t>6.1磋商文件有以下部分组成：</w:t>
      </w:r>
    </w:p>
    <w:p w14:paraId="449A4A25">
      <w:pPr>
        <w:spacing w:line="360" w:lineRule="auto"/>
        <w:ind w:firstLine="420" w:firstLineChars="200"/>
        <w:rPr>
          <w:rFonts w:ascii="宋体" w:hAnsi="宋体" w:cs="宋体"/>
          <w:szCs w:val="21"/>
        </w:rPr>
      </w:pPr>
      <w:r>
        <w:rPr>
          <w:rFonts w:hint="eastAsia" w:ascii="宋体" w:hAnsi="宋体" w:cs="宋体"/>
          <w:szCs w:val="21"/>
        </w:rPr>
        <w:t>第一章  竞争性磋商公告</w:t>
      </w:r>
    </w:p>
    <w:p w14:paraId="6E1B3824">
      <w:pPr>
        <w:spacing w:line="360" w:lineRule="auto"/>
        <w:ind w:firstLine="420" w:firstLineChars="200"/>
        <w:rPr>
          <w:rFonts w:ascii="宋体" w:hAnsi="宋体" w:cs="宋体"/>
          <w:szCs w:val="21"/>
        </w:rPr>
      </w:pPr>
      <w:r>
        <w:rPr>
          <w:rFonts w:hint="eastAsia" w:ascii="宋体" w:hAnsi="宋体" w:cs="宋体"/>
          <w:szCs w:val="21"/>
        </w:rPr>
        <w:t>第二章  供应商须知</w:t>
      </w:r>
    </w:p>
    <w:p w14:paraId="2545C0F4">
      <w:pPr>
        <w:spacing w:line="360" w:lineRule="auto"/>
        <w:ind w:firstLine="420" w:firstLineChars="200"/>
        <w:rPr>
          <w:rFonts w:ascii="宋体" w:hAnsi="宋体" w:cs="宋体"/>
          <w:szCs w:val="21"/>
        </w:rPr>
      </w:pPr>
      <w:r>
        <w:rPr>
          <w:rFonts w:hint="eastAsia" w:ascii="宋体" w:hAnsi="宋体" w:cs="宋体"/>
          <w:szCs w:val="21"/>
        </w:rPr>
        <w:t>第三章  评分标准</w:t>
      </w:r>
    </w:p>
    <w:p w14:paraId="00081E7F">
      <w:pPr>
        <w:spacing w:line="360" w:lineRule="auto"/>
        <w:ind w:firstLine="420" w:firstLineChars="200"/>
        <w:rPr>
          <w:rFonts w:ascii="宋体" w:hAnsi="宋体" w:cs="宋体"/>
          <w:szCs w:val="21"/>
        </w:rPr>
      </w:pPr>
      <w:r>
        <w:rPr>
          <w:rFonts w:hint="eastAsia" w:ascii="宋体" w:hAnsi="宋体" w:cs="宋体"/>
          <w:szCs w:val="21"/>
        </w:rPr>
        <w:t>第四章  采购技术规格及服务要求</w:t>
      </w:r>
    </w:p>
    <w:p w14:paraId="5286970C">
      <w:pPr>
        <w:spacing w:line="360" w:lineRule="auto"/>
        <w:ind w:firstLine="420" w:firstLineChars="200"/>
        <w:rPr>
          <w:rFonts w:ascii="宋体" w:hAnsi="宋体" w:cs="宋体"/>
          <w:szCs w:val="21"/>
        </w:rPr>
      </w:pPr>
      <w:r>
        <w:rPr>
          <w:rFonts w:hint="eastAsia" w:ascii="宋体" w:hAnsi="宋体" w:cs="宋体"/>
          <w:szCs w:val="21"/>
        </w:rPr>
        <w:t>第五章  拟签订的合同文本</w:t>
      </w:r>
    </w:p>
    <w:p w14:paraId="105D87F2">
      <w:pPr>
        <w:spacing w:line="360" w:lineRule="auto"/>
        <w:ind w:firstLine="420" w:firstLineChars="200"/>
        <w:rPr>
          <w:rFonts w:ascii="宋体" w:hAnsi="宋体" w:cs="宋体"/>
          <w:szCs w:val="21"/>
        </w:rPr>
      </w:pPr>
      <w:r>
        <w:rPr>
          <w:rFonts w:hint="eastAsia" w:ascii="宋体" w:hAnsi="宋体" w:cs="宋体"/>
          <w:szCs w:val="21"/>
        </w:rPr>
        <w:t>第六章  响应文件格式及附件</w:t>
      </w:r>
    </w:p>
    <w:p w14:paraId="6F351532">
      <w:pPr>
        <w:spacing w:line="360" w:lineRule="auto"/>
        <w:ind w:firstLine="420" w:firstLineChars="200"/>
        <w:rPr>
          <w:rFonts w:ascii="宋体" w:hAnsi="宋体" w:cs="宋体"/>
          <w:szCs w:val="21"/>
        </w:rPr>
      </w:pPr>
      <w:r>
        <w:rPr>
          <w:rFonts w:hint="eastAsia" w:ascii="宋体" w:hAnsi="宋体" w:cs="宋体"/>
          <w:szCs w:val="21"/>
        </w:rPr>
        <w:t>6.2</w:t>
      </w:r>
      <w:r>
        <w:rPr>
          <w:rFonts w:hint="eastAsia" w:ascii="宋体" w:hAnsi="宋体" w:cs="宋体"/>
          <w:b/>
          <w:bCs/>
          <w:szCs w:val="21"/>
        </w:rPr>
        <w:t>采购的最小单位是包。磋商技术规格及要求中未分包的，供应商对要求提供的服务不得部分响应；磋商技术规格及要求中已经分包的，以包为单位响应</w:t>
      </w:r>
      <w:r>
        <w:rPr>
          <w:rFonts w:hint="eastAsia" w:ascii="宋体" w:hAnsi="宋体" w:cs="宋体"/>
          <w:szCs w:val="21"/>
        </w:rPr>
        <w:t>。</w:t>
      </w:r>
    </w:p>
    <w:p w14:paraId="627B078A">
      <w:pPr>
        <w:spacing w:line="360" w:lineRule="auto"/>
        <w:ind w:firstLine="420" w:firstLineChars="200"/>
        <w:rPr>
          <w:rFonts w:ascii="宋体" w:hAnsi="宋体" w:cs="宋体"/>
          <w:szCs w:val="21"/>
        </w:rPr>
      </w:pPr>
      <w:r>
        <w:rPr>
          <w:rFonts w:hint="eastAsia" w:ascii="宋体" w:hAnsi="宋体" w:cs="宋体"/>
          <w:szCs w:val="21"/>
        </w:rPr>
        <w:t>6.3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24DD1406">
      <w:pPr>
        <w:spacing w:line="360" w:lineRule="auto"/>
        <w:ind w:firstLine="420" w:firstLineChars="200"/>
        <w:rPr>
          <w:rFonts w:ascii="宋体" w:hAnsi="宋体" w:cs="宋体"/>
          <w:szCs w:val="21"/>
        </w:rPr>
      </w:pPr>
      <w:r>
        <w:rPr>
          <w:rFonts w:hint="eastAsia" w:ascii="宋体" w:hAnsi="宋体" w:cs="宋体"/>
          <w:szCs w:val="21"/>
        </w:rPr>
        <w:t>6.4供应商被视为充分熟悉</w:t>
      </w:r>
      <w:r>
        <w:rPr>
          <w:rFonts w:hint="eastAsia" w:ascii="宋体" w:hAnsi="宋体" w:cs="宋体"/>
          <w:bCs/>
          <w:szCs w:val="21"/>
        </w:rPr>
        <w:t>本磋商项目</w:t>
      </w:r>
      <w:r>
        <w:rPr>
          <w:rFonts w:hint="eastAsia" w:ascii="宋体" w:hAnsi="宋体" w:cs="宋体"/>
          <w:szCs w:val="21"/>
        </w:rPr>
        <w:t>的各种情况以及与履行合同有关的一切其他情况。</w:t>
      </w:r>
    </w:p>
    <w:p w14:paraId="5055EA51">
      <w:pPr>
        <w:pStyle w:val="5"/>
        <w:numPr>
          <w:ilvl w:val="0"/>
          <w:numId w:val="0"/>
        </w:numPr>
        <w:spacing w:line="360" w:lineRule="auto"/>
        <w:ind w:firstLine="422" w:firstLineChars="200"/>
        <w:jc w:val="both"/>
        <w:rPr>
          <w:rFonts w:ascii="宋体" w:hAnsi="宋体" w:eastAsia="宋体" w:cs="宋体"/>
          <w:b/>
          <w:sz w:val="21"/>
          <w:szCs w:val="21"/>
        </w:rPr>
      </w:pPr>
      <w:bookmarkStart w:id="113" w:name="_Toc8277"/>
      <w:bookmarkStart w:id="114" w:name="_Toc10301"/>
      <w:bookmarkStart w:id="115" w:name="_Toc8329"/>
      <w:bookmarkStart w:id="116" w:name="_Toc14291"/>
      <w:r>
        <w:rPr>
          <w:rFonts w:hint="eastAsia" w:ascii="宋体" w:hAnsi="宋体" w:eastAsia="宋体" w:cs="宋体"/>
          <w:b/>
          <w:sz w:val="21"/>
          <w:szCs w:val="21"/>
        </w:rPr>
        <w:t>7.</w:t>
      </w:r>
      <w:bookmarkEnd w:id="113"/>
      <w:bookmarkEnd w:id="114"/>
      <w:r>
        <w:rPr>
          <w:rFonts w:hint="eastAsia" w:ascii="宋体" w:hAnsi="宋体" w:eastAsia="宋体" w:cs="宋体"/>
          <w:b/>
          <w:bCs/>
          <w:sz w:val="21"/>
          <w:szCs w:val="21"/>
        </w:rPr>
        <w:t>磋商文件的澄清、补充或修改</w:t>
      </w:r>
      <w:bookmarkEnd w:id="115"/>
      <w:bookmarkEnd w:id="116"/>
    </w:p>
    <w:p w14:paraId="0B0B11DA">
      <w:pPr>
        <w:spacing w:line="360" w:lineRule="auto"/>
        <w:ind w:firstLine="420" w:firstLineChars="200"/>
        <w:rPr>
          <w:rFonts w:ascii="宋体" w:hAnsi="宋体" w:cs="宋体"/>
          <w:bCs/>
          <w:szCs w:val="21"/>
        </w:rPr>
      </w:pPr>
      <w:r>
        <w:rPr>
          <w:rFonts w:hint="eastAsia" w:ascii="宋体" w:hAnsi="宋体" w:cs="宋体"/>
          <w:szCs w:val="21"/>
        </w:rPr>
        <w:t>7.1</w:t>
      </w:r>
      <w:r>
        <w:rPr>
          <w:rFonts w:hint="eastAsia" w:ascii="宋体" w:hAnsi="宋体" w:cs="宋体"/>
          <w:bCs/>
          <w:szCs w:val="21"/>
        </w:rPr>
        <w:t>供应商</w:t>
      </w:r>
      <w:r>
        <w:rPr>
          <w:rFonts w:hint="eastAsia" w:ascii="宋体" w:hAnsi="宋体" w:cs="宋体"/>
          <w:szCs w:val="21"/>
        </w:rPr>
        <w:t>应仔细阅读和检查磋商文件的全部内容。如发现缺页或附件不全，应及时向磋商代理机构提出，以便补齐</w:t>
      </w:r>
      <w:r>
        <w:rPr>
          <w:rFonts w:hint="eastAsia" w:ascii="宋体" w:hAnsi="宋体" w:cs="宋体"/>
          <w:bCs/>
          <w:szCs w:val="21"/>
        </w:rPr>
        <w:t>。供应商</w:t>
      </w:r>
      <w:r>
        <w:rPr>
          <w:rFonts w:hint="eastAsia" w:ascii="宋体" w:hAnsi="宋体" w:cs="宋体"/>
          <w:szCs w:val="21"/>
        </w:rPr>
        <w:t>如须澄清磋商文件的疑点</w:t>
      </w:r>
      <w:r>
        <w:rPr>
          <w:rFonts w:hint="eastAsia" w:ascii="宋体" w:hAnsi="宋体" w:cs="宋体"/>
          <w:bCs/>
          <w:szCs w:val="21"/>
        </w:rPr>
        <w:t>，可用</w:t>
      </w:r>
      <w:r>
        <w:rPr>
          <w:rFonts w:hint="eastAsia" w:ascii="宋体" w:hAnsi="宋体" w:cs="宋体"/>
          <w:szCs w:val="21"/>
        </w:rPr>
        <w:t>用书面形式通知采购代理机构</w:t>
      </w:r>
      <w:r>
        <w:rPr>
          <w:rFonts w:hint="eastAsia" w:ascii="宋体" w:hAnsi="宋体" w:cs="宋体"/>
          <w:bCs/>
          <w:szCs w:val="21"/>
        </w:rPr>
        <w:t>，具体通知时间须按</w:t>
      </w:r>
      <w:r>
        <w:rPr>
          <w:rFonts w:hint="eastAsia" w:ascii="宋体" w:hAnsi="宋体" w:cs="宋体"/>
          <w:szCs w:val="21"/>
        </w:rPr>
        <w:t>法律</w:t>
      </w:r>
      <w:r>
        <w:rPr>
          <w:rFonts w:hint="eastAsia" w:ascii="宋体" w:hAnsi="宋体" w:cs="宋体"/>
          <w:bCs/>
          <w:szCs w:val="21"/>
        </w:rPr>
        <w:t>相关规定执行，如供应商须澄清的疑点超出采购人对采购代理机构委托授权范围的，采购代理机构应当告知供应商向采购人提出。采购代理机构</w:t>
      </w:r>
      <w:r>
        <w:rPr>
          <w:rFonts w:hint="eastAsia" w:ascii="宋体" w:hAnsi="宋体" w:cs="宋体"/>
          <w:szCs w:val="21"/>
        </w:rPr>
        <w:t>将以书面形式作出答复</w:t>
      </w:r>
      <w:r>
        <w:rPr>
          <w:rFonts w:hint="eastAsia" w:ascii="宋体" w:hAnsi="宋体" w:cs="宋体"/>
          <w:bCs/>
          <w:szCs w:val="21"/>
        </w:rPr>
        <w:t>。采购代理机构认为有必要时可将答复内容（包括原提出的问题，但不包括问题的来源）</w:t>
      </w:r>
      <w:r>
        <w:rPr>
          <w:rFonts w:hint="eastAsia" w:ascii="宋体" w:hAnsi="宋体" w:cs="宋体"/>
          <w:szCs w:val="21"/>
        </w:rPr>
        <w:t>分发给所有取得同一磋商文件</w:t>
      </w:r>
      <w:r>
        <w:rPr>
          <w:rFonts w:hint="eastAsia" w:ascii="宋体" w:hAnsi="宋体" w:cs="宋体"/>
          <w:bCs/>
          <w:szCs w:val="21"/>
        </w:rPr>
        <w:t>的供应商。</w:t>
      </w:r>
    </w:p>
    <w:p w14:paraId="42B8854D">
      <w:pPr>
        <w:spacing w:line="360" w:lineRule="auto"/>
        <w:ind w:firstLine="420" w:firstLineChars="200"/>
        <w:rPr>
          <w:rFonts w:ascii="宋体" w:hAnsi="宋体" w:cs="宋体"/>
          <w:bCs/>
          <w:szCs w:val="21"/>
        </w:rPr>
      </w:pPr>
      <w:r>
        <w:rPr>
          <w:rFonts w:hint="eastAsia" w:ascii="宋体" w:hAnsi="宋体" w:cs="宋体"/>
          <w:bCs/>
          <w:szCs w:val="21"/>
        </w:rPr>
        <w:t>7.2采购代理机构对已发出的</w:t>
      </w:r>
      <w:r>
        <w:rPr>
          <w:rFonts w:hint="eastAsia" w:ascii="宋体" w:hAnsi="宋体" w:cs="宋体"/>
          <w:szCs w:val="21"/>
        </w:rPr>
        <w:t>磋商文件用更正公告的方式进行必要的澄清或者修改，并以书面形式通</w:t>
      </w:r>
      <w:r>
        <w:rPr>
          <w:rFonts w:hint="eastAsia" w:ascii="宋体" w:hAnsi="宋体" w:cs="宋体"/>
          <w:bCs/>
          <w:szCs w:val="21"/>
        </w:rPr>
        <w:t>知所有获取文件的供应商。</w:t>
      </w:r>
    </w:p>
    <w:p w14:paraId="3BDEC226">
      <w:pPr>
        <w:spacing w:line="360" w:lineRule="auto"/>
        <w:ind w:firstLine="420" w:firstLineChars="200"/>
        <w:rPr>
          <w:rFonts w:ascii="宋体" w:hAnsi="宋体" w:cs="宋体"/>
          <w:bCs/>
          <w:szCs w:val="21"/>
        </w:rPr>
      </w:pPr>
      <w:r>
        <w:rPr>
          <w:rFonts w:hint="eastAsia" w:ascii="宋体" w:hAnsi="宋体" w:cs="宋体"/>
          <w:bCs/>
          <w:szCs w:val="21"/>
        </w:rPr>
        <w:t>7.3</w:t>
      </w:r>
      <w:r>
        <w:rPr>
          <w:rFonts w:hint="eastAsia" w:ascii="宋体" w:hAnsi="宋体" w:cs="宋体"/>
          <w:szCs w:val="21"/>
        </w:rPr>
        <w:t>采购代理机构发出的以上</w:t>
      </w:r>
      <w:r>
        <w:rPr>
          <w:rFonts w:hint="eastAsia" w:ascii="宋体" w:hAnsi="宋体" w:cs="宋体"/>
          <w:bCs/>
          <w:szCs w:val="21"/>
        </w:rPr>
        <w:t>澄清或修改的内容</w:t>
      </w:r>
      <w:r>
        <w:rPr>
          <w:rFonts w:hint="eastAsia" w:ascii="宋体" w:hAnsi="宋体" w:cs="宋体"/>
          <w:szCs w:val="21"/>
        </w:rPr>
        <w:t>文件均作为磋商文件的组成部分，与磋商文件具有同等法律效力。</w:t>
      </w:r>
      <w:r>
        <w:rPr>
          <w:rFonts w:hint="eastAsia" w:ascii="宋体" w:hAnsi="宋体" w:cs="宋体"/>
          <w:bCs/>
          <w:szCs w:val="21"/>
        </w:rPr>
        <w:t>供应商</w:t>
      </w:r>
      <w:r>
        <w:rPr>
          <w:rFonts w:hint="eastAsia" w:ascii="宋体" w:hAnsi="宋体" w:cs="宋体"/>
          <w:szCs w:val="21"/>
        </w:rPr>
        <w:t>在收到上述通知后，应立即向采购代理机构回函确认。若无书面回函确认，视同已收到磋商文件修改的通知，并受其约束</w:t>
      </w:r>
      <w:r>
        <w:rPr>
          <w:rFonts w:hint="eastAsia" w:ascii="宋体" w:hAnsi="宋体" w:cs="宋体"/>
          <w:bCs/>
          <w:szCs w:val="21"/>
        </w:rPr>
        <w:t>。</w:t>
      </w:r>
    </w:p>
    <w:p w14:paraId="6BCB0A36">
      <w:pPr>
        <w:widowControl/>
        <w:shd w:val="clear" w:color="auto" w:fill="FFFFFF"/>
        <w:spacing w:line="360" w:lineRule="auto"/>
        <w:ind w:firstLine="420" w:firstLineChars="200"/>
        <w:rPr>
          <w:rFonts w:ascii="宋体" w:hAnsi="宋体" w:cs="宋体"/>
          <w:bCs/>
          <w:szCs w:val="21"/>
        </w:rPr>
      </w:pPr>
      <w:r>
        <w:rPr>
          <w:rFonts w:hint="eastAsia" w:ascii="宋体" w:hAnsi="宋体" w:cs="宋体"/>
          <w:bCs/>
          <w:szCs w:val="21"/>
        </w:rPr>
        <w:t>7.4当</w:t>
      </w:r>
      <w:r>
        <w:rPr>
          <w:rFonts w:hint="eastAsia" w:ascii="宋体" w:hAnsi="宋体" w:cs="宋体"/>
          <w:szCs w:val="21"/>
        </w:rPr>
        <w:t>磋商文件</w:t>
      </w:r>
      <w:r>
        <w:rPr>
          <w:rFonts w:hint="eastAsia" w:ascii="宋体" w:hAnsi="宋体" w:cs="宋体"/>
          <w:bCs/>
          <w:szCs w:val="21"/>
        </w:rPr>
        <w:t xml:space="preserve">与以上澄清或修改公告的内容相互矛盾时，以采购代理机构最后发出的澄清或修改为准。 </w:t>
      </w:r>
    </w:p>
    <w:p w14:paraId="6753B4B9">
      <w:pPr>
        <w:widowControl/>
        <w:shd w:val="clear" w:color="auto" w:fill="FFFFFF"/>
        <w:spacing w:line="360" w:lineRule="auto"/>
        <w:ind w:firstLine="420" w:firstLineChars="200"/>
        <w:rPr>
          <w:rFonts w:ascii="宋体" w:hAnsi="宋体" w:cs="宋体"/>
          <w:bCs/>
          <w:szCs w:val="21"/>
        </w:rPr>
      </w:pPr>
      <w:r>
        <w:rPr>
          <w:rFonts w:hint="eastAsia" w:ascii="宋体" w:hAnsi="宋体" w:cs="宋体"/>
          <w:color w:val="000000"/>
          <w:szCs w:val="21"/>
        </w:rPr>
        <w:t>7.5</w:t>
      </w:r>
      <w:r>
        <w:rPr>
          <w:rFonts w:hint="eastAsia" w:ascii="宋体" w:hAnsi="宋体" w:cs="宋体"/>
          <w:bCs/>
          <w:szCs w:val="21"/>
        </w:rPr>
        <w:t>为使供应商有足够的时间按磋商文件的澄清或修改要求修正响应文件，</w:t>
      </w:r>
      <w:r>
        <w:rPr>
          <w:rFonts w:hint="eastAsia" w:ascii="宋体" w:hAnsi="宋体" w:cs="宋体"/>
          <w:szCs w:val="21"/>
        </w:rPr>
        <w:t>采购代理机构有权决定推迟投标截止时间和开标时间，并按7.2条规定的方式通知供应商。</w:t>
      </w:r>
    </w:p>
    <w:p w14:paraId="114907D5">
      <w:pPr>
        <w:widowControl/>
        <w:shd w:val="clear" w:color="auto" w:fill="FFFFFF"/>
        <w:spacing w:line="360" w:lineRule="auto"/>
        <w:ind w:firstLine="422" w:firstLineChars="200"/>
        <w:outlineLvl w:val="1"/>
        <w:rPr>
          <w:rFonts w:ascii="宋体" w:hAnsi="宋体" w:cs="宋体"/>
          <w:b/>
          <w:bCs/>
          <w:szCs w:val="21"/>
        </w:rPr>
      </w:pPr>
      <w:bookmarkStart w:id="117" w:name="_Toc6537"/>
      <w:bookmarkStart w:id="118" w:name="_Toc4938"/>
      <w:bookmarkStart w:id="119" w:name="_Toc7074"/>
      <w:bookmarkStart w:id="120" w:name="_Toc31781"/>
      <w:r>
        <w:rPr>
          <w:rFonts w:hint="eastAsia" w:ascii="宋体" w:hAnsi="宋体" w:cs="宋体"/>
          <w:b/>
          <w:bCs/>
          <w:szCs w:val="21"/>
        </w:rPr>
        <w:t>三、响应文件的编制</w:t>
      </w:r>
      <w:bookmarkEnd w:id="117"/>
      <w:bookmarkEnd w:id="118"/>
      <w:bookmarkEnd w:id="119"/>
      <w:bookmarkEnd w:id="120"/>
    </w:p>
    <w:p w14:paraId="39BE3C10">
      <w:pPr>
        <w:pStyle w:val="5"/>
        <w:numPr>
          <w:ilvl w:val="0"/>
          <w:numId w:val="0"/>
        </w:numPr>
        <w:spacing w:line="360" w:lineRule="auto"/>
        <w:ind w:firstLine="422" w:firstLineChars="200"/>
        <w:jc w:val="both"/>
        <w:rPr>
          <w:rFonts w:ascii="宋体" w:hAnsi="宋体" w:eastAsia="宋体" w:cs="宋体"/>
          <w:b/>
          <w:sz w:val="21"/>
          <w:szCs w:val="21"/>
        </w:rPr>
      </w:pPr>
      <w:bookmarkStart w:id="121" w:name="_Toc18940"/>
      <w:bookmarkStart w:id="122" w:name="_Toc31387"/>
      <w:bookmarkStart w:id="123" w:name="_Toc21270"/>
      <w:bookmarkStart w:id="124" w:name="_Toc27055"/>
      <w:bookmarkStart w:id="125" w:name="_Toc6540"/>
      <w:r>
        <w:rPr>
          <w:rFonts w:hint="eastAsia" w:ascii="宋体" w:hAnsi="宋体" w:eastAsia="宋体" w:cs="宋体"/>
          <w:b/>
          <w:sz w:val="21"/>
          <w:szCs w:val="21"/>
        </w:rPr>
        <w:t>8.响应文件的语言、计量单位、货币</w:t>
      </w:r>
      <w:bookmarkEnd w:id="121"/>
      <w:bookmarkEnd w:id="122"/>
      <w:bookmarkEnd w:id="123"/>
      <w:bookmarkEnd w:id="124"/>
      <w:bookmarkEnd w:id="125"/>
    </w:p>
    <w:p w14:paraId="521308CE">
      <w:pPr>
        <w:spacing w:line="360" w:lineRule="auto"/>
        <w:ind w:firstLine="420" w:firstLineChars="200"/>
        <w:rPr>
          <w:rFonts w:ascii="宋体" w:hAnsi="宋体" w:cs="宋体"/>
          <w:bCs/>
          <w:szCs w:val="21"/>
        </w:rPr>
      </w:pPr>
      <w:r>
        <w:rPr>
          <w:rFonts w:hint="eastAsia" w:ascii="宋体" w:hAnsi="宋体" w:cs="宋体"/>
          <w:bCs/>
          <w:szCs w:val="21"/>
        </w:rPr>
        <w:t>8.1 提交的响应文件（包括技术文件和资料、图纸中的说明）以及供应商与采购代理机构就有关</w:t>
      </w:r>
      <w:r>
        <w:rPr>
          <w:rFonts w:hint="eastAsia" w:ascii="宋体" w:hAnsi="宋体" w:cs="宋体"/>
          <w:szCs w:val="21"/>
        </w:rPr>
        <w:t>采购</w:t>
      </w:r>
      <w:r>
        <w:rPr>
          <w:rFonts w:hint="eastAsia" w:ascii="宋体" w:hAnsi="宋体" w:cs="宋体"/>
          <w:bCs/>
          <w:szCs w:val="21"/>
        </w:rPr>
        <w:t>的所有来往函电均应以简体中文书写。</w:t>
      </w:r>
    </w:p>
    <w:p w14:paraId="3F459C41">
      <w:pPr>
        <w:spacing w:line="360" w:lineRule="auto"/>
        <w:ind w:firstLine="420" w:firstLineChars="200"/>
        <w:rPr>
          <w:rFonts w:ascii="宋体" w:hAnsi="宋体" w:cs="宋体"/>
          <w:bCs/>
          <w:szCs w:val="21"/>
        </w:rPr>
      </w:pPr>
      <w:r>
        <w:rPr>
          <w:rFonts w:hint="eastAsia" w:ascii="宋体" w:hAnsi="宋体" w:cs="宋体"/>
          <w:bCs/>
          <w:szCs w:val="21"/>
        </w:rPr>
        <w:t>8.2 供应商已印刷好的资料如产品样本、说明书等可以用其他语言，但其中要点应附有中文译文。对不同文本响应文件的解释发生异议的，以中文翻译文本为准。</w:t>
      </w:r>
    </w:p>
    <w:p w14:paraId="6C884626">
      <w:pPr>
        <w:spacing w:line="360" w:lineRule="auto"/>
        <w:ind w:firstLine="420" w:firstLineChars="200"/>
        <w:rPr>
          <w:rFonts w:ascii="宋体" w:hAnsi="宋体" w:cs="宋体"/>
          <w:bCs/>
          <w:szCs w:val="21"/>
        </w:rPr>
      </w:pPr>
      <w:r>
        <w:rPr>
          <w:rFonts w:hint="eastAsia" w:ascii="宋体" w:hAnsi="宋体" w:cs="宋体"/>
          <w:bCs/>
          <w:szCs w:val="21"/>
        </w:rPr>
        <w:t>8.3 除</w:t>
      </w:r>
      <w:r>
        <w:rPr>
          <w:rFonts w:hint="eastAsia" w:ascii="宋体" w:hAnsi="宋体" w:cs="宋体"/>
          <w:szCs w:val="21"/>
        </w:rPr>
        <w:t>采购</w:t>
      </w:r>
      <w:r>
        <w:rPr>
          <w:rFonts w:hint="eastAsia" w:ascii="宋体" w:hAnsi="宋体" w:cs="宋体"/>
          <w:bCs/>
          <w:szCs w:val="21"/>
        </w:rPr>
        <w:t>文件中有特殊要求外，</w:t>
      </w:r>
      <w:r>
        <w:rPr>
          <w:rFonts w:hint="eastAsia" w:ascii="宋体" w:hAnsi="宋体" w:cs="宋体"/>
          <w:szCs w:val="21"/>
        </w:rPr>
        <w:t>采购</w:t>
      </w:r>
      <w:r>
        <w:rPr>
          <w:rFonts w:hint="eastAsia" w:ascii="宋体" w:hAnsi="宋体" w:cs="宋体"/>
          <w:bCs/>
          <w:szCs w:val="21"/>
        </w:rPr>
        <w:t>文件中所使用的计量单位应为国家法定计量单位。</w:t>
      </w:r>
    </w:p>
    <w:p w14:paraId="42F80628">
      <w:pPr>
        <w:spacing w:line="360" w:lineRule="auto"/>
        <w:ind w:firstLine="420" w:firstLineChars="200"/>
        <w:rPr>
          <w:rFonts w:ascii="宋体" w:hAnsi="宋体" w:cs="宋体"/>
          <w:bCs/>
          <w:szCs w:val="21"/>
        </w:rPr>
      </w:pPr>
      <w:r>
        <w:rPr>
          <w:rFonts w:hint="eastAsia" w:ascii="宋体" w:hAnsi="宋体" w:cs="宋体"/>
          <w:bCs/>
          <w:szCs w:val="21"/>
        </w:rPr>
        <w:t>8.4 本</w:t>
      </w:r>
      <w:r>
        <w:rPr>
          <w:rFonts w:hint="eastAsia" w:ascii="宋体" w:hAnsi="宋体" w:cs="宋体"/>
          <w:szCs w:val="21"/>
        </w:rPr>
        <w:t>采购</w:t>
      </w:r>
      <w:r>
        <w:rPr>
          <w:rFonts w:hint="eastAsia" w:ascii="宋体" w:hAnsi="宋体" w:cs="宋体"/>
          <w:bCs/>
          <w:szCs w:val="21"/>
        </w:rPr>
        <w:t>文件所表述的时间均为北京时间。</w:t>
      </w:r>
    </w:p>
    <w:p w14:paraId="40110B2A">
      <w:pPr>
        <w:spacing w:line="360" w:lineRule="auto"/>
        <w:ind w:firstLine="420" w:firstLineChars="200"/>
        <w:rPr>
          <w:rFonts w:ascii="宋体" w:hAnsi="宋体" w:cs="宋体"/>
          <w:bCs/>
          <w:szCs w:val="21"/>
        </w:rPr>
      </w:pPr>
      <w:r>
        <w:rPr>
          <w:rFonts w:hint="eastAsia" w:ascii="宋体" w:hAnsi="宋体" w:cs="宋体"/>
          <w:bCs/>
          <w:szCs w:val="21"/>
        </w:rPr>
        <w:t xml:space="preserve">8.5 </w:t>
      </w:r>
      <w:r>
        <w:rPr>
          <w:rFonts w:hint="eastAsia" w:ascii="宋体" w:hAnsi="宋体" w:cs="宋体"/>
          <w:b/>
          <w:szCs w:val="21"/>
        </w:rPr>
        <w:t>所有响应报价具体详见供应商须知前附表。</w:t>
      </w:r>
    </w:p>
    <w:p w14:paraId="68E633E8">
      <w:pPr>
        <w:pStyle w:val="5"/>
        <w:numPr>
          <w:ilvl w:val="0"/>
          <w:numId w:val="0"/>
        </w:numPr>
        <w:spacing w:line="360" w:lineRule="auto"/>
        <w:ind w:firstLine="422" w:firstLineChars="200"/>
        <w:jc w:val="both"/>
        <w:rPr>
          <w:rFonts w:ascii="宋体" w:hAnsi="宋体" w:eastAsia="宋体" w:cs="宋体"/>
          <w:b/>
          <w:bCs/>
          <w:sz w:val="21"/>
          <w:szCs w:val="21"/>
        </w:rPr>
      </w:pPr>
      <w:bookmarkStart w:id="126" w:name="_Toc27588"/>
      <w:bookmarkStart w:id="127" w:name="_Toc30708"/>
      <w:bookmarkStart w:id="128" w:name="_Toc25653"/>
      <w:r>
        <w:rPr>
          <w:rFonts w:hint="eastAsia" w:ascii="宋体" w:hAnsi="宋体" w:eastAsia="宋体" w:cs="宋体"/>
          <w:b/>
          <w:bCs/>
          <w:sz w:val="21"/>
          <w:szCs w:val="21"/>
        </w:rPr>
        <w:t>9.响应文件的组成</w:t>
      </w:r>
      <w:bookmarkEnd w:id="126"/>
      <w:bookmarkEnd w:id="127"/>
      <w:bookmarkEnd w:id="128"/>
    </w:p>
    <w:p w14:paraId="62622977">
      <w:pPr>
        <w:spacing w:line="360" w:lineRule="auto"/>
        <w:ind w:firstLine="420" w:firstLineChars="200"/>
        <w:rPr>
          <w:rFonts w:ascii="宋体" w:hAnsi="宋体" w:cs="宋体"/>
          <w:bCs/>
          <w:szCs w:val="21"/>
        </w:rPr>
      </w:pPr>
      <w:r>
        <w:rPr>
          <w:rFonts w:hint="eastAsia" w:ascii="宋体" w:hAnsi="宋体" w:cs="宋体"/>
          <w:bCs/>
          <w:szCs w:val="21"/>
        </w:rPr>
        <w:t>9.1 供应商应当根据采购文件要求编制响应文件，并根据自己的商务能力、技术水平对采购文件提出的要求和条件逐条标明是否响应。若供应商未按采购文件的要求提供资料，或未对采购文件做出实质性响应，将导致响应文件被视为无效。</w:t>
      </w:r>
    </w:p>
    <w:p w14:paraId="6ADDA06E">
      <w:pPr>
        <w:spacing w:line="360" w:lineRule="auto"/>
        <w:ind w:firstLine="420" w:firstLineChars="200"/>
        <w:rPr>
          <w:rFonts w:ascii="宋体" w:hAnsi="宋体" w:cs="宋体"/>
          <w:bCs/>
          <w:szCs w:val="21"/>
        </w:rPr>
      </w:pPr>
      <w:r>
        <w:rPr>
          <w:rFonts w:hint="eastAsia" w:ascii="宋体" w:hAnsi="宋体" w:cs="宋体"/>
          <w:bCs/>
          <w:szCs w:val="21"/>
        </w:rPr>
        <w:t>9.2 响应文件</w:t>
      </w:r>
      <w:r>
        <w:rPr>
          <w:rFonts w:hint="eastAsia" w:ascii="宋体" w:hAnsi="宋体" w:cs="宋体"/>
          <w:szCs w:val="21"/>
        </w:rPr>
        <w:t>由商务、技术、价格及其他部分组成，应包括但不限于下列文件，其中加※项目不得有缺失或无效</w:t>
      </w:r>
      <w:r>
        <w:rPr>
          <w:rFonts w:hint="eastAsia" w:ascii="宋体" w:hAnsi="宋体" w:cs="宋体"/>
          <w:bCs/>
          <w:szCs w:val="21"/>
        </w:rPr>
        <w:t>：</w:t>
      </w:r>
    </w:p>
    <w:p w14:paraId="536092DF">
      <w:pPr>
        <w:spacing w:line="360" w:lineRule="auto"/>
        <w:ind w:firstLine="420" w:firstLineChars="200"/>
        <w:rPr>
          <w:rFonts w:ascii="宋体" w:hAnsi="宋体" w:cs="宋体"/>
          <w:bCs/>
          <w:szCs w:val="21"/>
        </w:rPr>
      </w:pPr>
      <w:r>
        <w:rPr>
          <w:rFonts w:hint="eastAsia" w:ascii="宋体" w:hAnsi="宋体" w:cs="宋体"/>
          <w:bCs/>
          <w:szCs w:val="21"/>
        </w:rPr>
        <w:t>（1）※采购申请及声明</w:t>
      </w:r>
    </w:p>
    <w:p w14:paraId="3AEF590B">
      <w:pPr>
        <w:spacing w:line="360" w:lineRule="auto"/>
        <w:ind w:firstLine="420" w:firstLineChars="200"/>
        <w:rPr>
          <w:rFonts w:ascii="宋体" w:hAnsi="宋体" w:cs="宋体"/>
          <w:bCs/>
          <w:szCs w:val="21"/>
        </w:rPr>
      </w:pPr>
      <w:r>
        <w:rPr>
          <w:rFonts w:hint="eastAsia" w:ascii="宋体" w:hAnsi="宋体" w:cs="宋体"/>
          <w:bCs/>
          <w:szCs w:val="21"/>
        </w:rPr>
        <w:t xml:space="preserve">（2）※响应一览表 </w:t>
      </w:r>
    </w:p>
    <w:p w14:paraId="0B37C148">
      <w:pPr>
        <w:spacing w:line="360" w:lineRule="auto"/>
        <w:ind w:firstLine="420" w:firstLineChars="200"/>
        <w:rPr>
          <w:rFonts w:ascii="宋体" w:hAnsi="宋体" w:cs="宋体"/>
          <w:bCs/>
          <w:szCs w:val="21"/>
        </w:rPr>
      </w:pPr>
      <w:r>
        <w:rPr>
          <w:rFonts w:hint="eastAsia" w:ascii="宋体" w:hAnsi="宋体" w:cs="宋体"/>
          <w:bCs/>
          <w:szCs w:val="21"/>
        </w:rPr>
        <w:t>（3）※分项报价表</w:t>
      </w:r>
    </w:p>
    <w:p w14:paraId="74FEA92A">
      <w:pPr>
        <w:spacing w:line="360" w:lineRule="auto"/>
        <w:ind w:firstLine="420" w:firstLineChars="200"/>
        <w:rPr>
          <w:rFonts w:ascii="宋体" w:hAnsi="宋体" w:cs="宋体"/>
          <w:bCs/>
          <w:szCs w:val="21"/>
        </w:rPr>
      </w:pPr>
      <w:r>
        <w:rPr>
          <w:rFonts w:hint="eastAsia" w:ascii="宋体" w:hAnsi="宋体" w:cs="宋体"/>
          <w:bCs/>
          <w:szCs w:val="21"/>
        </w:rPr>
        <w:t>（4）</w:t>
      </w:r>
      <w:r>
        <w:rPr>
          <w:rFonts w:hint="eastAsia" w:ascii="宋体" w:hAnsi="宋体" w:cs="宋体"/>
          <w:szCs w:val="21"/>
        </w:rPr>
        <w:t>※</w:t>
      </w:r>
      <w:r>
        <w:rPr>
          <w:rFonts w:hint="eastAsia" w:ascii="宋体" w:hAnsi="宋体" w:cs="宋体"/>
          <w:bCs/>
          <w:szCs w:val="21"/>
        </w:rPr>
        <w:t>《商务条款偏离表》</w:t>
      </w:r>
    </w:p>
    <w:p w14:paraId="68ACB16F">
      <w:pPr>
        <w:spacing w:line="360" w:lineRule="auto"/>
        <w:ind w:firstLine="420" w:firstLineChars="200"/>
        <w:rPr>
          <w:rFonts w:ascii="宋体" w:hAnsi="宋体" w:cs="宋体"/>
          <w:bCs/>
          <w:szCs w:val="21"/>
        </w:rPr>
      </w:pPr>
      <w:r>
        <w:rPr>
          <w:rFonts w:hint="eastAsia" w:ascii="宋体" w:hAnsi="宋体" w:cs="宋体"/>
          <w:bCs/>
          <w:szCs w:val="21"/>
        </w:rPr>
        <w:t>（5）※《技术条款偏离表》</w:t>
      </w:r>
    </w:p>
    <w:p w14:paraId="441FCEDC">
      <w:pPr>
        <w:spacing w:line="360" w:lineRule="auto"/>
        <w:ind w:firstLine="420" w:firstLineChars="200"/>
        <w:rPr>
          <w:rFonts w:ascii="宋体" w:hAnsi="宋体" w:cs="宋体"/>
          <w:bCs/>
          <w:szCs w:val="21"/>
        </w:rPr>
      </w:pPr>
      <w:r>
        <w:rPr>
          <w:rFonts w:hint="eastAsia" w:ascii="宋体" w:hAnsi="宋体" w:cs="宋体"/>
          <w:bCs/>
          <w:szCs w:val="21"/>
        </w:rPr>
        <w:t>（6）供应商基本情况表</w:t>
      </w:r>
    </w:p>
    <w:p w14:paraId="134F981B">
      <w:pPr>
        <w:spacing w:line="360" w:lineRule="auto"/>
        <w:ind w:firstLine="420" w:firstLineChars="200"/>
        <w:rPr>
          <w:rFonts w:ascii="宋体" w:hAnsi="宋体" w:cs="宋体"/>
          <w:bCs/>
          <w:szCs w:val="21"/>
        </w:rPr>
      </w:pPr>
      <w:r>
        <w:rPr>
          <w:rFonts w:hint="eastAsia" w:ascii="宋体" w:hAnsi="宋体" w:cs="宋体"/>
          <w:bCs/>
          <w:szCs w:val="21"/>
        </w:rPr>
        <w:t>（7）※资格证明文件</w:t>
      </w:r>
    </w:p>
    <w:p w14:paraId="6F8AF08A">
      <w:pPr>
        <w:spacing w:line="360" w:lineRule="auto"/>
        <w:ind w:firstLine="420" w:firstLineChars="200"/>
        <w:rPr>
          <w:rFonts w:ascii="宋体" w:hAnsi="宋体" w:cs="宋体"/>
          <w:bCs/>
          <w:szCs w:val="21"/>
        </w:rPr>
      </w:pPr>
      <w:r>
        <w:rPr>
          <w:rFonts w:hint="eastAsia" w:ascii="宋体" w:hAnsi="宋体" w:cs="宋体"/>
          <w:bCs/>
          <w:szCs w:val="21"/>
        </w:rPr>
        <w:t>（8）供应商认为需要提供的其他资料</w:t>
      </w:r>
    </w:p>
    <w:p w14:paraId="403AC8D5">
      <w:pPr>
        <w:widowControl/>
        <w:spacing w:line="360" w:lineRule="auto"/>
        <w:ind w:firstLine="420" w:firstLineChars="200"/>
        <w:rPr>
          <w:rFonts w:ascii="宋体" w:hAnsi="宋体" w:cs="宋体"/>
          <w:bCs/>
          <w:szCs w:val="21"/>
        </w:rPr>
      </w:pPr>
      <w:r>
        <w:rPr>
          <w:rFonts w:hint="eastAsia" w:ascii="宋体" w:hAnsi="宋体" w:cs="宋体"/>
          <w:bCs/>
          <w:szCs w:val="21"/>
        </w:rPr>
        <w:t>9.3</w:t>
      </w:r>
      <w:r>
        <w:rPr>
          <w:rFonts w:hint="eastAsia" w:ascii="宋体" w:hAnsi="宋体" w:cs="宋体"/>
          <w:szCs w:val="21"/>
        </w:rPr>
        <w:t>响应文件的商务部分：是证明</w:t>
      </w:r>
      <w:r>
        <w:rPr>
          <w:rFonts w:hint="eastAsia" w:ascii="宋体" w:hAnsi="宋体" w:cs="宋体"/>
          <w:bCs/>
          <w:szCs w:val="21"/>
        </w:rPr>
        <w:t>供应商</w:t>
      </w:r>
      <w:r>
        <w:rPr>
          <w:rFonts w:hint="eastAsia" w:ascii="宋体" w:hAnsi="宋体" w:cs="宋体"/>
          <w:szCs w:val="21"/>
        </w:rPr>
        <w:t>有资格参加采购和成交后有能力履行合同的文件，这些文件应能满足采购的要求</w:t>
      </w:r>
      <w:r>
        <w:rPr>
          <w:rFonts w:hint="eastAsia" w:ascii="宋体" w:hAnsi="宋体" w:cs="宋体"/>
          <w:bCs/>
          <w:szCs w:val="21"/>
        </w:rPr>
        <w:t>。</w:t>
      </w:r>
    </w:p>
    <w:p w14:paraId="2A376008">
      <w:pPr>
        <w:widowControl/>
        <w:spacing w:line="360" w:lineRule="auto"/>
        <w:ind w:firstLine="420" w:firstLineChars="200"/>
        <w:rPr>
          <w:rFonts w:ascii="宋体" w:hAnsi="宋体" w:cs="宋体"/>
          <w:bCs/>
          <w:szCs w:val="21"/>
        </w:rPr>
      </w:pPr>
      <w:r>
        <w:rPr>
          <w:rFonts w:hint="eastAsia" w:ascii="宋体" w:hAnsi="宋体" w:cs="宋体"/>
          <w:szCs w:val="21"/>
        </w:rPr>
        <w:t>9.4响应文件的技术部分：是证明</w:t>
      </w:r>
      <w:r>
        <w:rPr>
          <w:rFonts w:hint="eastAsia" w:ascii="宋体" w:hAnsi="宋体" w:cs="宋体"/>
          <w:bCs/>
          <w:szCs w:val="21"/>
        </w:rPr>
        <w:t>供应商</w:t>
      </w:r>
      <w:r>
        <w:rPr>
          <w:rFonts w:hint="eastAsia" w:ascii="宋体" w:hAnsi="宋体" w:cs="宋体"/>
          <w:szCs w:val="21"/>
        </w:rPr>
        <w:t>提供的产品/服务是合格的、并符合采购文件要求的证明文件，以及对产品/服务的详细说明，这些文件可以是文字资料、图纸和数据等。提供的产品/服务如与采购文件要求有不符之处，应说明其差别之所在。</w:t>
      </w:r>
    </w:p>
    <w:p w14:paraId="296BE5C7">
      <w:pPr>
        <w:widowControl/>
        <w:spacing w:line="360" w:lineRule="auto"/>
        <w:ind w:firstLine="420" w:firstLineChars="200"/>
        <w:rPr>
          <w:rFonts w:ascii="宋体" w:hAnsi="宋体" w:cs="宋体"/>
          <w:bCs/>
          <w:szCs w:val="21"/>
        </w:rPr>
      </w:pPr>
      <w:r>
        <w:rPr>
          <w:rFonts w:hint="eastAsia" w:ascii="宋体" w:hAnsi="宋体" w:cs="宋体"/>
          <w:szCs w:val="21"/>
        </w:rPr>
        <w:t>9.5</w:t>
      </w:r>
      <w:r>
        <w:rPr>
          <w:rFonts w:hint="eastAsia" w:ascii="宋体" w:hAnsi="宋体" w:cs="宋体"/>
          <w:bCs/>
          <w:szCs w:val="21"/>
        </w:rPr>
        <w:t>响应文件的价格部分：</w:t>
      </w:r>
    </w:p>
    <w:p w14:paraId="2B5AD916">
      <w:pPr>
        <w:widowControl/>
        <w:spacing w:line="360" w:lineRule="auto"/>
        <w:ind w:firstLine="420" w:firstLineChars="200"/>
        <w:rPr>
          <w:rFonts w:ascii="宋体" w:hAnsi="宋体" w:cs="宋体"/>
          <w:szCs w:val="21"/>
        </w:rPr>
      </w:pPr>
      <w:r>
        <w:rPr>
          <w:rFonts w:hint="eastAsia" w:ascii="宋体" w:hAnsi="宋体" w:cs="宋体"/>
          <w:bCs/>
          <w:szCs w:val="21"/>
        </w:rPr>
        <w:t>（1）</w:t>
      </w:r>
      <w:r>
        <w:rPr>
          <w:rFonts w:hint="eastAsia" w:ascii="宋体" w:hAnsi="宋体" w:cs="宋体"/>
          <w:szCs w:val="21"/>
        </w:rPr>
        <w:t>磋商</w:t>
      </w:r>
      <w:r>
        <w:rPr>
          <w:rFonts w:hint="eastAsia" w:ascii="宋体" w:hAnsi="宋体" w:cs="宋体"/>
          <w:szCs w:val="21"/>
          <w:lang w:val="zh-CN"/>
        </w:rPr>
        <w:t>文件如没有特别说明的话，</w:t>
      </w:r>
      <w:r>
        <w:rPr>
          <w:rFonts w:hint="eastAsia" w:ascii="宋体" w:hAnsi="宋体" w:cs="宋体"/>
          <w:szCs w:val="21"/>
        </w:rPr>
        <w:t>对每一项货物和服务仅接受一个价格。</w:t>
      </w:r>
    </w:p>
    <w:p w14:paraId="5746FA02">
      <w:pPr>
        <w:widowControl/>
        <w:spacing w:line="360" w:lineRule="auto"/>
        <w:ind w:firstLine="420" w:firstLineChars="200"/>
        <w:rPr>
          <w:rFonts w:ascii="宋体" w:hAnsi="宋体" w:cs="宋体"/>
          <w:szCs w:val="21"/>
          <w:lang w:val="zh-CN"/>
        </w:rPr>
      </w:pPr>
      <w:r>
        <w:rPr>
          <w:rFonts w:hint="eastAsia" w:ascii="宋体" w:hAnsi="宋体" w:cs="宋体"/>
          <w:szCs w:val="21"/>
          <w:lang w:val="zh-CN"/>
        </w:rPr>
        <w:t>（</w:t>
      </w:r>
      <w:r>
        <w:rPr>
          <w:rFonts w:hint="eastAsia" w:ascii="宋体" w:hAnsi="宋体" w:cs="宋体"/>
          <w:szCs w:val="21"/>
        </w:rPr>
        <w:t>2</w:t>
      </w:r>
      <w:r>
        <w:rPr>
          <w:rFonts w:hint="eastAsia" w:ascii="宋体" w:hAnsi="宋体" w:cs="宋体"/>
          <w:szCs w:val="21"/>
          <w:lang w:val="zh-CN"/>
        </w:rPr>
        <w:t>）报价时应充分考虑所有可能影响到报价的因素，一旦采购结束最终成交，如发生漏、缺、少项，都将被认为是成交人的报价让利行为，损失自负。</w:t>
      </w:r>
    </w:p>
    <w:p w14:paraId="58F1F079">
      <w:pPr>
        <w:widowControl/>
        <w:spacing w:line="360" w:lineRule="auto"/>
        <w:ind w:firstLine="420" w:firstLineChars="200"/>
        <w:rPr>
          <w:rFonts w:ascii="宋体" w:hAnsi="宋体" w:cs="宋体"/>
          <w:szCs w:val="21"/>
          <w:lang w:val="zh-CN"/>
        </w:rPr>
      </w:pPr>
      <w:r>
        <w:rPr>
          <w:rFonts w:hint="eastAsia" w:ascii="宋体" w:hAnsi="宋体" w:cs="宋体"/>
          <w:szCs w:val="21"/>
          <w:lang w:val="zh-CN"/>
        </w:rPr>
        <w:t>（</w:t>
      </w:r>
      <w:r>
        <w:rPr>
          <w:rFonts w:hint="eastAsia" w:ascii="宋体" w:hAnsi="宋体" w:cs="宋体"/>
          <w:szCs w:val="21"/>
        </w:rPr>
        <w:t>3</w:t>
      </w:r>
      <w:r>
        <w:rPr>
          <w:rFonts w:hint="eastAsia" w:ascii="宋体" w:hAnsi="宋体" w:cs="宋体"/>
          <w:szCs w:val="21"/>
          <w:lang w:val="zh-CN"/>
        </w:rPr>
        <w:t>）</w:t>
      </w:r>
      <w:r>
        <w:rPr>
          <w:rFonts w:hint="eastAsia" w:ascii="宋体" w:hAnsi="宋体" w:cs="宋体"/>
          <w:bCs/>
          <w:szCs w:val="21"/>
        </w:rPr>
        <w:t>供应商</w:t>
      </w:r>
      <w:r>
        <w:rPr>
          <w:rFonts w:hint="eastAsia" w:ascii="宋体" w:hAnsi="宋体" w:cs="宋体"/>
          <w:szCs w:val="21"/>
          <w:lang w:val="zh-CN"/>
        </w:rPr>
        <w:t>的报价包括但不仅限于人员费用（工资、福利、培训、体检、社会保险、加班费）、服务所用设备工具购置及维修费用、服务所用材料消耗费用、管理费用、利润、税金等费用，以及</w:t>
      </w:r>
      <w:r>
        <w:rPr>
          <w:rFonts w:hint="eastAsia" w:ascii="宋体" w:hAnsi="宋体" w:cs="宋体"/>
          <w:bCs/>
          <w:szCs w:val="21"/>
        </w:rPr>
        <w:t>供应商</w:t>
      </w:r>
      <w:r>
        <w:rPr>
          <w:rFonts w:hint="eastAsia" w:ascii="宋体" w:hAnsi="宋体" w:cs="宋体"/>
          <w:szCs w:val="21"/>
          <w:lang w:val="zh-CN"/>
        </w:rPr>
        <w:t>认为需要的其他费用等。</w:t>
      </w:r>
    </w:p>
    <w:p w14:paraId="54A33250">
      <w:pPr>
        <w:widowControl/>
        <w:spacing w:line="360" w:lineRule="auto"/>
        <w:ind w:firstLine="420" w:firstLineChars="200"/>
        <w:rPr>
          <w:rFonts w:ascii="宋体" w:hAnsi="宋体" w:cs="宋体"/>
          <w:szCs w:val="21"/>
          <w:lang w:val="zh-CN"/>
        </w:rPr>
      </w:pPr>
      <w:r>
        <w:rPr>
          <w:rFonts w:hint="eastAsia" w:ascii="宋体" w:hAnsi="宋体" w:cs="宋体"/>
          <w:szCs w:val="21"/>
        </w:rPr>
        <w:t>9</w:t>
      </w:r>
      <w:r>
        <w:rPr>
          <w:rFonts w:hint="eastAsia" w:ascii="宋体" w:hAnsi="宋体" w:cs="宋体"/>
          <w:szCs w:val="21"/>
          <w:lang w:val="zh-CN"/>
        </w:rPr>
        <w:t>.6 响应文件的其他部分：</w:t>
      </w:r>
    </w:p>
    <w:p w14:paraId="13CE1788">
      <w:pPr>
        <w:widowControl/>
        <w:spacing w:line="360" w:lineRule="auto"/>
        <w:ind w:firstLine="420" w:firstLineChars="200"/>
        <w:rPr>
          <w:rFonts w:ascii="宋体" w:hAnsi="宋体" w:cs="宋体"/>
          <w:szCs w:val="21"/>
          <w:lang w:val="zh-CN"/>
        </w:rPr>
      </w:pPr>
      <w:r>
        <w:rPr>
          <w:rFonts w:hint="eastAsia" w:ascii="宋体" w:hAnsi="宋体" w:cs="宋体"/>
          <w:szCs w:val="21"/>
          <w:lang w:val="zh-CN"/>
        </w:rPr>
        <w:t>其他部分由</w:t>
      </w:r>
      <w:r>
        <w:rPr>
          <w:rFonts w:hint="eastAsia" w:ascii="宋体" w:hAnsi="宋体" w:cs="宋体"/>
          <w:bCs/>
          <w:szCs w:val="21"/>
        </w:rPr>
        <w:t>供应商</w:t>
      </w:r>
      <w:r>
        <w:rPr>
          <w:rFonts w:hint="eastAsia" w:ascii="宋体" w:hAnsi="宋体" w:cs="宋体"/>
          <w:szCs w:val="21"/>
          <w:lang w:val="zh-CN"/>
        </w:rPr>
        <w:t>根据编制响应文件需要提供的其他相关文件。</w:t>
      </w:r>
    </w:p>
    <w:p w14:paraId="64698888">
      <w:pPr>
        <w:spacing w:line="360" w:lineRule="auto"/>
        <w:ind w:firstLine="422" w:firstLineChars="200"/>
        <w:rPr>
          <w:rFonts w:ascii="宋体" w:hAnsi="宋体" w:cs="宋体"/>
          <w:b/>
          <w:szCs w:val="21"/>
        </w:rPr>
      </w:pPr>
      <w:r>
        <w:rPr>
          <w:rFonts w:hint="eastAsia" w:ascii="宋体" w:hAnsi="宋体" w:cs="宋体"/>
          <w:b/>
          <w:szCs w:val="21"/>
        </w:rPr>
        <w:t>注：供应商递交的响应文件，所有内容均应真实有效；供应商所提供的产品或服务，必须满足国家相关强制性规定要求（如CCC认证、医疗器械注册证、电器电子产品有害物质限制使用标识等）；如果供应商违反国家相关强制性规定给采购人造成损失，一切责任和后果均由供应商承担。</w:t>
      </w:r>
    </w:p>
    <w:p w14:paraId="3FA7B83A">
      <w:pPr>
        <w:spacing w:line="360" w:lineRule="auto"/>
        <w:ind w:firstLine="422" w:firstLineChars="200"/>
        <w:outlineLvl w:val="2"/>
        <w:rPr>
          <w:rFonts w:ascii="宋体" w:hAnsi="宋体" w:cs="宋体"/>
          <w:b/>
          <w:bCs/>
          <w:szCs w:val="21"/>
        </w:rPr>
      </w:pPr>
      <w:bookmarkStart w:id="129" w:name="_Toc1336"/>
      <w:bookmarkStart w:id="130" w:name="_Toc115"/>
      <w:bookmarkStart w:id="131" w:name="_Toc31046"/>
      <w:r>
        <w:rPr>
          <w:rFonts w:hint="eastAsia" w:ascii="宋体" w:hAnsi="宋体" w:cs="宋体"/>
          <w:b/>
          <w:bCs/>
          <w:szCs w:val="21"/>
        </w:rPr>
        <w:t>10.磋商保证金</w:t>
      </w:r>
      <w:bookmarkEnd w:id="129"/>
      <w:bookmarkEnd w:id="130"/>
      <w:r>
        <w:rPr>
          <w:rFonts w:hint="eastAsia" w:ascii="宋体" w:hAnsi="宋体" w:cs="宋体"/>
          <w:b/>
          <w:bCs/>
          <w:szCs w:val="21"/>
        </w:rPr>
        <w:t>（如有）</w:t>
      </w:r>
      <w:bookmarkEnd w:id="131"/>
    </w:p>
    <w:p w14:paraId="20535559">
      <w:pPr>
        <w:spacing w:line="360" w:lineRule="auto"/>
        <w:ind w:firstLine="420" w:firstLineChars="200"/>
        <w:rPr>
          <w:rFonts w:ascii="宋体" w:hAnsi="宋体" w:cs="宋体"/>
          <w:bCs/>
          <w:szCs w:val="21"/>
          <w:lang w:val="zh-CN"/>
        </w:rPr>
      </w:pPr>
      <w:r>
        <w:rPr>
          <w:rFonts w:hint="eastAsia" w:ascii="宋体" w:hAnsi="宋体" w:cs="宋体"/>
          <w:szCs w:val="21"/>
        </w:rPr>
        <w:t>10</w:t>
      </w:r>
      <w:r>
        <w:rPr>
          <w:rFonts w:hint="eastAsia" w:ascii="宋体" w:hAnsi="宋体" w:cs="宋体"/>
          <w:szCs w:val="21"/>
          <w:lang w:val="zh-CN"/>
        </w:rPr>
        <w:t>.1作为响应文件的一部分，供应商应按照采购文件要求的数额和办法缴纳磋商保证金；磋商保证金</w:t>
      </w:r>
      <w:r>
        <w:rPr>
          <w:rFonts w:hint="eastAsia" w:ascii="宋体" w:hAnsi="宋体" w:cs="宋体"/>
          <w:bCs/>
          <w:szCs w:val="21"/>
          <w:lang w:val="zh-CN"/>
        </w:rPr>
        <w:t>有效期应当与响应文件有效期一致。</w:t>
      </w:r>
    </w:p>
    <w:p w14:paraId="37FE0DBA">
      <w:pPr>
        <w:spacing w:line="360" w:lineRule="auto"/>
        <w:ind w:firstLine="422" w:firstLineChars="200"/>
        <w:rPr>
          <w:rFonts w:ascii="宋体" w:hAnsi="宋体" w:cs="宋体"/>
          <w:b/>
          <w:szCs w:val="21"/>
        </w:rPr>
      </w:pPr>
      <w:r>
        <w:rPr>
          <w:rFonts w:hint="eastAsia" w:ascii="宋体" w:hAnsi="宋体" w:cs="宋体"/>
          <w:b/>
          <w:szCs w:val="21"/>
        </w:rPr>
        <w:t>磋商保证金金额及形式：详见供应商须知前附表；</w:t>
      </w:r>
    </w:p>
    <w:p w14:paraId="28615C9B">
      <w:pPr>
        <w:spacing w:line="360" w:lineRule="auto"/>
        <w:ind w:firstLine="422" w:firstLineChars="200"/>
        <w:rPr>
          <w:rFonts w:ascii="宋体" w:hAnsi="宋体" w:cs="宋体"/>
          <w:b/>
          <w:szCs w:val="21"/>
        </w:rPr>
      </w:pPr>
      <w:r>
        <w:rPr>
          <w:rFonts w:hint="eastAsia" w:ascii="宋体" w:hAnsi="宋体" w:cs="宋体"/>
          <w:b/>
          <w:szCs w:val="21"/>
        </w:rPr>
        <w:t>10.2未成交的供应商，其磋商保证金将在成交通知书发出后五个工作日内无息退还。未成交供应商应主动与响应文件接收人联系办理磋商保证金退还事宜，以及办理退还手续，由于供应商的自身原因未及时办理磋商保证金退还的，其责任和由此造成的后果由供应商自行承担。</w:t>
      </w:r>
    </w:p>
    <w:p w14:paraId="3A2A7D73">
      <w:pPr>
        <w:spacing w:line="360" w:lineRule="auto"/>
        <w:ind w:firstLine="420" w:firstLineChars="200"/>
        <w:rPr>
          <w:rFonts w:ascii="宋体" w:hAnsi="宋体" w:cs="宋体"/>
          <w:bCs/>
          <w:szCs w:val="21"/>
        </w:rPr>
      </w:pPr>
      <w:r>
        <w:rPr>
          <w:rFonts w:hint="eastAsia" w:ascii="宋体" w:hAnsi="宋体" w:cs="宋体"/>
          <w:bCs/>
          <w:szCs w:val="21"/>
        </w:rPr>
        <w:t>10.3成交供应商的磋商保证金将按要求提供招标代理服务费后并在采购合同签订后五个工作日内退还。</w:t>
      </w:r>
    </w:p>
    <w:p w14:paraId="0B1B8823">
      <w:pPr>
        <w:spacing w:line="360" w:lineRule="auto"/>
        <w:ind w:firstLine="420" w:firstLineChars="200"/>
        <w:rPr>
          <w:rFonts w:ascii="宋体" w:hAnsi="宋体" w:cs="宋体"/>
          <w:bCs/>
          <w:szCs w:val="21"/>
        </w:rPr>
      </w:pPr>
      <w:r>
        <w:rPr>
          <w:rFonts w:hint="eastAsia" w:ascii="宋体" w:hAnsi="宋体" w:cs="宋体"/>
          <w:bCs/>
          <w:szCs w:val="21"/>
        </w:rPr>
        <w:t>10.4发生下列情况之一，磋商保证金将被没收：</w:t>
      </w:r>
    </w:p>
    <w:p w14:paraId="3A4254A6">
      <w:pPr>
        <w:spacing w:line="360" w:lineRule="auto"/>
        <w:ind w:firstLine="420" w:firstLineChars="200"/>
        <w:rPr>
          <w:rFonts w:ascii="宋体" w:hAnsi="宋体" w:cs="宋体"/>
          <w:bCs/>
          <w:szCs w:val="21"/>
        </w:rPr>
      </w:pPr>
      <w:r>
        <w:rPr>
          <w:rFonts w:hint="eastAsia" w:ascii="宋体" w:hAnsi="宋体" w:cs="宋体"/>
          <w:bCs/>
          <w:szCs w:val="21"/>
        </w:rPr>
        <w:t>（1）成交供应商在成交后无正当理由不与采购人或者采购代理机构签订合同的；</w:t>
      </w:r>
    </w:p>
    <w:p w14:paraId="1DB6250C">
      <w:pPr>
        <w:spacing w:line="360" w:lineRule="auto"/>
        <w:ind w:firstLine="420" w:firstLineChars="200"/>
        <w:rPr>
          <w:rFonts w:ascii="宋体" w:hAnsi="宋体" w:cs="宋体"/>
          <w:bCs/>
          <w:szCs w:val="21"/>
        </w:rPr>
      </w:pPr>
      <w:r>
        <w:rPr>
          <w:rFonts w:hint="eastAsia" w:ascii="宋体" w:hAnsi="宋体" w:cs="宋体"/>
          <w:bCs/>
          <w:szCs w:val="21"/>
        </w:rPr>
        <w:t>（2）</w:t>
      </w:r>
      <w:r>
        <w:rPr>
          <w:rFonts w:hint="eastAsia" w:ascii="宋体" w:hAnsi="宋体" w:cs="宋体"/>
          <w:bCs/>
          <w:szCs w:val="21"/>
          <w:lang w:val="zh-CN"/>
        </w:rPr>
        <w:t>响应有效期内撤回其响应文件的；</w:t>
      </w:r>
    </w:p>
    <w:p w14:paraId="6FB7EE6F">
      <w:pPr>
        <w:spacing w:line="360" w:lineRule="auto"/>
        <w:ind w:firstLine="420" w:firstLineChars="200"/>
        <w:rPr>
          <w:rFonts w:ascii="宋体" w:hAnsi="宋体" w:cs="宋体"/>
          <w:bCs/>
          <w:szCs w:val="21"/>
        </w:rPr>
      </w:pPr>
      <w:r>
        <w:rPr>
          <w:rFonts w:hint="eastAsia" w:ascii="宋体" w:hAnsi="宋体" w:cs="宋体"/>
          <w:bCs/>
          <w:szCs w:val="21"/>
        </w:rPr>
        <w:t>（3）提供虚假材料谋取成交的；</w:t>
      </w:r>
    </w:p>
    <w:p w14:paraId="7E43178D">
      <w:pPr>
        <w:spacing w:line="360" w:lineRule="auto"/>
        <w:ind w:firstLine="420" w:firstLineChars="200"/>
        <w:rPr>
          <w:rFonts w:ascii="宋体" w:hAnsi="宋体" w:cs="宋体"/>
          <w:bCs/>
          <w:szCs w:val="21"/>
        </w:rPr>
      </w:pPr>
      <w:r>
        <w:rPr>
          <w:rFonts w:hint="eastAsia" w:ascii="宋体" w:hAnsi="宋体" w:cs="宋体"/>
          <w:bCs/>
          <w:szCs w:val="21"/>
        </w:rPr>
        <w:t>（4）采取不正当手段诋毁、排挤其他供应商的；</w:t>
      </w:r>
    </w:p>
    <w:p w14:paraId="6EEB668B">
      <w:pPr>
        <w:spacing w:line="360" w:lineRule="auto"/>
        <w:ind w:firstLine="420" w:firstLineChars="200"/>
        <w:rPr>
          <w:rFonts w:ascii="宋体" w:hAnsi="宋体" w:cs="宋体"/>
          <w:bCs/>
          <w:szCs w:val="21"/>
        </w:rPr>
      </w:pPr>
      <w:r>
        <w:rPr>
          <w:rFonts w:hint="eastAsia" w:ascii="宋体" w:hAnsi="宋体" w:cs="宋体"/>
          <w:bCs/>
          <w:szCs w:val="21"/>
        </w:rPr>
        <w:t>（5）与采购人、采购代理机构或者其他供应商恶意串通的；</w:t>
      </w:r>
    </w:p>
    <w:p w14:paraId="57C9D91B">
      <w:pPr>
        <w:spacing w:line="360" w:lineRule="auto"/>
        <w:ind w:firstLine="420" w:firstLineChars="200"/>
        <w:rPr>
          <w:rFonts w:ascii="宋体" w:hAnsi="宋体" w:cs="宋体"/>
          <w:bCs/>
          <w:szCs w:val="21"/>
        </w:rPr>
      </w:pPr>
      <w:r>
        <w:rPr>
          <w:rFonts w:hint="eastAsia" w:ascii="宋体" w:hAnsi="宋体" w:cs="宋体"/>
          <w:bCs/>
          <w:szCs w:val="21"/>
        </w:rPr>
        <w:t>（6）成交供应商在成交后将成交项目转让给他人，或者在响应文件中未说明，且未经采购人同意，将成交项目分包给他人的；</w:t>
      </w:r>
    </w:p>
    <w:p w14:paraId="759ACF53">
      <w:pPr>
        <w:spacing w:line="360" w:lineRule="auto"/>
        <w:ind w:firstLine="420" w:firstLineChars="200"/>
        <w:rPr>
          <w:rFonts w:ascii="宋体" w:hAnsi="宋体" w:cs="宋体"/>
          <w:szCs w:val="21"/>
        </w:rPr>
      </w:pPr>
      <w:r>
        <w:rPr>
          <w:rFonts w:hint="eastAsia" w:ascii="宋体" w:hAnsi="宋体" w:cs="宋体"/>
          <w:bCs/>
          <w:szCs w:val="21"/>
        </w:rPr>
        <w:t>（7）成交供应商在成交后拒绝履行合同义务的。</w:t>
      </w:r>
    </w:p>
    <w:p w14:paraId="4F10A048">
      <w:pPr>
        <w:pStyle w:val="5"/>
        <w:numPr>
          <w:ilvl w:val="0"/>
          <w:numId w:val="0"/>
        </w:numPr>
        <w:spacing w:line="360" w:lineRule="auto"/>
        <w:ind w:firstLine="422" w:firstLineChars="200"/>
        <w:jc w:val="both"/>
        <w:rPr>
          <w:rFonts w:ascii="宋体" w:hAnsi="宋体" w:eastAsia="宋体" w:cs="宋体"/>
          <w:b/>
          <w:bCs/>
          <w:sz w:val="21"/>
          <w:szCs w:val="21"/>
        </w:rPr>
      </w:pPr>
      <w:bookmarkStart w:id="132" w:name="_Toc22016"/>
      <w:bookmarkStart w:id="133" w:name="_Toc4978"/>
      <w:bookmarkStart w:id="134" w:name="_Toc8828"/>
      <w:r>
        <w:rPr>
          <w:rFonts w:hint="eastAsia" w:ascii="宋体" w:hAnsi="宋体" w:eastAsia="宋体" w:cs="宋体"/>
          <w:b/>
          <w:bCs/>
          <w:sz w:val="21"/>
          <w:szCs w:val="21"/>
        </w:rPr>
        <w:t>11.响应文件的有效期</w:t>
      </w:r>
      <w:bookmarkEnd w:id="132"/>
      <w:bookmarkEnd w:id="133"/>
      <w:bookmarkEnd w:id="134"/>
    </w:p>
    <w:p w14:paraId="4BE1D12F">
      <w:pPr>
        <w:spacing w:line="360" w:lineRule="auto"/>
        <w:ind w:firstLine="420" w:firstLineChars="200"/>
        <w:jc w:val="left"/>
        <w:rPr>
          <w:rFonts w:ascii="宋体" w:hAnsi="宋体" w:cs="宋体"/>
          <w:bCs/>
          <w:szCs w:val="21"/>
        </w:rPr>
      </w:pPr>
      <w:r>
        <w:rPr>
          <w:rFonts w:hint="eastAsia" w:ascii="宋体" w:hAnsi="宋体" w:cs="宋体"/>
          <w:bCs/>
          <w:szCs w:val="21"/>
        </w:rPr>
        <w:t>11.1</w:t>
      </w:r>
      <w:r>
        <w:rPr>
          <w:rFonts w:hint="eastAsia" w:ascii="宋体" w:hAnsi="宋体" w:cs="宋体"/>
          <w:szCs w:val="21"/>
        </w:rPr>
        <w:t>供应商提交响应文件截止之日起90天</w:t>
      </w:r>
      <w:r>
        <w:rPr>
          <w:rFonts w:hint="eastAsia" w:ascii="宋体" w:hAnsi="宋体" w:cs="宋体"/>
          <w:bCs/>
          <w:szCs w:val="21"/>
        </w:rPr>
        <w:t>内，响应文件应保持有效，有效期短于此规定的响应文件将被拒绝或视为无效。</w:t>
      </w:r>
    </w:p>
    <w:p w14:paraId="3122C88C">
      <w:pPr>
        <w:spacing w:line="360" w:lineRule="auto"/>
        <w:ind w:firstLine="420" w:firstLineChars="200"/>
        <w:rPr>
          <w:rFonts w:ascii="宋体" w:hAnsi="宋体" w:cs="宋体"/>
          <w:bCs/>
          <w:szCs w:val="21"/>
        </w:rPr>
      </w:pPr>
      <w:r>
        <w:rPr>
          <w:rFonts w:hint="eastAsia" w:ascii="宋体" w:hAnsi="宋体" w:cs="宋体"/>
          <w:bCs/>
          <w:szCs w:val="21"/>
        </w:rPr>
        <w:t>11.2在特殊情况下，采购代理机构可根据实际情况，在原响应文件有效期截止时间前，与供应商协商延长有效期，此类要求和答复都应以书面形式进行。供应商可以拒绝接受延期的要求而放弃投标，保证金将尽快无息退还。同意这一要求的供应商，无需也不允许修改其响应文件，但须相应延长保证金的有效期。受响应文件有效期制约的所有权利和义务均应延长至新的有效期。</w:t>
      </w:r>
    </w:p>
    <w:p w14:paraId="1E747FD9">
      <w:pPr>
        <w:pStyle w:val="5"/>
        <w:numPr>
          <w:ilvl w:val="0"/>
          <w:numId w:val="0"/>
        </w:numPr>
        <w:spacing w:line="360" w:lineRule="auto"/>
        <w:ind w:firstLine="422" w:firstLineChars="200"/>
        <w:jc w:val="both"/>
        <w:rPr>
          <w:rFonts w:ascii="宋体" w:hAnsi="宋体" w:eastAsia="宋体" w:cs="宋体"/>
          <w:b/>
          <w:bCs/>
          <w:sz w:val="21"/>
          <w:szCs w:val="21"/>
        </w:rPr>
      </w:pPr>
      <w:bookmarkStart w:id="135" w:name="_Toc4470"/>
      <w:bookmarkStart w:id="136" w:name="_Toc11634"/>
      <w:bookmarkStart w:id="137" w:name="_Toc20296"/>
      <w:r>
        <w:rPr>
          <w:rFonts w:hint="eastAsia" w:ascii="宋体" w:hAnsi="宋体" w:eastAsia="宋体" w:cs="宋体"/>
          <w:b/>
          <w:bCs/>
          <w:sz w:val="21"/>
          <w:szCs w:val="21"/>
        </w:rPr>
        <w:t>12.响应文件的签署及其形式</w:t>
      </w:r>
      <w:bookmarkEnd w:id="135"/>
      <w:bookmarkEnd w:id="136"/>
      <w:bookmarkEnd w:id="137"/>
    </w:p>
    <w:p w14:paraId="76596B44">
      <w:pPr>
        <w:spacing w:line="360" w:lineRule="auto"/>
        <w:ind w:firstLine="420" w:firstLineChars="200"/>
        <w:rPr>
          <w:rFonts w:ascii="宋体" w:hAnsi="宋体" w:cs="宋体"/>
          <w:bCs/>
          <w:szCs w:val="21"/>
        </w:rPr>
      </w:pPr>
      <w:r>
        <w:rPr>
          <w:rFonts w:hint="eastAsia" w:ascii="宋体" w:hAnsi="宋体" w:cs="宋体"/>
          <w:bCs/>
          <w:szCs w:val="21"/>
        </w:rPr>
        <w:t>12.1响应文件的正本应用打印机或不褪色墨水书写，且经法定代表人或授权代表签署。</w:t>
      </w:r>
    </w:p>
    <w:p w14:paraId="5F74FBD3">
      <w:pPr>
        <w:spacing w:line="360" w:lineRule="auto"/>
        <w:ind w:firstLine="420" w:firstLineChars="200"/>
        <w:rPr>
          <w:rFonts w:ascii="宋体" w:hAnsi="宋体" w:cs="宋体"/>
          <w:bCs/>
          <w:szCs w:val="21"/>
        </w:rPr>
      </w:pPr>
      <w:r>
        <w:rPr>
          <w:rFonts w:hint="eastAsia" w:ascii="宋体" w:hAnsi="宋体" w:cs="宋体"/>
          <w:bCs/>
          <w:szCs w:val="21"/>
        </w:rPr>
        <w:t>12.2响应文件应字迹清楚、内容齐全、不得涂改或增删。如有修改和增删，必须有供应商公章或法定代表人或其授权代表签字。因响应文件字迹潦草或表达不清所引起的不利后果由供应商承担。</w:t>
      </w:r>
    </w:p>
    <w:p w14:paraId="25EDABB0">
      <w:pPr>
        <w:widowControl/>
        <w:shd w:val="clear" w:color="auto" w:fill="FFFFFF"/>
        <w:spacing w:line="360" w:lineRule="auto"/>
        <w:ind w:firstLine="420" w:firstLineChars="200"/>
        <w:rPr>
          <w:rFonts w:ascii="宋体" w:hAnsi="宋体" w:cs="宋体"/>
          <w:szCs w:val="21"/>
        </w:rPr>
      </w:pPr>
      <w:r>
        <w:rPr>
          <w:rFonts w:hint="eastAsia" w:ascii="宋体" w:hAnsi="宋体" w:cs="宋体"/>
          <w:bCs/>
          <w:szCs w:val="21"/>
        </w:rPr>
        <w:t>12.3供应商应按照磋商文件所规定的内容顺序，</w:t>
      </w:r>
      <w:r>
        <w:rPr>
          <w:rFonts w:hint="eastAsia" w:ascii="宋体" w:hAnsi="宋体" w:cs="宋体"/>
          <w:b/>
          <w:szCs w:val="21"/>
        </w:rPr>
        <w:t>编制目录，逐页编码。</w:t>
      </w:r>
      <w:r>
        <w:rPr>
          <w:rFonts w:hint="eastAsia" w:ascii="宋体" w:hAnsi="宋体" w:cs="宋体"/>
          <w:bCs/>
          <w:szCs w:val="21"/>
        </w:rPr>
        <w:t>由于编排混乱导致响应文件被误读或查找不到，责任由供应商承担。</w:t>
      </w:r>
    </w:p>
    <w:p w14:paraId="29E05734">
      <w:pPr>
        <w:widowControl/>
        <w:shd w:val="clear" w:color="auto" w:fill="FFFFFF"/>
        <w:spacing w:line="360" w:lineRule="auto"/>
        <w:ind w:firstLine="422" w:firstLineChars="200"/>
        <w:outlineLvl w:val="1"/>
        <w:rPr>
          <w:rFonts w:ascii="宋体" w:hAnsi="宋体" w:cs="宋体"/>
          <w:b/>
          <w:bCs/>
          <w:szCs w:val="21"/>
        </w:rPr>
      </w:pPr>
      <w:r>
        <w:rPr>
          <w:rFonts w:hint="eastAsia" w:ascii="宋体" w:hAnsi="宋体" w:cs="宋体"/>
          <w:b/>
          <w:bCs/>
          <w:szCs w:val="21"/>
        </w:rPr>
        <w:t xml:space="preserve"> </w:t>
      </w:r>
      <w:bookmarkStart w:id="138" w:name="_Toc17766"/>
      <w:r>
        <w:rPr>
          <w:rFonts w:hint="eastAsia" w:ascii="宋体" w:hAnsi="宋体" w:cs="宋体"/>
          <w:b/>
          <w:bCs/>
          <w:szCs w:val="21"/>
        </w:rPr>
        <w:t>四、响应文件的递交</w:t>
      </w:r>
      <w:bookmarkEnd w:id="138"/>
    </w:p>
    <w:p w14:paraId="1E7E3EAF">
      <w:pPr>
        <w:pStyle w:val="5"/>
        <w:numPr>
          <w:ilvl w:val="0"/>
          <w:numId w:val="0"/>
        </w:numPr>
        <w:spacing w:line="360" w:lineRule="auto"/>
        <w:ind w:firstLine="422" w:firstLineChars="200"/>
        <w:jc w:val="both"/>
        <w:rPr>
          <w:rFonts w:ascii="宋体" w:hAnsi="宋体" w:eastAsia="宋体" w:cs="宋体"/>
          <w:b/>
          <w:bCs/>
          <w:sz w:val="21"/>
          <w:szCs w:val="21"/>
        </w:rPr>
      </w:pPr>
      <w:bookmarkStart w:id="139" w:name="_Toc28480"/>
      <w:bookmarkStart w:id="140" w:name="_Toc22822"/>
      <w:bookmarkStart w:id="141" w:name="_Toc19481"/>
      <w:r>
        <w:rPr>
          <w:rFonts w:hint="eastAsia" w:ascii="宋体" w:hAnsi="宋体" w:eastAsia="宋体" w:cs="宋体"/>
          <w:b/>
          <w:bCs/>
          <w:sz w:val="21"/>
          <w:szCs w:val="21"/>
        </w:rPr>
        <w:t>13.响应文件的密封及标记</w:t>
      </w:r>
      <w:bookmarkEnd w:id="139"/>
      <w:bookmarkEnd w:id="140"/>
      <w:bookmarkEnd w:id="141"/>
    </w:p>
    <w:p w14:paraId="6C377C6A">
      <w:pPr>
        <w:tabs>
          <w:tab w:val="left" w:pos="480"/>
        </w:tabs>
        <w:spacing w:line="360" w:lineRule="auto"/>
        <w:ind w:firstLine="420" w:firstLineChars="200"/>
        <w:rPr>
          <w:rFonts w:ascii="宋体" w:hAnsi="宋体" w:cs="宋体"/>
          <w:szCs w:val="21"/>
        </w:rPr>
      </w:pPr>
      <w:r>
        <w:rPr>
          <w:rFonts w:hint="eastAsia" w:ascii="宋体" w:hAnsi="宋体" w:cs="宋体"/>
          <w:szCs w:val="21"/>
        </w:rPr>
        <w:t>13.1 电子响应文件的递交：供应商应当按照《操作手册》规定，在响应截止时间前制作并上传电子响应文件。</w:t>
      </w:r>
    </w:p>
    <w:p w14:paraId="27ACDB3B">
      <w:pPr>
        <w:tabs>
          <w:tab w:val="left" w:pos="480"/>
        </w:tabs>
        <w:spacing w:line="360" w:lineRule="auto"/>
        <w:ind w:firstLine="420" w:firstLineChars="200"/>
        <w:rPr>
          <w:rFonts w:ascii="宋体" w:hAnsi="宋体" w:cs="宋体"/>
          <w:bCs/>
          <w:szCs w:val="21"/>
        </w:rPr>
      </w:pPr>
      <w:r>
        <w:rPr>
          <w:rFonts w:hint="eastAsia" w:ascii="宋体" w:hAnsi="宋体" w:cs="宋体"/>
          <w:szCs w:val="21"/>
        </w:rPr>
        <w:t>13.2 响应文件的解密：磋商当天各供应商及时登录不见面开标大厅，响应文件递交截止时间后，采购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2D632F7D">
      <w:pPr>
        <w:pStyle w:val="5"/>
        <w:numPr>
          <w:ilvl w:val="0"/>
          <w:numId w:val="0"/>
        </w:numPr>
        <w:spacing w:line="360" w:lineRule="auto"/>
        <w:ind w:firstLine="422" w:firstLineChars="200"/>
        <w:jc w:val="both"/>
        <w:rPr>
          <w:rFonts w:ascii="宋体" w:hAnsi="宋体" w:eastAsia="宋体" w:cs="宋体"/>
          <w:b/>
          <w:bCs/>
          <w:sz w:val="21"/>
          <w:szCs w:val="21"/>
        </w:rPr>
      </w:pPr>
      <w:bookmarkStart w:id="142" w:name="_Toc18793"/>
      <w:bookmarkStart w:id="143" w:name="_Toc2824"/>
      <w:bookmarkStart w:id="144" w:name="_Toc8218"/>
      <w:r>
        <w:rPr>
          <w:rFonts w:hint="eastAsia" w:ascii="宋体" w:hAnsi="宋体" w:eastAsia="宋体" w:cs="宋体"/>
          <w:b/>
          <w:bCs/>
          <w:sz w:val="21"/>
          <w:szCs w:val="21"/>
        </w:rPr>
        <w:t>14.磋商的截止日期</w:t>
      </w:r>
      <w:bookmarkEnd w:id="142"/>
      <w:bookmarkEnd w:id="143"/>
      <w:bookmarkEnd w:id="144"/>
    </w:p>
    <w:p w14:paraId="5121AC12">
      <w:pPr>
        <w:tabs>
          <w:tab w:val="left" w:pos="480"/>
        </w:tabs>
        <w:spacing w:line="360" w:lineRule="auto"/>
        <w:ind w:firstLine="420" w:firstLineChars="200"/>
        <w:rPr>
          <w:rFonts w:ascii="宋体" w:hAnsi="宋体" w:cs="宋体"/>
          <w:szCs w:val="21"/>
        </w:rPr>
      </w:pPr>
      <w:bookmarkStart w:id="145" w:name="_Toc10702"/>
      <w:bookmarkStart w:id="146" w:name="_Toc32430"/>
      <w:bookmarkStart w:id="147" w:name="_Toc21277"/>
      <w:bookmarkStart w:id="148" w:name="_Toc851"/>
      <w:r>
        <w:rPr>
          <w:rFonts w:hint="eastAsia" w:ascii="宋体" w:hAnsi="宋体" w:cs="宋体"/>
          <w:szCs w:val="21"/>
        </w:rPr>
        <w:t>14.1 供应商上传电子响应文件的时间不得迟于磋商公告中规定的响应截止时间。</w:t>
      </w:r>
    </w:p>
    <w:p w14:paraId="13D30A54">
      <w:pPr>
        <w:tabs>
          <w:tab w:val="left" w:pos="480"/>
        </w:tabs>
        <w:spacing w:line="360" w:lineRule="auto"/>
        <w:ind w:firstLine="420" w:firstLineChars="200"/>
        <w:rPr>
          <w:rFonts w:ascii="宋体" w:hAnsi="宋体" w:cs="宋体"/>
          <w:szCs w:val="21"/>
        </w:rPr>
      </w:pPr>
      <w:r>
        <w:rPr>
          <w:rFonts w:hint="eastAsia" w:ascii="宋体" w:hAnsi="宋体" w:cs="宋体"/>
          <w:szCs w:val="21"/>
        </w:rPr>
        <w:t>供应商应充分考虑到网络环境、网络带宽等风险因素，如因供应商自身原因造成的电子响应文件上传不成功的做无效响应处理。</w:t>
      </w:r>
    </w:p>
    <w:p w14:paraId="223FFF8D">
      <w:pPr>
        <w:tabs>
          <w:tab w:val="left" w:pos="480"/>
        </w:tabs>
        <w:spacing w:line="360" w:lineRule="auto"/>
        <w:ind w:firstLine="420" w:firstLineChars="200"/>
        <w:rPr>
          <w:rFonts w:ascii="宋体" w:hAnsi="宋体" w:cs="宋体"/>
          <w:szCs w:val="21"/>
        </w:rPr>
      </w:pPr>
      <w:r>
        <w:rPr>
          <w:rFonts w:hint="eastAsia" w:ascii="宋体" w:hAnsi="宋体" w:cs="宋体"/>
          <w:szCs w:val="21"/>
        </w:rPr>
        <w:t>14.2 采购人可以按照规定，通过修改磋商文件酌情延长响应截止时间，在此情况下，供应商的所有权利和义务以及供应商受制的截止时间均应以延长后新的截止时间为准。</w:t>
      </w:r>
    </w:p>
    <w:p w14:paraId="0C3B7F32">
      <w:pPr>
        <w:pStyle w:val="5"/>
        <w:numPr>
          <w:ilvl w:val="0"/>
          <w:numId w:val="0"/>
        </w:numPr>
        <w:spacing w:line="360" w:lineRule="auto"/>
        <w:ind w:firstLine="422" w:firstLineChars="200"/>
        <w:jc w:val="both"/>
        <w:rPr>
          <w:rFonts w:ascii="宋体" w:hAnsi="宋体" w:eastAsia="宋体" w:cs="宋体"/>
          <w:b/>
          <w:bCs/>
          <w:sz w:val="21"/>
          <w:szCs w:val="21"/>
        </w:rPr>
      </w:pPr>
      <w:bookmarkStart w:id="149" w:name="_Toc27287"/>
      <w:r>
        <w:rPr>
          <w:rFonts w:hint="eastAsia" w:ascii="宋体" w:hAnsi="宋体" w:eastAsia="宋体" w:cs="宋体"/>
          <w:b/>
          <w:bCs/>
          <w:sz w:val="21"/>
          <w:szCs w:val="21"/>
        </w:rPr>
        <w:t>15.</w:t>
      </w:r>
      <w:bookmarkEnd w:id="145"/>
      <w:r>
        <w:rPr>
          <w:rFonts w:hint="eastAsia" w:ascii="宋体" w:hAnsi="宋体" w:eastAsia="宋体" w:cs="宋体"/>
          <w:b/>
          <w:bCs/>
          <w:sz w:val="21"/>
          <w:szCs w:val="21"/>
        </w:rPr>
        <w:t>迟交的响应文件</w:t>
      </w:r>
      <w:bookmarkEnd w:id="146"/>
      <w:bookmarkEnd w:id="147"/>
      <w:bookmarkEnd w:id="148"/>
      <w:bookmarkEnd w:id="149"/>
    </w:p>
    <w:p w14:paraId="618B52C4">
      <w:pPr>
        <w:spacing w:line="360" w:lineRule="auto"/>
        <w:ind w:firstLine="420" w:firstLineChars="200"/>
        <w:rPr>
          <w:rFonts w:ascii="宋体" w:hAnsi="宋体" w:cs="宋体"/>
          <w:bCs/>
          <w:szCs w:val="21"/>
        </w:rPr>
      </w:pPr>
      <w:r>
        <w:rPr>
          <w:rFonts w:hint="eastAsia" w:ascii="宋体" w:hAnsi="宋体" w:cs="宋体"/>
          <w:szCs w:val="21"/>
        </w:rPr>
        <w:t>15.1</w:t>
      </w:r>
      <w:r>
        <w:rPr>
          <w:rFonts w:hint="eastAsia" w:ascii="宋体" w:hAnsi="宋体" w:cs="宋体"/>
          <w:bCs/>
          <w:szCs w:val="21"/>
        </w:rPr>
        <w:t xml:space="preserve"> 采购人拒绝接收在其规定的响应截止时间后上传的任何响应文件。</w:t>
      </w:r>
    </w:p>
    <w:p w14:paraId="38F30C7C">
      <w:pPr>
        <w:pStyle w:val="5"/>
        <w:numPr>
          <w:ilvl w:val="0"/>
          <w:numId w:val="0"/>
        </w:numPr>
        <w:spacing w:line="360" w:lineRule="auto"/>
        <w:ind w:firstLine="422" w:firstLineChars="200"/>
        <w:jc w:val="both"/>
        <w:rPr>
          <w:rFonts w:ascii="宋体" w:hAnsi="宋体" w:eastAsia="宋体" w:cs="宋体"/>
          <w:b/>
          <w:bCs/>
          <w:sz w:val="21"/>
          <w:szCs w:val="21"/>
        </w:rPr>
      </w:pPr>
      <w:bookmarkStart w:id="150" w:name="_Toc21821"/>
      <w:bookmarkStart w:id="151" w:name="_Toc21432"/>
      <w:bookmarkStart w:id="152" w:name="_Toc30342"/>
      <w:r>
        <w:rPr>
          <w:rFonts w:hint="eastAsia" w:ascii="宋体" w:hAnsi="宋体" w:eastAsia="宋体" w:cs="宋体"/>
          <w:b/>
          <w:bCs/>
          <w:sz w:val="21"/>
          <w:szCs w:val="21"/>
        </w:rPr>
        <w:t>16.响应文件的修改或撤回</w:t>
      </w:r>
      <w:bookmarkEnd w:id="150"/>
      <w:bookmarkEnd w:id="151"/>
      <w:bookmarkEnd w:id="152"/>
    </w:p>
    <w:p w14:paraId="5F32BE5F">
      <w:pPr>
        <w:spacing w:line="360" w:lineRule="auto"/>
        <w:ind w:firstLine="420" w:firstLineChars="200"/>
        <w:rPr>
          <w:rFonts w:ascii="宋体" w:hAnsi="宋体" w:cs="宋体"/>
          <w:bCs/>
          <w:szCs w:val="21"/>
        </w:rPr>
      </w:pPr>
      <w:r>
        <w:rPr>
          <w:rFonts w:hint="eastAsia" w:ascii="宋体" w:hAnsi="宋体" w:cs="宋体"/>
          <w:bCs/>
          <w:szCs w:val="21"/>
        </w:rPr>
        <w:t>供应商在提交响应文件后可对其进行补充、修改或撤回，但必须使采购代理机构能在提交响应文件截止时间前（不考虑不可抗力原因）收到该补充、修改的书面内容或撤回的书面通知，该书面文件须由法定代表人或其授权代表签署。</w:t>
      </w:r>
    </w:p>
    <w:p w14:paraId="38BE2DBC">
      <w:pPr>
        <w:tabs>
          <w:tab w:val="left" w:pos="480"/>
        </w:tabs>
        <w:spacing w:line="360" w:lineRule="auto"/>
        <w:ind w:firstLine="420" w:firstLineChars="200"/>
        <w:rPr>
          <w:rFonts w:ascii="宋体" w:hAnsi="宋体" w:cs="宋体"/>
          <w:szCs w:val="21"/>
        </w:rPr>
      </w:pPr>
      <w:r>
        <w:rPr>
          <w:rFonts w:hint="eastAsia" w:ascii="宋体" w:hAnsi="宋体" w:cs="宋体"/>
          <w:szCs w:val="21"/>
        </w:rPr>
        <w:t>16.1 响应文件的撤回</w:t>
      </w:r>
    </w:p>
    <w:p w14:paraId="72ED5C5C">
      <w:pPr>
        <w:tabs>
          <w:tab w:val="left" w:pos="480"/>
        </w:tabs>
        <w:spacing w:line="360" w:lineRule="auto"/>
        <w:ind w:firstLine="420" w:firstLineChars="200"/>
        <w:rPr>
          <w:rFonts w:ascii="宋体" w:hAnsi="宋体" w:cs="宋体"/>
          <w:szCs w:val="21"/>
        </w:rPr>
      </w:pPr>
      <w:r>
        <w:rPr>
          <w:rFonts w:hint="eastAsia" w:ascii="宋体" w:hAnsi="宋体" w:cs="宋体"/>
          <w:szCs w:val="21"/>
        </w:rPr>
        <w:t>16.1.1 电子响应文件的撤回</w:t>
      </w:r>
    </w:p>
    <w:p w14:paraId="16FD382D">
      <w:pPr>
        <w:tabs>
          <w:tab w:val="left" w:pos="480"/>
        </w:tabs>
        <w:spacing w:line="360" w:lineRule="auto"/>
        <w:ind w:firstLine="420" w:firstLineChars="200"/>
        <w:rPr>
          <w:rFonts w:ascii="宋体" w:hAnsi="宋体" w:cs="宋体"/>
          <w:szCs w:val="21"/>
        </w:rPr>
      </w:pPr>
      <w:r>
        <w:rPr>
          <w:rFonts w:hint="eastAsia" w:ascii="宋体" w:hAnsi="宋体" w:cs="宋体"/>
          <w:szCs w:val="21"/>
        </w:rPr>
        <w:t>供应商可在响应截止时间前，撤回其电子响应文件，具体操作方法见《操作手册》。</w:t>
      </w:r>
    </w:p>
    <w:p w14:paraId="0B60C87A">
      <w:pPr>
        <w:tabs>
          <w:tab w:val="left" w:pos="480"/>
        </w:tabs>
        <w:spacing w:line="360" w:lineRule="auto"/>
        <w:ind w:firstLine="420" w:firstLineChars="200"/>
        <w:rPr>
          <w:rFonts w:ascii="宋体" w:hAnsi="宋体" w:cs="宋体"/>
          <w:szCs w:val="21"/>
        </w:rPr>
      </w:pPr>
      <w:r>
        <w:rPr>
          <w:rFonts w:hint="eastAsia" w:ascii="宋体" w:hAnsi="宋体" w:cs="宋体"/>
          <w:szCs w:val="21"/>
        </w:rPr>
        <w:t>16.1.2 供应商撤回电子响应文件，则认为其不再参与本项目投标活动。</w:t>
      </w:r>
    </w:p>
    <w:p w14:paraId="1AF7B7A8">
      <w:pPr>
        <w:tabs>
          <w:tab w:val="left" w:pos="480"/>
        </w:tabs>
        <w:spacing w:line="360" w:lineRule="auto"/>
        <w:ind w:firstLine="420" w:firstLineChars="200"/>
        <w:rPr>
          <w:rFonts w:ascii="宋体" w:hAnsi="宋体" w:cs="宋体"/>
          <w:szCs w:val="21"/>
        </w:rPr>
      </w:pPr>
      <w:r>
        <w:rPr>
          <w:rFonts w:hint="eastAsia" w:ascii="宋体" w:hAnsi="宋体" w:cs="宋体"/>
          <w:szCs w:val="21"/>
        </w:rPr>
        <w:t>16.2 响应文件的修改</w:t>
      </w:r>
    </w:p>
    <w:p w14:paraId="2C4D5883">
      <w:pPr>
        <w:tabs>
          <w:tab w:val="left" w:pos="480"/>
        </w:tabs>
        <w:spacing w:line="360" w:lineRule="auto"/>
        <w:ind w:firstLine="420" w:firstLineChars="200"/>
        <w:rPr>
          <w:rFonts w:ascii="宋体" w:hAnsi="宋体" w:cs="宋体"/>
          <w:szCs w:val="21"/>
        </w:rPr>
      </w:pPr>
      <w:r>
        <w:rPr>
          <w:rFonts w:hint="eastAsia" w:ascii="宋体" w:hAnsi="宋体" w:cs="宋体"/>
          <w:szCs w:val="21"/>
        </w:rPr>
        <w:t>16.2.1供应商可在响应截止时间前，对其电子响应文件进行修改，具体操作方法见《操作手册》。</w:t>
      </w:r>
    </w:p>
    <w:p w14:paraId="2E496113">
      <w:pPr>
        <w:tabs>
          <w:tab w:val="left" w:pos="480"/>
        </w:tabs>
        <w:spacing w:line="360" w:lineRule="auto"/>
        <w:ind w:firstLine="420" w:firstLineChars="200"/>
        <w:rPr>
          <w:rFonts w:ascii="宋体" w:hAnsi="宋体" w:cs="宋体"/>
          <w:szCs w:val="21"/>
        </w:rPr>
      </w:pPr>
      <w:r>
        <w:rPr>
          <w:rFonts w:hint="eastAsia" w:ascii="宋体" w:hAnsi="宋体" w:cs="宋体"/>
          <w:szCs w:val="21"/>
        </w:rPr>
        <w:t>16.2.2 在响应截止时间之后，供应商不得对其电子响应文件作任何修改。</w:t>
      </w:r>
    </w:p>
    <w:p w14:paraId="501DD451">
      <w:pPr>
        <w:spacing w:line="360" w:lineRule="auto"/>
        <w:ind w:firstLine="420" w:firstLineChars="200"/>
        <w:rPr>
          <w:rFonts w:ascii="宋体" w:hAnsi="宋体" w:cs="宋体"/>
          <w:bCs/>
          <w:szCs w:val="21"/>
        </w:rPr>
      </w:pPr>
      <w:r>
        <w:rPr>
          <w:rFonts w:hint="eastAsia" w:ascii="宋体" w:hAnsi="宋体" w:cs="宋体"/>
          <w:szCs w:val="21"/>
        </w:rPr>
        <w:t>16.3 在响应截止时间至响应文件中规定的投标有效期满之间的这段时间内，供应商不得撤回其响应。</w:t>
      </w:r>
    </w:p>
    <w:p w14:paraId="23670D08">
      <w:pPr>
        <w:widowControl/>
        <w:shd w:val="clear" w:color="auto" w:fill="FFFFFF"/>
        <w:spacing w:line="360" w:lineRule="auto"/>
        <w:ind w:firstLine="422" w:firstLineChars="200"/>
        <w:outlineLvl w:val="1"/>
        <w:rPr>
          <w:rFonts w:ascii="宋体" w:hAnsi="宋体" w:cs="宋体"/>
          <w:b/>
          <w:bCs/>
          <w:szCs w:val="21"/>
        </w:rPr>
      </w:pPr>
      <w:bookmarkStart w:id="153" w:name="_Toc20823301"/>
      <w:bookmarkStart w:id="154" w:name="_Toc16938545"/>
      <w:bookmarkStart w:id="155" w:name="_Toc513029229"/>
      <w:bookmarkStart w:id="156" w:name="_Toc120614218"/>
      <w:bookmarkStart w:id="157" w:name="_Toc9494"/>
      <w:bookmarkStart w:id="158" w:name="_Toc5077"/>
      <w:r>
        <w:rPr>
          <w:rFonts w:hint="eastAsia" w:ascii="宋体" w:hAnsi="宋体" w:cs="宋体"/>
          <w:b/>
          <w:bCs/>
          <w:szCs w:val="21"/>
        </w:rPr>
        <w:t>五、</w:t>
      </w:r>
      <w:bookmarkEnd w:id="153"/>
      <w:bookmarkEnd w:id="154"/>
      <w:bookmarkEnd w:id="155"/>
      <w:bookmarkEnd w:id="156"/>
      <w:r>
        <w:rPr>
          <w:rFonts w:hint="eastAsia" w:ascii="宋体" w:hAnsi="宋体" w:cs="宋体"/>
          <w:b/>
          <w:bCs/>
          <w:szCs w:val="21"/>
        </w:rPr>
        <w:t>磋商程序及</w:t>
      </w:r>
      <w:bookmarkEnd w:id="157"/>
      <w:r>
        <w:rPr>
          <w:rFonts w:hint="eastAsia" w:ascii="宋体" w:hAnsi="宋体" w:cs="宋体"/>
          <w:b/>
          <w:bCs/>
          <w:szCs w:val="21"/>
        </w:rPr>
        <w:t>评标</w:t>
      </w:r>
      <w:bookmarkEnd w:id="158"/>
    </w:p>
    <w:p w14:paraId="436BAB12">
      <w:pPr>
        <w:pStyle w:val="5"/>
        <w:numPr>
          <w:ilvl w:val="0"/>
          <w:numId w:val="0"/>
        </w:numPr>
        <w:spacing w:line="360" w:lineRule="auto"/>
        <w:ind w:firstLine="422" w:firstLineChars="200"/>
        <w:jc w:val="both"/>
        <w:rPr>
          <w:rFonts w:ascii="宋体" w:hAnsi="宋体" w:eastAsia="宋体" w:cs="宋体"/>
          <w:b/>
          <w:bCs/>
          <w:sz w:val="21"/>
          <w:szCs w:val="21"/>
        </w:rPr>
      </w:pPr>
      <w:bookmarkStart w:id="159" w:name="OLE_LINK7"/>
      <w:bookmarkStart w:id="160" w:name="_Toc30145"/>
      <w:bookmarkStart w:id="161" w:name="_Toc22282"/>
      <w:bookmarkStart w:id="162" w:name="OLE_LINK3"/>
      <w:bookmarkStart w:id="163" w:name="_Toc30135"/>
      <w:r>
        <w:rPr>
          <w:rFonts w:hint="eastAsia" w:ascii="宋体" w:hAnsi="宋体" w:eastAsia="宋体" w:cs="宋体"/>
          <w:b/>
          <w:bCs/>
          <w:sz w:val="21"/>
          <w:szCs w:val="21"/>
        </w:rPr>
        <w:t>17.磋商</w:t>
      </w:r>
      <w:bookmarkEnd w:id="159"/>
      <w:bookmarkEnd w:id="160"/>
      <w:bookmarkEnd w:id="161"/>
      <w:bookmarkEnd w:id="162"/>
      <w:bookmarkEnd w:id="163"/>
    </w:p>
    <w:p w14:paraId="148EB01A">
      <w:pPr>
        <w:spacing w:line="360" w:lineRule="auto"/>
        <w:ind w:firstLine="420" w:firstLineChars="200"/>
        <w:rPr>
          <w:rFonts w:ascii="宋体" w:hAnsi="宋体" w:cs="宋体"/>
          <w:bCs/>
          <w:szCs w:val="21"/>
        </w:rPr>
      </w:pPr>
      <w:r>
        <w:rPr>
          <w:rFonts w:hint="eastAsia" w:ascii="宋体" w:hAnsi="宋体" w:cs="宋体"/>
          <w:bCs/>
          <w:szCs w:val="21"/>
        </w:rPr>
        <w:t>17.1</w:t>
      </w:r>
      <w:r>
        <w:rPr>
          <w:rFonts w:hint="eastAsia" w:ascii="宋体" w:hAnsi="宋体" w:cs="宋体"/>
          <w:szCs w:val="21"/>
          <w:lang w:val="zh-CN"/>
        </w:rPr>
        <w:t>采购</w:t>
      </w:r>
      <w:r>
        <w:rPr>
          <w:rFonts w:hint="eastAsia" w:ascii="宋体" w:hAnsi="宋体" w:cs="宋体"/>
          <w:bCs/>
          <w:szCs w:val="21"/>
        </w:rPr>
        <w:t>代理机构将在磋商公告中规定的时间和地点组织磋商。供应商应当按照《操作手册》规定，参加磋商活动和在苏采云系统规定的时间内对响应文件进行解密。</w:t>
      </w:r>
    </w:p>
    <w:p w14:paraId="410691C3">
      <w:pPr>
        <w:spacing w:line="360" w:lineRule="auto"/>
        <w:ind w:firstLine="420" w:firstLineChars="200"/>
        <w:rPr>
          <w:rFonts w:ascii="宋体" w:hAnsi="宋体" w:cs="宋体"/>
          <w:bCs/>
          <w:szCs w:val="21"/>
        </w:rPr>
      </w:pPr>
      <w:r>
        <w:rPr>
          <w:rFonts w:hint="eastAsia" w:ascii="宋体" w:hAnsi="宋体" w:cs="宋体"/>
          <w:bCs/>
          <w:szCs w:val="21"/>
        </w:rPr>
        <w:t>17.2供应商在采购过程中涉及到的响应文件解密、磋商结果确认等工作，应按照《操作手册》规定执行。</w:t>
      </w:r>
    </w:p>
    <w:p w14:paraId="3412C826">
      <w:pPr>
        <w:spacing w:line="360" w:lineRule="auto"/>
        <w:ind w:firstLine="420" w:firstLineChars="200"/>
        <w:rPr>
          <w:rFonts w:ascii="宋体" w:hAnsi="宋体" w:cs="宋体"/>
          <w:bCs/>
          <w:szCs w:val="21"/>
        </w:rPr>
      </w:pPr>
      <w:r>
        <w:rPr>
          <w:rFonts w:hint="eastAsia" w:ascii="宋体" w:hAnsi="宋体" w:cs="宋体"/>
          <w:bCs/>
          <w:szCs w:val="21"/>
        </w:rPr>
        <w:t>17.3供应商如果对磋商过程有疑义，应当根据《操作手册》规定提出。</w:t>
      </w:r>
    </w:p>
    <w:p w14:paraId="4F951945">
      <w:pPr>
        <w:pStyle w:val="5"/>
        <w:numPr>
          <w:ilvl w:val="0"/>
          <w:numId w:val="0"/>
        </w:numPr>
        <w:spacing w:line="360" w:lineRule="auto"/>
        <w:ind w:firstLine="422" w:firstLineChars="200"/>
        <w:jc w:val="both"/>
        <w:rPr>
          <w:rFonts w:ascii="宋体" w:hAnsi="宋体" w:eastAsia="宋体" w:cs="宋体"/>
          <w:b/>
          <w:bCs/>
          <w:sz w:val="21"/>
          <w:szCs w:val="21"/>
        </w:rPr>
      </w:pPr>
      <w:bookmarkStart w:id="164" w:name="_Toc8551"/>
      <w:bookmarkStart w:id="165" w:name="_Toc4627"/>
      <w:bookmarkStart w:id="166" w:name="_Toc12324"/>
      <w:r>
        <w:rPr>
          <w:rFonts w:hint="eastAsia" w:ascii="宋体" w:hAnsi="宋体" w:eastAsia="宋体" w:cs="宋体"/>
          <w:b/>
          <w:bCs/>
          <w:sz w:val="21"/>
          <w:szCs w:val="21"/>
        </w:rPr>
        <w:t>18.磋商小组</w:t>
      </w:r>
      <w:bookmarkEnd w:id="164"/>
      <w:bookmarkEnd w:id="165"/>
      <w:bookmarkEnd w:id="166"/>
    </w:p>
    <w:p w14:paraId="25F74023">
      <w:pPr>
        <w:spacing w:line="360" w:lineRule="auto"/>
        <w:ind w:firstLine="420" w:firstLineChars="200"/>
        <w:rPr>
          <w:rFonts w:ascii="宋体" w:hAnsi="宋体" w:cs="宋体"/>
          <w:bCs/>
          <w:szCs w:val="21"/>
        </w:rPr>
      </w:pPr>
      <w:r>
        <w:rPr>
          <w:rFonts w:hint="eastAsia" w:ascii="宋体" w:hAnsi="宋体" w:cs="宋体"/>
          <w:bCs/>
          <w:szCs w:val="21"/>
        </w:rPr>
        <w:t>18.1</w:t>
      </w:r>
      <w:r>
        <w:rPr>
          <w:rFonts w:hint="eastAsia" w:ascii="宋体" w:hAnsi="宋体" w:cs="宋体"/>
          <w:szCs w:val="21"/>
          <w:lang w:val="zh-CN"/>
        </w:rPr>
        <w:t>采购代理机构在规定的时间和地点组织磋商小组分别与供应商进行磋商。</w:t>
      </w:r>
    </w:p>
    <w:p w14:paraId="196450EA">
      <w:pPr>
        <w:spacing w:line="360" w:lineRule="auto"/>
        <w:ind w:firstLine="420" w:firstLineChars="200"/>
        <w:rPr>
          <w:rFonts w:ascii="宋体" w:hAnsi="宋体" w:cs="宋体"/>
          <w:bCs/>
          <w:szCs w:val="21"/>
        </w:rPr>
      </w:pPr>
      <w:r>
        <w:rPr>
          <w:rFonts w:hint="eastAsia" w:ascii="宋体" w:hAnsi="宋体" w:cs="宋体"/>
          <w:bCs/>
          <w:szCs w:val="21"/>
        </w:rPr>
        <w:t>18.2磋商小组由采购人代表和有关技术、经济等方面的专家组成，独立开展评审工作且磋商小组人员构成符合采购有关规定。</w:t>
      </w:r>
    </w:p>
    <w:p w14:paraId="3880DE73">
      <w:pPr>
        <w:pStyle w:val="5"/>
        <w:numPr>
          <w:ilvl w:val="0"/>
          <w:numId w:val="0"/>
        </w:numPr>
        <w:spacing w:line="360" w:lineRule="auto"/>
        <w:ind w:firstLine="422" w:firstLineChars="200"/>
        <w:jc w:val="both"/>
        <w:rPr>
          <w:rFonts w:ascii="宋体" w:hAnsi="宋体" w:eastAsia="宋体" w:cs="宋体"/>
          <w:b/>
          <w:bCs/>
          <w:sz w:val="21"/>
          <w:szCs w:val="21"/>
        </w:rPr>
      </w:pPr>
      <w:bookmarkStart w:id="167" w:name="_Toc13685"/>
      <w:bookmarkStart w:id="168" w:name="_Toc18432"/>
      <w:bookmarkStart w:id="169" w:name="_Toc7590"/>
      <w:bookmarkStart w:id="170" w:name="_Toc17642"/>
      <w:r>
        <w:rPr>
          <w:rFonts w:hint="eastAsia" w:ascii="宋体" w:hAnsi="宋体" w:eastAsia="宋体" w:cs="宋体"/>
          <w:b/>
          <w:bCs/>
          <w:sz w:val="21"/>
          <w:szCs w:val="21"/>
        </w:rPr>
        <w:t>19.</w:t>
      </w:r>
      <w:bookmarkEnd w:id="167"/>
      <w:r>
        <w:rPr>
          <w:rFonts w:hint="eastAsia" w:ascii="宋体" w:hAnsi="宋体" w:eastAsia="宋体" w:cs="宋体"/>
          <w:b/>
          <w:bCs/>
          <w:sz w:val="21"/>
          <w:szCs w:val="21"/>
        </w:rPr>
        <w:t>磋商程序</w:t>
      </w:r>
      <w:bookmarkEnd w:id="168"/>
      <w:bookmarkEnd w:id="169"/>
      <w:bookmarkEnd w:id="170"/>
    </w:p>
    <w:p w14:paraId="42E2B985">
      <w:pPr>
        <w:spacing w:line="360" w:lineRule="auto"/>
        <w:ind w:firstLine="420" w:firstLineChars="200"/>
        <w:rPr>
          <w:rFonts w:ascii="宋体" w:hAnsi="宋体" w:cs="宋体"/>
          <w:bCs/>
          <w:szCs w:val="21"/>
        </w:rPr>
      </w:pPr>
      <w:r>
        <w:rPr>
          <w:rFonts w:hint="eastAsia" w:ascii="宋体" w:hAnsi="宋体" w:cs="宋体"/>
          <w:bCs/>
          <w:szCs w:val="21"/>
        </w:rPr>
        <w:t>19.1响应文件初审分为资格性检查和符合性检查，未通过审查的响应文件按无效处理。</w:t>
      </w:r>
    </w:p>
    <w:p w14:paraId="0EF3F1B2">
      <w:pPr>
        <w:spacing w:line="360" w:lineRule="auto"/>
        <w:ind w:firstLine="420" w:firstLineChars="200"/>
        <w:rPr>
          <w:rFonts w:ascii="宋体" w:hAnsi="宋体" w:cs="宋体"/>
          <w:bCs/>
          <w:szCs w:val="21"/>
        </w:rPr>
      </w:pPr>
      <w:r>
        <w:rPr>
          <w:rFonts w:hint="eastAsia" w:ascii="宋体" w:hAnsi="宋体" w:cs="宋体"/>
          <w:bCs/>
          <w:szCs w:val="21"/>
        </w:rPr>
        <w:t>资格性检查：依据法律法规和采购文件的规定，对响应文件中的资格证明文件、磋商保证金（如有）等进行审查，以确定供应商是否具备磋商资格。</w:t>
      </w:r>
    </w:p>
    <w:p w14:paraId="3F8BECFE">
      <w:pPr>
        <w:spacing w:line="360" w:lineRule="auto"/>
        <w:ind w:firstLine="420" w:firstLineChars="200"/>
        <w:rPr>
          <w:rFonts w:ascii="宋体" w:hAnsi="宋体" w:cs="宋体"/>
          <w:bCs/>
          <w:szCs w:val="21"/>
        </w:rPr>
      </w:pPr>
      <w:r>
        <w:rPr>
          <w:rFonts w:hint="eastAsia" w:ascii="宋体" w:hAnsi="宋体" w:cs="宋体"/>
          <w:bCs/>
          <w:szCs w:val="21"/>
        </w:rPr>
        <w:t>符合性检查：依据采购文件的规定，从响应文件的有效性（签署情况等）、完整性（正本和副本数量、内容等）和对采购文件的响应程度（是否存在重大负偏离等）进行审查，以确定是否对采购文件的实质性要求作出响应。</w:t>
      </w:r>
    </w:p>
    <w:p w14:paraId="760F9001">
      <w:pPr>
        <w:spacing w:line="360" w:lineRule="auto"/>
        <w:ind w:firstLine="420" w:firstLineChars="200"/>
        <w:rPr>
          <w:rFonts w:ascii="宋体" w:hAnsi="宋体" w:cs="宋体"/>
          <w:bCs/>
          <w:szCs w:val="21"/>
        </w:rPr>
      </w:pPr>
      <w:r>
        <w:rPr>
          <w:rFonts w:hint="eastAsia" w:ascii="宋体" w:hAnsi="宋体" w:cs="宋体"/>
          <w:bCs/>
          <w:szCs w:val="21"/>
        </w:rPr>
        <w:t>凡响应文件的实质性内容和关键格式严重不符合磋商文件规定或不响应磋商文件要求的，经磋商小组认定作无效响应文件处理。供应商不得通过修改或撤销不合要求的偏离或保留而使其成为实质性响应的磋商。磋商小组决定响应文件的响应性只根据响应文件本身的内容，而不寻求外部的证据。</w:t>
      </w:r>
    </w:p>
    <w:p w14:paraId="4E147E5C">
      <w:pPr>
        <w:spacing w:line="360" w:lineRule="auto"/>
        <w:ind w:firstLine="420" w:firstLineChars="200"/>
        <w:rPr>
          <w:rFonts w:ascii="宋体" w:hAnsi="宋体" w:cs="宋体"/>
          <w:bCs/>
          <w:szCs w:val="21"/>
          <w:lang w:val="zh-CN"/>
        </w:rPr>
      </w:pPr>
      <w:r>
        <w:rPr>
          <w:rFonts w:hint="eastAsia" w:ascii="宋体" w:hAnsi="宋体" w:cs="宋体"/>
          <w:bCs/>
          <w:szCs w:val="21"/>
        </w:rPr>
        <w:t>19.2</w:t>
      </w:r>
      <w:r>
        <w:rPr>
          <w:rFonts w:hint="eastAsia" w:ascii="宋体" w:hAnsi="宋体" w:cs="宋体"/>
          <w:bCs/>
          <w:szCs w:val="21"/>
          <w:lang w:val="zh-CN"/>
        </w:rPr>
        <w:t>磋商小组所有成员集中与单一供应商分别进行磋商，所有参加磋商的供应商均有同等的磋商机会。</w:t>
      </w:r>
    </w:p>
    <w:p w14:paraId="03405CFA">
      <w:pPr>
        <w:spacing w:line="360" w:lineRule="auto"/>
        <w:ind w:firstLine="420" w:firstLineChars="200"/>
        <w:rPr>
          <w:rFonts w:ascii="宋体" w:hAnsi="宋体" w:cs="宋体"/>
          <w:bCs/>
          <w:szCs w:val="21"/>
        </w:rPr>
      </w:pPr>
      <w:r>
        <w:rPr>
          <w:rFonts w:hint="eastAsia" w:ascii="宋体" w:hAnsi="宋体" w:cs="宋体"/>
          <w:bCs/>
          <w:szCs w:val="21"/>
        </w:rPr>
        <w:t>19.3</w:t>
      </w:r>
      <w:r>
        <w:rPr>
          <w:rFonts w:hint="eastAsia" w:ascii="宋体" w:hAnsi="宋体" w:cs="宋体"/>
          <w:szCs w:val="21"/>
          <w:lang w:val="zh-CN"/>
        </w:rPr>
        <w:t>磋商过程中，磋商小组根据磋商文件和磋商情况可能实质性变动采购需求中的技术、服务要求以及合同草案条款。实质性变动是磋商文件的有效组成部分，磋商小组将以书面形式通知所有参加磋商的供应商。</w:t>
      </w:r>
      <w:r>
        <w:rPr>
          <w:rFonts w:hint="eastAsia" w:ascii="宋体" w:hAnsi="宋体" w:cs="宋体"/>
          <w:b/>
          <w:szCs w:val="21"/>
          <w:highlight w:val="none"/>
          <w:lang w:val="zh-CN"/>
        </w:rPr>
        <w:t>用“★”加注或特别说明的内容为实质性要求。</w:t>
      </w:r>
    </w:p>
    <w:p w14:paraId="573B9638">
      <w:pPr>
        <w:spacing w:line="360" w:lineRule="auto"/>
        <w:ind w:firstLine="420" w:firstLineChars="200"/>
        <w:rPr>
          <w:rFonts w:ascii="宋体" w:hAnsi="宋体" w:cs="宋体"/>
          <w:bCs/>
          <w:szCs w:val="21"/>
          <w:lang w:val="zh-CN"/>
        </w:rPr>
      </w:pPr>
      <w:r>
        <w:rPr>
          <w:rFonts w:hint="eastAsia" w:ascii="宋体" w:hAnsi="宋体" w:cs="宋体"/>
          <w:bCs/>
          <w:szCs w:val="21"/>
        </w:rPr>
        <w:t>19.4</w:t>
      </w:r>
      <w:r>
        <w:rPr>
          <w:rFonts w:hint="eastAsia" w:ascii="宋体" w:hAnsi="宋体" w:cs="宋体"/>
          <w:bCs/>
          <w:szCs w:val="21"/>
          <w:lang w:val="zh-CN"/>
        </w:rPr>
        <w:t>供应商应当按照磋商文件的变动情况和磋商小组的要求重新提交响应文件，并由其法定代表人或授权代表签字或者加盖公章。</w:t>
      </w:r>
    </w:p>
    <w:p w14:paraId="23FED36A">
      <w:pPr>
        <w:spacing w:line="360" w:lineRule="auto"/>
        <w:ind w:firstLine="420" w:firstLineChars="200"/>
        <w:rPr>
          <w:rFonts w:ascii="宋体" w:hAnsi="宋体" w:cs="宋体"/>
          <w:bCs/>
          <w:szCs w:val="21"/>
          <w:lang w:val="zh-CN"/>
        </w:rPr>
      </w:pPr>
      <w:r>
        <w:rPr>
          <w:rFonts w:hint="eastAsia" w:ascii="宋体" w:hAnsi="宋体" w:cs="宋体"/>
          <w:bCs/>
          <w:szCs w:val="21"/>
        </w:rPr>
        <w:t>19.5</w:t>
      </w:r>
      <w:r>
        <w:rPr>
          <w:rFonts w:hint="eastAsia" w:ascii="宋体" w:hAnsi="宋体" w:cs="宋体"/>
          <w:bCs/>
          <w:szCs w:val="21"/>
          <w:lang w:val="zh-CN"/>
        </w:rPr>
        <w:t>磋商结束后，磋商小组将要求所有继续参加磋商的供应商在规定时间内提交最后报价。最后报价由其法定代表人或授权代表签字或者加盖公章，最后报价是供应商响应文件的有效组成部分，作为评审的依据，同时为最终成交价。</w:t>
      </w:r>
    </w:p>
    <w:p w14:paraId="020157AA">
      <w:pPr>
        <w:spacing w:line="360" w:lineRule="auto"/>
        <w:ind w:firstLine="420" w:firstLineChars="200"/>
        <w:rPr>
          <w:rFonts w:ascii="宋体" w:hAnsi="宋体" w:cs="宋体"/>
          <w:bCs/>
          <w:szCs w:val="21"/>
          <w:lang w:val="zh-CN"/>
        </w:rPr>
      </w:pPr>
      <w:bookmarkStart w:id="171" w:name="_Toc26838"/>
      <w:r>
        <w:rPr>
          <w:rFonts w:hint="eastAsia" w:ascii="宋体" w:hAnsi="宋体" w:cs="宋体"/>
          <w:bCs/>
          <w:szCs w:val="21"/>
        </w:rPr>
        <w:t>19.6</w:t>
      </w:r>
      <w:r>
        <w:rPr>
          <w:rFonts w:hint="eastAsia" w:ascii="宋体" w:hAnsi="宋体" w:cs="宋体"/>
          <w:bCs/>
          <w:szCs w:val="21"/>
          <w:lang w:val="zh-CN"/>
        </w:rPr>
        <w:t>在采购内容和采购需求不变的情况下，</w:t>
      </w:r>
      <w:r>
        <w:rPr>
          <w:rFonts w:hint="eastAsia" w:ascii="宋体" w:hAnsi="宋体" w:cs="宋体"/>
          <w:b/>
          <w:szCs w:val="21"/>
          <w:lang w:val="zh-CN"/>
        </w:rPr>
        <w:t>供应商次轮报价及最后报价均不得高于首轮报价、</w:t>
      </w:r>
      <w:r>
        <w:rPr>
          <w:rFonts w:hint="eastAsia" w:ascii="宋体" w:hAnsi="宋体" w:cs="宋体"/>
          <w:b/>
          <w:szCs w:val="21"/>
        </w:rPr>
        <w:t>次轮以及最后优惠措施承诺均不得低于首轮承诺</w:t>
      </w:r>
      <w:r>
        <w:rPr>
          <w:rFonts w:hint="eastAsia" w:ascii="宋体" w:hAnsi="宋体" w:cs="宋体"/>
          <w:b/>
          <w:szCs w:val="21"/>
          <w:lang w:val="zh-CN"/>
        </w:rPr>
        <w:t>，否则作无效标处理</w:t>
      </w:r>
      <w:r>
        <w:rPr>
          <w:rFonts w:hint="eastAsia" w:ascii="宋体" w:hAnsi="宋体" w:cs="宋体"/>
          <w:bCs/>
          <w:szCs w:val="21"/>
          <w:lang w:val="zh-CN"/>
        </w:rPr>
        <w:t>。成交后，成交供应商须按总价下调比例，调整各分项价格（不可竞争费用除外）。</w:t>
      </w:r>
    </w:p>
    <w:p w14:paraId="088CB32F">
      <w:pPr>
        <w:spacing w:line="360" w:lineRule="auto"/>
        <w:ind w:firstLine="420" w:firstLineChars="200"/>
        <w:rPr>
          <w:rFonts w:ascii="宋体" w:hAnsi="宋体" w:cs="宋体"/>
          <w:b/>
          <w:szCs w:val="21"/>
        </w:rPr>
      </w:pPr>
      <w:r>
        <w:rPr>
          <w:rFonts w:hint="eastAsia" w:ascii="宋体" w:hAnsi="宋体" w:cs="宋体"/>
          <w:bCs/>
          <w:szCs w:val="21"/>
        </w:rPr>
        <w:t>19.7</w:t>
      </w:r>
      <w:r>
        <w:rPr>
          <w:rFonts w:hint="eastAsia" w:ascii="宋体" w:hAnsi="宋体" w:cs="宋体"/>
          <w:b/>
          <w:szCs w:val="21"/>
          <w:highlight w:val="none"/>
        </w:rPr>
        <w:t>磋商文件注“★”的内容为实质性要求，有一项不符合的，作无效响应处理</w:t>
      </w:r>
      <w:r>
        <w:rPr>
          <w:rFonts w:hint="eastAsia" w:ascii="宋体" w:hAnsi="宋体" w:cs="宋体"/>
          <w:b/>
          <w:bCs/>
          <w:szCs w:val="21"/>
        </w:rPr>
        <w:t>（具体以第三章评标标准要求为准）</w:t>
      </w:r>
      <w:r>
        <w:rPr>
          <w:rFonts w:hint="eastAsia" w:ascii="宋体" w:hAnsi="宋体" w:cs="宋体"/>
          <w:b/>
          <w:szCs w:val="21"/>
        </w:rPr>
        <w:t>。</w:t>
      </w:r>
    </w:p>
    <w:p w14:paraId="18C2BBD0">
      <w:pPr>
        <w:spacing w:line="360" w:lineRule="auto"/>
        <w:ind w:firstLine="420" w:firstLineChars="200"/>
        <w:rPr>
          <w:rFonts w:ascii="宋体" w:hAnsi="宋体" w:cs="宋体"/>
          <w:b/>
          <w:color w:val="000000"/>
          <w:szCs w:val="21"/>
        </w:rPr>
      </w:pPr>
      <w:r>
        <w:rPr>
          <w:rFonts w:hint="eastAsia" w:ascii="宋体" w:hAnsi="宋体" w:cs="宋体"/>
          <w:bCs/>
          <w:szCs w:val="21"/>
        </w:rPr>
        <w:t>19</w:t>
      </w:r>
      <w:r>
        <w:rPr>
          <w:rFonts w:hint="eastAsia" w:ascii="宋体" w:hAnsi="宋体" w:cs="宋体"/>
          <w:b/>
          <w:szCs w:val="21"/>
        </w:rPr>
        <w:t>.</w:t>
      </w:r>
      <w:r>
        <w:rPr>
          <w:rFonts w:hint="eastAsia" w:ascii="宋体" w:hAnsi="宋体" w:cs="宋体"/>
          <w:bCs/>
          <w:szCs w:val="21"/>
        </w:rPr>
        <w:t>8</w:t>
      </w:r>
      <w:r>
        <w:rPr>
          <w:rFonts w:hint="eastAsia" w:ascii="宋体" w:hAnsi="宋体" w:cs="宋体"/>
          <w:b/>
          <w:szCs w:val="21"/>
        </w:rPr>
        <w:t>异常低价投标（响应）审查：</w:t>
      </w:r>
    </w:p>
    <w:p w14:paraId="01ABEBB4">
      <w:pPr>
        <w:spacing w:line="360" w:lineRule="auto"/>
        <w:ind w:firstLine="420" w:firstLineChars="200"/>
        <w:rPr>
          <w:rFonts w:ascii="宋体" w:hAnsi="宋体" w:cs="宋体"/>
          <w:bCs/>
          <w:szCs w:val="21"/>
        </w:rPr>
      </w:pPr>
      <w:r>
        <w:rPr>
          <w:rFonts w:hint="eastAsia" w:ascii="宋体" w:hAnsi="宋体" w:cs="宋体"/>
          <w:bCs/>
          <w:szCs w:val="21"/>
        </w:rPr>
        <w:t>（1）评标过程中出现下列情形之一的，评标委员会应当启动异常低价投标（响应）审查程序：</w:t>
      </w:r>
    </w:p>
    <w:p w14:paraId="3B7E181E">
      <w:pPr>
        <w:spacing w:line="360" w:lineRule="auto"/>
        <w:ind w:firstLine="420" w:firstLineChars="200"/>
        <w:rPr>
          <w:rFonts w:ascii="宋体" w:hAnsi="宋体" w:cs="宋体"/>
          <w:bCs/>
          <w:szCs w:val="21"/>
        </w:rPr>
      </w:pPr>
      <w:r>
        <w:rPr>
          <w:rFonts w:hint="eastAsia" w:ascii="宋体" w:hAnsi="宋体" w:cs="宋体"/>
          <w:bCs/>
          <w:szCs w:val="21"/>
        </w:rPr>
        <w:t>①投标（响应）报价低于全部通过符合性审查供应商投标（响应）报价平均值50%的，即投标（响应）报价&lt;全部通过符合性审查供应商投标（响应）报价平均值×50%；</w:t>
      </w:r>
    </w:p>
    <w:p w14:paraId="6F70102D">
      <w:pPr>
        <w:spacing w:line="360" w:lineRule="auto"/>
        <w:ind w:firstLine="420" w:firstLineChars="200"/>
        <w:rPr>
          <w:rFonts w:ascii="宋体" w:hAnsi="宋体" w:cs="宋体"/>
          <w:bCs/>
          <w:szCs w:val="21"/>
        </w:rPr>
      </w:pPr>
      <w:r>
        <w:rPr>
          <w:rFonts w:hint="eastAsia" w:ascii="宋体" w:hAnsi="宋体" w:cs="宋体"/>
          <w:bCs/>
          <w:szCs w:val="21"/>
        </w:rPr>
        <w:t>②投标（响应）报价低于通过符合性审查的次低报价供应商投标（响应）报价50%的，即投标（响应）报价&lt;通过符合性审查的次低报价供应商投标（响应）报价×50%；</w:t>
      </w:r>
    </w:p>
    <w:p w14:paraId="39297C45">
      <w:pPr>
        <w:spacing w:line="360" w:lineRule="auto"/>
        <w:ind w:firstLine="420" w:firstLineChars="200"/>
        <w:rPr>
          <w:rFonts w:ascii="宋体" w:hAnsi="宋体" w:cs="宋体"/>
          <w:bCs/>
          <w:szCs w:val="21"/>
        </w:rPr>
      </w:pPr>
      <w:r>
        <w:rPr>
          <w:rFonts w:hint="eastAsia" w:ascii="宋体" w:hAnsi="宋体" w:cs="宋体"/>
          <w:bCs/>
          <w:szCs w:val="21"/>
        </w:rPr>
        <w:t>③投标（响应）报价低于采购项目最高限价45%的，即投标（响应）报价&lt;采购项目最高限价×45%；</w:t>
      </w:r>
    </w:p>
    <w:p w14:paraId="07912887">
      <w:pPr>
        <w:spacing w:line="360" w:lineRule="auto"/>
        <w:ind w:firstLine="420" w:firstLineChars="200"/>
        <w:rPr>
          <w:rFonts w:ascii="宋体" w:hAnsi="宋体" w:cs="宋体"/>
          <w:bCs/>
          <w:szCs w:val="21"/>
        </w:rPr>
      </w:pPr>
      <w:r>
        <w:rPr>
          <w:rFonts w:hint="eastAsia" w:ascii="宋体" w:hAnsi="宋体" w:cs="宋体"/>
          <w:bCs/>
          <w:szCs w:val="21"/>
        </w:rPr>
        <w:t>④评标委员会基于专业判断，认为供应商报价过低，有可能影响产品质量或者不能诚信履约的其他情形。</w:t>
      </w:r>
    </w:p>
    <w:p w14:paraId="66CC8521">
      <w:pPr>
        <w:spacing w:line="360" w:lineRule="auto"/>
        <w:ind w:firstLine="420" w:firstLineChars="200"/>
        <w:rPr>
          <w:rFonts w:ascii="宋体" w:hAnsi="宋体" w:cs="宋体"/>
          <w:bCs/>
          <w:szCs w:val="21"/>
        </w:rPr>
      </w:pPr>
      <w:r>
        <w:rPr>
          <w:rFonts w:hint="eastAsia" w:ascii="宋体" w:hAnsi="宋体" w:cs="宋体"/>
          <w:bCs/>
          <w:szCs w:val="21"/>
        </w:rPr>
        <w:t>（2）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4F1C24C5">
      <w:pPr>
        <w:spacing w:line="360" w:lineRule="auto"/>
        <w:ind w:firstLine="420" w:firstLineChars="200"/>
        <w:rPr>
          <w:rFonts w:ascii="宋体" w:hAnsi="宋体" w:cs="宋体"/>
          <w:bCs/>
          <w:szCs w:val="21"/>
        </w:rPr>
      </w:pPr>
      <w:r>
        <w:rPr>
          <w:rFonts w:hint="eastAsia" w:ascii="宋体" w:hAnsi="宋体" w:cs="宋体"/>
          <w:bCs/>
          <w:szCs w:val="21"/>
        </w:rPr>
        <w:t>（3）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05BB74FC">
      <w:pPr>
        <w:spacing w:line="360" w:lineRule="auto"/>
        <w:ind w:firstLine="420" w:firstLineChars="200"/>
        <w:rPr>
          <w:rFonts w:ascii="宋体" w:hAnsi="宋体" w:cs="宋体"/>
          <w:bCs/>
          <w:szCs w:val="21"/>
        </w:rPr>
      </w:pPr>
      <w:r>
        <w:rPr>
          <w:rFonts w:hint="eastAsia" w:ascii="宋体" w:hAnsi="宋体" w:cs="宋体"/>
          <w:bCs/>
          <w:szCs w:val="21"/>
        </w:rPr>
        <w:t>（4）异常低价投标（响应）审查的启动原因、审查意见和审查结果应当在评审报告中记录，并随供应商提供的相关书面说明及证明材料，以及评标委员会有关互联网浏览、查询历史一并归档。</w:t>
      </w:r>
    </w:p>
    <w:p w14:paraId="03838BBE">
      <w:pPr>
        <w:spacing w:line="360" w:lineRule="auto"/>
        <w:ind w:firstLine="420" w:firstLineChars="200"/>
        <w:rPr>
          <w:rFonts w:ascii="宋体" w:hAnsi="宋体" w:cs="宋体"/>
          <w:b/>
          <w:szCs w:val="21"/>
        </w:rPr>
      </w:pPr>
      <w:r>
        <w:rPr>
          <w:rFonts w:hint="eastAsia" w:ascii="宋体" w:hAnsi="宋体" w:cs="宋体"/>
          <w:bCs/>
          <w:szCs w:val="21"/>
        </w:rPr>
        <w:t>20.磋商小组在评标时只能依据磋商文件规定的办法进行评审,不得寻求外部的证据。</w:t>
      </w:r>
    </w:p>
    <w:p w14:paraId="6894A13B">
      <w:pPr>
        <w:pStyle w:val="5"/>
        <w:numPr>
          <w:ilvl w:val="0"/>
          <w:numId w:val="0"/>
        </w:numPr>
        <w:spacing w:line="360" w:lineRule="auto"/>
        <w:ind w:firstLine="422" w:firstLineChars="200"/>
        <w:jc w:val="both"/>
        <w:rPr>
          <w:rFonts w:ascii="宋体" w:hAnsi="宋体" w:eastAsia="宋体" w:cs="宋体"/>
          <w:b/>
          <w:bCs/>
          <w:sz w:val="21"/>
          <w:szCs w:val="21"/>
        </w:rPr>
      </w:pPr>
      <w:bookmarkStart w:id="172" w:name="_Toc4634"/>
      <w:bookmarkStart w:id="173" w:name="_Toc22946"/>
      <w:bookmarkStart w:id="174" w:name="_Toc10196"/>
      <w:r>
        <w:rPr>
          <w:rFonts w:hint="eastAsia" w:ascii="宋体" w:hAnsi="宋体" w:eastAsia="宋体" w:cs="宋体"/>
          <w:b/>
          <w:bCs/>
          <w:sz w:val="21"/>
          <w:szCs w:val="21"/>
        </w:rPr>
        <w:t>21.无效</w:t>
      </w:r>
      <w:bookmarkEnd w:id="171"/>
      <w:r>
        <w:rPr>
          <w:rFonts w:hint="eastAsia" w:ascii="宋体" w:hAnsi="宋体" w:eastAsia="宋体" w:cs="宋体"/>
          <w:b/>
          <w:bCs/>
          <w:sz w:val="21"/>
          <w:szCs w:val="21"/>
        </w:rPr>
        <w:t>响应文件与终止磋商</w:t>
      </w:r>
      <w:bookmarkEnd w:id="172"/>
      <w:bookmarkEnd w:id="173"/>
      <w:bookmarkEnd w:id="174"/>
    </w:p>
    <w:p w14:paraId="28FA50E4">
      <w:pPr>
        <w:spacing w:line="360" w:lineRule="auto"/>
        <w:ind w:firstLine="420" w:firstLineChars="200"/>
        <w:rPr>
          <w:rFonts w:ascii="宋体" w:hAnsi="宋体" w:cs="宋体"/>
          <w:bCs/>
          <w:szCs w:val="21"/>
        </w:rPr>
      </w:pPr>
      <w:r>
        <w:rPr>
          <w:rFonts w:hint="eastAsia" w:ascii="宋体" w:hAnsi="宋体" w:cs="宋体"/>
          <w:bCs/>
          <w:szCs w:val="21"/>
        </w:rPr>
        <w:t>21.1</w:t>
      </w:r>
      <w:r>
        <w:rPr>
          <w:rFonts w:hint="eastAsia" w:ascii="宋体" w:hAnsi="宋体" w:cs="宋体"/>
          <w:bCs/>
          <w:szCs w:val="21"/>
          <w:lang w:val="zh-CN"/>
        </w:rPr>
        <w:t>出现下列情形之一的响应文件按照无效处理：</w:t>
      </w:r>
    </w:p>
    <w:p w14:paraId="25FE095B">
      <w:pPr>
        <w:spacing w:line="360" w:lineRule="auto"/>
        <w:ind w:firstLine="420" w:firstLineChars="200"/>
        <w:rPr>
          <w:rFonts w:ascii="宋体" w:hAnsi="宋体" w:cs="宋体"/>
          <w:bCs/>
          <w:szCs w:val="21"/>
        </w:rPr>
      </w:pPr>
      <w:r>
        <w:rPr>
          <w:rFonts w:hint="eastAsia" w:ascii="宋体" w:hAnsi="宋体" w:cs="宋体"/>
          <w:bCs/>
          <w:szCs w:val="21"/>
        </w:rPr>
        <w:t>（1）供应商在苏采云系统规定的时间内未成功解密电子响应文件的。</w:t>
      </w:r>
    </w:p>
    <w:p w14:paraId="1DB9A953">
      <w:pPr>
        <w:spacing w:line="360" w:lineRule="auto"/>
        <w:ind w:firstLine="420" w:firstLineChars="200"/>
        <w:rPr>
          <w:rFonts w:ascii="宋体" w:hAnsi="宋体" w:cs="宋体"/>
          <w:bCs/>
          <w:szCs w:val="21"/>
        </w:rPr>
      </w:pPr>
      <w:r>
        <w:rPr>
          <w:rFonts w:hint="eastAsia" w:ascii="宋体" w:hAnsi="宋体" w:cs="宋体"/>
          <w:bCs/>
          <w:szCs w:val="21"/>
        </w:rPr>
        <w:t>（2）未按照磋商文件规定要求签署、加盖CA电子公章的；</w:t>
      </w:r>
    </w:p>
    <w:p w14:paraId="76A190A4">
      <w:pPr>
        <w:spacing w:line="360" w:lineRule="auto"/>
        <w:ind w:firstLine="420" w:firstLineChars="200"/>
        <w:rPr>
          <w:rFonts w:ascii="宋体" w:hAnsi="宋体" w:cs="宋体"/>
          <w:bCs/>
          <w:szCs w:val="21"/>
        </w:rPr>
      </w:pPr>
      <w:r>
        <w:rPr>
          <w:rFonts w:hint="eastAsia" w:ascii="宋体" w:hAnsi="宋体" w:cs="宋体"/>
          <w:bCs/>
          <w:szCs w:val="21"/>
        </w:rPr>
        <w:t>（3）供应商在报价时采用选择性报价；</w:t>
      </w:r>
    </w:p>
    <w:p w14:paraId="2F36EC53">
      <w:pPr>
        <w:spacing w:line="360" w:lineRule="auto"/>
        <w:ind w:firstLine="420" w:firstLineChars="200"/>
        <w:rPr>
          <w:rFonts w:ascii="宋体" w:hAnsi="宋体" w:cs="宋体"/>
          <w:bCs/>
          <w:szCs w:val="21"/>
        </w:rPr>
      </w:pPr>
      <w:r>
        <w:rPr>
          <w:rFonts w:hint="eastAsia" w:ascii="宋体" w:hAnsi="宋体" w:cs="宋体"/>
          <w:bCs/>
          <w:szCs w:val="21"/>
        </w:rPr>
        <w:t>（4）供应商不具备磋商文件中规定资格要求的；</w:t>
      </w:r>
    </w:p>
    <w:p w14:paraId="6914F2A8">
      <w:pPr>
        <w:spacing w:line="360" w:lineRule="auto"/>
        <w:ind w:firstLine="420" w:firstLineChars="200"/>
        <w:rPr>
          <w:rFonts w:ascii="宋体" w:hAnsi="宋体" w:cs="宋体"/>
          <w:bCs/>
          <w:szCs w:val="21"/>
        </w:rPr>
      </w:pPr>
      <w:r>
        <w:rPr>
          <w:rFonts w:hint="eastAsia" w:ascii="宋体" w:hAnsi="宋体" w:cs="宋体"/>
          <w:bCs/>
          <w:szCs w:val="21"/>
        </w:rPr>
        <w:t>（5）供应商的报价超过了采购预算的；</w:t>
      </w:r>
    </w:p>
    <w:p w14:paraId="63AE144F">
      <w:pPr>
        <w:spacing w:line="360" w:lineRule="auto"/>
        <w:ind w:firstLine="420" w:firstLineChars="200"/>
        <w:rPr>
          <w:rFonts w:ascii="宋体" w:hAnsi="宋体" w:cs="宋体"/>
          <w:bCs/>
          <w:szCs w:val="21"/>
        </w:rPr>
      </w:pPr>
      <w:r>
        <w:rPr>
          <w:rFonts w:hint="eastAsia" w:ascii="宋体" w:hAnsi="宋体" w:cs="宋体"/>
          <w:bCs/>
          <w:szCs w:val="21"/>
        </w:rPr>
        <w:t>（6）未通过符合性检查的；</w:t>
      </w:r>
    </w:p>
    <w:p w14:paraId="284E0F84">
      <w:pPr>
        <w:spacing w:line="360" w:lineRule="auto"/>
        <w:ind w:firstLine="420" w:firstLineChars="200"/>
        <w:rPr>
          <w:rFonts w:ascii="宋体" w:hAnsi="宋体" w:cs="宋体"/>
          <w:bCs/>
          <w:szCs w:val="21"/>
        </w:rPr>
      </w:pPr>
      <w:r>
        <w:rPr>
          <w:rFonts w:hint="eastAsia" w:ascii="宋体" w:hAnsi="宋体" w:cs="宋体"/>
          <w:bCs/>
          <w:szCs w:val="21"/>
        </w:rPr>
        <w:t>（7）</w:t>
      </w:r>
      <w:r>
        <w:rPr>
          <w:rFonts w:hint="eastAsia" w:ascii="宋体" w:hAnsi="宋体" w:cs="宋体"/>
          <w:bCs/>
          <w:szCs w:val="21"/>
          <w:lang w:val="zh-CN"/>
        </w:rPr>
        <w:t>报价低于完成本项目发生的所有含税费用、支付给员工的工资（不得低于供应商所在地最低工资标准）和国家强制缴纳的各种社会保障资金</w:t>
      </w:r>
      <w:r>
        <w:rPr>
          <w:rFonts w:hint="eastAsia" w:ascii="宋体" w:hAnsi="宋体" w:cs="宋体"/>
          <w:bCs/>
          <w:szCs w:val="21"/>
        </w:rPr>
        <w:t>、公积金，以及供应商认为需要的其他费用等。</w:t>
      </w:r>
    </w:p>
    <w:p w14:paraId="55B5F53F">
      <w:pPr>
        <w:spacing w:line="360" w:lineRule="auto"/>
        <w:ind w:firstLine="420" w:firstLineChars="200"/>
        <w:rPr>
          <w:rFonts w:ascii="宋体" w:hAnsi="宋体" w:cs="宋体"/>
          <w:bCs/>
          <w:szCs w:val="21"/>
        </w:rPr>
      </w:pPr>
      <w:r>
        <w:rPr>
          <w:rFonts w:hint="eastAsia" w:ascii="宋体" w:hAnsi="宋体" w:cs="宋体"/>
          <w:bCs/>
          <w:szCs w:val="21"/>
        </w:rPr>
        <w:t>（8）不符合磋商文件中规定的其他实质性要求和条件的；</w:t>
      </w:r>
    </w:p>
    <w:p w14:paraId="408E57DD">
      <w:pPr>
        <w:spacing w:line="360" w:lineRule="auto"/>
        <w:ind w:firstLine="420" w:firstLineChars="200"/>
        <w:rPr>
          <w:rFonts w:ascii="宋体" w:hAnsi="宋体" w:cs="宋体"/>
          <w:bCs/>
          <w:szCs w:val="21"/>
        </w:rPr>
      </w:pPr>
      <w:r>
        <w:rPr>
          <w:rFonts w:hint="eastAsia" w:ascii="宋体" w:hAnsi="宋体" w:cs="宋体"/>
          <w:bCs/>
          <w:szCs w:val="21"/>
        </w:rPr>
        <w:t>（9）其他法律、法规及本磋商文件规定的属无效响应的情形。</w:t>
      </w:r>
    </w:p>
    <w:p w14:paraId="2FCD9B4B">
      <w:pPr>
        <w:spacing w:line="360" w:lineRule="auto"/>
        <w:ind w:firstLine="420" w:firstLineChars="200"/>
        <w:rPr>
          <w:rFonts w:ascii="宋体" w:hAnsi="宋体" w:cs="宋体"/>
          <w:bCs/>
          <w:szCs w:val="21"/>
        </w:rPr>
      </w:pPr>
      <w:r>
        <w:rPr>
          <w:rFonts w:hint="eastAsia" w:ascii="宋体" w:hAnsi="宋体" w:cs="宋体"/>
          <w:bCs/>
          <w:szCs w:val="21"/>
        </w:rPr>
        <w:t>21.2出现下列情形之一的，磋商终止：</w:t>
      </w:r>
    </w:p>
    <w:p w14:paraId="7DCB5632">
      <w:pPr>
        <w:spacing w:line="360" w:lineRule="auto"/>
        <w:ind w:firstLine="420" w:firstLineChars="200"/>
        <w:rPr>
          <w:rFonts w:ascii="宋体" w:hAnsi="宋体" w:cs="宋体"/>
          <w:bCs/>
          <w:szCs w:val="21"/>
          <w:lang w:val="zh-CN"/>
        </w:rPr>
      </w:pPr>
      <w:r>
        <w:rPr>
          <w:rFonts w:hint="eastAsia" w:ascii="宋体" w:hAnsi="宋体" w:cs="宋体"/>
          <w:bCs/>
          <w:szCs w:val="21"/>
          <w:lang w:val="zh-CN"/>
        </w:rPr>
        <w:t>（1）因情况变化，不再符合规定的竞争性磋商采购方式适用情形的；</w:t>
      </w:r>
    </w:p>
    <w:p w14:paraId="7CB6C714">
      <w:pPr>
        <w:spacing w:line="360" w:lineRule="auto"/>
        <w:ind w:firstLine="420" w:firstLineChars="200"/>
        <w:rPr>
          <w:rFonts w:ascii="宋体" w:hAnsi="宋体" w:cs="宋体"/>
          <w:bCs/>
          <w:szCs w:val="21"/>
          <w:lang w:val="zh-CN"/>
        </w:rPr>
      </w:pPr>
      <w:r>
        <w:rPr>
          <w:rFonts w:hint="eastAsia" w:ascii="宋体" w:hAnsi="宋体" w:cs="宋体"/>
          <w:bCs/>
          <w:szCs w:val="21"/>
          <w:lang w:val="zh-CN"/>
        </w:rPr>
        <w:t>（2）所有供应商的响应文件被磋商小组认定为无效的；</w:t>
      </w:r>
    </w:p>
    <w:p w14:paraId="0B00417B">
      <w:pPr>
        <w:spacing w:line="360" w:lineRule="auto"/>
        <w:ind w:firstLine="420" w:firstLineChars="200"/>
        <w:rPr>
          <w:rFonts w:ascii="宋体" w:hAnsi="宋体" w:cs="宋体"/>
          <w:bCs/>
          <w:szCs w:val="21"/>
          <w:lang w:val="zh-CN"/>
        </w:rPr>
      </w:pPr>
      <w:r>
        <w:rPr>
          <w:rFonts w:hint="eastAsia" w:ascii="宋体" w:hAnsi="宋体" w:cs="宋体"/>
          <w:bCs/>
          <w:szCs w:val="21"/>
          <w:lang w:val="zh-CN"/>
        </w:rPr>
        <w:t>（3）出现影响采购公正的违法、违规行为的；</w:t>
      </w:r>
    </w:p>
    <w:p w14:paraId="23DCBEDD">
      <w:pPr>
        <w:spacing w:line="360" w:lineRule="auto"/>
        <w:ind w:firstLine="420" w:firstLineChars="200"/>
        <w:rPr>
          <w:rFonts w:ascii="宋体" w:hAnsi="宋体" w:cs="宋体"/>
          <w:bCs/>
          <w:szCs w:val="21"/>
          <w:lang w:val="zh-CN"/>
        </w:rPr>
      </w:pPr>
      <w:r>
        <w:rPr>
          <w:rFonts w:hint="eastAsia" w:ascii="宋体" w:hAnsi="宋体" w:cs="宋体"/>
          <w:bCs/>
          <w:szCs w:val="21"/>
          <w:lang w:val="zh-CN"/>
        </w:rPr>
        <w:t>（</w:t>
      </w:r>
      <w:r>
        <w:rPr>
          <w:rFonts w:hint="eastAsia" w:ascii="宋体" w:hAnsi="宋体" w:cs="宋体"/>
          <w:bCs/>
          <w:szCs w:val="21"/>
        </w:rPr>
        <w:t>4</w:t>
      </w:r>
      <w:r>
        <w:rPr>
          <w:rFonts w:hint="eastAsia" w:ascii="宋体" w:hAnsi="宋体" w:cs="宋体"/>
          <w:bCs/>
          <w:szCs w:val="21"/>
          <w:lang w:val="zh-CN"/>
        </w:rPr>
        <w:t>）因重大变故，采购任务取消的；</w:t>
      </w:r>
    </w:p>
    <w:p w14:paraId="6692DA15">
      <w:pPr>
        <w:spacing w:line="360" w:lineRule="auto"/>
        <w:ind w:firstLine="420" w:firstLineChars="200"/>
        <w:rPr>
          <w:rFonts w:ascii="宋体" w:hAnsi="宋体" w:cs="宋体"/>
          <w:bCs/>
          <w:szCs w:val="21"/>
          <w:lang w:val="zh-CN"/>
        </w:rPr>
      </w:pPr>
      <w:r>
        <w:rPr>
          <w:rFonts w:hint="eastAsia" w:ascii="宋体" w:hAnsi="宋体" w:cs="宋体"/>
          <w:bCs/>
          <w:szCs w:val="21"/>
          <w:lang w:val="zh-CN"/>
        </w:rPr>
        <w:t>（</w:t>
      </w:r>
      <w:r>
        <w:rPr>
          <w:rFonts w:hint="eastAsia" w:ascii="宋体" w:hAnsi="宋体" w:cs="宋体"/>
          <w:bCs/>
          <w:szCs w:val="21"/>
        </w:rPr>
        <w:t>5</w:t>
      </w:r>
      <w:r>
        <w:rPr>
          <w:rFonts w:hint="eastAsia" w:ascii="宋体" w:hAnsi="宋体" w:cs="宋体"/>
          <w:bCs/>
          <w:szCs w:val="21"/>
          <w:lang w:val="zh-CN"/>
        </w:rPr>
        <w:t>）采购人需求发生重大变化暂时不能确定或供应商提供的货物和服务不能满足需求等。</w:t>
      </w:r>
    </w:p>
    <w:p w14:paraId="2AC54181">
      <w:pPr>
        <w:spacing w:line="360" w:lineRule="auto"/>
        <w:ind w:firstLine="420" w:firstLineChars="200"/>
        <w:rPr>
          <w:rFonts w:ascii="宋体" w:hAnsi="宋体" w:cs="宋体"/>
          <w:bCs/>
          <w:szCs w:val="21"/>
          <w:lang w:val="zh-CN"/>
        </w:rPr>
      </w:pPr>
      <w:r>
        <w:rPr>
          <w:rFonts w:hint="eastAsia" w:ascii="宋体" w:hAnsi="宋体" w:cs="宋体"/>
          <w:bCs/>
          <w:szCs w:val="21"/>
        </w:rPr>
        <w:t>（6）因苏采云系统故障原因造成开标不成功的。</w:t>
      </w:r>
    </w:p>
    <w:p w14:paraId="6C6EBE96">
      <w:pPr>
        <w:pStyle w:val="5"/>
        <w:numPr>
          <w:ilvl w:val="0"/>
          <w:numId w:val="0"/>
        </w:numPr>
        <w:spacing w:line="360" w:lineRule="auto"/>
        <w:ind w:firstLine="422" w:firstLineChars="200"/>
        <w:jc w:val="both"/>
        <w:rPr>
          <w:rFonts w:ascii="宋体" w:hAnsi="宋体" w:eastAsia="宋体" w:cs="宋体"/>
          <w:b/>
          <w:bCs/>
          <w:sz w:val="21"/>
          <w:szCs w:val="21"/>
        </w:rPr>
      </w:pPr>
      <w:bookmarkStart w:id="175" w:name="_Toc2901"/>
      <w:bookmarkStart w:id="176" w:name="_Toc25999"/>
      <w:r>
        <w:rPr>
          <w:rFonts w:hint="eastAsia" w:ascii="宋体" w:hAnsi="宋体" w:eastAsia="宋体" w:cs="宋体"/>
          <w:b/>
          <w:bCs/>
          <w:sz w:val="21"/>
          <w:szCs w:val="21"/>
        </w:rPr>
        <w:t>22.首次磋商失败，重新组织磋商后供应商不足的处理</w:t>
      </w:r>
      <w:bookmarkEnd w:id="175"/>
      <w:bookmarkEnd w:id="176"/>
    </w:p>
    <w:p w14:paraId="6F9280B1">
      <w:pPr>
        <w:spacing w:line="360" w:lineRule="auto"/>
        <w:ind w:firstLine="420" w:firstLineChars="200"/>
        <w:rPr>
          <w:rFonts w:ascii="宋体" w:hAnsi="宋体" w:cs="宋体"/>
          <w:bCs/>
          <w:szCs w:val="21"/>
        </w:rPr>
      </w:pPr>
      <w:r>
        <w:rPr>
          <w:rFonts w:hint="eastAsia" w:ascii="宋体" w:hAnsi="宋体" w:cs="宋体"/>
          <w:bCs/>
          <w:szCs w:val="21"/>
          <w:lang w:val="zh-CN"/>
        </w:rPr>
        <w:t>2</w:t>
      </w:r>
      <w:r>
        <w:rPr>
          <w:rFonts w:hint="eastAsia" w:ascii="宋体" w:hAnsi="宋体" w:cs="宋体"/>
          <w:bCs/>
          <w:szCs w:val="21"/>
        </w:rPr>
        <w:t>2</w:t>
      </w:r>
      <w:r>
        <w:rPr>
          <w:rFonts w:hint="eastAsia" w:ascii="宋体" w:hAnsi="宋体" w:cs="宋体"/>
          <w:bCs/>
          <w:szCs w:val="21"/>
          <w:lang w:val="zh-CN"/>
        </w:rPr>
        <w:t>.1如果需要采用其他方式采购，根据需要，应当在采购活动开始前获得设区的市、自治州以上人民政府采购监督管理部门或者政府有关部门批准（不需要获得批准的除外）。</w:t>
      </w:r>
    </w:p>
    <w:p w14:paraId="625FFE69">
      <w:pPr>
        <w:widowControl/>
        <w:shd w:val="clear" w:color="auto" w:fill="FFFFFF"/>
        <w:spacing w:line="360" w:lineRule="auto"/>
        <w:ind w:firstLine="422" w:firstLineChars="200"/>
        <w:outlineLvl w:val="1"/>
        <w:rPr>
          <w:rFonts w:ascii="宋体" w:hAnsi="宋体" w:cs="宋体"/>
          <w:b/>
          <w:bCs/>
          <w:szCs w:val="21"/>
        </w:rPr>
      </w:pPr>
      <w:bookmarkStart w:id="177" w:name="_Toc29096"/>
      <w:bookmarkStart w:id="178" w:name="_Toc11193"/>
      <w:bookmarkStart w:id="179" w:name="_Toc4921"/>
      <w:bookmarkStart w:id="180" w:name="_Toc21398"/>
      <w:bookmarkStart w:id="181" w:name="_Toc4537"/>
      <w:bookmarkStart w:id="182" w:name="_Toc27938"/>
      <w:bookmarkStart w:id="183" w:name="_Toc10785"/>
      <w:bookmarkStart w:id="184" w:name="_Toc23774"/>
      <w:r>
        <w:rPr>
          <w:rFonts w:hint="eastAsia" w:ascii="宋体" w:hAnsi="宋体" w:cs="宋体"/>
          <w:b/>
          <w:bCs/>
          <w:szCs w:val="21"/>
        </w:rPr>
        <w:t>六、成交</w:t>
      </w:r>
      <w:bookmarkEnd w:id="177"/>
      <w:bookmarkEnd w:id="178"/>
      <w:bookmarkEnd w:id="179"/>
      <w:bookmarkEnd w:id="180"/>
    </w:p>
    <w:p w14:paraId="17AFE294">
      <w:pPr>
        <w:pStyle w:val="5"/>
        <w:numPr>
          <w:ilvl w:val="0"/>
          <w:numId w:val="0"/>
        </w:numPr>
        <w:spacing w:line="360" w:lineRule="auto"/>
        <w:ind w:firstLine="422" w:firstLineChars="200"/>
        <w:jc w:val="both"/>
        <w:rPr>
          <w:rFonts w:ascii="宋体" w:hAnsi="宋体" w:eastAsia="宋体" w:cs="宋体"/>
          <w:b/>
          <w:bCs/>
          <w:sz w:val="21"/>
          <w:szCs w:val="21"/>
        </w:rPr>
      </w:pPr>
      <w:bookmarkStart w:id="185" w:name="_Toc5953"/>
      <w:bookmarkStart w:id="186" w:name="_Toc14026"/>
      <w:bookmarkStart w:id="187" w:name="_Toc16718"/>
      <w:bookmarkStart w:id="188" w:name="_Toc3816"/>
      <w:bookmarkStart w:id="189" w:name="_Toc8621"/>
      <w:r>
        <w:rPr>
          <w:rFonts w:hint="eastAsia" w:ascii="宋体" w:hAnsi="宋体" w:eastAsia="宋体" w:cs="宋体"/>
          <w:b/>
          <w:bCs/>
          <w:sz w:val="21"/>
          <w:szCs w:val="21"/>
        </w:rPr>
        <w:t>23.</w:t>
      </w:r>
      <w:r>
        <w:rPr>
          <w:rFonts w:hint="eastAsia" w:ascii="宋体" w:hAnsi="宋体" w:eastAsia="宋体" w:cs="宋体"/>
          <w:b/>
          <w:bCs/>
          <w:sz w:val="21"/>
          <w:szCs w:val="21"/>
          <w:lang w:val="zh-CN"/>
        </w:rPr>
        <w:t>评定成交方法和标准</w:t>
      </w:r>
      <w:bookmarkEnd w:id="185"/>
      <w:bookmarkEnd w:id="186"/>
      <w:bookmarkEnd w:id="187"/>
      <w:bookmarkEnd w:id="188"/>
      <w:bookmarkEnd w:id="189"/>
    </w:p>
    <w:p w14:paraId="519418D6">
      <w:pPr>
        <w:spacing w:line="360" w:lineRule="auto"/>
        <w:ind w:firstLine="420" w:firstLineChars="200"/>
        <w:rPr>
          <w:rFonts w:ascii="宋体" w:hAnsi="宋体" w:cs="宋体"/>
          <w:szCs w:val="21"/>
        </w:rPr>
      </w:pPr>
      <w:r>
        <w:rPr>
          <w:rFonts w:hint="eastAsia" w:ascii="宋体" w:hAnsi="宋体" w:cs="宋体"/>
          <w:bCs/>
          <w:szCs w:val="21"/>
          <w:lang w:val="zh-CN"/>
        </w:rPr>
        <w:t>2</w:t>
      </w:r>
      <w:r>
        <w:rPr>
          <w:rFonts w:hint="eastAsia" w:ascii="宋体" w:hAnsi="宋体" w:cs="宋体"/>
          <w:bCs/>
          <w:szCs w:val="21"/>
        </w:rPr>
        <w:t>3</w:t>
      </w:r>
      <w:r>
        <w:rPr>
          <w:rFonts w:hint="eastAsia" w:ascii="宋体" w:hAnsi="宋体" w:cs="宋体"/>
          <w:bCs/>
          <w:szCs w:val="21"/>
          <w:lang w:val="zh-CN"/>
        </w:rPr>
        <w:t>.1</w:t>
      </w:r>
      <w:r>
        <w:rPr>
          <w:rFonts w:hint="eastAsia" w:ascii="宋体" w:hAnsi="宋体" w:cs="宋体"/>
          <w:szCs w:val="21"/>
          <w:lang w:val="zh-CN"/>
        </w:rPr>
        <w:t>采用综合评分法。</w:t>
      </w:r>
      <w:r>
        <w:rPr>
          <w:rFonts w:hint="eastAsia" w:ascii="宋体" w:hAnsi="宋体" w:cs="宋体"/>
          <w:bCs/>
          <w:szCs w:val="21"/>
          <w:lang w:val="zh-CN"/>
        </w:rPr>
        <w:t>磋商小组在最大限度地满足竞争性磋商文件实质性要求前提下，按照磋商文件中规定的各项因素进行综合评审后，</w:t>
      </w:r>
      <w:r>
        <w:rPr>
          <w:rFonts w:hint="eastAsia" w:ascii="宋体" w:hAnsi="宋体" w:cs="宋体"/>
          <w:szCs w:val="21"/>
        </w:rPr>
        <w:t>按评审得分由高到低顺序推荐前3名成交候选供应商，并编写评审报告。得分相同的，按最后报价从低到高顺序推荐。评审得分且最后报价相同的，按技术指标优劣顺序推荐。</w:t>
      </w:r>
    </w:p>
    <w:p w14:paraId="3989B81D">
      <w:pPr>
        <w:spacing w:line="360" w:lineRule="auto"/>
        <w:ind w:firstLine="420" w:firstLineChars="200"/>
        <w:rPr>
          <w:rFonts w:ascii="宋体" w:hAnsi="宋体" w:cs="宋体"/>
          <w:szCs w:val="21"/>
          <w:lang w:val="zh-CN"/>
        </w:rPr>
      </w:pPr>
      <w:r>
        <w:rPr>
          <w:rFonts w:hint="eastAsia" w:ascii="宋体" w:hAnsi="宋体" w:cs="宋体"/>
          <w:szCs w:val="21"/>
        </w:rPr>
        <w:t>23.2</w:t>
      </w:r>
      <w:r>
        <w:rPr>
          <w:rFonts w:hint="eastAsia" w:ascii="宋体" w:hAnsi="宋体" w:cs="宋体"/>
          <w:b/>
          <w:szCs w:val="21"/>
        </w:rPr>
        <w:t>评审标准详见文件第三章。</w:t>
      </w:r>
    </w:p>
    <w:p w14:paraId="7368F95D">
      <w:pPr>
        <w:pStyle w:val="5"/>
        <w:numPr>
          <w:ilvl w:val="0"/>
          <w:numId w:val="0"/>
        </w:numPr>
        <w:spacing w:line="360" w:lineRule="auto"/>
        <w:ind w:firstLine="422" w:firstLineChars="200"/>
        <w:jc w:val="both"/>
        <w:rPr>
          <w:rFonts w:ascii="宋体" w:hAnsi="宋体" w:eastAsia="宋体" w:cs="宋体"/>
          <w:b/>
          <w:bCs/>
          <w:sz w:val="21"/>
          <w:szCs w:val="21"/>
        </w:rPr>
      </w:pPr>
      <w:bookmarkStart w:id="190" w:name="_Toc27341"/>
      <w:bookmarkStart w:id="191" w:name="_Toc3630"/>
      <w:bookmarkStart w:id="192" w:name="_Toc8238"/>
      <w:bookmarkStart w:id="193" w:name="_Toc518356760"/>
      <w:bookmarkStart w:id="194" w:name="_Toc4191"/>
      <w:bookmarkStart w:id="195" w:name="_Toc20226"/>
      <w:r>
        <w:rPr>
          <w:rFonts w:hint="eastAsia" w:ascii="宋体" w:hAnsi="宋体" w:eastAsia="宋体" w:cs="宋体"/>
          <w:b/>
          <w:bCs/>
          <w:sz w:val="21"/>
          <w:szCs w:val="21"/>
        </w:rPr>
        <w:t>24.磋商过程保密</w:t>
      </w:r>
      <w:bookmarkEnd w:id="190"/>
      <w:bookmarkEnd w:id="191"/>
      <w:bookmarkEnd w:id="192"/>
      <w:bookmarkEnd w:id="193"/>
      <w:bookmarkEnd w:id="194"/>
      <w:bookmarkEnd w:id="195"/>
    </w:p>
    <w:p w14:paraId="1D3353E8">
      <w:pPr>
        <w:spacing w:line="360" w:lineRule="auto"/>
        <w:ind w:firstLine="420" w:firstLineChars="200"/>
        <w:rPr>
          <w:rFonts w:ascii="宋体" w:hAnsi="宋体" w:cs="宋体"/>
          <w:bCs/>
          <w:szCs w:val="21"/>
          <w:lang w:val="zh-CN"/>
        </w:rPr>
      </w:pPr>
      <w:r>
        <w:rPr>
          <w:rFonts w:hint="eastAsia" w:ascii="宋体" w:hAnsi="宋体" w:cs="宋体"/>
          <w:bCs/>
          <w:szCs w:val="21"/>
          <w:lang w:val="zh-CN"/>
        </w:rPr>
        <w:t>2</w:t>
      </w:r>
      <w:r>
        <w:rPr>
          <w:rFonts w:hint="eastAsia" w:ascii="宋体" w:hAnsi="宋体" w:cs="宋体"/>
          <w:bCs/>
          <w:szCs w:val="21"/>
        </w:rPr>
        <w:t>4</w:t>
      </w:r>
      <w:r>
        <w:rPr>
          <w:rFonts w:hint="eastAsia" w:ascii="宋体" w:hAnsi="宋体" w:cs="宋体"/>
          <w:bCs/>
          <w:szCs w:val="21"/>
          <w:lang w:val="zh-CN"/>
        </w:rPr>
        <w:t>.1在宣布成交结果之前，凡属于审查、澄清、评价、比较响应文件和成交意向等有关信息，均不得泄露给任何供应商或与磋商工作无关的人员。</w:t>
      </w:r>
    </w:p>
    <w:p w14:paraId="5526AD24">
      <w:pPr>
        <w:spacing w:line="360" w:lineRule="auto"/>
        <w:ind w:firstLine="420" w:firstLineChars="200"/>
        <w:rPr>
          <w:rFonts w:ascii="宋体" w:hAnsi="宋体" w:cs="宋体"/>
          <w:bCs/>
          <w:szCs w:val="21"/>
          <w:lang w:val="zh-CN"/>
        </w:rPr>
      </w:pPr>
      <w:r>
        <w:rPr>
          <w:rFonts w:hint="eastAsia" w:ascii="宋体" w:hAnsi="宋体" w:cs="宋体"/>
          <w:bCs/>
          <w:szCs w:val="21"/>
          <w:lang w:val="zh-CN"/>
        </w:rPr>
        <w:t>2</w:t>
      </w:r>
      <w:r>
        <w:rPr>
          <w:rFonts w:hint="eastAsia" w:ascii="宋体" w:hAnsi="宋体" w:cs="宋体"/>
          <w:bCs/>
          <w:szCs w:val="21"/>
        </w:rPr>
        <w:t>4</w:t>
      </w:r>
      <w:r>
        <w:rPr>
          <w:rFonts w:hint="eastAsia" w:ascii="宋体" w:hAnsi="宋体" w:cs="宋体"/>
          <w:bCs/>
          <w:szCs w:val="21"/>
          <w:lang w:val="zh-CN"/>
        </w:rPr>
        <w:t>.2采购代理机构和磋商小组不得向未成交的供应商解释未成交原因，也不公布磋商过程中的相关细节。</w:t>
      </w:r>
    </w:p>
    <w:p w14:paraId="47CD3151">
      <w:pPr>
        <w:spacing w:line="360" w:lineRule="auto"/>
        <w:ind w:firstLine="420" w:firstLineChars="200"/>
        <w:rPr>
          <w:rFonts w:ascii="宋体" w:hAnsi="宋体" w:cs="宋体"/>
          <w:bCs/>
          <w:szCs w:val="21"/>
          <w:lang w:val="zh-CN"/>
        </w:rPr>
      </w:pPr>
      <w:r>
        <w:rPr>
          <w:rFonts w:hint="eastAsia" w:ascii="宋体" w:hAnsi="宋体" w:cs="宋体"/>
          <w:bCs/>
          <w:szCs w:val="21"/>
          <w:lang w:val="zh-CN"/>
        </w:rPr>
        <w:t>2</w:t>
      </w:r>
      <w:r>
        <w:rPr>
          <w:rFonts w:hint="eastAsia" w:ascii="宋体" w:hAnsi="宋体" w:cs="宋体"/>
          <w:bCs/>
          <w:szCs w:val="21"/>
        </w:rPr>
        <w:t>4</w:t>
      </w:r>
      <w:r>
        <w:rPr>
          <w:rFonts w:hint="eastAsia" w:ascii="宋体" w:hAnsi="宋体" w:cs="宋体"/>
          <w:bCs/>
          <w:szCs w:val="21"/>
          <w:lang w:val="zh-CN"/>
        </w:rPr>
        <w:t>.3在磋商期间，采购代理机构将指定联络员与供应商进行联络。</w:t>
      </w:r>
    </w:p>
    <w:p w14:paraId="25E9D834">
      <w:pPr>
        <w:pStyle w:val="5"/>
        <w:numPr>
          <w:ilvl w:val="0"/>
          <w:numId w:val="0"/>
        </w:numPr>
        <w:spacing w:line="360" w:lineRule="auto"/>
        <w:ind w:firstLine="422" w:firstLineChars="200"/>
        <w:jc w:val="both"/>
        <w:rPr>
          <w:rFonts w:ascii="宋体" w:hAnsi="宋体" w:eastAsia="宋体" w:cs="宋体"/>
          <w:b/>
          <w:bCs/>
          <w:sz w:val="21"/>
          <w:szCs w:val="21"/>
        </w:rPr>
      </w:pPr>
      <w:bookmarkStart w:id="196" w:name="_Toc25103"/>
      <w:bookmarkStart w:id="197" w:name="_Toc16721"/>
      <w:bookmarkStart w:id="198" w:name="_Toc23140"/>
      <w:r>
        <w:rPr>
          <w:rFonts w:hint="eastAsia" w:ascii="宋体" w:hAnsi="宋体" w:eastAsia="宋体" w:cs="宋体"/>
          <w:b/>
          <w:bCs/>
          <w:sz w:val="21"/>
          <w:szCs w:val="21"/>
        </w:rPr>
        <w:t>25.确认成交供应商</w:t>
      </w:r>
      <w:bookmarkEnd w:id="196"/>
      <w:bookmarkEnd w:id="197"/>
      <w:bookmarkEnd w:id="198"/>
    </w:p>
    <w:p w14:paraId="17180C53">
      <w:pPr>
        <w:spacing w:line="360" w:lineRule="auto"/>
        <w:ind w:firstLine="420" w:firstLineChars="200"/>
        <w:rPr>
          <w:rFonts w:ascii="宋体" w:hAnsi="宋体" w:cs="宋体"/>
          <w:bCs/>
          <w:szCs w:val="21"/>
        </w:rPr>
      </w:pPr>
      <w:r>
        <w:rPr>
          <w:rFonts w:hint="eastAsia" w:ascii="宋体" w:hAnsi="宋体" w:cs="宋体"/>
          <w:bCs/>
          <w:szCs w:val="21"/>
        </w:rPr>
        <w:t>采购人应当自收到评审报告之日起5个工作日内，在评审报告推荐的成交候选供应商中，按照排序由高到低的原则确定成交供应商，也可书面授权磋商小组直接确定成交供应商。采购人逾期未确定成交供应商且不提出异议的，视为确定评审报告提出的排序第一的供应商为成交供应商。</w:t>
      </w:r>
    </w:p>
    <w:p w14:paraId="109D7FEE">
      <w:pPr>
        <w:pStyle w:val="5"/>
        <w:numPr>
          <w:ilvl w:val="0"/>
          <w:numId w:val="0"/>
        </w:numPr>
        <w:spacing w:line="360" w:lineRule="auto"/>
        <w:ind w:firstLine="422" w:firstLineChars="200"/>
        <w:jc w:val="both"/>
        <w:rPr>
          <w:rFonts w:ascii="宋体" w:hAnsi="宋体" w:eastAsia="宋体" w:cs="宋体"/>
          <w:b/>
          <w:bCs/>
          <w:sz w:val="21"/>
          <w:szCs w:val="21"/>
        </w:rPr>
      </w:pPr>
      <w:bookmarkStart w:id="199" w:name="_Toc287"/>
      <w:bookmarkStart w:id="200" w:name="_Toc12470"/>
      <w:bookmarkStart w:id="201" w:name="_Toc20370"/>
      <w:r>
        <w:rPr>
          <w:rFonts w:hint="eastAsia" w:ascii="宋体" w:hAnsi="宋体" w:eastAsia="宋体" w:cs="宋体"/>
          <w:b/>
          <w:bCs/>
          <w:sz w:val="21"/>
          <w:szCs w:val="21"/>
        </w:rPr>
        <w:t>26.成交的通知</w:t>
      </w:r>
      <w:bookmarkEnd w:id="199"/>
      <w:bookmarkEnd w:id="200"/>
      <w:bookmarkEnd w:id="201"/>
    </w:p>
    <w:p w14:paraId="054194A6">
      <w:pPr>
        <w:spacing w:line="360" w:lineRule="auto"/>
        <w:ind w:firstLine="420" w:firstLineChars="200"/>
        <w:rPr>
          <w:rFonts w:ascii="宋体" w:hAnsi="宋体" w:cs="宋体"/>
          <w:szCs w:val="21"/>
        </w:rPr>
      </w:pPr>
      <w:r>
        <w:rPr>
          <w:rFonts w:hint="eastAsia" w:ascii="宋体" w:hAnsi="宋体" w:cs="宋体"/>
          <w:szCs w:val="21"/>
        </w:rPr>
        <w:t>26.1成交结果在指定信息媒体上发布后，采购代理机构将向成交供应商发出成交通知书，成交通知书是签订合同的依据和组成部分。</w:t>
      </w:r>
    </w:p>
    <w:p w14:paraId="3FF046D9">
      <w:pPr>
        <w:spacing w:line="360" w:lineRule="auto"/>
        <w:ind w:firstLine="420" w:firstLineChars="200"/>
        <w:rPr>
          <w:rFonts w:ascii="宋体" w:hAnsi="宋体" w:cs="宋体"/>
          <w:bCs/>
          <w:szCs w:val="21"/>
        </w:rPr>
      </w:pPr>
      <w:r>
        <w:rPr>
          <w:rFonts w:hint="eastAsia" w:ascii="宋体" w:hAnsi="宋体" w:cs="宋体"/>
          <w:bCs/>
          <w:szCs w:val="21"/>
        </w:rPr>
        <w:t>26.2</w:t>
      </w:r>
      <w:r>
        <w:rPr>
          <w:rFonts w:hint="eastAsia" w:ascii="宋体" w:hAnsi="宋体" w:cs="宋体"/>
          <w:szCs w:val="21"/>
        </w:rPr>
        <w:t>成交供应商</w:t>
      </w:r>
      <w:r>
        <w:rPr>
          <w:rFonts w:hint="eastAsia" w:ascii="宋体" w:hAnsi="宋体" w:cs="宋体"/>
          <w:bCs/>
          <w:szCs w:val="21"/>
        </w:rPr>
        <w:t>在收到</w:t>
      </w:r>
      <w:r>
        <w:rPr>
          <w:rFonts w:hint="eastAsia" w:ascii="宋体" w:hAnsi="宋体" w:cs="宋体"/>
          <w:szCs w:val="21"/>
        </w:rPr>
        <w:t>成交通知书</w:t>
      </w:r>
      <w:r>
        <w:rPr>
          <w:rFonts w:hint="eastAsia" w:ascii="宋体" w:hAnsi="宋体" w:cs="宋体"/>
          <w:bCs/>
          <w:szCs w:val="21"/>
        </w:rPr>
        <w:t>，应郑重保证履行中标供应商应履行的，含招标代理服务费在内的一切义务和责任。</w:t>
      </w:r>
    </w:p>
    <w:p w14:paraId="7FDAC28D">
      <w:pPr>
        <w:pStyle w:val="5"/>
        <w:numPr>
          <w:ilvl w:val="0"/>
          <w:numId w:val="0"/>
        </w:numPr>
        <w:spacing w:line="360" w:lineRule="auto"/>
        <w:ind w:firstLine="422" w:firstLineChars="200"/>
        <w:jc w:val="both"/>
        <w:rPr>
          <w:rFonts w:ascii="宋体" w:hAnsi="宋体" w:eastAsia="宋体" w:cs="宋体"/>
          <w:b/>
          <w:bCs/>
          <w:sz w:val="21"/>
          <w:szCs w:val="21"/>
        </w:rPr>
      </w:pPr>
      <w:bookmarkStart w:id="202" w:name="_Toc17860"/>
      <w:bookmarkStart w:id="203" w:name="_Toc29462"/>
      <w:bookmarkStart w:id="204" w:name="_Toc17041"/>
      <w:r>
        <w:rPr>
          <w:rFonts w:hint="eastAsia" w:ascii="宋体" w:hAnsi="宋体" w:eastAsia="宋体" w:cs="宋体"/>
          <w:b/>
          <w:bCs/>
          <w:sz w:val="21"/>
          <w:szCs w:val="21"/>
        </w:rPr>
        <w:t>27.签订合同</w:t>
      </w:r>
      <w:bookmarkEnd w:id="202"/>
      <w:bookmarkEnd w:id="203"/>
      <w:bookmarkEnd w:id="204"/>
    </w:p>
    <w:p w14:paraId="0666A59E">
      <w:pPr>
        <w:spacing w:line="360" w:lineRule="auto"/>
        <w:ind w:firstLine="420" w:firstLineChars="200"/>
        <w:rPr>
          <w:rFonts w:ascii="宋体" w:hAnsi="宋体" w:cs="宋体"/>
          <w:szCs w:val="21"/>
          <w:lang w:val="zh-CN"/>
        </w:rPr>
      </w:pPr>
      <w:r>
        <w:rPr>
          <w:rFonts w:hint="eastAsia" w:ascii="宋体" w:hAnsi="宋体" w:cs="宋体"/>
          <w:szCs w:val="21"/>
        </w:rPr>
        <w:t>27</w:t>
      </w:r>
      <w:r>
        <w:rPr>
          <w:rFonts w:hint="eastAsia" w:ascii="宋体" w:hAnsi="宋体" w:cs="宋体"/>
          <w:szCs w:val="21"/>
          <w:lang w:val="zh-CN"/>
        </w:rPr>
        <w:t>.</w:t>
      </w:r>
      <w:r>
        <w:rPr>
          <w:rFonts w:hint="eastAsia" w:ascii="宋体" w:hAnsi="宋体" w:cs="宋体"/>
          <w:szCs w:val="21"/>
        </w:rPr>
        <w:t>1成交供应商应当</w:t>
      </w:r>
      <w:r>
        <w:rPr>
          <w:rFonts w:hint="eastAsia" w:ascii="宋体" w:hAnsi="宋体" w:cs="宋体"/>
          <w:szCs w:val="21"/>
          <w:lang w:val="zh-CN"/>
        </w:rPr>
        <w:t>自成交通知书发出之日起三十日内，</w:t>
      </w:r>
      <w:r>
        <w:rPr>
          <w:rFonts w:hint="eastAsia" w:ascii="宋体" w:hAnsi="宋体" w:cs="宋体"/>
          <w:szCs w:val="21"/>
        </w:rPr>
        <w:t>与采购人签订采购合同，所签订的合同不得对磋商文件和响应文件作实质性修改。</w:t>
      </w:r>
    </w:p>
    <w:p w14:paraId="2AEC64C2">
      <w:pPr>
        <w:spacing w:line="360" w:lineRule="auto"/>
        <w:ind w:firstLine="420" w:firstLineChars="200"/>
        <w:rPr>
          <w:rFonts w:ascii="宋体" w:hAnsi="宋体" w:cs="宋体"/>
          <w:bCs/>
          <w:szCs w:val="21"/>
          <w:lang w:val="zh-CN"/>
        </w:rPr>
      </w:pPr>
      <w:r>
        <w:rPr>
          <w:rFonts w:hint="eastAsia" w:ascii="宋体" w:hAnsi="宋体" w:cs="宋体"/>
          <w:bCs/>
          <w:szCs w:val="21"/>
        </w:rPr>
        <w:t>27</w:t>
      </w:r>
      <w:r>
        <w:rPr>
          <w:rFonts w:hint="eastAsia" w:ascii="宋体" w:hAnsi="宋体" w:cs="宋体"/>
          <w:bCs/>
          <w:szCs w:val="21"/>
          <w:lang w:val="zh-CN"/>
        </w:rPr>
        <w:t>.</w:t>
      </w:r>
      <w:r>
        <w:rPr>
          <w:rFonts w:hint="eastAsia" w:ascii="宋体" w:hAnsi="宋体" w:cs="宋体"/>
          <w:bCs/>
          <w:szCs w:val="21"/>
        </w:rPr>
        <w:t>2</w:t>
      </w:r>
      <w:r>
        <w:rPr>
          <w:rFonts w:hint="eastAsia" w:ascii="宋体" w:hAnsi="宋体" w:cs="宋体"/>
          <w:bCs/>
          <w:szCs w:val="21"/>
          <w:lang w:val="zh-CN"/>
        </w:rPr>
        <w:t>成交供应商拒绝签订政府采购合同的，</w:t>
      </w:r>
      <w:r>
        <w:rPr>
          <w:rFonts w:hint="eastAsia" w:ascii="宋体" w:hAnsi="宋体" w:cs="宋体"/>
          <w:bCs/>
          <w:szCs w:val="21"/>
        </w:rPr>
        <w:t>或因不可抗力或者自身原因不能履行政府采购合同的，</w:t>
      </w:r>
      <w:r>
        <w:rPr>
          <w:rFonts w:hint="eastAsia" w:ascii="宋体" w:hAnsi="宋体" w:cs="宋体"/>
          <w:bCs/>
          <w:szCs w:val="21"/>
          <w:lang w:val="zh-CN"/>
        </w:rPr>
        <w:t>采购人可以视情与排位在成交供应商之后第一位的成交候选供应商签订政府采购合同，也可以重新开展采购活动。</w:t>
      </w:r>
    </w:p>
    <w:p w14:paraId="49E22F75">
      <w:pPr>
        <w:spacing w:line="360" w:lineRule="auto"/>
        <w:ind w:firstLine="420" w:firstLineChars="200"/>
        <w:rPr>
          <w:rFonts w:ascii="宋体" w:hAnsi="宋体" w:cs="宋体"/>
          <w:bCs/>
          <w:szCs w:val="21"/>
        </w:rPr>
      </w:pPr>
      <w:r>
        <w:rPr>
          <w:rFonts w:hint="eastAsia" w:ascii="宋体" w:hAnsi="宋体" w:cs="宋体"/>
          <w:bCs/>
          <w:szCs w:val="21"/>
        </w:rPr>
        <w:t>27.3采购合同履行中，</w:t>
      </w:r>
      <w:r>
        <w:rPr>
          <w:rFonts w:hint="eastAsia" w:ascii="宋体" w:hAnsi="宋体" w:cs="宋体"/>
          <w:szCs w:val="21"/>
        </w:rPr>
        <w:t>采购</w:t>
      </w:r>
      <w:r>
        <w:rPr>
          <w:rFonts w:hint="eastAsia" w:ascii="宋体" w:hAnsi="宋体" w:cs="宋体"/>
          <w:bCs/>
          <w:szCs w:val="21"/>
        </w:rPr>
        <w:t>人需追加与合同标的相同的货物的，在不改变合同其他条款的前提下，可以与成交</w:t>
      </w:r>
      <w:r>
        <w:rPr>
          <w:rFonts w:hint="eastAsia" w:ascii="宋体" w:hAnsi="宋体" w:cs="宋体"/>
          <w:szCs w:val="21"/>
        </w:rPr>
        <w:t>供应商</w:t>
      </w:r>
      <w:r>
        <w:rPr>
          <w:rFonts w:hint="eastAsia" w:ascii="宋体" w:hAnsi="宋体" w:cs="宋体"/>
          <w:bCs/>
          <w:szCs w:val="21"/>
        </w:rPr>
        <w:t>协商签订补充合同，但所有补充合同的采购金额不得超过原合同采购金额的百分之十。</w:t>
      </w:r>
    </w:p>
    <w:p w14:paraId="05437233">
      <w:pPr>
        <w:pStyle w:val="209"/>
        <w:spacing w:line="360" w:lineRule="auto"/>
        <w:ind w:firstLine="422" w:firstLineChars="200"/>
        <w:rPr>
          <w:rFonts w:ascii="宋体" w:hAnsi="宋体" w:cs="宋体"/>
          <w:b/>
          <w:bCs/>
          <w:szCs w:val="21"/>
        </w:rPr>
      </w:pPr>
      <w:r>
        <w:rPr>
          <w:rFonts w:hint="eastAsia" w:ascii="宋体" w:hAnsi="宋体" w:cs="宋体"/>
          <w:b/>
          <w:bCs/>
          <w:szCs w:val="21"/>
        </w:rPr>
        <w:t>28.招标代理服务费</w:t>
      </w:r>
    </w:p>
    <w:p w14:paraId="0780C813">
      <w:pPr>
        <w:tabs>
          <w:tab w:val="left" w:pos="480"/>
        </w:tabs>
        <w:spacing w:line="360" w:lineRule="auto"/>
        <w:ind w:firstLine="420" w:firstLineChars="200"/>
        <w:rPr>
          <w:rFonts w:ascii="宋体" w:hAnsi="宋体" w:cs="宋体"/>
          <w:szCs w:val="21"/>
        </w:rPr>
      </w:pPr>
      <w:r>
        <w:rPr>
          <w:rFonts w:hint="eastAsia" w:ascii="宋体" w:hAnsi="宋体" w:cs="宋体"/>
          <w:szCs w:val="21"/>
        </w:rPr>
        <w:t>详见供应商须知前附表。</w:t>
      </w:r>
    </w:p>
    <w:p w14:paraId="7288478F">
      <w:pPr>
        <w:widowControl/>
        <w:shd w:val="clear" w:color="auto" w:fill="FFFFFF"/>
        <w:spacing w:line="360" w:lineRule="auto"/>
        <w:ind w:firstLine="422" w:firstLineChars="200"/>
        <w:outlineLvl w:val="1"/>
        <w:rPr>
          <w:rFonts w:ascii="宋体" w:hAnsi="宋体" w:cs="宋体"/>
          <w:b/>
          <w:bCs/>
          <w:color w:val="000000"/>
          <w:szCs w:val="21"/>
        </w:rPr>
      </w:pPr>
      <w:bookmarkStart w:id="205" w:name="_Toc25078"/>
      <w:bookmarkStart w:id="206" w:name="_Toc7032"/>
      <w:bookmarkStart w:id="207" w:name="_Toc26518"/>
      <w:bookmarkStart w:id="208" w:name="_Toc4630"/>
      <w:bookmarkStart w:id="209" w:name="_Toc31879"/>
      <w:r>
        <w:rPr>
          <w:rFonts w:hint="eastAsia" w:ascii="宋体" w:hAnsi="宋体" w:cs="宋体"/>
          <w:b/>
          <w:bCs/>
          <w:color w:val="000000"/>
          <w:szCs w:val="21"/>
        </w:rPr>
        <w:t>七、质疑</w:t>
      </w:r>
      <w:bookmarkEnd w:id="205"/>
      <w:bookmarkEnd w:id="206"/>
      <w:bookmarkEnd w:id="207"/>
      <w:bookmarkEnd w:id="208"/>
      <w:bookmarkEnd w:id="209"/>
    </w:p>
    <w:p w14:paraId="712E1DCD">
      <w:pPr>
        <w:pStyle w:val="5"/>
        <w:numPr>
          <w:ilvl w:val="0"/>
          <w:numId w:val="0"/>
        </w:numPr>
        <w:spacing w:line="360" w:lineRule="auto"/>
        <w:ind w:firstLine="422" w:firstLineChars="200"/>
        <w:jc w:val="both"/>
        <w:rPr>
          <w:rFonts w:ascii="宋体" w:hAnsi="宋体" w:eastAsia="宋体" w:cs="宋体"/>
          <w:b/>
          <w:bCs/>
          <w:sz w:val="21"/>
          <w:szCs w:val="21"/>
        </w:rPr>
      </w:pPr>
      <w:bookmarkStart w:id="210" w:name="_Toc19917"/>
      <w:bookmarkStart w:id="211" w:name="_Toc4696422"/>
      <w:bookmarkStart w:id="212" w:name="_Toc25741"/>
      <w:bookmarkStart w:id="213" w:name="_Toc21097"/>
      <w:bookmarkStart w:id="214" w:name="_Toc16085"/>
      <w:bookmarkStart w:id="215" w:name="_Toc19353"/>
      <w:bookmarkStart w:id="216" w:name="_Toc29529"/>
      <w:bookmarkStart w:id="217" w:name="_Toc19303"/>
      <w:bookmarkStart w:id="218" w:name="_Toc11462"/>
      <w:r>
        <w:rPr>
          <w:rFonts w:hint="eastAsia" w:ascii="宋体" w:hAnsi="宋体" w:eastAsia="宋体" w:cs="宋体"/>
          <w:b/>
          <w:bCs/>
          <w:sz w:val="21"/>
          <w:szCs w:val="21"/>
        </w:rPr>
        <w:t>29.质疑</w:t>
      </w:r>
      <w:bookmarkEnd w:id="210"/>
      <w:bookmarkEnd w:id="211"/>
      <w:bookmarkEnd w:id="212"/>
      <w:bookmarkEnd w:id="213"/>
      <w:bookmarkEnd w:id="214"/>
      <w:bookmarkEnd w:id="215"/>
      <w:bookmarkEnd w:id="216"/>
      <w:bookmarkEnd w:id="217"/>
      <w:bookmarkEnd w:id="218"/>
    </w:p>
    <w:p w14:paraId="113A2E32">
      <w:pPr>
        <w:spacing w:line="360" w:lineRule="auto"/>
        <w:ind w:firstLine="420" w:firstLineChars="200"/>
        <w:rPr>
          <w:rFonts w:ascii="宋体" w:hAnsi="宋体" w:cs="宋体"/>
          <w:bCs/>
          <w:color w:val="000000"/>
          <w:szCs w:val="21"/>
        </w:rPr>
      </w:pPr>
      <w:r>
        <w:rPr>
          <w:rFonts w:hint="eastAsia" w:ascii="宋体" w:hAnsi="宋体" w:cs="宋体"/>
          <w:bCs/>
          <w:color w:val="000000"/>
          <w:szCs w:val="21"/>
        </w:rPr>
        <w:t>29.1 供应商对招标活动事项有疑问的，可以向采购代理机构提出询问，采购代理机构将依法作出答复，但答复的内容不涉及商业秘密。</w:t>
      </w:r>
    </w:p>
    <w:p w14:paraId="000AFD39">
      <w:pPr>
        <w:spacing w:line="360" w:lineRule="auto"/>
        <w:ind w:firstLine="420" w:firstLineChars="200"/>
        <w:rPr>
          <w:rFonts w:ascii="宋体" w:hAnsi="宋体" w:cs="宋体"/>
          <w:bCs/>
          <w:color w:val="000000"/>
          <w:szCs w:val="21"/>
        </w:rPr>
      </w:pPr>
      <w:r>
        <w:rPr>
          <w:rFonts w:hint="eastAsia" w:ascii="宋体" w:hAnsi="宋体" w:cs="宋体"/>
          <w:bCs/>
          <w:color w:val="000000"/>
          <w:szCs w:val="21"/>
        </w:rPr>
        <w:t>29.2 供应商认为采购文件、采购过程和中标结果使自己的合法权益受到损害的，可以在知道或者应当知道其权益受到损害之日起七个工作日内，将质疑函以</w:t>
      </w:r>
      <w:r>
        <w:rPr>
          <w:rFonts w:hint="eastAsia" w:ascii="宋体" w:hAnsi="宋体" w:cs="宋体"/>
          <w:b/>
          <w:color w:val="000000"/>
          <w:szCs w:val="21"/>
        </w:rPr>
        <w:t>书面形式（原件）</w:t>
      </w:r>
      <w:r>
        <w:rPr>
          <w:rFonts w:hint="eastAsia" w:ascii="宋体" w:hAnsi="宋体" w:cs="宋体"/>
          <w:bCs/>
          <w:color w:val="000000"/>
          <w:szCs w:val="21"/>
        </w:rPr>
        <w:t>送达代理机构，质疑期外提出的质疑，采购代理机构将不予受理。</w:t>
      </w:r>
    </w:p>
    <w:p w14:paraId="40A12B01">
      <w:pPr>
        <w:spacing w:line="360" w:lineRule="auto"/>
        <w:ind w:firstLine="420" w:firstLineChars="200"/>
        <w:rPr>
          <w:rFonts w:ascii="宋体" w:hAnsi="宋体" w:cs="宋体"/>
          <w:bCs/>
          <w:color w:val="000000"/>
          <w:szCs w:val="21"/>
        </w:rPr>
      </w:pPr>
      <w:r>
        <w:rPr>
          <w:rFonts w:hint="eastAsia" w:ascii="宋体" w:hAnsi="宋体" w:cs="宋体"/>
          <w:bCs/>
          <w:color w:val="000000"/>
          <w:szCs w:val="21"/>
        </w:rPr>
        <w:t>29.3供应商须在法定质疑期内</w:t>
      </w:r>
      <w:r>
        <w:rPr>
          <w:rFonts w:hint="eastAsia" w:ascii="宋体" w:hAnsi="宋体" w:cs="宋体"/>
          <w:b/>
          <w:color w:val="000000"/>
          <w:szCs w:val="21"/>
        </w:rPr>
        <w:t>一次性提出</w:t>
      </w:r>
      <w:r>
        <w:rPr>
          <w:rFonts w:hint="eastAsia" w:ascii="宋体" w:hAnsi="宋体" w:cs="宋体"/>
          <w:bCs/>
          <w:color w:val="000000"/>
          <w:szCs w:val="21"/>
        </w:rPr>
        <w:t>针对本项目同一采购程序环节的质疑。</w:t>
      </w:r>
    </w:p>
    <w:p w14:paraId="01FBA128">
      <w:pPr>
        <w:spacing w:line="360" w:lineRule="auto"/>
        <w:ind w:firstLine="420" w:firstLineChars="200"/>
        <w:rPr>
          <w:rFonts w:ascii="宋体" w:hAnsi="宋体" w:cs="宋体"/>
          <w:bCs/>
          <w:color w:val="000000"/>
          <w:szCs w:val="21"/>
        </w:rPr>
      </w:pPr>
      <w:r>
        <w:rPr>
          <w:rFonts w:hint="eastAsia" w:ascii="宋体" w:hAnsi="宋体" w:cs="宋体"/>
          <w:bCs/>
          <w:color w:val="000000"/>
          <w:szCs w:val="21"/>
        </w:rPr>
        <w:t>29.4质疑供应商若委托代理人进行质疑的，质疑函应按响应文件要求列明“授权代表”的有关内容，并在附件中提交由质疑供应商签署的授权委托书。授权委托书应载明代理人的姓名或者名称、代理事项、具体权限、期限和相关事项。</w:t>
      </w:r>
    </w:p>
    <w:p w14:paraId="2D6229D7">
      <w:pPr>
        <w:spacing w:line="360" w:lineRule="auto"/>
        <w:ind w:firstLine="420" w:firstLineChars="200"/>
        <w:rPr>
          <w:rFonts w:ascii="宋体" w:hAnsi="宋体" w:cs="宋体"/>
          <w:bCs/>
          <w:color w:val="000000"/>
          <w:szCs w:val="21"/>
        </w:rPr>
      </w:pPr>
      <w:r>
        <w:rPr>
          <w:rFonts w:hint="eastAsia" w:ascii="宋体" w:hAnsi="宋体" w:cs="宋体"/>
          <w:bCs/>
          <w:color w:val="000000"/>
          <w:szCs w:val="21"/>
        </w:rPr>
        <w:t>29.5质疑供应商若对项目的某一分包进行质疑，质疑函中应列明具体分包号。</w:t>
      </w:r>
    </w:p>
    <w:p w14:paraId="29EBDA53">
      <w:pPr>
        <w:spacing w:line="360" w:lineRule="auto"/>
        <w:ind w:firstLine="420" w:firstLineChars="200"/>
        <w:rPr>
          <w:rFonts w:ascii="宋体" w:hAnsi="宋体" w:cs="宋体"/>
          <w:bCs/>
          <w:color w:val="000000"/>
          <w:szCs w:val="21"/>
        </w:rPr>
      </w:pPr>
      <w:r>
        <w:rPr>
          <w:rFonts w:hint="eastAsia" w:ascii="宋体" w:hAnsi="宋体" w:cs="宋体"/>
          <w:bCs/>
          <w:color w:val="000000"/>
          <w:szCs w:val="21"/>
        </w:rPr>
        <w:t>29.6质疑函应包括以下主要内容，并按照“谁主张、谁举证”的原则，附上相关证明材料。质疑函的质疑事项应具体、明确，并有必要的事实依据和法律依据。质疑函的质疑请求应与质疑事项相关。否则，代理机构不予受理：</w:t>
      </w:r>
    </w:p>
    <w:p w14:paraId="58237BFD">
      <w:pPr>
        <w:spacing w:line="360" w:lineRule="auto"/>
        <w:ind w:firstLine="420" w:firstLineChars="200"/>
        <w:rPr>
          <w:rFonts w:ascii="宋体" w:hAnsi="宋体" w:cs="宋体"/>
          <w:bCs/>
          <w:color w:val="000000"/>
          <w:szCs w:val="21"/>
        </w:rPr>
      </w:pPr>
      <w:r>
        <w:rPr>
          <w:rFonts w:hint="eastAsia" w:ascii="宋体" w:hAnsi="宋体" w:cs="宋体"/>
          <w:bCs/>
          <w:color w:val="000000"/>
          <w:szCs w:val="21"/>
        </w:rPr>
        <w:t>（1）供应商的姓名或者名称、地址、邮编、联系人及联系电话；</w:t>
      </w:r>
    </w:p>
    <w:p w14:paraId="645890F2">
      <w:pPr>
        <w:spacing w:line="360" w:lineRule="auto"/>
        <w:ind w:firstLine="420" w:firstLineChars="200"/>
        <w:rPr>
          <w:rFonts w:ascii="宋体" w:hAnsi="宋体" w:cs="宋体"/>
          <w:bCs/>
          <w:color w:val="000000"/>
          <w:szCs w:val="21"/>
        </w:rPr>
      </w:pPr>
      <w:r>
        <w:rPr>
          <w:rFonts w:hint="eastAsia" w:ascii="宋体" w:hAnsi="宋体" w:cs="宋体"/>
          <w:bCs/>
          <w:color w:val="000000"/>
          <w:szCs w:val="21"/>
        </w:rPr>
        <w:t>（2）质疑项目的名称、编号；</w:t>
      </w:r>
    </w:p>
    <w:p w14:paraId="34BD6D4E">
      <w:pPr>
        <w:spacing w:line="360" w:lineRule="auto"/>
        <w:ind w:firstLine="420" w:firstLineChars="200"/>
        <w:rPr>
          <w:rFonts w:ascii="宋体" w:hAnsi="宋体" w:cs="宋体"/>
          <w:bCs/>
          <w:color w:val="000000"/>
          <w:szCs w:val="21"/>
        </w:rPr>
      </w:pPr>
      <w:r>
        <w:rPr>
          <w:rFonts w:hint="eastAsia" w:ascii="宋体" w:hAnsi="宋体" w:cs="宋体"/>
          <w:bCs/>
          <w:color w:val="000000"/>
          <w:szCs w:val="21"/>
        </w:rPr>
        <w:t>（3）具体、明确的质疑事项和与质疑事项相关的请求；</w:t>
      </w:r>
    </w:p>
    <w:p w14:paraId="6217178F">
      <w:pPr>
        <w:spacing w:line="360" w:lineRule="auto"/>
        <w:ind w:firstLine="420" w:firstLineChars="200"/>
        <w:rPr>
          <w:rFonts w:ascii="宋体" w:hAnsi="宋体" w:cs="宋体"/>
          <w:bCs/>
          <w:color w:val="000000"/>
          <w:szCs w:val="21"/>
        </w:rPr>
      </w:pPr>
      <w:r>
        <w:rPr>
          <w:rFonts w:hint="eastAsia" w:ascii="宋体" w:hAnsi="宋体" w:cs="宋体"/>
          <w:bCs/>
          <w:color w:val="000000"/>
          <w:szCs w:val="21"/>
        </w:rPr>
        <w:t>（4）事实依据；</w:t>
      </w:r>
    </w:p>
    <w:p w14:paraId="2AEFBB11">
      <w:pPr>
        <w:spacing w:line="360" w:lineRule="auto"/>
        <w:ind w:firstLine="420" w:firstLineChars="200"/>
        <w:rPr>
          <w:rFonts w:ascii="宋体" w:hAnsi="宋体" w:cs="宋体"/>
          <w:bCs/>
          <w:color w:val="000000"/>
          <w:szCs w:val="21"/>
        </w:rPr>
      </w:pPr>
      <w:r>
        <w:rPr>
          <w:rFonts w:hint="eastAsia" w:ascii="宋体" w:hAnsi="宋体" w:cs="宋体"/>
          <w:bCs/>
          <w:color w:val="000000"/>
          <w:szCs w:val="21"/>
        </w:rPr>
        <w:t>（5）必要的法律依据</w:t>
      </w:r>
    </w:p>
    <w:p w14:paraId="49E84727">
      <w:pPr>
        <w:spacing w:line="360" w:lineRule="auto"/>
        <w:ind w:firstLine="420" w:firstLineChars="200"/>
        <w:rPr>
          <w:rFonts w:ascii="宋体" w:hAnsi="宋体" w:cs="宋体"/>
          <w:bCs/>
          <w:color w:val="000000"/>
          <w:szCs w:val="21"/>
        </w:rPr>
      </w:pPr>
      <w:r>
        <w:rPr>
          <w:rFonts w:hint="eastAsia" w:ascii="宋体" w:hAnsi="宋体" w:cs="宋体"/>
          <w:bCs/>
          <w:color w:val="000000"/>
          <w:szCs w:val="21"/>
        </w:rPr>
        <w:t>（6）提出质疑的日期</w:t>
      </w:r>
    </w:p>
    <w:p w14:paraId="6EFE840C">
      <w:pPr>
        <w:spacing w:line="360" w:lineRule="auto"/>
        <w:ind w:firstLine="420" w:firstLineChars="200"/>
        <w:rPr>
          <w:rFonts w:ascii="宋体" w:hAnsi="宋体" w:cs="宋体"/>
          <w:bCs/>
          <w:color w:val="000000"/>
          <w:szCs w:val="21"/>
        </w:rPr>
      </w:pPr>
      <w:r>
        <w:rPr>
          <w:rFonts w:hint="eastAsia" w:ascii="宋体" w:hAnsi="宋体" w:cs="宋体"/>
          <w:bCs/>
          <w:color w:val="000000"/>
          <w:szCs w:val="21"/>
        </w:rPr>
        <w:t>质疑人为自然人的，应当由本人签字并附有效身份证明；质疑人为法人或其他组织的，应当由法定代表人、主要负责人，或者其授权代表签署本人姓名或印盖本人姓名章并加盖单位公章。</w:t>
      </w:r>
    </w:p>
    <w:p w14:paraId="351CBB3E">
      <w:pPr>
        <w:spacing w:line="360" w:lineRule="auto"/>
        <w:ind w:firstLine="420" w:firstLineChars="200"/>
        <w:rPr>
          <w:rFonts w:ascii="宋体" w:hAnsi="宋体" w:cs="宋体"/>
          <w:bCs/>
          <w:color w:val="000000"/>
          <w:szCs w:val="21"/>
        </w:rPr>
      </w:pPr>
      <w:r>
        <w:rPr>
          <w:rFonts w:hint="eastAsia" w:ascii="宋体" w:hAnsi="宋体" w:cs="宋体"/>
          <w:bCs/>
          <w:color w:val="000000"/>
          <w:szCs w:val="21"/>
        </w:rPr>
        <w:t>29.7质疑人是指直接参加本项目采购活动的供应商，未参加投标活动的供应商或在投标活动中自身权益未受到损害的供应商所提出的质疑不予受理。对采购文件提出质疑的，自供应商收到响应文件之日起或响应文件公告期限届满之日计算；对采购过程提出质疑的，自采购程序环节结束之日起计算；对中标结果提出质疑的，自中标结果公告期限届满之日计算。</w:t>
      </w:r>
    </w:p>
    <w:p w14:paraId="2A480F2B">
      <w:pPr>
        <w:spacing w:line="360" w:lineRule="auto"/>
        <w:ind w:firstLine="420" w:firstLineChars="200"/>
        <w:rPr>
          <w:rFonts w:ascii="宋体" w:hAnsi="宋体" w:cs="宋体"/>
          <w:bCs/>
          <w:color w:val="000000"/>
          <w:szCs w:val="21"/>
        </w:rPr>
      </w:pPr>
      <w:r>
        <w:rPr>
          <w:rFonts w:hint="eastAsia" w:ascii="宋体" w:hAnsi="宋体" w:cs="宋体"/>
          <w:bCs/>
          <w:color w:val="000000"/>
          <w:szCs w:val="21"/>
        </w:rPr>
        <w:t>29.8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297AAFB3">
      <w:pPr>
        <w:spacing w:line="360" w:lineRule="auto"/>
        <w:ind w:firstLine="420" w:firstLineChars="200"/>
        <w:rPr>
          <w:rFonts w:ascii="宋体" w:hAnsi="宋体" w:cs="宋体"/>
          <w:bCs/>
          <w:color w:val="000000"/>
          <w:szCs w:val="21"/>
        </w:rPr>
      </w:pPr>
      <w:r>
        <w:rPr>
          <w:rFonts w:hint="eastAsia" w:ascii="宋体" w:hAnsi="宋体" w:cs="宋体"/>
          <w:bCs/>
          <w:color w:val="000000"/>
          <w:szCs w:val="21"/>
        </w:rPr>
        <w:t>29.9</w:t>
      </w:r>
      <w:r>
        <w:rPr>
          <w:rFonts w:hint="eastAsia" w:ascii="宋体" w:hAnsi="宋体" w:cs="宋体"/>
          <w:b/>
          <w:szCs w:val="21"/>
        </w:rPr>
        <w:t>本项目质疑函的联系部门、联系电话和通讯地址详见第二章供应商须知前附表</w:t>
      </w:r>
      <w:r>
        <w:rPr>
          <w:rFonts w:hint="eastAsia" w:ascii="宋体" w:hAnsi="宋体" w:cs="宋体"/>
          <w:bCs/>
          <w:color w:val="000000"/>
          <w:szCs w:val="21"/>
        </w:rPr>
        <w:t>。</w:t>
      </w:r>
    </w:p>
    <w:p w14:paraId="62B34004">
      <w:pPr>
        <w:spacing w:line="360" w:lineRule="auto"/>
        <w:ind w:firstLine="420" w:firstLineChars="200"/>
        <w:rPr>
          <w:rFonts w:ascii="宋体" w:hAnsi="宋体" w:cs="宋体"/>
          <w:bCs/>
          <w:szCs w:val="21"/>
        </w:rPr>
      </w:pPr>
      <w:r>
        <w:rPr>
          <w:rFonts w:hint="eastAsia" w:ascii="宋体" w:hAnsi="宋体" w:cs="宋体"/>
          <w:bCs/>
          <w:color w:val="000000"/>
          <w:szCs w:val="21"/>
        </w:rPr>
        <w:t>29.10 采购代理机构在收到书面质疑后七个工作日内作出答复，并以书面形式通知质疑供应商和其他有关供应商，答复的内容不涉及商业秘密。</w:t>
      </w:r>
    </w:p>
    <w:bookmarkEnd w:id="181"/>
    <w:bookmarkEnd w:id="182"/>
    <w:bookmarkEnd w:id="183"/>
    <w:bookmarkEnd w:id="184"/>
    <w:p w14:paraId="11ABB911">
      <w:pPr>
        <w:spacing w:line="440" w:lineRule="exact"/>
        <w:ind w:firstLine="420"/>
        <w:rPr>
          <w:bCs/>
          <w:color w:val="000000"/>
        </w:rPr>
      </w:pPr>
    </w:p>
    <w:p w14:paraId="03E76BF7">
      <w:pPr>
        <w:spacing w:line="440" w:lineRule="exact"/>
        <w:jc w:val="center"/>
        <w:outlineLvl w:val="0"/>
        <w:rPr>
          <w:rFonts w:ascii="宋体" w:hAnsi="宋体" w:cs="宋体"/>
          <w:b/>
          <w:sz w:val="28"/>
          <w:szCs w:val="28"/>
        </w:rPr>
      </w:pPr>
      <w:r>
        <w:rPr>
          <w:rFonts w:hint="eastAsia" w:ascii="宋体" w:hAnsi="宋体" w:cs="宋体"/>
          <w:b/>
          <w:sz w:val="28"/>
          <w:szCs w:val="28"/>
        </w:rPr>
        <w:br w:type="page" w:clear="all"/>
      </w:r>
      <w:bookmarkStart w:id="219" w:name="_Toc3973"/>
      <w:bookmarkStart w:id="220" w:name="_Toc8608"/>
      <w:bookmarkStart w:id="221" w:name="_Toc16384"/>
      <w:r>
        <w:rPr>
          <w:rFonts w:hint="eastAsia" w:ascii="宋体" w:hAnsi="宋体" w:cs="宋体"/>
          <w:b/>
          <w:sz w:val="28"/>
          <w:szCs w:val="28"/>
        </w:rPr>
        <w:t>第三章 评分标准</w:t>
      </w:r>
      <w:bookmarkEnd w:id="219"/>
      <w:bookmarkEnd w:id="220"/>
      <w:bookmarkEnd w:id="221"/>
    </w:p>
    <w:p w14:paraId="60258B57"/>
    <w:p w14:paraId="1B5F73AE">
      <w:pPr>
        <w:widowControl/>
        <w:spacing w:line="360" w:lineRule="auto"/>
        <w:ind w:left="632" w:hanging="632"/>
        <w:rPr>
          <w:rFonts w:ascii="宋体" w:hAnsi="宋体" w:cs="宋体"/>
          <w:b/>
          <w:bCs/>
          <w:szCs w:val="21"/>
        </w:rPr>
      </w:pPr>
      <w:bookmarkStart w:id="222" w:name="_Toc11641"/>
      <w:bookmarkStart w:id="223" w:name="_Toc35877236"/>
      <w:bookmarkStart w:id="224" w:name="_Toc47452172"/>
      <w:bookmarkStart w:id="225" w:name="_Toc22999"/>
      <w:r>
        <w:rPr>
          <w:rFonts w:hint="eastAsia" w:ascii="宋体" w:hAnsi="宋体" w:cs="宋体"/>
          <w:b/>
          <w:bCs/>
          <w:szCs w:val="21"/>
        </w:rPr>
        <w:t>（一）评审方法</w:t>
      </w:r>
    </w:p>
    <w:p w14:paraId="37E5A357">
      <w:pPr>
        <w:spacing w:line="360" w:lineRule="auto"/>
        <w:ind w:firstLine="422"/>
        <w:rPr>
          <w:rFonts w:ascii="宋体" w:hAnsi="宋体" w:cs="宋体"/>
          <w:b/>
          <w:bCs/>
        </w:rPr>
      </w:pPr>
      <w:r>
        <w:rPr>
          <w:rFonts w:hint="eastAsia" w:ascii="宋体" w:hAnsi="宋体" w:cs="宋体"/>
          <w:b/>
          <w:bCs/>
        </w:rPr>
        <w:t>本项目采用综合评分法。</w:t>
      </w:r>
    </w:p>
    <w:p w14:paraId="7FB8253B">
      <w:pPr>
        <w:spacing w:line="360" w:lineRule="auto"/>
        <w:rPr>
          <w:rFonts w:ascii="宋体" w:hAnsi="宋体" w:cs="宋体"/>
          <w:b/>
          <w:bCs/>
          <w:szCs w:val="21"/>
        </w:rPr>
      </w:pPr>
      <w:r>
        <w:rPr>
          <w:rFonts w:hint="eastAsia" w:ascii="宋体" w:hAnsi="宋体" w:cs="宋体"/>
          <w:b/>
          <w:bCs/>
          <w:szCs w:val="21"/>
        </w:rPr>
        <w:t>（二）评审标准</w:t>
      </w:r>
    </w:p>
    <w:p w14:paraId="56794676">
      <w:pPr>
        <w:spacing w:line="360" w:lineRule="auto"/>
        <w:ind w:firstLine="211"/>
        <w:rPr>
          <w:rFonts w:ascii="宋体" w:hAnsi="宋体" w:cs="宋体"/>
          <w:szCs w:val="21"/>
        </w:rPr>
      </w:pPr>
      <w:r>
        <w:rPr>
          <w:rFonts w:hint="eastAsia" w:ascii="宋体" w:hAnsi="宋体" w:cs="宋体"/>
          <w:b/>
          <w:bCs/>
        </w:rPr>
        <w:t>（1）</w:t>
      </w:r>
      <w:r>
        <w:rPr>
          <w:rFonts w:hint="eastAsia" w:ascii="宋体" w:hAnsi="宋体" w:cs="宋体"/>
          <w:b/>
          <w:bCs/>
          <w:szCs w:val="21"/>
        </w:rPr>
        <w:t>国家政策导向</w:t>
      </w:r>
    </w:p>
    <w:p w14:paraId="05910ACA">
      <w:pPr>
        <w:spacing w:line="360" w:lineRule="auto"/>
        <w:ind w:firstLine="422"/>
        <w:rPr>
          <w:rFonts w:ascii="宋体" w:hAnsi="宋体" w:cs="宋体"/>
        </w:rPr>
      </w:pPr>
      <w:r>
        <w:rPr>
          <w:rFonts w:hint="eastAsia" w:ascii="宋体" w:hAnsi="宋体" w:cs="宋体"/>
          <w:b/>
          <w:bCs/>
        </w:rPr>
        <w:t>①促进小微企业发展政策</w:t>
      </w:r>
      <w:r>
        <w:rPr>
          <w:rFonts w:hint="eastAsia" w:ascii="宋体" w:hAnsi="宋体" w:cs="宋体"/>
        </w:rPr>
        <w:t>：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p>
    <w:p w14:paraId="2857ACC5">
      <w:pPr>
        <w:spacing w:line="360" w:lineRule="auto"/>
        <w:ind w:firstLine="420"/>
        <w:rPr>
          <w:rFonts w:ascii="宋体" w:hAnsi="宋体" w:cs="宋体"/>
        </w:rPr>
      </w:pPr>
      <w:r>
        <w:rPr>
          <w:rFonts w:hint="eastAsia" w:ascii="宋体" w:hAnsi="宋体" w:cs="宋体"/>
          <w:szCs w:val="21"/>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rPr>
        <w:t>。</w:t>
      </w:r>
    </w:p>
    <w:p w14:paraId="468BBCAF">
      <w:pPr>
        <w:spacing w:line="360" w:lineRule="auto"/>
        <w:ind w:firstLine="422"/>
        <w:rPr>
          <w:rFonts w:ascii="宋体" w:hAnsi="宋体" w:cs="宋体"/>
          <w:szCs w:val="22"/>
        </w:rPr>
      </w:pPr>
      <w:r>
        <w:rPr>
          <w:rFonts w:hint="eastAsia" w:ascii="宋体" w:hAnsi="宋体" w:cs="宋体"/>
          <w:b/>
          <w:bCs/>
          <w:szCs w:val="22"/>
        </w:rPr>
        <w:t>②监狱企业扶持政策：</w:t>
      </w:r>
      <w:r>
        <w:rPr>
          <w:rFonts w:hint="eastAsia" w:ascii="宋体" w:hAnsi="宋体" w:cs="宋体"/>
          <w:szCs w:val="22"/>
        </w:rPr>
        <w:t>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p>
    <w:p w14:paraId="79D26B79">
      <w:pPr>
        <w:spacing w:line="360" w:lineRule="auto"/>
        <w:ind w:firstLine="422"/>
        <w:rPr>
          <w:rFonts w:ascii="宋体" w:hAnsi="宋体" w:cs="宋体"/>
          <w:szCs w:val="22"/>
        </w:rPr>
      </w:pPr>
      <w:r>
        <w:rPr>
          <w:rFonts w:hint="eastAsia" w:ascii="宋体" w:hAnsi="宋体" w:cs="宋体"/>
          <w:b/>
          <w:bCs/>
          <w:szCs w:val="22"/>
        </w:rPr>
        <w:t>③残疾人福利性单位扶持政策：</w:t>
      </w:r>
      <w:r>
        <w:rPr>
          <w:rFonts w:hint="eastAsia" w:ascii="宋体" w:hAnsi="宋体" w:cs="宋体"/>
          <w:szCs w:val="22"/>
        </w:rPr>
        <w:t>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p>
    <w:p w14:paraId="1872025C">
      <w:pPr>
        <w:spacing w:line="360" w:lineRule="auto"/>
        <w:ind w:firstLine="422"/>
        <w:rPr>
          <w:rFonts w:ascii="宋体" w:hAnsi="宋体" w:cs="宋体"/>
          <w:szCs w:val="21"/>
        </w:rPr>
      </w:pPr>
      <w:r>
        <w:rPr>
          <w:rFonts w:hint="eastAsia" w:ascii="宋体" w:hAnsi="宋体" w:cs="宋体"/>
          <w:b/>
          <w:bCs/>
          <w:szCs w:val="21"/>
        </w:rPr>
        <w:t>④乡村产业振兴支持政策：</w:t>
      </w:r>
      <w:r>
        <w:rPr>
          <w:rFonts w:hint="eastAsia" w:ascii="宋体" w:hAnsi="宋体" w:cs="宋体"/>
          <w:szCs w:val="21"/>
        </w:rPr>
        <w:t>根据《关于运用政府采购政策支持乡村产业振兴的通知》（财库〔2021〕19号），鼓励采用预留采购份额方式，通过脱贫地区农副产品网络销售平台（原贫困地区农副产品网络销售平台）采购脱贫地区农副产品。</w:t>
      </w:r>
    </w:p>
    <w:p w14:paraId="68D15192">
      <w:pPr>
        <w:spacing w:line="360" w:lineRule="auto"/>
        <w:ind w:firstLine="422"/>
        <w:rPr>
          <w:rFonts w:ascii="宋体" w:hAnsi="宋体" w:cs="宋体"/>
          <w:b/>
          <w:bCs/>
          <w:szCs w:val="21"/>
        </w:rPr>
      </w:pPr>
      <w:r>
        <w:rPr>
          <w:rFonts w:hint="eastAsia" w:ascii="宋体" w:hAnsi="宋体" w:cs="宋体"/>
          <w:b/>
          <w:bCs/>
          <w:szCs w:val="21"/>
        </w:rPr>
        <w:t>⑤采购本国产品的支持政策：</w:t>
      </w:r>
    </w:p>
    <w:p w14:paraId="41333930">
      <w:pPr>
        <w:spacing w:line="360" w:lineRule="auto"/>
        <w:ind w:firstLine="422"/>
        <w:rPr>
          <w:rFonts w:ascii="宋体" w:hAnsi="宋体" w:cs="宋体"/>
          <w:color w:val="000000"/>
          <w:szCs w:val="21"/>
        </w:rPr>
      </w:pPr>
      <w:r>
        <w:rPr>
          <w:rFonts w:hint="eastAsia" w:ascii="宋体" w:hAnsi="宋体" w:cs="宋体"/>
          <w:color w:val="000000"/>
          <w:szCs w:val="21"/>
        </w:rPr>
        <w:t>①本项目政府采购活动中既有本国产品又有非本国产品参与竞争的，依法对本国产品给予价格评审优惠，对本国产品的报价给予20%的价格扣除，用扣除后的价格参与评审。</w:t>
      </w:r>
    </w:p>
    <w:p w14:paraId="6525B689">
      <w:pPr>
        <w:spacing w:line="360" w:lineRule="auto"/>
        <w:ind w:firstLine="422"/>
        <w:rPr>
          <w:rFonts w:ascii="宋体" w:hAnsi="宋体" w:cs="宋体"/>
          <w:color w:val="000000"/>
          <w:szCs w:val="21"/>
        </w:rPr>
      </w:pPr>
      <w:r>
        <w:rPr>
          <w:rFonts w:hint="eastAsia" w:ascii="宋体" w:hAnsi="宋体" w:cs="宋体"/>
          <w:color w:val="000000"/>
          <w:szCs w:val="21"/>
        </w:rPr>
        <w:t>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2D88646">
      <w:pPr>
        <w:spacing w:line="360" w:lineRule="auto"/>
        <w:ind w:firstLine="422"/>
        <w:rPr>
          <w:rFonts w:ascii="宋体" w:hAnsi="宋体" w:cs="宋体"/>
          <w:szCs w:val="21"/>
        </w:rPr>
      </w:pPr>
      <w:r>
        <w:rPr>
          <w:rFonts w:hint="eastAsia" w:ascii="宋体" w:hAnsi="宋体" w:cs="宋体"/>
          <w:color w:val="000000"/>
          <w:szCs w:val="21"/>
        </w:rPr>
        <w:t>③供应商需按照招标文件的要求提供《关于符合本国产品标准的声明函》（以下简称《声明函》），如不提供将不享受本国产品价格评</w:t>
      </w:r>
      <w:r>
        <w:rPr>
          <w:rFonts w:hint="eastAsia" w:ascii="宋体" w:hAnsi="宋体" w:cs="宋体"/>
          <w:szCs w:val="21"/>
        </w:rPr>
        <w:t>审优惠。（《关于符合本国产品标准的声明函》格式见投标文件格式部分）</w:t>
      </w:r>
    </w:p>
    <w:p w14:paraId="77A429D5">
      <w:pPr>
        <w:spacing w:line="360" w:lineRule="auto"/>
        <w:ind w:firstLine="422"/>
        <w:rPr>
          <w:rFonts w:ascii="宋体" w:hAnsi="宋体" w:cs="宋体"/>
          <w:color w:val="000000"/>
          <w:szCs w:val="21"/>
        </w:rPr>
      </w:pPr>
      <w:r>
        <w:rPr>
          <w:rFonts w:hint="eastAsia" w:ascii="宋体" w:hAnsi="宋体" w:cs="宋体"/>
          <w:color w:val="000000"/>
          <w:szCs w:val="21"/>
        </w:rPr>
        <w:t>④供应商需在《声明函》中逐一、准确填写产品名称、厂名、生产厂址三项信息（《声明函》中用斜线划除的地方无需填写），三项信息中任意一项未填写的视为该项产品不符合本国产品标准，不享受本国产品价格评审优惠。</w:t>
      </w:r>
    </w:p>
    <w:p w14:paraId="6FE5BAB3">
      <w:pPr>
        <w:spacing w:line="360" w:lineRule="auto"/>
        <w:ind w:firstLine="422"/>
        <w:rPr>
          <w:rFonts w:ascii="宋体" w:hAnsi="宋体" w:cs="宋体"/>
          <w:color w:val="000000"/>
          <w:szCs w:val="21"/>
        </w:rPr>
      </w:pPr>
      <w:r>
        <w:rPr>
          <w:rFonts w:hint="eastAsia" w:ascii="宋体" w:hAnsi="宋体" w:cs="宋体"/>
          <w:color w:val="000000"/>
          <w:szCs w:val="21"/>
        </w:rPr>
        <w:t>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B385BA3">
      <w:pPr>
        <w:spacing w:line="360" w:lineRule="auto"/>
        <w:ind w:firstLine="420"/>
        <w:rPr>
          <w:rFonts w:ascii="Arial" w:hAnsi="Arial" w:cs="Arial"/>
          <w:szCs w:val="21"/>
        </w:rPr>
      </w:pPr>
      <w:r>
        <w:rPr>
          <w:rFonts w:hint="eastAsia" w:ascii="宋体" w:hAnsi="宋体" w:cs="宋体"/>
          <w:szCs w:val="22"/>
        </w:rPr>
        <w:t>（2）</w:t>
      </w:r>
      <w:bookmarkEnd w:id="222"/>
      <w:bookmarkEnd w:id="223"/>
      <w:bookmarkEnd w:id="224"/>
      <w:bookmarkEnd w:id="225"/>
      <w:r>
        <w:rPr>
          <w:rFonts w:hint="eastAsia" w:ascii="宋体" w:hAnsi="宋体" w:cs="宋体"/>
          <w:szCs w:val="21"/>
        </w:rPr>
        <w:t>磋商小组将对确定为实质性满足采购文件要求的响应文件进行评分，评审采用综合评分法，总分为100分，分值保留小数点后2位。按评审后得分由高到低顺序排列，得分相同的，按报价由低到高顺序排列，得分且报价相同的，按评审因素的量化指标得分顺序排列。本项目由磋商小组推荐3名成交候选人，评审得分最高的供应商为第一成交候选人。最低响应（磋商）价等任何单项因素的最优不是成交的必要条件。具体打分办法如下：</w:t>
      </w:r>
    </w:p>
    <w:tbl>
      <w:tblPr>
        <w:tblStyle w:val="4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5"/>
        <w:gridCol w:w="1495"/>
        <w:gridCol w:w="6182"/>
        <w:gridCol w:w="1338"/>
      </w:tblGrid>
      <w:tr w14:paraId="57826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424" w:type="pct"/>
            <w:tcBorders>
              <w:top w:val="single" w:color="auto" w:sz="4" w:space="0"/>
              <w:left w:val="single" w:color="auto" w:sz="4" w:space="0"/>
              <w:bottom w:val="single" w:color="auto" w:sz="4" w:space="0"/>
              <w:right w:val="single" w:color="auto" w:sz="4" w:space="0"/>
            </w:tcBorders>
            <w:vAlign w:val="center"/>
          </w:tcPr>
          <w:p w14:paraId="1C206ABD">
            <w:pPr>
              <w:adjustRightInd w:val="0"/>
              <w:snapToGrid w:val="0"/>
              <w:spacing w:line="360" w:lineRule="auto"/>
              <w:jc w:val="center"/>
              <w:rPr>
                <w:rFonts w:ascii="宋体" w:hAnsi="宋体" w:cs="宋体"/>
                <w:b/>
                <w:bCs/>
                <w:szCs w:val="21"/>
              </w:rPr>
            </w:pPr>
            <w:r>
              <w:rPr>
                <w:rFonts w:hint="eastAsia" w:ascii="宋体" w:hAnsi="宋体" w:cs="宋体"/>
                <w:b/>
                <w:bCs/>
                <w:szCs w:val="21"/>
              </w:rPr>
              <w:t>序号</w:t>
            </w:r>
          </w:p>
        </w:tc>
        <w:tc>
          <w:tcPr>
            <w:tcW w:w="759" w:type="pct"/>
            <w:tcBorders>
              <w:top w:val="single" w:color="auto" w:sz="4" w:space="0"/>
              <w:left w:val="single" w:color="auto" w:sz="4" w:space="0"/>
              <w:bottom w:val="single" w:color="auto" w:sz="4" w:space="0"/>
              <w:right w:val="single" w:color="auto" w:sz="4" w:space="0"/>
            </w:tcBorders>
            <w:vAlign w:val="center"/>
          </w:tcPr>
          <w:p w14:paraId="22AB8511">
            <w:pPr>
              <w:adjustRightInd w:val="0"/>
              <w:snapToGrid w:val="0"/>
              <w:spacing w:line="360" w:lineRule="auto"/>
              <w:jc w:val="center"/>
              <w:rPr>
                <w:rFonts w:ascii="宋体" w:hAnsi="宋体" w:cs="宋体"/>
                <w:b/>
                <w:bCs/>
                <w:szCs w:val="21"/>
              </w:rPr>
            </w:pPr>
            <w:r>
              <w:rPr>
                <w:rFonts w:hint="eastAsia" w:ascii="宋体" w:hAnsi="宋体" w:cs="宋体"/>
                <w:b/>
                <w:bCs/>
                <w:szCs w:val="21"/>
              </w:rPr>
              <w:t>评分因素</w:t>
            </w:r>
          </w:p>
        </w:tc>
        <w:tc>
          <w:tcPr>
            <w:tcW w:w="3137" w:type="pct"/>
            <w:tcBorders>
              <w:top w:val="single" w:color="auto" w:sz="4" w:space="0"/>
              <w:left w:val="single" w:color="auto" w:sz="4" w:space="0"/>
              <w:bottom w:val="single" w:color="auto" w:sz="4" w:space="0"/>
              <w:right w:val="single" w:color="auto" w:sz="4" w:space="0"/>
            </w:tcBorders>
            <w:vAlign w:val="center"/>
          </w:tcPr>
          <w:p w14:paraId="291C9DB1">
            <w:pPr>
              <w:adjustRightInd w:val="0"/>
              <w:snapToGrid w:val="0"/>
              <w:spacing w:line="360" w:lineRule="auto"/>
              <w:jc w:val="center"/>
              <w:rPr>
                <w:rFonts w:ascii="宋体" w:hAnsi="宋体" w:cs="宋体"/>
                <w:b/>
                <w:bCs/>
                <w:szCs w:val="21"/>
              </w:rPr>
            </w:pPr>
            <w:r>
              <w:rPr>
                <w:rFonts w:hint="eastAsia" w:ascii="宋体" w:hAnsi="宋体" w:cs="宋体"/>
                <w:b/>
                <w:bCs/>
                <w:szCs w:val="21"/>
              </w:rPr>
              <w:t>评分标准</w:t>
            </w:r>
          </w:p>
        </w:tc>
        <w:tc>
          <w:tcPr>
            <w:tcW w:w="678" w:type="pct"/>
            <w:tcBorders>
              <w:top w:val="single" w:color="auto" w:sz="4" w:space="0"/>
              <w:left w:val="single" w:color="auto" w:sz="4" w:space="0"/>
              <w:bottom w:val="single" w:color="auto" w:sz="4" w:space="0"/>
              <w:right w:val="single" w:color="auto" w:sz="4" w:space="0"/>
            </w:tcBorders>
            <w:vAlign w:val="center"/>
          </w:tcPr>
          <w:p w14:paraId="49DA51D6">
            <w:pPr>
              <w:adjustRightInd w:val="0"/>
              <w:snapToGrid w:val="0"/>
              <w:spacing w:line="360" w:lineRule="auto"/>
              <w:jc w:val="center"/>
              <w:rPr>
                <w:rFonts w:ascii="宋体" w:hAnsi="宋体" w:cs="宋体"/>
                <w:b/>
                <w:bCs/>
                <w:szCs w:val="21"/>
              </w:rPr>
            </w:pPr>
            <w:r>
              <w:rPr>
                <w:rFonts w:hint="eastAsia" w:ascii="宋体" w:hAnsi="宋体" w:cs="宋体"/>
                <w:b/>
                <w:bCs/>
                <w:szCs w:val="21"/>
              </w:rPr>
              <w:t>分值</w:t>
            </w:r>
          </w:p>
        </w:tc>
      </w:tr>
      <w:tr w14:paraId="408BF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40420A25">
            <w:pPr>
              <w:adjustRightInd w:val="0"/>
              <w:snapToGrid w:val="0"/>
              <w:spacing w:line="360" w:lineRule="auto"/>
              <w:jc w:val="center"/>
              <w:rPr>
                <w:rFonts w:ascii="宋体" w:hAnsi="宋体" w:cs="宋体"/>
                <w:b/>
                <w:bCs/>
                <w:szCs w:val="21"/>
              </w:rPr>
            </w:pPr>
            <w:r>
              <w:rPr>
                <w:rFonts w:hint="eastAsia" w:ascii="宋体" w:hAnsi="宋体" w:cs="宋体"/>
                <w:b/>
                <w:bCs/>
                <w:szCs w:val="21"/>
              </w:rPr>
              <w:t>（一）价格分（10分）</w:t>
            </w:r>
          </w:p>
        </w:tc>
      </w:tr>
      <w:tr w14:paraId="79C61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424" w:type="pct"/>
            <w:tcBorders>
              <w:top w:val="single" w:color="auto" w:sz="4" w:space="0"/>
              <w:left w:val="single" w:color="auto" w:sz="4" w:space="0"/>
              <w:bottom w:val="single" w:color="auto" w:sz="4" w:space="0"/>
              <w:right w:val="single" w:color="auto" w:sz="4" w:space="0"/>
            </w:tcBorders>
            <w:vAlign w:val="center"/>
          </w:tcPr>
          <w:p w14:paraId="550BFD54">
            <w:pPr>
              <w:adjustRightInd w:val="0"/>
              <w:snapToGrid w:val="0"/>
              <w:spacing w:line="360" w:lineRule="auto"/>
              <w:jc w:val="center"/>
              <w:rPr>
                <w:rFonts w:ascii="宋体" w:hAnsi="宋体" w:cs="宋体"/>
                <w:bCs/>
                <w:szCs w:val="21"/>
              </w:rPr>
            </w:pPr>
            <w:r>
              <w:rPr>
                <w:rFonts w:hint="eastAsia" w:ascii="宋体" w:hAnsi="宋体" w:cs="宋体"/>
                <w:bCs/>
                <w:szCs w:val="21"/>
              </w:rPr>
              <w:t>1</w:t>
            </w:r>
          </w:p>
        </w:tc>
        <w:tc>
          <w:tcPr>
            <w:tcW w:w="759" w:type="pct"/>
            <w:tcBorders>
              <w:top w:val="single" w:color="auto" w:sz="4" w:space="0"/>
              <w:left w:val="single" w:color="auto" w:sz="4" w:space="0"/>
              <w:bottom w:val="single" w:color="auto" w:sz="4" w:space="0"/>
              <w:right w:val="single" w:color="auto" w:sz="4" w:space="0"/>
            </w:tcBorders>
            <w:vAlign w:val="center"/>
          </w:tcPr>
          <w:p w14:paraId="4802736E">
            <w:pPr>
              <w:adjustRightInd w:val="0"/>
              <w:snapToGrid w:val="0"/>
              <w:spacing w:line="360" w:lineRule="auto"/>
              <w:jc w:val="center"/>
              <w:rPr>
                <w:rFonts w:ascii="宋体" w:hAnsi="宋体" w:cs="宋体"/>
                <w:szCs w:val="21"/>
              </w:rPr>
            </w:pPr>
            <w:r>
              <w:rPr>
                <w:rFonts w:hint="eastAsia" w:ascii="宋体" w:hAnsi="宋体" w:cs="宋体"/>
                <w:szCs w:val="21"/>
              </w:rPr>
              <w:t>报价得分</w:t>
            </w:r>
          </w:p>
        </w:tc>
        <w:tc>
          <w:tcPr>
            <w:tcW w:w="3137" w:type="pct"/>
            <w:tcBorders>
              <w:top w:val="single" w:color="auto" w:sz="4" w:space="0"/>
              <w:left w:val="single" w:color="auto" w:sz="4" w:space="0"/>
              <w:bottom w:val="single" w:color="auto" w:sz="4" w:space="0"/>
              <w:right w:val="single" w:color="auto" w:sz="4" w:space="0"/>
            </w:tcBorders>
            <w:vAlign w:val="center"/>
          </w:tcPr>
          <w:p w14:paraId="21131CBA">
            <w:pPr>
              <w:adjustRightInd w:val="0"/>
              <w:snapToGrid w:val="0"/>
              <w:spacing w:line="360" w:lineRule="auto"/>
              <w:rPr>
                <w:rFonts w:ascii="宋体" w:hAnsi="宋体" w:cs="宋体"/>
                <w:szCs w:val="21"/>
              </w:rPr>
            </w:pPr>
            <w:r>
              <w:rPr>
                <w:rFonts w:hint="eastAsia" w:ascii="宋体" w:hAnsi="宋体" w:cs="宋体"/>
                <w:szCs w:val="21"/>
              </w:rPr>
              <w:t>价格最低的最终有效报价为评审基准价，其价格分为10分。其他最终有效响应报价的价格分统一按照下列公式计算：报价得分=(评审基准价／报价)×10；有效响应报价是指实质上响应采购文件要求并通过实质性审核未被废标的所有供应商。</w:t>
            </w:r>
          </w:p>
        </w:tc>
        <w:tc>
          <w:tcPr>
            <w:tcW w:w="678" w:type="pct"/>
            <w:tcBorders>
              <w:top w:val="single" w:color="auto" w:sz="4" w:space="0"/>
              <w:left w:val="single" w:color="auto" w:sz="4" w:space="0"/>
              <w:bottom w:val="single" w:color="auto" w:sz="4" w:space="0"/>
              <w:right w:val="single" w:color="auto" w:sz="4" w:space="0"/>
            </w:tcBorders>
            <w:vAlign w:val="center"/>
          </w:tcPr>
          <w:p w14:paraId="7541D645">
            <w:pPr>
              <w:adjustRightInd w:val="0"/>
              <w:snapToGrid w:val="0"/>
              <w:spacing w:line="360" w:lineRule="auto"/>
              <w:jc w:val="center"/>
              <w:rPr>
                <w:rFonts w:ascii="宋体" w:hAnsi="宋体" w:cs="宋体"/>
                <w:szCs w:val="21"/>
              </w:rPr>
            </w:pPr>
            <w:r>
              <w:rPr>
                <w:rFonts w:hint="eastAsia" w:ascii="宋体" w:hAnsi="宋体" w:cs="宋体"/>
                <w:szCs w:val="21"/>
              </w:rPr>
              <w:t>10</w:t>
            </w:r>
          </w:p>
        </w:tc>
      </w:tr>
      <w:tr w14:paraId="03047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3FB7A367">
            <w:pPr>
              <w:adjustRightInd w:val="0"/>
              <w:snapToGrid w:val="0"/>
              <w:spacing w:line="360" w:lineRule="auto"/>
              <w:jc w:val="center"/>
              <w:rPr>
                <w:rFonts w:ascii="宋体" w:hAnsi="宋体" w:cs="宋体"/>
                <w:b/>
                <w:bCs/>
                <w:szCs w:val="21"/>
              </w:rPr>
            </w:pPr>
            <w:r>
              <w:rPr>
                <w:rFonts w:hint="eastAsia" w:ascii="宋体" w:hAnsi="宋体" w:cs="宋体"/>
                <w:b/>
                <w:bCs/>
                <w:szCs w:val="21"/>
              </w:rPr>
              <w:t>（二）技术部分（74分）</w:t>
            </w:r>
          </w:p>
        </w:tc>
      </w:tr>
      <w:tr w14:paraId="377FA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jc w:val="center"/>
        </w:trPr>
        <w:tc>
          <w:tcPr>
            <w:tcW w:w="424" w:type="pct"/>
            <w:tcBorders>
              <w:top w:val="single" w:color="auto" w:sz="4" w:space="0"/>
              <w:left w:val="single" w:color="auto" w:sz="4" w:space="0"/>
              <w:bottom w:val="single" w:color="auto" w:sz="4" w:space="0"/>
              <w:right w:val="single" w:color="auto" w:sz="4" w:space="0"/>
            </w:tcBorders>
            <w:vAlign w:val="center"/>
          </w:tcPr>
          <w:p w14:paraId="5D26C7C1">
            <w:pPr>
              <w:adjustRightInd w:val="0"/>
              <w:snapToGrid w:val="0"/>
              <w:spacing w:line="360" w:lineRule="auto"/>
              <w:jc w:val="center"/>
              <w:rPr>
                <w:rFonts w:ascii="宋体" w:hAnsi="宋体" w:cs="宋体"/>
                <w:bCs/>
                <w:szCs w:val="21"/>
              </w:rPr>
            </w:pPr>
            <w:r>
              <w:rPr>
                <w:rFonts w:hint="eastAsia" w:ascii="宋体" w:hAnsi="宋体" w:cs="宋体"/>
                <w:bCs/>
                <w:szCs w:val="21"/>
              </w:rPr>
              <w:t>2</w:t>
            </w:r>
          </w:p>
        </w:tc>
        <w:tc>
          <w:tcPr>
            <w:tcW w:w="759" w:type="pct"/>
            <w:tcBorders>
              <w:top w:val="single" w:color="auto" w:sz="4" w:space="0"/>
              <w:left w:val="single" w:color="auto" w:sz="4" w:space="0"/>
              <w:bottom w:val="single" w:color="auto" w:sz="4" w:space="0"/>
              <w:right w:val="single" w:color="auto" w:sz="4" w:space="0"/>
            </w:tcBorders>
            <w:vAlign w:val="center"/>
          </w:tcPr>
          <w:p w14:paraId="33CA1201">
            <w:pPr>
              <w:adjustRightInd w:val="0"/>
              <w:snapToGrid w:val="0"/>
              <w:spacing w:line="360" w:lineRule="auto"/>
              <w:jc w:val="center"/>
              <w:rPr>
                <w:rFonts w:ascii="宋体" w:hAnsi="宋体" w:cs="宋体"/>
                <w:szCs w:val="21"/>
              </w:rPr>
            </w:pPr>
            <w:r>
              <w:rPr>
                <w:rFonts w:hint="eastAsia" w:ascii="宋体" w:hAnsi="宋体" w:cs="宋体"/>
                <w:szCs w:val="21"/>
              </w:rPr>
              <w:t>方案设计理念</w:t>
            </w:r>
          </w:p>
        </w:tc>
        <w:tc>
          <w:tcPr>
            <w:tcW w:w="3137" w:type="pct"/>
            <w:tcBorders>
              <w:top w:val="single" w:color="auto" w:sz="4" w:space="0"/>
              <w:left w:val="single" w:color="auto" w:sz="4" w:space="0"/>
              <w:bottom w:val="single" w:color="auto" w:sz="4" w:space="0"/>
              <w:right w:val="single" w:color="auto" w:sz="4" w:space="0"/>
            </w:tcBorders>
            <w:vAlign w:val="center"/>
          </w:tcPr>
          <w:p w14:paraId="6A218781">
            <w:pPr>
              <w:widowControl/>
              <w:adjustRightInd w:val="0"/>
              <w:snapToGrid w:val="0"/>
              <w:spacing w:line="360" w:lineRule="auto"/>
              <w:textAlignment w:val="center"/>
              <w:rPr>
                <w:rFonts w:ascii="宋体" w:hAnsi="宋体" w:cs="宋体"/>
                <w:szCs w:val="21"/>
              </w:rPr>
            </w:pPr>
            <w:r>
              <w:rPr>
                <w:rFonts w:hint="eastAsia" w:ascii="宋体" w:hAnsi="宋体" w:cs="宋体"/>
                <w:szCs w:val="21"/>
              </w:rPr>
              <w:t>根据供应商针对本项目提供的方案设计理念，包括但不限于本项目的理解、设计定位、设计理念、设计效果表现、空间效果、材质和色彩等进行综合评审：</w:t>
            </w:r>
          </w:p>
          <w:p w14:paraId="23584338">
            <w:pPr>
              <w:widowControl/>
              <w:adjustRightInd w:val="0"/>
              <w:snapToGrid w:val="0"/>
              <w:spacing w:line="360" w:lineRule="auto"/>
              <w:textAlignment w:val="center"/>
              <w:rPr>
                <w:rFonts w:ascii="宋体" w:hAnsi="宋体" w:cs="宋体"/>
                <w:szCs w:val="21"/>
              </w:rPr>
            </w:pPr>
            <w:r>
              <w:rPr>
                <w:rFonts w:hint="eastAsia" w:ascii="宋体" w:hAnsi="宋体" w:cs="宋体"/>
                <w:szCs w:val="21"/>
              </w:rPr>
              <w:t>对本项目的理解透彻、设计定位准确、设计理念新颖，设计效果表现清晰，空间效果、材质和色彩的真实感强、可行性强的得12分；</w:t>
            </w:r>
          </w:p>
          <w:p w14:paraId="0C178FA4">
            <w:pPr>
              <w:widowControl/>
              <w:adjustRightInd w:val="0"/>
              <w:snapToGrid w:val="0"/>
              <w:spacing w:line="360" w:lineRule="auto"/>
              <w:textAlignment w:val="center"/>
              <w:rPr>
                <w:rFonts w:ascii="宋体" w:hAnsi="宋体" w:cs="宋体"/>
                <w:szCs w:val="21"/>
              </w:rPr>
            </w:pPr>
            <w:r>
              <w:rPr>
                <w:rFonts w:hint="eastAsia" w:ascii="宋体" w:hAnsi="宋体" w:cs="宋体"/>
                <w:szCs w:val="21"/>
              </w:rPr>
              <w:t>对本项目的理解较清晰、设计定位较为准确、设计理念较新颖，设计效果较清晰，空间效果、材质和色彩具有一定的真实感，基本可行的得8分；</w:t>
            </w:r>
          </w:p>
          <w:p w14:paraId="7EEE4750">
            <w:pPr>
              <w:widowControl/>
              <w:adjustRightInd w:val="0"/>
              <w:snapToGrid w:val="0"/>
              <w:spacing w:line="360" w:lineRule="auto"/>
              <w:textAlignment w:val="center"/>
              <w:rPr>
                <w:rFonts w:ascii="宋体" w:hAnsi="宋体" w:cs="宋体"/>
                <w:szCs w:val="21"/>
              </w:rPr>
            </w:pPr>
            <w:r>
              <w:rPr>
                <w:rFonts w:hint="eastAsia" w:ascii="宋体" w:hAnsi="宋体" w:cs="宋体"/>
                <w:szCs w:val="21"/>
              </w:rPr>
              <w:t>对本项目的理解不足，设计定位不够准确、设计理念陈旧，设计效果一般，空间效果、材质和色彩的真实感不明显，可行性弱的得4分；</w:t>
            </w:r>
          </w:p>
          <w:p w14:paraId="1632C5DF">
            <w:pPr>
              <w:widowControl/>
              <w:adjustRightInd w:val="0"/>
              <w:snapToGrid w:val="0"/>
              <w:spacing w:line="360" w:lineRule="auto"/>
              <w:textAlignment w:val="center"/>
              <w:rPr>
                <w:rFonts w:ascii="宋体" w:hAnsi="宋体" w:cs="宋体"/>
                <w:szCs w:val="21"/>
              </w:rPr>
            </w:pPr>
            <w:r>
              <w:rPr>
                <w:rFonts w:hint="eastAsia" w:ascii="宋体" w:hAnsi="宋体" w:cs="宋体"/>
                <w:szCs w:val="21"/>
              </w:rPr>
              <w:t>内容不全或未提供内容的不得分。</w:t>
            </w:r>
          </w:p>
        </w:tc>
        <w:tc>
          <w:tcPr>
            <w:tcW w:w="678" w:type="pct"/>
            <w:tcBorders>
              <w:top w:val="single" w:color="auto" w:sz="4" w:space="0"/>
              <w:left w:val="single" w:color="auto" w:sz="4" w:space="0"/>
              <w:bottom w:val="single" w:color="auto" w:sz="4" w:space="0"/>
              <w:right w:val="single" w:color="auto" w:sz="4" w:space="0"/>
            </w:tcBorders>
            <w:vAlign w:val="center"/>
          </w:tcPr>
          <w:p w14:paraId="34DDAE97">
            <w:pPr>
              <w:adjustRightInd w:val="0"/>
              <w:snapToGrid w:val="0"/>
              <w:spacing w:line="360" w:lineRule="auto"/>
              <w:jc w:val="center"/>
              <w:rPr>
                <w:rFonts w:ascii="宋体" w:hAnsi="宋体" w:cs="宋体"/>
                <w:szCs w:val="21"/>
              </w:rPr>
            </w:pPr>
            <w:r>
              <w:rPr>
                <w:rFonts w:hint="eastAsia" w:ascii="宋体" w:hAnsi="宋体" w:cs="宋体"/>
                <w:szCs w:val="21"/>
              </w:rPr>
              <w:t>12</w:t>
            </w:r>
          </w:p>
        </w:tc>
      </w:tr>
      <w:tr w14:paraId="2FF3C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4" w:type="pct"/>
            <w:tcBorders>
              <w:top w:val="single" w:color="auto" w:sz="4" w:space="0"/>
              <w:left w:val="single" w:color="auto" w:sz="4" w:space="0"/>
              <w:bottom w:val="single" w:color="auto" w:sz="4" w:space="0"/>
              <w:right w:val="single" w:color="auto" w:sz="4" w:space="0"/>
            </w:tcBorders>
            <w:vAlign w:val="center"/>
          </w:tcPr>
          <w:p w14:paraId="3668A855">
            <w:pPr>
              <w:adjustRightInd w:val="0"/>
              <w:snapToGrid w:val="0"/>
              <w:spacing w:line="360" w:lineRule="auto"/>
              <w:jc w:val="center"/>
              <w:rPr>
                <w:rFonts w:ascii="宋体" w:hAnsi="宋体" w:cs="宋体"/>
                <w:bCs/>
                <w:szCs w:val="21"/>
              </w:rPr>
            </w:pPr>
            <w:r>
              <w:rPr>
                <w:rFonts w:hint="eastAsia" w:ascii="宋体" w:hAnsi="宋体" w:cs="宋体"/>
                <w:bCs/>
                <w:szCs w:val="21"/>
              </w:rPr>
              <w:t>3</w:t>
            </w:r>
          </w:p>
        </w:tc>
        <w:tc>
          <w:tcPr>
            <w:tcW w:w="759" w:type="pct"/>
            <w:tcBorders>
              <w:top w:val="single" w:color="auto" w:sz="4" w:space="0"/>
              <w:left w:val="single" w:color="auto" w:sz="4" w:space="0"/>
              <w:bottom w:val="single" w:color="auto" w:sz="4" w:space="0"/>
              <w:right w:val="single" w:color="auto" w:sz="4" w:space="0"/>
            </w:tcBorders>
            <w:vAlign w:val="center"/>
          </w:tcPr>
          <w:p w14:paraId="680E8E9B">
            <w:pPr>
              <w:widowControl/>
              <w:adjustRightInd w:val="0"/>
              <w:snapToGrid w:val="0"/>
              <w:spacing w:line="360" w:lineRule="auto"/>
              <w:jc w:val="center"/>
              <w:textAlignment w:val="center"/>
              <w:rPr>
                <w:rFonts w:ascii="宋体" w:hAnsi="宋体" w:cs="宋体"/>
                <w:szCs w:val="21"/>
              </w:rPr>
            </w:pPr>
            <w:r>
              <w:rPr>
                <w:rFonts w:hint="eastAsia" w:ascii="宋体" w:hAnsi="宋体" w:cs="宋体"/>
                <w:szCs w:val="21"/>
              </w:rPr>
              <w:t>展陈内容策划方案</w:t>
            </w:r>
          </w:p>
        </w:tc>
        <w:tc>
          <w:tcPr>
            <w:tcW w:w="3137" w:type="pct"/>
            <w:tcBorders>
              <w:top w:val="single" w:color="auto" w:sz="4" w:space="0"/>
              <w:left w:val="single" w:color="auto" w:sz="4" w:space="0"/>
              <w:bottom w:val="single" w:color="auto" w:sz="4" w:space="0"/>
              <w:right w:val="single" w:color="auto" w:sz="4" w:space="0"/>
            </w:tcBorders>
            <w:vAlign w:val="center"/>
          </w:tcPr>
          <w:p w14:paraId="1181C653">
            <w:pPr>
              <w:widowControl/>
              <w:adjustRightInd w:val="0"/>
              <w:snapToGrid w:val="0"/>
              <w:spacing w:line="360" w:lineRule="auto"/>
              <w:textAlignment w:val="center"/>
              <w:rPr>
                <w:rFonts w:ascii="宋体" w:hAnsi="宋体" w:cs="宋体"/>
                <w:szCs w:val="21"/>
              </w:rPr>
            </w:pPr>
            <w:r>
              <w:rPr>
                <w:rFonts w:hint="eastAsia" w:ascii="宋体" w:hAnsi="宋体" w:cs="宋体"/>
                <w:szCs w:val="21"/>
              </w:rPr>
              <w:t>根据供应商针对本项目所提供的展陈内容策划方案，包括但不限于资料搜集整理、对展陈主题内容理解、各板块内容和展陈主题贴合程度、主题特色等进行综合评审：</w:t>
            </w:r>
          </w:p>
          <w:p w14:paraId="3AA214DA">
            <w:pPr>
              <w:widowControl/>
              <w:adjustRightInd w:val="0"/>
              <w:snapToGrid w:val="0"/>
              <w:spacing w:line="360" w:lineRule="auto"/>
              <w:textAlignment w:val="center"/>
              <w:rPr>
                <w:rFonts w:ascii="宋体" w:hAnsi="宋体" w:cs="宋体"/>
                <w:szCs w:val="21"/>
              </w:rPr>
            </w:pPr>
            <w:r>
              <w:rPr>
                <w:rFonts w:hint="eastAsia" w:ascii="宋体" w:hAnsi="宋体" w:cs="宋体"/>
                <w:szCs w:val="21"/>
              </w:rPr>
              <w:t>资料搜集整理全面，对展陈主题内容理解深刻、各板块内容和展陈主题紧密贴合、能充分体现主题特色的得12分；</w:t>
            </w:r>
          </w:p>
          <w:p w14:paraId="7706B999">
            <w:pPr>
              <w:widowControl/>
              <w:adjustRightInd w:val="0"/>
              <w:snapToGrid w:val="0"/>
              <w:spacing w:line="360" w:lineRule="auto"/>
              <w:textAlignment w:val="center"/>
              <w:rPr>
                <w:rFonts w:ascii="宋体" w:hAnsi="宋体" w:cs="宋体"/>
                <w:szCs w:val="21"/>
              </w:rPr>
            </w:pPr>
            <w:r>
              <w:rPr>
                <w:rFonts w:hint="eastAsia" w:ascii="宋体" w:hAnsi="宋体" w:cs="宋体"/>
                <w:szCs w:val="21"/>
              </w:rPr>
              <w:t>资料搜集整理较为全面，对展陈主题内容理解较为深刻、各板块内容和展陈主题基本能够体现主题特色的得8分；</w:t>
            </w:r>
          </w:p>
          <w:p w14:paraId="580B0A95">
            <w:pPr>
              <w:widowControl/>
              <w:adjustRightInd w:val="0"/>
              <w:snapToGrid w:val="0"/>
              <w:spacing w:line="360" w:lineRule="auto"/>
              <w:textAlignment w:val="center"/>
              <w:rPr>
                <w:rFonts w:ascii="宋体" w:hAnsi="宋体" w:cs="宋体"/>
                <w:szCs w:val="21"/>
              </w:rPr>
            </w:pPr>
            <w:r>
              <w:rPr>
                <w:rFonts w:hint="eastAsia" w:ascii="宋体" w:hAnsi="宋体" w:cs="宋体"/>
                <w:szCs w:val="21"/>
              </w:rPr>
              <w:t>资料搜集整理不足，对展陈主题内容理解有偏差，不能较好体现主题特色的得4分；</w:t>
            </w:r>
          </w:p>
          <w:p w14:paraId="3AA1D477">
            <w:pPr>
              <w:widowControl/>
              <w:adjustRightInd w:val="0"/>
              <w:snapToGrid w:val="0"/>
              <w:spacing w:line="360" w:lineRule="auto"/>
              <w:textAlignment w:val="center"/>
              <w:rPr>
                <w:rFonts w:ascii="宋体" w:hAnsi="宋体" w:cs="宋体"/>
                <w:szCs w:val="21"/>
              </w:rPr>
            </w:pPr>
            <w:r>
              <w:rPr>
                <w:rFonts w:hint="eastAsia" w:ascii="宋体" w:hAnsi="宋体" w:cs="宋体"/>
                <w:szCs w:val="21"/>
              </w:rPr>
              <w:t>内容不全或未提供内容的不得分。</w:t>
            </w:r>
          </w:p>
        </w:tc>
        <w:tc>
          <w:tcPr>
            <w:tcW w:w="678" w:type="pct"/>
            <w:tcBorders>
              <w:top w:val="single" w:color="auto" w:sz="4" w:space="0"/>
              <w:left w:val="single" w:color="auto" w:sz="4" w:space="0"/>
              <w:bottom w:val="single" w:color="auto" w:sz="4" w:space="0"/>
              <w:right w:val="single" w:color="auto" w:sz="4" w:space="0"/>
            </w:tcBorders>
            <w:vAlign w:val="center"/>
          </w:tcPr>
          <w:p w14:paraId="6D60A701">
            <w:pPr>
              <w:adjustRightInd w:val="0"/>
              <w:snapToGrid w:val="0"/>
              <w:spacing w:line="360" w:lineRule="auto"/>
              <w:jc w:val="center"/>
              <w:rPr>
                <w:rFonts w:ascii="宋体" w:hAnsi="宋体" w:cs="宋体"/>
                <w:szCs w:val="21"/>
              </w:rPr>
            </w:pPr>
            <w:r>
              <w:rPr>
                <w:rFonts w:hint="eastAsia" w:ascii="宋体" w:hAnsi="宋体" w:cs="宋体"/>
                <w:szCs w:val="21"/>
              </w:rPr>
              <w:t>12</w:t>
            </w:r>
          </w:p>
        </w:tc>
      </w:tr>
      <w:tr w14:paraId="2508B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4" w:type="pct"/>
            <w:tcBorders>
              <w:top w:val="single" w:color="auto" w:sz="4" w:space="0"/>
              <w:left w:val="single" w:color="auto" w:sz="4" w:space="0"/>
              <w:bottom w:val="single" w:color="auto" w:sz="4" w:space="0"/>
              <w:right w:val="single" w:color="auto" w:sz="4" w:space="0"/>
            </w:tcBorders>
            <w:vAlign w:val="center"/>
          </w:tcPr>
          <w:p w14:paraId="351AD7B0">
            <w:pPr>
              <w:adjustRightInd w:val="0"/>
              <w:snapToGrid w:val="0"/>
              <w:spacing w:line="360" w:lineRule="auto"/>
              <w:jc w:val="center"/>
              <w:rPr>
                <w:rFonts w:ascii="宋体" w:hAnsi="宋体" w:cs="宋体"/>
                <w:bCs/>
                <w:szCs w:val="21"/>
              </w:rPr>
            </w:pPr>
            <w:r>
              <w:rPr>
                <w:rFonts w:hint="eastAsia" w:ascii="宋体" w:hAnsi="宋体" w:cs="宋体"/>
                <w:bCs/>
                <w:szCs w:val="21"/>
              </w:rPr>
              <w:t>4</w:t>
            </w:r>
          </w:p>
        </w:tc>
        <w:tc>
          <w:tcPr>
            <w:tcW w:w="759" w:type="pct"/>
            <w:tcBorders>
              <w:top w:val="single" w:color="auto" w:sz="4" w:space="0"/>
              <w:left w:val="single" w:color="auto" w:sz="4" w:space="0"/>
              <w:bottom w:val="single" w:color="auto" w:sz="4" w:space="0"/>
              <w:right w:val="single" w:color="auto" w:sz="4" w:space="0"/>
            </w:tcBorders>
            <w:vAlign w:val="center"/>
          </w:tcPr>
          <w:p w14:paraId="61D13A2D">
            <w:pPr>
              <w:adjustRightInd w:val="0"/>
              <w:snapToGrid w:val="0"/>
              <w:spacing w:line="360" w:lineRule="auto"/>
              <w:jc w:val="center"/>
              <w:rPr>
                <w:rFonts w:ascii="宋体" w:hAnsi="宋体" w:cs="宋体"/>
                <w:szCs w:val="21"/>
              </w:rPr>
            </w:pPr>
            <w:r>
              <w:rPr>
                <w:rFonts w:hint="eastAsia" w:ascii="宋体" w:hAnsi="宋体" w:cs="宋体"/>
                <w:szCs w:val="21"/>
              </w:rPr>
              <w:t>空间布局及参观流线方案</w:t>
            </w:r>
          </w:p>
        </w:tc>
        <w:tc>
          <w:tcPr>
            <w:tcW w:w="3137" w:type="pct"/>
            <w:tcBorders>
              <w:top w:val="single" w:color="auto" w:sz="4" w:space="0"/>
              <w:left w:val="single" w:color="auto" w:sz="4" w:space="0"/>
              <w:bottom w:val="single" w:color="auto" w:sz="4" w:space="0"/>
              <w:right w:val="single" w:color="auto" w:sz="4" w:space="0"/>
            </w:tcBorders>
            <w:vAlign w:val="center"/>
          </w:tcPr>
          <w:p w14:paraId="32B1B5E0">
            <w:pPr>
              <w:widowControl/>
              <w:adjustRightInd w:val="0"/>
              <w:snapToGrid w:val="0"/>
              <w:spacing w:line="360" w:lineRule="auto"/>
              <w:textAlignment w:val="center"/>
              <w:rPr>
                <w:rFonts w:ascii="宋体" w:hAnsi="宋体" w:cs="宋体"/>
                <w:szCs w:val="21"/>
              </w:rPr>
            </w:pPr>
            <w:r>
              <w:rPr>
                <w:rFonts w:hint="eastAsia" w:ascii="宋体" w:hAnsi="宋体" w:cs="宋体"/>
                <w:szCs w:val="21"/>
              </w:rPr>
              <w:t>根据供应商提供的空间布局及参观流线方案，包括但不限于空间布局是否合理，参观流线是否顺畅等进行综合评审：</w:t>
            </w:r>
          </w:p>
          <w:p w14:paraId="669B30EF">
            <w:pPr>
              <w:widowControl/>
              <w:adjustRightInd w:val="0"/>
              <w:snapToGrid w:val="0"/>
              <w:spacing w:line="360" w:lineRule="auto"/>
              <w:textAlignment w:val="center"/>
              <w:rPr>
                <w:rFonts w:ascii="宋体" w:hAnsi="宋体" w:cs="宋体"/>
                <w:szCs w:val="21"/>
              </w:rPr>
            </w:pPr>
            <w:r>
              <w:rPr>
                <w:rFonts w:hint="eastAsia" w:ascii="宋体" w:hAnsi="宋体" w:cs="宋体"/>
                <w:szCs w:val="21"/>
              </w:rPr>
              <w:t>空间布局合理，参观流线顺畅的得10分；</w:t>
            </w:r>
          </w:p>
          <w:p w14:paraId="6AB12381">
            <w:pPr>
              <w:widowControl/>
              <w:adjustRightInd w:val="0"/>
              <w:snapToGrid w:val="0"/>
              <w:spacing w:line="360" w:lineRule="auto"/>
              <w:textAlignment w:val="center"/>
              <w:rPr>
                <w:rFonts w:ascii="宋体" w:hAnsi="宋体" w:cs="宋体"/>
                <w:szCs w:val="21"/>
              </w:rPr>
            </w:pPr>
            <w:r>
              <w:rPr>
                <w:rFonts w:hint="eastAsia" w:ascii="宋体" w:hAnsi="宋体" w:cs="宋体"/>
                <w:szCs w:val="21"/>
              </w:rPr>
              <w:t>空间布局较为合理，参观流线较为顺畅的得7分；</w:t>
            </w:r>
          </w:p>
          <w:p w14:paraId="28ABEE2C">
            <w:pPr>
              <w:widowControl/>
              <w:adjustRightInd w:val="0"/>
              <w:snapToGrid w:val="0"/>
              <w:spacing w:line="360" w:lineRule="auto"/>
              <w:textAlignment w:val="center"/>
              <w:rPr>
                <w:rFonts w:ascii="宋体" w:hAnsi="宋体" w:cs="宋体"/>
                <w:szCs w:val="21"/>
              </w:rPr>
            </w:pPr>
            <w:r>
              <w:rPr>
                <w:rFonts w:hint="eastAsia" w:ascii="宋体" w:hAnsi="宋体" w:cs="宋体"/>
                <w:szCs w:val="21"/>
              </w:rPr>
              <w:t>空间布局不合理，参观流线不顺畅的得4分；</w:t>
            </w:r>
          </w:p>
          <w:p w14:paraId="66DCCD72">
            <w:pPr>
              <w:widowControl/>
              <w:adjustRightInd w:val="0"/>
              <w:snapToGrid w:val="0"/>
              <w:spacing w:line="360" w:lineRule="auto"/>
              <w:textAlignment w:val="center"/>
              <w:rPr>
                <w:rFonts w:ascii="宋体" w:hAnsi="宋体" w:cs="宋体"/>
                <w:szCs w:val="21"/>
              </w:rPr>
            </w:pPr>
            <w:r>
              <w:rPr>
                <w:rFonts w:hint="eastAsia" w:ascii="宋体" w:hAnsi="宋体" w:cs="宋体"/>
                <w:szCs w:val="21"/>
              </w:rPr>
              <w:t>内容不全或未提供内容的不得分。</w:t>
            </w:r>
          </w:p>
        </w:tc>
        <w:tc>
          <w:tcPr>
            <w:tcW w:w="678" w:type="pct"/>
            <w:tcBorders>
              <w:top w:val="single" w:color="auto" w:sz="4" w:space="0"/>
              <w:left w:val="single" w:color="auto" w:sz="4" w:space="0"/>
              <w:bottom w:val="single" w:color="auto" w:sz="4" w:space="0"/>
              <w:right w:val="single" w:color="auto" w:sz="4" w:space="0"/>
            </w:tcBorders>
            <w:vAlign w:val="center"/>
          </w:tcPr>
          <w:p w14:paraId="3FC288D9">
            <w:pPr>
              <w:adjustRightInd w:val="0"/>
              <w:snapToGrid w:val="0"/>
              <w:spacing w:line="360" w:lineRule="auto"/>
              <w:jc w:val="center"/>
              <w:rPr>
                <w:rFonts w:ascii="宋体" w:hAnsi="宋体" w:cs="宋体"/>
                <w:szCs w:val="21"/>
              </w:rPr>
            </w:pPr>
            <w:r>
              <w:rPr>
                <w:rFonts w:hint="eastAsia" w:ascii="宋体" w:hAnsi="宋体" w:cs="宋体"/>
                <w:szCs w:val="21"/>
              </w:rPr>
              <w:t>10</w:t>
            </w:r>
          </w:p>
        </w:tc>
      </w:tr>
      <w:tr w14:paraId="74746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24" w:type="pct"/>
            <w:tcBorders>
              <w:top w:val="single" w:color="auto" w:sz="4" w:space="0"/>
              <w:left w:val="single" w:color="auto" w:sz="4" w:space="0"/>
              <w:bottom w:val="single" w:color="auto" w:sz="4" w:space="0"/>
              <w:right w:val="single" w:color="auto" w:sz="4" w:space="0"/>
            </w:tcBorders>
            <w:vAlign w:val="center"/>
          </w:tcPr>
          <w:p w14:paraId="5B955359">
            <w:pPr>
              <w:adjustRightInd w:val="0"/>
              <w:snapToGrid w:val="0"/>
              <w:spacing w:line="360" w:lineRule="auto"/>
              <w:jc w:val="center"/>
              <w:rPr>
                <w:rFonts w:ascii="宋体" w:hAnsi="宋体" w:cs="宋体"/>
                <w:bCs/>
                <w:szCs w:val="21"/>
              </w:rPr>
            </w:pPr>
            <w:r>
              <w:rPr>
                <w:rFonts w:hint="eastAsia" w:ascii="宋体" w:hAnsi="宋体" w:cs="宋体"/>
                <w:bCs/>
                <w:szCs w:val="21"/>
              </w:rPr>
              <w:t>5</w:t>
            </w:r>
          </w:p>
        </w:tc>
        <w:tc>
          <w:tcPr>
            <w:tcW w:w="759" w:type="pct"/>
            <w:tcBorders>
              <w:top w:val="single" w:color="auto" w:sz="4" w:space="0"/>
              <w:left w:val="single" w:color="auto" w:sz="4" w:space="0"/>
              <w:bottom w:val="single" w:color="auto" w:sz="4" w:space="0"/>
              <w:right w:val="single" w:color="auto" w:sz="4" w:space="0"/>
            </w:tcBorders>
            <w:vAlign w:val="center"/>
          </w:tcPr>
          <w:p w14:paraId="0AAB5514">
            <w:pPr>
              <w:adjustRightInd w:val="0"/>
              <w:snapToGrid w:val="0"/>
              <w:spacing w:line="360" w:lineRule="auto"/>
              <w:jc w:val="center"/>
              <w:rPr>
                <w:rFonts w:ascii="宋体" w:hAnsi="宋体" w:cs="宋体"/>
                <w:szCs w:val="21"/>
              </w:rPr>
            </w:pPr>
            <w:r>
              <w:rPr>
                <w:rFonts w:hint="eastAsia" w:ascii="宋体" w:hAnsi="宋体" w:cs="宋体"/>
                <w:szCs w:val="21"/>
              </w:rPr>
              <w:t>设计效果</w:t>
            </w:r>
          </w:p>
        </w:tc>
        <w:tc>
          <w:tcPr>
            <w:tcW w:w="3137" w:type="pct"/>
            <w:tcBorders>
              <w:top w:val="single" w:color="auto" w:sz="4" w:space="0"/>
              <w:left w:val="single" w:color="auto" w:sz="4" w:space="0"/>
              <w:bottom w:val="single" w:color="auto" w:sz="4" w:space="0"/>
              <w:right w:val="single" w:color="auto" w:sz="4" w:space="0"/>
            </w:tcBorders>
            <w:vAlign w:val="center"/>
          </w:tcPr>
          <w:p w14:paraId="69EB8846">
            <w:pPr>
              <w:widowControl/>
              <w:adjustRightInd w:val="0"/>
              <w:snapToGrid w:val="0"/>
              <w:spacing w:line="360" w:lineRule="auto"/>
              <w:textAlignment w:val="center"/>
              <w:rPr>
                <w:rFonts w:ascii="宋体" w:hAnsi="宋体" w:cs="宋体"/>
                <w:szCs w:val="21"/>
              </w:rPr>
            </w:pPr>
            <w:r>
              <w:rPr>
                <w:rFonts w:hint="eastAsia" w:ascii="宋体" w:hAnsi="宋体" w:cs="宋体"/>
                <w:szCs w:val="21"/>
              </w:rPr>
              <w:t>根据供应商提供的空间设计说明，要求根据建筑与展厅情况，准确理解展览的主题和内容，并根据陈列的主题和内容来确定陈列的表现形式，要求具有创新性，形式多样，凸显主题特色进行综合评审：</w:t>
            </w:r>
          </w:p>
          <w:p w14:paraId="0BD7E57C">
            <w:pPr>
              <w:widowControl/>
              <w:adjustRightInd w:val="0"/>
              <w:snapToGrid w:val="0"/>
              <w:spacing w:line="360" w:lineRule="auto"/>
              <w:textAlignment w:val="center"/>
              <w:rPr>
                <w:rFonts w:ascii="宋体" w:hAnsi="宋体" w:cs="宋体"/>
                <w:szCs w:val="21"/>
              </w:rPr>
            </w:pPr>
            <w:r>
              <w:rPr>
                <w:rFonts w:hint="eastAsia" w:ascii="宋体" w:hAnsi="宋体" w:cs="宋体"/>
                <w:szCs w:val="21"/>
              </w:rPr>
              <w:t>内容完整、说明细致，具有创新性且可行性强的得10分；</w:t>
            </w:r>
          </w:p>
          <w:p w14:paraId="748B89C7">
            <w:pPr>
              <w:widowControl/>
              <w:adjustRightInd w:val="0"/>
              <w:snapToGrid w:val="0"/>
              <w:spacing w:line="360" w:lineRule="auto"/>
              <w:textAlignment w:val="center"/>
              <w:rPr>
                <w:rFonts w:ascii="宋体" w:hAnsi="宋体" w:cs="宋体"/>
                <w:szCs w:val="21"/>
              </w:rPr>
            </w:pPr>
            <w:r>
              <w:rPr>
                <w:rFonts w:hint="eastAsia" w:ascii="宋体" w:hAnsi="宋体" w:cs="宋体"/>
                <w:szCs w:val="21"/>
              </w:rPr>
              <w:t>内容疏漏、说明简单、可行性弱的得7分；</w:t>
            </w:r>
          </w:p>
          <w:p w14:paraId="28319F4A">
            <w:pPr>
              <w:widowControl/>
              <w:adjustRightInd w:val="0"/>
              <w:snapToGrid w:val="0"/>
              <w:spacing w:line="360" w:lineRule="auto"/>
              <w:textAlignment w:val="center"/>
              <w:rPr>
                <w:rFonts w:ascii="宋体" w:hAnsi="宋体" w:cs="宋体"/>
                <w:szCs w:val="21"/>
              </w:rPr>
            </w:pPr>
            <w:r>
              <w:rPr>
                <w:rFonts w:hint="eastAsia" w:ascii="宋体" w:hAnsi="宋体" w:cs="宋体"/>
                <w:szCs w:val="21"/>
              </w:rPr>
              <w:t>内容错误、说明缺失、可行性差的得4分；</w:t>
            </w:r>
          </w:p>
          <w:p w14:paraId="12B8A770">
            <w:pPr>
              <w:widowControl/>
              <w:adjustRightInd w:val="0"/>
              <w:snapToGrid w:val="0"/>
              <w:spacing w:line="360" w:lineRule="auto"/>
              <w:textAlignment w:val="center"/>
              <w:rPr>
                <w:rFonts w:ascii="宋体" w:hAnsi="宋体" w:cs="宋体"/>
                <w:szCs w:val="21"/>
              </w:rPr>
            </w:pPr>
            <w:r>
              <w:rPr>
                <w:rFonts w:hint="eastAsia" w:ascii="宋体" w:hAnsi="宋体" w:cs="宋体"/>
                <w:szCs w:val="21"/>
              </w:rPr>
              <w:t>内容不全或未提供内容的不得分。</w:t>
            </w:r>
          </w:p>
        </w:tc>
        <w:tc>
          <w:tcPr>
            <w:tcW w:w="678" w:type="pct"/>
            <w:tcBorders>
              <w:top w:val="single" w:color="auto" w:sz="4" w:space="0"/>
              <w:left w:val="single" w:color="auto" w:sz="4" w:space="0"/>
              <w:bottom w:val="single" w:color="auto" w:sz="4" w:space="0"/>
              <w:right w:val="single" w:color="auto" w:sz="4" w:space="0"/>
            </w:tcBorders>
            <w:vAlign w:val="center"/>
          </w:tcPr>
          <w:p w14:paraId="50FC2716">
            <w:pPr>
              <w:adjustRightInd w:val="0"/>
              <w:snapToGrid w:val="0"/>
              <w:spacing w:line="360" w:lineRule="auto"/>
              <w:jc w:val="center"/>
              <w:rPr>
                <w:rFonts w:ascii="宋体" w:hAnsi="宋体" w:cs="宋体"/>
                <w:szCs w:val="21"/>
              </w:rPr>
            </w:pPr>
            <w:r>
              <w:rPr>
                <w:rFonts w:hint="eastAsia" w:ascii="宋体" w:hAnsi="宋体" w:cs="宋体"/>
                <w:szCs w:val="21"/>
              </w:rPr>
              <w:t>10</w:t>
            </w:r>
          </w:p>
        </w:tc>
      </w:tr>
      <w:tr w14:paraId="0CF8E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4" w:type="pct"/>
            <w:tcBorders>
              <w:top w:val="single" w:color="auto" w:sz="4" w:space="0"/>
              <w:left w:val="single" w:color="auto" w:sz="4" w:space="0"/>
              <w:bottom w:val="single" w:color="auto" w:sz="4" w:space="0"/>
              <w:right w:val="single" w:color="auto" w:sz="4" w:space="0"/>
            </w:tcBorders>
            <w:vAlign w:val="center"/>
          </w:tcPr>
          <w:p w14:paraId="30C8E4F6">
            <w:pPr>
              <w:adjustRightInd w:val="0"/>
              <w:snapToGrid w:val="0"/>
              <w:spacing w:line="360" w:lineRule="auto"/>
              <w:jc w:val="center"/>
              <w:rPr>
                <w:rFonts w:ascii="宋体" w:hAnsi="宋体" w:cs="宋体"/>
                <w:bCs/>
                <w:szCs w:val="21"/>
              </w:rPr>
            </w:pPr>
            <w:r>
              <w:rPr>
                <w:rFonts w:hint="eastAsia" w:ascii="宋体" w:hAnsi="宋体" w:cs="宋体"/>
                <w:bCs/>
                <w:szCs w:val="21"/>
              </w:rPr>
              <w:t>6</w:t>
            </w:r>
          </w:p>
        </w:tc>
        <w:tc>
          <w:tcPr>
            <w:tcW w:w="759" w:type="pct"/>
            <w:tcBorders>
              <w:top w:val="single" w:color="auto" w:sz="4" w:space="0"/>
              <w:left w:val="single" w:color="auto" w:sz="4" w:space="0"/>
              <w:bottom w:val="single" w:color="auto" w:sz="4" w:space="0"/>
              <w:right w:val="single" w:color="auto" w:sz="4" w:space="0"/>
            </w:tcBorders>
            <w:vAlign w:val="center"/>
          </w:tcPr>
          <w:p w14:paraId="26047F38">
            <w:pPr>
              <w:adjustRightInd w:val="0"/>
              <w:snapToGrid w:val="0"/>
              <w:spacing w:line="360" w:lineRule="auto"/>
              <w:jc w:val="center"/>
              <w:rPr>
                <w:rFonts w:ascii="宋体" w:hAnsi="宋体" w:cs="宋体"/>
                <w:szCs w:val="21"/>
              </w:rPr>
            </w:pPr>
            <w:r>
              <w:rPr>
                <w:rFonts w:hint="eastAsia" w:ascii="宋体" w:hAnsi="宋体" w:cs="宋体"/>
                <w:szCs w:val="21"/>
              </w:rPr>
              <w:t>展陈立面和展陈配套制作设计方案</w:t>
            </w:r>
          </w:p>
        </w:tc>
        <w:tc>
          <w:tcPr>
            <w:tcW w:w="3137" w:type="pct"/>
            <w:tcBorders>
              <w:top w:val="single" w:color="auto" w:sz="4" w:space="0"/>
              <w:left w:val="single" w:color="auto" w:sz="4" w:space="0"/>
              <w:bottom w:val="single" w:color="auto" w:sz="4" w:space="0"/>
              <w:right w:val="single" w:color="auto" w:sz="4" w:space="0"/>
            </w:tcBorders>
            <w:vAlign w:val="center"/>
          </w:tcPr>
          <w:p w14:paraId="1591569F">
            <w:pPr>
              <w:widowControl/>
              <w:adjustRightInd w:val="0"/>
              <w:snapToGrid w:val="0"/>
              <w:spacing w:line="360" w:lineRule="auto"/>
              <w:textAlignment w:val="center"/>
              <w:rPr>
                <w:rFonts w:ascii="宋体" w:hAnsi="宋体" w:cs="宋体"/>
                <w:szCs w:val="21"/>
              </w:rPr>
            </w:pPr>
            <w:r>
              <w:rPr>
                <w:rFonts w:hint="eastAsia" w:ascii="宋体" w:hAnsi="宋体" w:cs="宋体"/>
                <w:szCs w:val="21"/>
              </w:rPr>
              <w:t>根据供应商提供详细的展陈立面和展陈配套制作设计方案进行综合评审：</w:t>
            </w:r>
          </w:p>
          <w:p w14:paraId="03B4CBFC">
            <w:pPr>
              <w:widowControl/>
              <w:adjustRightInd w:val="0"/>
              <w:snapToGrid w:val="0"/>
              <w:spacing w:line="360" w:lineRule="auto"/>
              <w:textAlignment w:val="center"/>
              <w:rPr>
                <w:rFonts w:ascii="宋体" w:hAnsi="宋体" w:cs="宋体"/>
                <w:szCs w:val="21"/>
              </w:rPr>
            </w:pPr>
            <w:r>
              <w:rPr>
                <w:rFonts w:hint="eastAsia" w:ascii="宋体" w:hAnsi="宋体" w:cs="宋体"/>
                <w:szCs w:val="21"/>
              </w:rPr>
              <w:t>设计全面详实、标题、展面、立面设计等达到图像及文字描述对位和充分表现的得10分；</w:t>
            </w:r>
          </w:p>
          <w:p w14:paraId="4A023B31">
            <w:pPr>
              <w:widowControl/>
              <w:adjustRightInd w:val="0"/>
              <w:snapToGrid w:val="0"/>
              <w:spacing w:line="360" w:lineRule="auto"/>
              <w:textAlignment w:val="center"/>
              <w:rPr>
                <w:rFonts w:ascii="宋体" w:hAnsi="宋体" w:cs="宋体"/>
                <w:szCs w:val="21"/>
              </w:rPr>
            </w:pPr>
            <w:r>
              <w:rPr>
                <w:rFonts w:hint="eastAsia" w:ascii="宋体" w:hAnsi="宋体" w:cs="宋体"/>
                <w:szCs w:val="21"/>
              </w:rPr>
              <w:t>设计基本完整、标题、展面、立面设计等图像和文字基本对位、有一定表现力的得7分；</w:t>
            </w:r>
          </w:p>
          <w:p w14:paraId="52A5ACED">
            <w:pPr>
              <w:widowControl/>
              <w:adjustRightInd w:val="0"/>
              <w:snapToGrid w:val="0"/>
              <w:spacing w:line="360" w:lineRule="auto"/>
              <w:textAlignment w:val="center"/>
              <w:rPr>
                <w:rFonts w:ascii="宋体" w:hAnsi="宋体" w:cs="宋体"/>
                <w:szCs w:val="21"/>
              </w:rPr>
            </w:pPr>
            <w:r>
              <w:rPr>
                <w:rFonts w:hint="eastAsia" w:ascii="宋体" w:hAnsi="宋体" w:cs="宋体"/>
                <w:szCs w:val="21"/>
              </w:rPr>
              <w:t>设计不够完整、标题、展面、立面设计等图像和文字不够匹配、表现力弱的得4分；</w:t>
            </w:r>
          </w:p>
          <w:p w14:paraId="38E7F00B">
            <w:pPr>
              <w:widowControl/>
              <w:adjustRightInd w:val="0"/>
              <w:snapToGrid w:val="0"/>
              <w:spacing w:line="360" w:lineRule="auto"/>
              <w:textAlignment w:val="center"/>
              <w:rPr>
                <w:rFonts w:ascii="宋体" w:hAnsi="宋体" w:cs="宋体"/>
                <w:szCs w:val="21"/>
              </w:rPr>
            </w:pPr>
            <w:r>
              <w:rPr>
                <w:rFonts w:hint="eastAsia" w:ascii="宋体" w:hAnsi="宋体" w:cs="宋体"/>
                <w:szCs w:val="21"/>
              </w:rPr>
              <w:t>内容不全或未提供内容的不得分。</w:t>
            </w:r>
          </w:p>
        </w:tc>
        <w:tc>
          <w:tcPr>
            <w:tcW w:w="678" w:type="pct"/>
            <w:tcBorders>
              <w:top w:val="single" w:color="auto" w:sz="4" w:space="0"/>
              <w:left w:val="single" w:color="auto" w:sz="4" w:space="0"/>
              <w:bottom w:val="single" w:color="auto" w:sz="4" w:space="0"/>
              <w:right w:val="single" w:color="auto" w:sz="4" w:space="0"/>
            </w:tcBorders>
            <w:vAlign w:val="center"/>
          </w:tcPr>
          <w:p w14:paraId="34F097B6">
            <w:pPr>
              <w:adjustRightInd w:val="0"/>
              <w:snapToGrid w:val="0"/>
              <w:spacing w:line="360" w:lineRule="auto"/>
              <w:jc w:val="center"/>
              <w:rPr>
                <w:rFonts w:ascii="宋体" w:hAnsi="宋体" w:cs="宋体"/>
                <w:szCs w:val="21"/>
              </w:rPr>
            </w:pPr>
            <w:r>
              <w:rPr>
                <w:rFonts w:hint="eastAsia" w:ascii="宋体" w:hAnsi="宋体" w:cs="宋体"/>
                <w:szCs w:val="21"/>
              </w:rPr>
              <w:t>10</w:t>
            </w:r>
          </w:p>
        </w:tc>
      </w:tr>
      <w:tr w14:paraId="794A6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4" w:type="pct"/>
            <w:tcBorders>
              <w:top w:val="single" w:color="auto" w:sz="4" w:space="0"/>
              <w:left w:val="single" w:color="auto" w:sz="4" w:space="0"/>
              <w:bottom w:val="single" w:color="auto" w:sz="4" w:space="0"/>
              <w:right w:val="single" w:color="auto" w:sz="4" w:space="0"/>
            </w:tcBorders>
            <w:vAlign w:val="center"/>
          </w:tcPr>
          <w:p w14:paraId="42B8691B">
            <w:pPr>
              <w:adjustRightInd w:val="0"/>
              <w:snapToGrid w:val="0"/>
              <w:spacing w:line="360" w:lineRule="auto"/>
              <w:jc w:val="center"/>
              <w:rPr>
                <w:rFonts w:ascii="宋体" w:hAnsi="宋体" w:cs="宋体"/>
                <w:bCs/>
                <w:szCs w:val="21"/>
              </w:rPr>
            </w:pPr>
            <w:r>
              <w:rPr>
                <w:rFonts w:hint="eastAsia" w:ascii="宋体" w:hAnsi="宋体" w:cs="宋体"/>
                <w:bCs/>
                <w:szCs w:val="21"/>
              </w:rPr>
              <w:t>7</w:t>
            </w:r>
          </w:p>
        </w:tc>
        <w:tc>
          <w:tcPr>
            <w:tcW w:w="759" w:type="pct"/>
            <w:tcBorders>
              <w:top w:val="single" w:color="auto" w:sz="4" w:space="0"/>
              <w:left w:val="single" w:color="auto" w:sz="4" w:space="0"/>
              <w:bottom w:val="single" w:color="auto" w:sz="4" w:space="0"/>
              <w:right w:val="single" w:color="auto" w:sz="4" w:space="0"/>
            </w:tcBorders>
            <w:vAlign w:val="center"/>
          </w:tcPr>
          <w:p w14:paraId="37A4F97D">
            <w:pPr>
              <w:adjustRightInd w:val="0"/>
              <w:snapToGrid w:val="0"/>
              <w:spacing w:line="360" w:lineRule="auto"/>
              <w:jc w:val="center"/>
              <w:rPr>
                <w:rFonts w:ascii="宋体" w:hAnsi="宋体" w:cs="宋体"/>
                <w:szCs w:val="21"/>
              </w:rPr>
            </w:pPr>
            <w:r>
              <w:rPr>
                <w:rFonts w:hint="eastAsia" w:ascii="宋体" w:hAnsi="宋体" w:cs="宋体"/>
                <w:szCs w:val="21"/>
              </w:rPr>
              <w:t>整体实施方案</w:t>
            </w:r>
          </w:p>
        </w:tc>
        <w:tc>
          <w:tcPr>
            <w:tcW w:w="3137" w:type="pct"/>
            <w:tcBorders>
              <w:top w:val="single" w:color="auto" w:sz="4" w:space="0"/>
              <w:left w:val="single" w:color="auto" w:sz="4" w:space="0"/>
              <w:bottom w:val="single" w:color="auto" w:sz="4" w:space="0"/>
              <w:right w:val="single" w:color="auto" w:sz="4" w:space="0"/>
            </w:tcBorders>
            <w:vAlign w:val="center"/>
          </w:tcPr>
          <w:p w14:paraId="4F041197">
            <w:pPr>
              <w:widowControl/>
              <w:adjustRightInd w:val="0"/>
              <w:snapToGrid w:val="0"/>
              <w:spacing w:line="360" w:lineRule="auto"/>
              <w:textAlignment w:val="center"/>
              <w:rPr>
                <w:rFonts w:ascii="宋体" w:hAnsi="宋体" w:cs="宋体"/>
                <w:szCs w:val="21"/>
              </w:rPr>
            </w:pPr>
            <w:r>
              <w:rPr>
                <w:rFonts w:hint="eastAsia" w:ascii="宋体" w:hAnsi="宋体" w:cs="宋体"/>
                <w:szCs w:val="21"/>
              </w:rPr>
              <w:t>根据供应商提供的针对本项目的陈列布展整体实施方案，包括但不限于：总体进度计划、确保达到质量目标的技术组织措施、安全文明管理目标及措施等进行综合评审：</w:t>
            </w:r>
          </w:p>
          <w:p w14:paraId="6A23BE3F">
            <w:pPr>
              <w:widowControl/>
              <w:adjustRightInd w:val="0"/>
              <w:snapToGrid w:val="0"/>
              <w:spacing w:line="360" w:lineRule="auto"/>
              <w:textAlignment w:val="center"/>
              <w:rPr>
                <w:rFonts w:ascii="宋体" w:hAnsi="宋体" w:cs="宋体"/>
                <w:szCs w:val="21"/>
              </w:rPr>
            </w:pPr>
            <w:r>
              <w:rPr>
                <w:rFonts w:hint="eastAsia" w:ascii="宋体" w:hAnsi="宋体" w:cs="宋体"/>
                <w:szCs w:val="21"/>
              </w:rPr>
              <w:t>内容详实具体、科学合理、可实施性强且考虑完善、措施齐全的得10分；</w:t>
            </w:r>
          </w:p>
          <w:p w14:paraId="78466268">
            <w:pPr>
              <w:widowControl/>
              <w:adjustRightInd w:val="0"/>
              <w:snapToGrid w:val="0"/>
              <w:spacing w:line="360" w:lineRule="auto"/>
              <w:textAlignment w:val="center"/>
              <w:rPr>
                <w:rFonts w:ascii="宋体" w:hAnsi="宋体" w:cs="宋体"/>
                <w:szCs w:val="21"/>
              </w:rPr>
            </w:pPr>
            <w:r>
              <w:rPr>
                <w:rFonts w:hint="eastAsia" w:ascii="宋体" w:hAnsi="宋体" w:cs="宋体"/>
                <w:szCs w:val="21"/>
              </w:rPr>
              <w:t>内容较具体、合理、可实施性较强且考虑较完善、措施较齐全的得7分；</w:t>
            </w:r>
          </w:p>
          <w:p w14:paraId="3F3A22B9">
            <w:pPr>
              <w:widowControl/>
              <w:adjustRightInd w:val="0"/>
              <w:snapToGrid w:val="0"/>
              <w:spacing w:line="360" w:lineRule="auto"/>
              <w:textAlignment w:val="center"/>
              <w:rPr>
                <w:rFonts w:ascii="宋体" w:hAnsi="宋体" w:cs="宋体"/>
                <w:szCs w:val="21"/>
              </w:rPr>
            </w:pPr>
            <w:r>
              <w:rPr>
                <w:rFonts w:hint="eastAsia" w:ascii="宋体" w:hAnsi="宋体" w:cs="宋体"/>
                <w:szCs w:val="21"/>
              </w:rPr>
              <w:t>内容合理、可实施性一般且考虑不完善、措施一般的得4分；</w:t>
            </w:r>
          </w:p>
          <w:p w14:paraId="3452DF43">
            <w:pPr>
              <w:widowControl/>
              <w:adjustRightInd w:val="0"/>
              <w:snapToGrid w:val="0"/>
              <w:spacing w:line="360" w:lineRule="auto"/>
              <w:textAlignment w:val="center"/>
              <w:rPr>
                <w:rFonts w:ascii="宋体" w:hAnsi="宋体" w:cs="宋体"/>
                <w:b/>
                <w:bCs/>
                <w:szCs w:val="21"/>
              </w:rPr>
            </w:pPr>
            <w:r>
              <w:rPr>
                <w:rFonts w:hint="eastAsia" w:ascii="宋体" w:hAnsi="宋体" w:cs="宋体"/>
                <w:szCs w:val="21"/>
              </w:rPr>
              <w:t>内容不全或未提供内容的不得分。</w:t>
            </w:r>
          </w:p>
        </w:tc>
        <w:tc>
          <w:tcPr>
            <w:tcW w:w="678" w:type="pct"/>
            <w:tcBorders>
              <w:top w:val="single" w:color="auto" w:sz="4" w:space="0"/>
              <w:left w:val="single" w:color="auto" w:sz="4" w:space="0"/>
              <w:bottom w:val="single" w:color="auto" w:sz="4" w:space="0"/>
              <w:right w:val="single" w:color="auto" w:sz="4" w:space="0"/>
            </w:tcBorders>
            <w:vAlign w:val="center"/>
          </w:tcPr>
          <w:p w14:paraId="6A4BCED3">
            <w:pPr>
              <w:adjustRightInd w:val="0"/>
              <w:snapToGrid w:val="0"/>
              <w:spacing w:line="360" w:lineRule="auto"/>
              <w:jc w:val="center"/>
              <w:rPr>
                <w:rFonts w:ascii="宋体" w:hAnsi="宋体" w:cs="宋体"/>
                <w:szCs w:val="21"/>
              </w:rPr>
            </w:pPr>
            <w:r>
              <w:rPr>
                <w:rFonts w:hint="eastAsia" w:ascii="宋体" w:hAnsi="宋体" w:cs="宋体"/>
                <w:szCs w:val="21"/>
              </w:rPr>
              <w:t>10</w:t>
            </w:r>
          </w:p>
        </w:tc>
      </w:tr>
      <w:tr w14:paraId="6355C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4" w:type="pct"/>
            <w:tcBorders>
              <w:top w:val="single" w:color="auto" w:sz="4" w:space="0"/>
              <w:left w:val="single" w:color="auto" w:sz="4" w:space="0"/>
              <w:bottom w:val="single" w:color="auto" w:sz="4" w:space="0"/>
              <w:right w:val="single" w:color="auto" w:sz="4" w:space="0"/>
            </w:tcBorders>
            <w:vAlign w:val="center"/>
          </w:tcPr>
          <w:p w14:paraId="37079787">
            <w:pPr>
              <w:adjustRightInd w:val="0"/>
              <w:snapToGrid w:val="0"/>
              <w:spacing w:line="360" w:lineRule="auto"/>
              <w:jc w:val="center"/>
              <w:rPr>
                <w:rFonts w:ascii="宋体" w:hAnsi="宋体" w:cs="宋体"/>
                <w:bCs/>
                <w:szCs w:val="21"/>
              </w:rPr>
            </w:pPr>
            <w:r>
              <w:rPr>
                <w:rFonts w:hint="eastAsia" w:ascii="宋体" w:hAnsi="宋体" w:cs="宋体"/>
                <w:bCs/>
                <w:szCs w:val="21"/>
              </w:rPr>
              <w:t>8</w:t>
            </w:r>
          </w:p>
        </w:tc>
        <w:tc>
          <w:tcPr>
            <w:tcW w:w="759" w:type="pct"/>
            <w:tcBorders>
              <w:top w:val="single" w:color="auto" w:sz="4" w:space="0"/>
              <w:left w:val="single" w:color="auto" w:sz="4" w:space="0"/>
              <w:bottom w:val="single" w:color="auto" w:sz="4" w:space="0"/>
              <w:right w:val="single" w:color="auto" w:sz="4" w:space="0"/>
            </w:tcBorders>
            <w:vAlign w:val="center"/>
          </w:tcPr>
          <w:p w14:paraId="394CDD9A">
            <w:pPr>
              <w:adjustRightInd w:val="0"/>
              <w:snapToGrid w:val="0"/>
              <w:spacing w:line="360" w:lineRule="auto"/>
              <w:jc w:val="center"/>
              <w:rPr>
                <w:rFonts w:ascii="宋体" w:hAnsi="宋体" w:cs="宋体"/>
                <w:szCs w:val="21"/>
              </w:rPr>
            </w:pPr>
            <w:r>
              <w:rPr>
                <w:rFonts w:hint="eastAsia" w:ascii="宋体" w:hAnsi="宋体" w:cs="宋体"/>
                <w:szCs w:val="21"/>
              </w:rPr>
              <w:t>售后服务体系与维保方案</w:t>
            </w:r>
          </w:p>
        </w:tc>
        <w:tc>
          <w:tcPr>
            <w:tcW w:w="3137" w:type="pct"/>
            <w:tcBorders>
              <w:top w:val="single" w:color="auto" w:sz="4" w:space="0"/>
              <w:left w:val="single" w:color="auto" w:sz="4" w:space="0"/>
              <w:bottom w:val="single" w:color="auto" w:sz="4" w:space="0"/>
              <w:right w:val="single" w:color="auto" w:sz="4" w:space="0"/>
            </w:tcBorders>
            <w:vAlign w:val="center"/>
          </w:tcPr>
          <w:p w14:paraId="54DE2254">
            <w:pPr>
              <w:widowControl/>
              <w:adjustRightInd w:val="0"/>
              <w:snapToGrid w:val="0"/>
              <w:spacing w:line="360" w:lineRule="auto"/>
              <w:textAlignment w:val="center"/>
              <w:rPr>
                <w:rFonts w:ascii="宋体" w:hAnsi="宋体" w:cs="宋体"/>
                <w:szCs w:val="21"/>
              </w:rPr>
            </w:pPr>
            <w:r>
              <w:rPr>
                <w:rFonts w:hint="eastAsia" w:ascii="宋体" w:hAnsi="宋体" w:cs="宋体"/>
                <w:szCs w:val="21"/>
              </w:rPr>
              <w:t>根据提交的可实际操作的技术服务、售后服务体系、维保方案等方面的保证措施，详细的维护工作计划和流程进行综合评审：</w:t>
            </w:r>
          </w:p>
          <w:p w14:paraId="68D7D1FF">
            <w:pPr>
              <w:widowControl/>
              <w:adjustRightInd w:val="0"/>
              <w:snapToGrid w:val="0"/>
              <w:spacing w:line="360" w:lineRule="auto"/>
              <w:textAlignment w:val="center"/>
              <w:rPr>
                <w:rFonts w:ascii="宋体" w:hAnsi="宋体" w:cs="宋体"/>
                <w:szCs w:val="21"/>
              </w:rPr>
            </w:pPr>
            <w:r>
              <w:rPr>
                <w:rFonts w:hint="eastAsia" w:ascii="宋体" w:hAnsi="宋体" w:cs="宋体"/>
                <w:szCs w:val="21"/>
              </w:rPr>
              <w:t>内容详实具体、科学合理、可实施性强且考虑完善、措施齐全的得10分；</w:t>
            </w:r>
          </w:p>
          <w:p w14:paraId="3AA0098A">
            <w:pPr>
              <w:widowControl/>
              <w:adjustRightInd w:val="0"/>
              <w:snapToGrid w:val="0"/>
              <w:spacing w:line="360" w:lineRule="auto"/>
              <w:textAlignment w:val="center"/>
              <w:rPr>
                <w:rFonts w:ascii="宋体" w:hAnsi="宋体" w:cs="宋体"/>
                <w:szCs w:val="21"/>
              </w:rPr>
            </w:pPr>
            <w:r>
              <w:rPr>
                <w:rFonts w:hint="eastAsia" w:ascii="宋体" w:hAnsi="宋体" w:cs="宋体"/>
                <w:szCs w:val="21"/>
              </w:rPr>
              <w:t>内容较具体、合理、可实施性较强且考虑较完善、措施较齐全的得7分；</w:t>
            </w:r>
          </w:p>
          <w:p w14:paraId="289ACE2C">
            <w:pPr>
              <w:widowControl/>
              <w:adjustRightInd w:val="0"/>
              <w:snapToGrid w:val="0"/>
              <w:spacing w:line="360" w:lineRule="auto"/>
              <w:textAlignment w:val="center"/>
              <w:rPr>
                <w:rFonts w:ascii="宋体" w:hAnsi="宋体" w:cs="宋体"/>
                <w:szCs w:val="21"/>
              </w:rPr>
            </w:pPr>
            <w:r>
              <w:rPr>
                <w:rFonts w:hint="eastAsia" w:ascii="宋体" w:hAnsi="宋体" w:cs="宋体"/>
                <w:szCs w:val="21"/>
              </w:rPr>
              <w:t>内容合理、可实施性一般且考虑不完善、措施一般的得4分；</w:t>
            </w:r>
          </w:p>
          <w:p w14:paraId="55E43C0F">
            <w:pPr>
              <w:widowControl/>
              <w:adjustRightInd w:val="0"/>
              <w:snapToGrid w:val="0"/>
              <w:spacing w:line="360" w:lineRule="auto"/>
              <w:textAlignment w:val="center"/>
              <w:rPr>
                <w:rFonts w:ascii="宋体" w:hAnsi="宋体" w:cs="宋体"/>
                <w:szCs w:val="21"/>
              </w:rPr>
            </w:pPr>
            <w:r>
              <w:rPr>
                <w:rFonts w:hint="eastAsia" w:ascii="宋体" w:hAnsi="宋体" w:cs="宋体"/>
                <w:szCs w:val="21"/>
              </w:rPr>
              <w:t>内容不全或未提供内容的不得分。</w:t>
            </w:r>
          </w:p>
        </w:tc>
        <w:tc>
          <w:tcPr>
            <w:tcW w:w="678" w:type="pct"/>
            <w:tcBorders>
              <w:top w:val="single" w:color="auto" w:sz="4" w:space="0"/>
              <w:left w:val="single" w:color="auto" w:sz="4" w:space="0"/>
              <w:bottom w:val="single" w:color="auto" w:sz="4" w:space="0"/>
              <w:right w:val="single" w:color="auto" w:sz="4" w:space="0"/>
            </w:tcBorders>
            <w:vAlign w:val="center"/>
          </w:tcPr>
          <w:p w14:paraId="2FE0EFA1">
            <w:pPr>
              <w:adjustRightInd w:val="0"/>
              <w:snapToGrid w:val="0"/>
              <w:spacing w:line="360" w:lineRule="auto"/>
              <w:jc w:val="center"/>
              <w:rPr>
                <w:rFonts w:ascii="宋体" w:hAnsi="宋体" w:cs="宋体"/>
                <w:szCs w:val="21"/>
              </w:rPr>
            </w:pPr>
            <w:r>
              <w:rPr>
                <w:rFonts w:hint="eastAsia" w:ascii="宋体" w:hAnsi="宋体" w:cs="宋体"/>
                <w:szCs w:val="21"/>
              </w:rPr>
              <w:t>10</w:t>
            </w:r>
          </w:p>
        </w:tc>
      </w:tr>
      <w:tr w14:paraId="33D4C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6CDB4AE2">
            <w:pPr>
              <w:adjustRightInd w:val="0"/>
              <w:snapToGrid w:val="0"/>
              <w:spacing w:line="360" w:lineRule="auto"/>
              <w:jc w:val="center"/>
              <w:rPr>
                <w:rFonts w:ascii="宋体" w:hAnsi="宋体" w:cs="宋体"/>
                <w:b/>
                <w:bCs/>
                <w:szCs w:val="21"/>
              </w:rPr>
            </w:pPr>
            <w:r>
              <w:rPr>
                <w:rFonts w:hint="eastAsia" w:ascii="宋体" w:hAnsi="宋体" w:cs="宋体"/>
                <w:b/>
                <w:bCs/>
                <w:szCs w:val="21"/>
              </w:rPr>
              <w:t>（三）商务部分（16分）</w:t>
            </w:r>
          </w:p>
        </w:tc>
      </w:tr>
      <w:tr w14:paraId="4B7B7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4" w:type="pct"/>
            <w:tcBorders>
              <w:top w:val="single" w:color="auto" w:sz="4" w:space="0"/>
              <w:left w:val="single" w:color="auto" w:sz="4" w:space="0"/>
              <w:bottom w:val="single" w:color="auto" w:sz="4" w:space="0"/>
              <w:right w:val="single" w:color="auto" w:sz="4" w:space="0"/>
            </w:tcBorders>
            <w:vAlign w:val="center"/>
          </w:tcPr>
          <w:p w14:paraId="04245F30">
            <w:pPr>
              <w:adjustRightInd w:val="0"/>
              <w:snapToGrid w:val="0"/>
              <w:spacing w:line="360" w:lineRule="auto"/>
              <w:jc w:val="center"/>
              <w:rPr>
                <w:rFonts w:ascii="宋体" w:hAnsi="宋体" w:cs="宋体"/>
                <w:bCs/>
                <w:szCs w:val="21"/>
              </w:rPr>
            </w:pPr>
            <w:r>
              <w:rPr>
                <w:rFonts w:hint="eastAsia" w:ascii="宋体" w:hAnsi="宋体" w:cs="宋体"/>
                <w:bCs/>
                <w:szCs w:val="21"/>
              </w:rPr>
              <w:t>9</w:t>
            </w:r>
          </w:p>
        </w:tc>
        <w:tc>
          <w:tcPr>
            <w:tcW w:w="759" w:type="pct"/>
            <w:tcBorders>
              <w:top w:val="single" w:color="auto" w:sz="4" w:space="0"/>
              <w:left w:val="single" w:color="auto" w:sz="4" w:space="0"/>
              <w:bottom w:val="single" w:color="auto" w:sz="4" w:space="0"/>
              <w:right w:val="single" w:color="auto" w:sz="4" w:space="0"/>
            </w:tcBorders>
            <w:vAlign w:val="center"/>
          </w:tcPr>
          <w:p w14:paraId="02646359">
            <w:pPr>
              <w:adjustRightInd w:val="0"/>
              <w:snapToGrid w:val="0"/>
              <w:spacing w:line="360" w:lineRule="auto"/>
              <w:jc w:val="center"/>
              <w:rPr>
                <w:rFonts w:ascii="宋体" w:hAnsi="宋体" w:cs="宋体"/>
                <w:szCs w:val="21"/>
              </w:rPr>
            </w:pPr>
            <w:r>
              <w:rPr>
                <w:rFonts w:hint="eastAsia" w:ascii="宋体" w:hAnsi="宋体" w:cs="宋体"/>
                <w:szCs w:val="21"/>
              </w:rPr>
              <w:t>类似业绩</w:t>
            </w:r>
          </w:p>
        </w:tc>
        <w:tc>
          <w:tcPr>
            <w:tcW w:w="3137" w:type="pct"/>
            <w:tcBorders>
              <w:top w:val="single" w:color="auto" w:sz="4" w:space="0"/>
              <w:left w:val="single" w:color="auto" w:sz="4" w:space="0"/>
              <w:bottom w:val="single" w:color="auto" w:sz="4" w:space="0"/>
              <w:right w:val="single" w:color="auto" w:sz="4" w:space="0"/>
            </w:tcBorders>
            <w:shd w:val="clear" w:color="auto" w:fill="FFFFFF"/>
            <w:vAlign w:val="center"/>
          </w:tcPr>
          <w:p w14:paraId="6043F591">
            <w:pPr>
              <w:widowControl/>
              <w:adjustRightInd w:val="0"/>
              <w:snapToGrid w:val="0"/>
              <w:spacing w:line="360" w:lineRule="auto"/>
              <w:textAlignment w:val="center"/>
              <w:rPr>
                <w:rFonts w:ascii="宋体" w:hAnsi="宋体" w:cs="宋体"/>
                <w:szCs w:val="21"/>
              </w:rPr>
            </w:pPr>
            <w:r>
              <w:rPr>
                <w:rFonts w:hint="eastAsia" w:ascii="宋体" w:hAnsi="宋体" w:cs="宋体"/>
                <w:szCs w:val="21"/>
              </w:rPr>
              <w:t>根据供应商2023年1月1日以来（以合同签订时间为准）完成的类似布展项目的案例进行评分，每提供1个有效案例得2分，此项最高得8分。</w:t>
            </w:r>
          </w:p>
          <w:p w14:paraId="2A30AA46">
            <w:pPr>
              <w:widowControl/>
              <w:adjustRightInd w:val="0"/>
              <w:snapToGrid w:val="0"/>
              <w:spacing w:line="360" w:lineRule="auto"/>
              <w:textAlignment w:val="center"/>
              <w:rPr>
                <w:rFonts w:ascii="宋体" w:hAnsi="宋体" w:cs="宋体"/>
                <w:szCs w:val="21"/>
              </w:rPr>
            </w:pPr>
            <w:r>
              <w:rPr>
                <w:rFonts w:hint="eastAsia" w:ascii="宋体" w:hAnsi="宋体" w:cs="宋体"/>
                <w:szCs w:val="21"/>
              </w:rPr>
              <w:t>备注：提供合同复印件作为有效证明材料，合同应能反映合同签订时间、项目内容等相关信息，如不能反映，须提供其他证明文件。</w:t>
            </w:r>
          </w:p>
        </w:tc>
        <w:tc>
          <w:tcPr>
            <w:tcW w:w="678" w:type="pct"/>
            <w:tcBorders>
              <w:top w:val="single" w:color="auto" w:sz="4" w:space="0"/>
              <w:left w:val="single" w:color="auto" w:sz="4" w:space="0"/>
              <w:bottom w:val="single" w:color="auto" w:sz="4" w:space="0"/>
              <w:right w:val="single" w:color="auto" w:sz="4" w:space="0"/>
            </w:tcBorders>
            <w:vAlign w:val="center"/>
          </w:tcPr>
          <w:p w14:paraId="28010DCE">
            <w:pPr>
              <w:adjustRightInd w:val="0"/>
              <w:snapToGrid w:val="0"/>
              <w:spacing w:line="360" w:lineRule="auto"/>
              <w:jc w:val="center"/>
              <w:rPr>
                <w:rFonts w:ascii="宋体" w:hAnsi="宋体" w:cs="宋体"/>
                <w:szCs w:val="21"/>
              </w:rPr>
            </w:pPr>
            <w:r>
              <w:rPr>
                <w:rFonts w:hint="eastAsia" w:ascii="宋体" w:hAnsi="宋体" w:cs="宋体"/>
                <w:szCs w:val="21"/>
              </w:rPr>
              <w:t>8</w:t>
            </w:r>
          </w:p>
        </w:tc>
      </w:tr>
      <w:tr w14:paraId="4BF53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4" w:type="pct"/>
            <w:tcBorders>
              <w:top w:val="single" w:color="auto" w:sz="4" w:space="0"/>
              <w:left w:val="single" w:color="auto" w:sz="4" w:space="0"/>
              <w:bottom w:val="single" w:color="auto" w:sz="4" w:space="0"/>
              <w:right w:val="single" w:color="auto" w:sz="4" w:space="0"/>
            </w:tcBorders>
            <w:vAlign w:val="center"/>
          </w:tcPr>
          <w:p w14:paraId="59BF0BC7">
            <w:pPr>
              <w:adjustRightInd w:val="0"/>
              <w:snapToGrid w:val="0"/>
              <w:spacing w:line="360" w:lineRule="auto"/>
              <w:jc w:val="center"/>
              <w:rPr>
                <w:rFonts w:ascii="宋体" w:hAnsi="宋体" w:cs="宋体"/>
                <w:bCs/>
                <w:szCs w:val="21"/>
              </w:rPr>
            </w:pPr>
            <w:r>
              <w:rPr>
                <w:rFonts w:hint="eastAsia" w:ascii="宋体" w:hAnsi="宋体" w:cs="宋体"/>
                <w:bCs/>
                <w:szCs w:val="21"/>
              </w:rPr>
              <w:t>10</w:t>
            </w:r>
          </w:p>
        </w:tc>
        <w:tc>
          <w:tcPr>
            <w:tcW w:w="759" w:type="pct"/>
            <w:tcBorders>
              <w:top w:val="single" w:color="auto" w:sz="4" w:space="0"/>
              <w:left w:val="single" w:color="auto" w:sz="4" w:space="0"/>
              <w:bottom w:val="single" w:color="auto" w:sz="4" w:space="0"/>
              <w:right w:val="single" w:color="auto" w:sz="4" w:space="0"/>
            </w:tcBorders>
            <w:vAlign w:val="center"/>
          </w:tcPr>
          <w:p w14:paraId="1133B2ED">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人员配置</w:t>
            </w:r>
          </w:p>
        </w:tc>
        <w:tc>
          <w:tcPr>
            <w:tcW w:w="3137" w:type="pct"/>
            <w:tcBorders>
              <w:top w:val="single" w:color="auto" w:sz="4" w:space="0"/>
              <w:left w:val="single" w:color="auto" w:sz="4" w:space="0"/>
              <w:bottom w:val="single" w:color="auto" w:sz="4" w:space="0"/>
              <w:right w:val="single" w:color="auto" w:sz="4" w:space="0"/>
            </w:tcBorders>
            <w:shd w:val="clear" w:color="auto" w:fill="FFFFFF"/>
            <w:vAlign w:val="center"/>
          </w:tcPr>
          <w:p w14:paraId="0763FB94">
            <w:pPr>
              <w:widowControl/>
              <w:adjustRightInd w:val="0"/>
              <w:snapToGrid w:val="0"/>
              <w:spacing w:line="360" w:lineRule="auto"/>
              <w:textAlignment w:val="center"/>
              <w:rPr>
                <w:rFonts w:ascii="宋体" w:hAnsi="宋体" w:cs="宋体"/>
                <w:szCs w:val="21"/>
                <w:highlight w:val="none"/>
              </w:rPr>
            </w:pPr>
            <w:r>
              <w:rPr>
                <w:rFonts w:hint="eastAsia" w:ascii="宋体" w:hAnsi="宋体" w:cs="宋体"/>
                <w:szCs w:val="21"/>
                <w:highlight w:val="none"/>
              </w:rPr>
              <w:t>拟派本项目的项目负责人具有建设工程类或与本项目相关的高级及以上职称的得4分；具有中级职称的得2分；本项最高得4分。拟派本项目的其他人员（项目负责人除外）具有建设工程类或与本项目相关的中级及以上职称的有1人得2分，本项最高得4分。</w:t>
            </w:r>
          </w:p>
          <w:p w14:paraId="21B70933">
            <w:pPr>
              <w:widowControl/>
              <w:adjustRightInd w:val="0"/>
              <w:snapToGrid w:val="0"/>
              <w:spacing w:line="360" w:lineRule="auto"/>
              <w:textAlignment w:val="center"/>
              <w:rPr>
                <w:rFonts w:ascii="宋体" w:hAnsi="宋体" w:cs="宋体"/>
                <w:szCs w:val="21"/>
                <w:highlight w:val="none"/>
              </w:rPr>
            </w:pPr>
            <w:r>
              <w:rPr>
                <w:rFonts w:hint="eastAsia" w:ascii="宋体" w:hAnsi="宋体" w:cs="宋体"/>
                <w:szCs w:val="21"/>
                <w:highlight w:val="none"/>
              </w:rPr>
              <w:t>备注：提供相应职称证书复印件作为有效证明材料,并提供供应商截止开标日期前为其缴纳的近三个月（任一月份）的社保证明。</w:t>
            </w:r>
          </w:p>
        </w:tc>
        <w:tc>
          <w:tcPr>
            <w:tcW w:w="678" w:type="pct"/>
            <w:tcBorders>
              <w:top w:val="single" w:color="auto" w:sz="4" w:space="0"/>
              <w:left w:val="single" w:color="auto" w:sz="4" w:space="0"/>
              <w:bottom w:val="single" w:color="auto" w:sz="4" w:space="0"/>
              <w:right w:val="single" w:color="auto" w:sz="4" w:space="0"/>
            </w:tcBorders>
            <w:vAlign w:val="center"/>
          </w:tcPr>
          <w:p w14:paraId="05E8B85B">
            <w:pPr>
              <w:adjustRightInd w:val="0"/>
              <w:snapToGrid w:val="0"/>
              <w:spacing w:line="360" w:lineRule="auto"/>
              <w:jc w:val="center"/>
              <w:rPr>
                <w:rFonts w:ascii="宋体" w:hAnsi="宋体" w:cs="宋体"/>
                <w:szCs w:val="21"/>
              </w:rPr>
            </w:pPr>
            <w:r>
              <w:rPr>
                <w:rFonts w:hint="eastAsia" w:ascii="宋体" w:hAnsi="宋体" w:cs="宋体"/>
                <w:szCs w:val="21"/>
              </w:rPr>
              <w:t>8</w:t>
            </w:r>
          </w:p>
        </w:tc>
      </w:tr>
      <w:tr w14:paraId="365AF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4321" w:type="pct"/>
            <w:gridSpan w:val="3"/>
            <w:tcBorders>
              <w:top w:val="single" w:color="auto" w:sz="4" w:space="0"/>
              <w:left w:val="single" w:color="auto" w:sz="4" w:space="0"/>
              <w:bottom w:val="single" w:color="auto" w:sz="4" w:space="0"/>
              <w:right w:val="single" w:color="auto" w:sz="4" w:space="0"/>
            </w:tcBorders>
            <w:vAlign w:val="center"/>
          </w:tcPr>
          <w:p w14:paraId="188589C1">
            <w:pPr>
              <w:adjustRightInd w:val="0"/>
              <w:snapToGrid w:val="0"/>
              <w:spacing w:line="360" w:lineRule="auto"/>
              <w:jc w:val="center"/>
              <w:rPr>
                <w:rFonts w:ascii="宋体" w:hAnsi="宋体" w:cs="宋体"/>
                <w:b/>
                <w:szCs w:val="21"/>
              </w:rPr>
            </w:pPr>
            <w:r>
              <w:rPr>
                <w:rFonts w:hint="eastAsia" w:ascii="宋体" w:hAnsi="宋体" w:cs="宋体"/>
                <w:b/>
                <w:szCs w:val="21"/>
              </w:rPr>
              <w:t>合计</w:t>
            </w:r>
          </w:p>
        </w:tc>
        <w:tc>
          <w:tcPr>
            <w:tcW w:w="678" w:type="pct"/>
            <w:tcBorders>
              <w:top w:val="single" w:color="auto" w:sz="4" w:space="0"/>
              <w:left w:val="single" w:color="auto" w:sz="4" w:space="0"/>
              <w:bottom w:val="single" w:color="auto" w:sz="4" w:space="0"/>
              <w:right w:val="single" w:color="auto" w:sz="4" w:space="0"/>
            </w:tcBorders>
            <w:vAlign w:val="center"/>
          </w:tcPr>
          <w:p w14:paraId="56026EA1">
            <w:pPr>
              <w:adjustRightInd w:val="0"/>
              <w:snapToGrid w:val="0"/>
              <w:spacing w:line="360" w:lineRule="auto"/>
              <w:jc w:val="center"/>
              <w:rPr>
                <w:rFonts w:ascii="宋体" w:hAnsi="宋体" w:cs="宋体"/>
                <w:b/>
                <w:szCs w:val="21"/>
              </w:rPr>
            </w:pPr>
            <w:r>
              <w:rPr>
                <w:rFonts w:hint="eastAsia" w:ascii="宋体" w:hAnsi="宋体" w:cs="宋体"/>
                <w:b/>
                <w:szCs w:val="21"/>
              </w:rPr>
              <w:t>100</w:t>
            </w:r>
          </w:p>
        </w:tc>
      </w:tr>
    </w:tbl>
    <w:p w14:paraId="5A7D6FC8">
      <w:pPr>
        <w:spacing w:line="440" w:lineRule="exact"/>
        <w:rPr>
          <w:rFonts w:ascii="Arial" w:hAnsi="Arial" w:cs="Arial"/>
          <w:szCs w:val="21"/>
        </w:rPr>
        <w:sectPr>
          <w:pgSz w:w="11906" w:h="16838"/>
          <w:pgMar w:top="1134" w:right="1134" w:bottom="1134" w:left="1134" w:header="851" w:footer="992" w:gutter="0"/>
          <w:cols w:space="720" w:num="1"/>
          <w:titlePg/>
          <w:docGrid w:linePitch="360" w:charSpace="0"/>
        </w:sectPr>
      </w:pPr>
      <w:r>
        <w:rPr>
          <w:b/>
          <w:bCs/>
          <w:szCs w:val="21"/>
        </w:rPr>
        <w:t>注：</w:t>
      </w:r>
      <w:r>
        <w:rPr>
          <w:b/>
        </w:rPr>
        <w:t>评审标准中涉及的</w:t>
      </w:r>
      <w:r>
        <w:rPr>
          <w:b/>
          <w:bCs/>
          <w:szCs w:val="21"/>
        </w:rPr>
        <w:t>证明材料均需附入</w:t>
      </w:r>
      <w:r>
        <w:rPr>
          <w:rFonts w:hint="eastAsia"/>
          <w:b/>
          <w:bCs/>
          <w:szCs w:val="21"/>
        </w:rPr>
        <w:t>响应</w:t>
      </w:r>
      <w:r>
        <w:rPr>
          <w:b/>
          <w:bCs/>
          <w:szCs w:val="21"/>
        </w:rPr>
        <w:t>文件内</w:t>
      </w:r>
      <w:r>
        <w:rPr>
          <w:b/>
        </w:rPr>
        <w:t>。</w:t>
      </w:r>
    </w:p>
    <w:p w14:paraId="193625B9">
      <w:pPr>
        <w:spacing w:line="440" w:lineRule="exact"/>
        <w:jc w:val="center"/>
        <w:outlineLvl w:val="0"/>
        <w:rPr>
          <w:rFonts w:ascii="宋体" w:hAnsi="宋体" w:cs="宋体"/>
          <w:b/>
          <w:sz w:val="28"/>
          <w:szCs w:val="28"/>
        </w:rPr>
      </w:pPr>
      <w:bookmarkStart w:id="226" w:name="_Toc19168"/>
      <w:r>
        <w:rPr>
          <w:rFonts w:hint="eastAsia" w:ascii="宋体" w:hAnsi="宋体" w:cs="宋体"/>
          <w:b/>
          <w:sz w:val="28"/>
          <w:szCs w:val="28"/>
        </w:rPr>
        <w:t>第四章 采购技术规格及要求</w:t>
      </w:r>
      <w:bookmarkEnd w:id="226"/>
      <w:bookmarkStart w:id="227" w:name="_Toc12474"/>
      <w:bookmarkStart w:id="228" w:name="_Toc11349"/>
    </w:p>
    <w:p w14:paraId="4D51EA6C">
      <w:pPr>
        <w:pStyle w:val="18"/>
        <w:spacing w:line="360" w:lineRule="auto"/>
        <w:ind w:firstLine="422" w:firstLineChars="200"/>
        <w:outlineLvl w:val="1"/>
        <w:rPr>
          <w:rFonts w:hAnsi="宋体" w:cs="宋体"/>
          <w:b/>
          <w:bCs/>
          <w:sz w:val="21"/>
          <w:szCs w:val="21"/>
        </w:rPr>
      </w:pPr>
      <w:bookmarkStart w:id="229" w:name="_Toc2868"/>
      <w:bookmarkStart w:id="230" w:name="_Toc25929"/>
      <w:r>
        <w:rPr>
          <w:rFonts w:hint="eastAsia" w:hAnsi="宋体" w:cs="宋体"/>
          <w:b/>
          <w:bCs/>
          <w:sz w:val="21"/>
          <w:szCs w:val="21"/>
        </w:rPr>
        <w:t>（一）项目概况</w:t>
      </w:r>
      <w:bookmarkEnd w:id="229"/>
    </w:p>
    <w:p w14:paraId="5A9AFE42">
      <w:pPr>
        <w:spacing w:line="360" w:lineRule="auto"/>
        <w:ind w:firstLine="420" w:firstLineChars="200"/>
        <w:rPr>
          <w:rFonts w:ascii="宋体" w:hAnsi="宋体" w:cs="宋体"/>
          <w:szCs w:val="21"/>
        </w:rPr>
      </w:pPr>
      <w:r>
        <w:rPr>
          <w:rFonts w:hint="eastAsia" w:ascii="宋体" w:hAnsi="宋体" w:cs="宋体"/>
          <w:szCs w:val="21"/>
        </w:rPr>
        <w:t>展览“全景江苏：百年视觉中的旅行与文化”以“旅行”为观察线索，从江苏近百年来美术发展与旅行视觉文献的双重主线入手，系统梳理地域文化变迁与文旅景观互动的历史图景。展览以中国画、油画、水彩、版画等代表性作品为主体，同时展出历史照片、旅行文献等珍贵视觉资料，并通过数字化手段呈现新媒体装置作品和空间，共同呈现百年历程中的江苏旅行景观与人文。为提升全省文创产品知名度、转化率和市场效益，同时在主展之外举办“美焕新章——全景江苏·文创精品邀请展”。本展览汇聚全省博物馆、美术馆近年开发的200余件文创精品，以“美焕新章”为主题，呈现艺术与生活、传统与创新的深度交融。通过各馆基于典藏精品的文创研发，彰显中华美学的当代传承，打造一场兼具艺术价值、文化深度与市场活力的文创盛宴。展品涵盖典藏衍生品、非遗再创设计等多元门类，既有对经典名作的当代转译，亦有对地域文化基因的活化再造。观众可近距离品鉴各馆“镇馆之宝”衍生系列，感受文创如何让经典艺术走入日常。</w:t>
      </w:r>
    </w:p>
    <w:p w14:paraId="07191FB1">
      <w:pPr>
        <w:spacing w:line="360" w:lineRule="auto"/>
        <w:ind w:firstLine="420" w:firstLineChars="200"/>
        <w:rPr>
          <w:rFonts w:ascii="宋体" w:hAnsi="宋体" w:cs="宋体"/>
          <w:szCs w:val="21"/>
        </w:rPr>
      </w:pPr>
      <w:r>
        <w:rPr>
          <w:rFonts w:hint="eastAsia" w:ascii="宋体" w:hAnsi="宋体" w:cs="宋体"/>
          <w:szCs w:val="21"/>
        </w:rPr>
        <w:t>本次展览策划的一条明线，是从文旅融合的角度，以旅行的主题视角带动串联视觉文化中的江苏风景人文。本次展览策划的一条暗线，则是从百年江苏美术发展史的角度，以中国画、油画、版画、摄影、新媒体作品等勾勒潜在的江苏百年美术脉络。</w:t>
      </w:r>
    </w:p>
    <w:p w14:paraId="69E18A7C">
      <w:pPr>
        <w:spacing w:line="360" w:lineRule="auto"/>
        <w:ind w:firstLine="420" w:firstLineChars="200"/>
        <w:rPr>
          <w:rFonts w:ascii="宋体" w:hAnsi="宋体" w:cs="宋体"/>
          <w:szCs w:val="21"/>
        </w:rPr>
      </w:pPr>
      <w:r>
        <w:rPr>
          <w:rFonts w:hint="eastAsia" w:ascii="宋体" w:hAnsi="宋体" w:cs="宋体"/>
          <w:szCs w:val="21"/>
        </w:rPr>
        <w:t>从展览最终呈现的角度上，把地理和城市层面的呈现作为主要线索，引导观众和作品的共情链接，提升公共性。通过摄影作品、装置作品、新媒体作品的引入，拓宽传统架上绘画展览的维度，丰富观众的观展体验，有效展示20世纪名家精品和当代艺术领域著名艺术家的代表作品。</w:t>
      </w:r>
    </w:p>
    <w:p w14:paraId="0C8AB84D">
      <w:pPr>
        <w:pStyle w:val="18"/>
        <w:spacing w:line="360" w:lineRule="auto"/>
        <w:ind w:firstLine="422" w:firstLineChars="200"/>
        <w:outlineLvl w:val="1"/>
        <w:rPr>
          <w:rFonts w:hAnsi="宋体" w:cs="宋体"/>
          <w:b/>
          <w:bCs/>
          <w:sz w:val="21"/>
          <w:szCs w:val="21"/>
        </w:rPr>
      </w:pPr>
      <w:bookmarkStart w:id="231" w:name="_Toc7121"/>
      <w:r>
        <w:rPr>
          <w:rFonts w:hint="eastAsia" w:hAnsi="宋体" w:cs="宋体"/>
          <w:b/>
          <w:bCs/>
          <w:sz w:val="21"/>
          <w:szCs w:val="21"/>
        </w:rPr>
        <w:t>（二）基本要求</w:t>
      </w:r>
      <w:bookmarkEnd w:id="231"/>
    </w:p>
    <w:p w14:paraId="40CD221D">
      <w:pPr>
        <w:pStyle w:val="18"/>
        <w:spacing w:line="360" w:lineRule="auto"/>
        <w:ind w:firstLine="420" w:firstLineChars="200"/>
        <w:rPr>
          <w:rFonts w:hAnsi="宋体" w:cs="宋体"/>
          <w:sz w:val="21"/>
          <w:szCs w:val="21"/>
        </w:rPr>
      </w:pPr>
      <w:r>
        <w:rPr>
          <w:rFonts w:hint="eastAsia" w:hAnsi="宋体" w:cs="宋体"/>
          <w:sz w:val="21"/>
          <w:szCs w:val="21"/>
        </w:rPr>
        <w:t>1、</w:t>
      </w:r>
      <w:r>
        <w:rPr>
          <w:rFonts w:hint="eastAsia" w:hAnsi="宋体" w:cs="宋体"/>
          <w:sz w:val="21"/>
          <w:szCs w:val="21"/>
          <w:highlight w:val="none"/>
        </w:rPr>
        <w:t>合同履行期限：展览时间</w:t>
      </w:r>
      <w:r>
        <w:rPr>
          <w:rFonts w:hint="eastAsia" w:hAnsi="宋体" w:cs="宋体"/>
          <w:sz w:val="21"/>
          <w:szCs w:val="21"/>
          <w:highlight w:val="none"/>
          <w:lang w:eastAsia="zh-CN"/>
        </w:rPr>
        <w:t>（</w:t>
      </w:r>
      <w:r>
        <w:rPr>
          <w:rFonts w:hint="eastAsia" w:hAnsi="宋体" w:cs="宋体"/>
          <w:sz w:val="21"/>
          <w:szCs w:val="21"/>
          <w:highlight w:val="none"/>
          <w:lang w:val="en-US" w:eastAsia="zh-CN"/>
        </w:rPr>
        <w:t>预计</w:t>
      </w:r>
      <w:r>
        <w:rPr>
          <w:rFonts w:hint="eastAsia" w:hAnsi="宋体" w:cs="宋体"/>
          <w:sz w:val="21"/>
          <w:szCs w:val="21"/>
          <w:highlight w:val="none"/>
          <w:lang w:eastAsia="zh-CN"/>
        </w:rPr>
        <w:t>）</w:t>
      </w:r>
      <w:r>
        <w:rPr>
          <w:rFonts w:hint="eastAsia" w:hAnsi="宋体" w:cs="宋体"/>
          <w:sz w:val="21"/>
          <w:szCs w:val="21"/>
          <w:highlight w:val="none"/>
        </w:rPr>
        <w:t>：2026/9/23-2026/11/1</w:t>
      </w:r>
      <w:r>
        <w:rPr>
          <w:rFonts w:hint="eastAsia" w:hAnsi="宋体" w:cs="宋体"/>
          <w:sz w:val="21"/>
          <w:szCs w:val="21"/>
          <w:highlight w:val="none"/>
          <w:lang w:val="en-US" w:eastAsia="zh-CN"/>
        </w:rPr>
        <w:t>5</w:t>
      </w:r>
      <w:r>
        <w:rPr>
          <w:rFonts w:hint="eastAsia" w:hAnsi="宋体" w:cs="宋体"/>
          <w:sz w:val="21"/>
          <w:szCs w:val="21"/>
          <w:highlight w:val="none"/>
        </w:rPr>
        <w:t>（布撤展时间以采购人通知为准）</w:t>
      </w:r>
    </w:p>
    <w:p w14:paraId="18A27899">
      <w:pPr>
        <w:pStyle w:val="18"/>
        <w:spacing w:line="360" w:lineRule="auto"/>
        <w:ind w:firstLine="420" w:firstLineChars="200"/>
        <w:rPr>
          <w:rFonts w:hAnsi="宋体" w:cs="宋体"/>
          <w:sz w:val="21"/>
          <w:szCs w:val="21"/>
        </w:rPr>
      </w:pPr>
      <w:r>
        <w:rPr>
          <w:rFonts w:hint="eastAsia" w:hAnsi="宋体" w:cs="宋体"/>
          <w:sz w:val="21"/>
          <w:szCs w:val="21"/>
        </w:rPr>
        <w:t>2、展览地点：江苏省美术馆（新馆）1、2、3、4、8号展厅</w:t>
      </w:r>
    </w:p>
    <w:p w14:paraId="2BF932B1">
      <w:pPr>
        <w:pStyle w:val="18"/>
        <w:spacing w:line="360" w:lineRule="auto"/>
        <w:ind w:firstLine="420" w:firstLineChars="200"/>
        <w:rPr>
          <w:rFonts w:hAnsi="宋体" w:cs="宋体"/>
          <w:sz w:val="21"/>
          <w:szCs w:val="21"/>
        </w:rPr>
      </w:pPr>
      <w:r>
        <w:rPr>
          <w:rFonts w:hint="eastAsia" w:hAnsi="宋体" w:cs="宋体"/>
          <w:sz w:val="21"/>
          <w:szCs w:val="21"/>
        </w:rPr>
        <w:t>3、本次展览展示面积包含江苏省美术馆（新馆）1、2、3、4、8号展厅及建筑外立面宣传位与中庭空间宣传位。展厅空间共计3200㎡。其中一、三号展厅1200㎡，二、四号展厅400㎡,八号展厅400㎡。</w:t>
      </w:r>
    </w:p>
    <w:p w14:paraId="121A711E">
      <w:pPr>
        <w:pStyle w:val="18"/>
        <w:spacing w:line="360" w:lineRule="auto"/>
        <w:ind w:firstLine="420" w:firstLineChars="200"/>
        <w:rPr>
          <w:rFonts w:hAnsi="宋体" w:cs="宋体"/>
          <w:sz w:val="21"/>
          <w:szCs w:val="21"/>
        </w:rPr>
      </w:pPr>
      <w:r>
        <w:rPr>
          <w:rFonts w:hint="eastAsia" w:hAnsi="宋体" w:cs="宋体"/>
          <w:sz w:val="21"/>
          <w:szCs w:val="21"/>
        </w:rPr>
        <w:t>4、本次展览布展工期8天，撤展工期2天（以接到采购人通知为准）。</w:t>
      </w:r>
    </w:p>
    <w:p w14:paraId="1B7243F3">
      <w:pPr>
        <w:pStyle w:val="18"/>
        <w:spacing w:line="360" w:lineRule="auto"/>
        <w:ind w:firstLine="422" w:firstLineChars="200"/>
        <w:outlineLvl w:val="1"/>
        <w:rPr>
          <w:rFonts w:hAnsi="宋体" w:cs="宋体"/>
          <w:b/>
          <w:bCs/>
          <w:sz w:val="21"/>
          <w:szCs w:val="21"/>
        </w:rPr>
      </w:pPr>
      <w:bookmarkStart w:id="232" w:name="_Toc22494"/>
      <w:r>
        <w:rPr>
          <w:rFonts w:hint="eastAsia" w:hAnsi="宋体" w:cs="宋体"/>
          <w:b/>
          <w:bCs/>
          <w:sz w:val="21"/>
          <w:szCs w:val="21"/>
        </w:rPr>
        <w:t>（三）整体要求（1-4号主展厅）</w:t>
      </w:r>
      <w:bookmarkEnd w:id="232"/>
    </w:p>
    <w:p w14:paraId="09A56FA9">
      <w:pPr>
        <w:pStyle w:val="18"/>
        <w:spacing w:line="360" w:lineRule="auto"/>
        <w:ind w:firstLine="420" w:firstLineChars="200"/>
        <w:rPr>
          <w:rFonts w:hAnsi="宋体" w:cs="宋体"/>
          <w:sz w:val="21"/>
          <w:szCs w:val="21"/>
        </w:rPr>
      </w:pPr>
      <w:r>
        <w:rPr>
          <w:rFonts w:hint="eastAsia" w:hAnsi="宋体" w:cs="宋体"/>
          <w:sz w:val="21"/>
          <w:szCs w:val="21"/>
        </w:rPr>
        <w:t>项目内容包括设计策划、展项制作、展品布展、撤展及配合展览实施的其他相关工作。</w:t>
      </w:r>
    </w:p>
    <w:p w14:paraId="2AB96A95">
      <w:pPr>
        <w:pStyle w:val="18"/>
        <w:spacing w:line="360" w:lineRule="auto"/>
        <w:ind w:firstLine="420" w:firstLineChars="200"/>
        <w:rPr>
          <w:rFonts w:hAnsi="宋体" w:cs="宋体"/>
          <w:sz w:val="21"/>
          <w:szCs w:val="21"/>
        </w:rPr>
      </w:pPr>
      <w:r>
        <w:rPr>
          <w:rFonts w:hint="eastAsia" w:hAnsi="宋体" w:cs="宋体"/>
          <w:sz w:val="21"/>
          <w:szCs w:val="21"/>
        </w:rPr>
        <w:t>1、方案设计理念</w:t>
      </w:r>
    </w:p>
    <w:p w14:paraId="263A94D9">
      <w:pPr>
        <w:pStyle w:val="18"/>
        <w:spacing w:line="360" w:lineRule="auto"/>
        <w:ind w:firstLine="420" w:firstLineChars="200"/>
        <w:rPr>
          <w:rFonts w:hAnsi="宋体" w:cs="宋体"/>
          <w:sz w:val="21"/>
          <w:szCs w:val="21"/>
        </w:rPr>
      </w:pPr>
      <w:r>
        <w:rPr>
          <w:rFonts w:hint="eastAsia" w:hAnsi="宋体" w:cs="宋体"/>
          <w:sz w:val="21"/>
          <w:szCs w:val="21"/>
        </w:rPr>
        <w:t>（1）围绕“全景江苏：百年视觉中的旅行与文化”这一核心主题，配合相应的展示手段，准确、形象地表现出此次展览的定位。</w:t>
      </w:r>
    </w:p>
    <w:p w14:paraId="306CFD95">
      <w:pPr>
        <w:pStyle w:val="18"/>
        <w:spacing w:line="360" w:lineRule="auto"/>
        <w:ind w:firstLine="420" w:firstLineChars="200"/>
        <w:rPr>
          <w:rFonts w:hAnsi="宋体" w:cs="宋体"/>
          <w:sz w:val="21"/>
          <w:szCs w:val="21"/>
        </w:rPr>
      </w:pPr>
      <w:r>
        <w:rPr>
          <w:rFonts w:hint="eastAsia" w:hAnsi="宋体" w:cs="宋体"/>
          <w:sz w:val="21"/>
          <w:szCs w:val="21"/>
        </w:rPr>
        <w:t>（2）展览应与展厅展览协调，展览设计风格、色调等符合展览定位。有机融入文献展台、场景搭建，营造整体统一的参观氛围。</w:t>
      </w:r>
    </w:p>
    <w:p w14:paraId="6049122C">
      <w:pPr>
        <w:pStyle w:val="43"/>
        <w:spacing w:line="360" w:lineRule="auto"/>
        <w:ind w:left="0" w:firstLine="420" w:firstLineChars="200"/>
        <w:rPr>
          <w:rFonts w:ascii="宋体" w:hAnsi="宋体" w:cs="宋体"/>
          <w:szCs w:val="21"/>
        </w:rPr>
      </w:pPr>
      <w:r>
        <w:rPr>
          <w:rFonts w:hint="eastAsia" w:ascii="宋体" w:hAnsi="宋体" w:cs="宋体"/>
          <w:szCs w:val="21"/>
        </w:rPr>
        <w:t>（3）作品中既有架上作品，也有数字影像和装置作品，应在设计中有效融合。</w:t>
      </w:r>
    </w:p>
    <w:p w14:paraId="6E4B020A">
      <w:pPr>
        <w:pStyle w:val="18"/>
        <w:spacing w:line="360" w:lineRule="auto"/>
        <w:ind w:firstLine="420" w:firstLineChars="200"/>
        <w:rPr>
          <w:rFonts w:hAnsi="宋体" w:cs="宋体"/>
          <w:sz w:val="21"/>
          <w:szCs w:val="21"/>
        </w:rPr>
      </w:pPr>
      <w:r>
        <w:rPr>
          <w:rFonts w:hint="eastAsia" w:hAnsi="宋体" w:cs="宋体"/>
          <w:sz w:val="21"/>
          <w:szCs w:val="21"/>
        </w:rPr>
        <w:t>2、展陈内容策划</w:t>
      </w:r>
    </w:p>
    <w:p w14:paraId="4E9A3497">
      <w:pPr>
        <w:pStyle w:val="43"/>
        <w:spacing w:line="360" w:lineRule="auto"/>
        <w:ind w:left="0" w:firstLine="420" w:firstLineChars="200"/>
        <w:rPr>
          <w:rFonts w:ascii="宋体" w:hAnsi="宋体" w:cs="宋体"/>
          <w:szCs w:val="21"/>
        </w:rPr>
      </w:pPr>
      <w:r>
        <w:rPr>
          <w:rFonts w:hint="eastAsia" w:ascii="宋体" w:hAnsi="宋体" w:cs="宋体"/>
          <w:szCs w:val="21"/>
        </w:rPr>
        <w:t>（1）展览将展出20世纪书画名家和当代艺术家的作品约150件，包含中自1919年至当代的中国画、油画、版画、水彩、摄影等作品，内容主题均为江苏全域的风景人文。主展览的基本结构如下：</w:t>
      </w:r>
    </w:p>
    <w:p w14:paraId="0CE0618C">
      <w:pPr>
        <w:spacing w:line="360" w:lineRule="auto"/>
        <w:ind w:firstLine="420" w:firstLineChars="200"/>
        <w:rPr>
          <w:rFonts w:ascii="宋体" w:hAnsi="宋体" w:cs="宋体"/>
          <w:szCs w:val="21"/>
        </w:rPr>
      </w:pPr>
      <w:r>
        <w:rPr>
          <w:rFonts w:hint="eastAsia" w:ascii="宋体" w:hAnsi="宋体" w:cs="宋体"/>
          <w:szCs w:val="21"/>
        </w:rPr>
        <w:t>序章-现代旅行的兴起，本章将以《旅行杂志》等文献、老物件等阐述20世纪现代旅行的开端。</w:t>
      </w:r>
    </w:p>
    <w:p w14:paraId="170ADF6D">
      <w:pPr>
        <w:spacing w:line="360" w:lineRule="auto"/>
        <w:ind w:firstLine="420" w:firstLineChars="200"/>
        <w:rPr>
          <w:rFonts w:ascii="宋体" w:hAnsi="宋体" w:cs="宋体"/>
          <w:szCs w:val="21"/>
        </w:rPr>
      </w:pPr>
      <w:r>
        <w:rPr>
          <w:rFonts w:hint="eastAsia" w:ascii="宋体" w:hAnsi="宋体" w:cs="宋体"/>
          <w:szCs w:val="21"/>
        </w:rPr>
        <w:t>第一章-循水而来（1、2号展厅），本章将以地理和空间视角，围绕江苏的水域呈现江苏省内各地的风景。</w:t>
      </w:r>
    </w:p>
    <w:p w14:paraId="172A087B">
      <w:pPr>
        <w:spacing w:line="360" w:lineRule="auto"/>
        <w:ind w:firstLine="420" w:firstLineChars="200"/>
        <w:rPr>
          <w:rFonts w:ascii="宋体" w:hAnsi="宋体" w:cs="宋体"/>
          <w:szCs w:val="21"/>
        </w:rPr>
      </w:pPr>
      <w:r>
        <w:rPr>
          <w:rFonts w:hint="eastAsia" w:ascii="宋体" w:hAnsi="宋体" w:cs="宋体"/>
          <w:szCs w:val="21"/>
        </w:rPr>
        <w:t>1、太湖  2、长江  3、运河  4、黄海  5、风物（丝、泥、茶、竹、盐）</w:t>
      </w:r>
    </w:p>
    <w:p w14:paraId="42940CC8">
      <w:pPr>
        <w:spacing w:line="360" w:lineRule="auto"/>
        <w:ind w:firstLine="420" w:firstLineChars="200"/>
        <w:rPr>
          <w:rFonts w:ascii="宋体" w:hAnsi="宋体" w:cs="宋体"/>
          <w:szCs w:val="21"/>
        </w:rPr>
      </w:pPr>
      <w:r>
        <w:rPr>
          <w:rFonts w:hint="eastAsia" w:ascii="宋体" w:hAnsi="宋体" w:cs="宋体"/>
          <w:szCs w:val="21"/>
        </w:rPr>
        <w:t>本章以架上作品为主，另包括2件数字影像作品（需要围合，暗场空间）、2件数字影像装置作品（需要围合，暗场空间）、2组雕塑装置。</w:t>
      </w:r>
    </w:p>
    <w:p w14:paraId="44BB340A">
      <w:pPr>
        <w:spacing w:line="360" w:lineRule="auto"/>
        <w:ind w:firstLine="420" w:firstLineChars="200"/>
        <w:rPr>
          <w:rFonts w:ascii="宋体" w:hAnsi="宋体" w:cs="宋体"/>
          <w:szCs w:val="21"/>
        </w:rPr>
      </w:pPr>
      <w:r>
        <w:rPr>
          <w:rFonts w:hint="eastAsia" w:ascii="宋体" w:hAnsi="宋体" w:cs="宋体"/>
          <w:szCs w:val="21"/>
        </w:rPr>
        <w:t>第二章-城市散步（3、4号展厅），本章将以城市和记忆视角，围绕打开城市旅行的几种视角呈现江苏省内各地的人文。</w:t>
      </w:r>
    </w:p>
    <w:p w14:paraId="5CC8463D">
      <w:pPr>
        <w:spacing w:line="360" w:lineRule="auto"/>
        <w:ind w:firstLine="420" w:firstLineChars="200"/>
        <w:rPr>
          <w:rFonts w:ascii="宋体" w:hAnsi="宋体" w:cs="宋体"/>
          <w:szCs w:val="21"/>
        </w:rPr>
      </w:pPr>
      <w:r>
        <w:rPr>
          <w:rFonts w:hint="eastAsia" w:ascii="宋体" w:hAnsi="宋体" w:cs="宋体"/>
          <w:szCs w:val="21"/>
        </w:rPr>
        <w:t>1、500年前的citywalk  2、城市指南 3、从私家园林到城市公园 4、访古的趣味与情怀  5、百年城市与建筑</w:t>
      </w:r>
    </w:p>
    <w:p w14:paraId="0A3B6D80">
      <w:pPr>
        <w:spacing w:line="360" w:lineRule="auto"/>
        <w:ind w:firstLine="420" w:firstLineChars="200"/>
        <w:rPr>
          <w:rFonts w:ascii="宋体" w:hAnsi="宋体" w:cs="宋体"/>
          <w:szCs w:val="21"/>
        </w:rPr>
      </w:pPr>
      <w:r>
        <w:rPr>
          <w:rFonts w:hint="eastAsia" w:ascii="宋体" w:hAnsi="宋体" w:cs="宋体"/>
          <w:szCs w:val="21"/>
        </w:rPr>
        <w:t>本章以架上作品为主，另包括1件数字影像作品，以及若干民国以来的旅行书籍（约10本左右）、古代及民国电子文献（约5项）、明信片（约10张）、老门票（约40张）、老广告（约20件）、老菜单（约5件）、老物件若干等。</w:t>
      </w:r>
    </w:p>
    <w:p w14:paraId="24E48B16">
      <w:pPr>
        <w:pStyle w:val="18"/>
        <w:spacing w:line="360" w:lineRule="auto"/>
        <w:ind w:firstLine="420" w:firstLineChars="200"/>
        <w:rPr>
          <w:rFonts w:hAnsi="宋体" w:cs="宋体"/>
          <w:sz w:val="21"/>
          <w:szCs w:val="21"/>
        </w:rPr>
      </w:pPr>
      <w:r>
        <w:rPr>
          <w:rFonts w:hint="eastAsia" w:hAnsi="宋体" w:cs="宋体"/>
          <w:sz w:val="21"/>
          <w:szCs w:val="21"/>
        </w:rPr>
        <w:t>（2）资料搜集整理全面，对展陈主题内容理解深刻、各板块内容和展陈主题紧密贴合、能充分体现“全景江苏：百年视觉中的旅行与文化”的主题特色。</w:t>
      </w:r>
    </w:p>
    <w:p w14:paraId="6EB89EAF">
      <w:pPr>
        <w:pStyle w:val="18"/>
        <w:spacing w:line="360" w:lineRule="auto"/>
        <w:ind w:firstLine="420" w:firstLineChars="200"/>
        <w:rPr>
          <w:rFonts w:hAnsi="宋体" w:cs="宋体"/>
          <w:sz w:val="21"/>
          <w:szCs w:val="21"/>
        </w:rPr>
      </w:pPr>
      <w:r>
        <w:rPr>
          <w:rFonts w:hint="eastAsia" w:hAnsi="宋体" w:cs="宋体"/>
          <w:sz w:val="21"/>
          <w:szCs w:val="21"/>
        </w:rPr>
        <w:t>3、空间布局及参观流线</w:t>
      </w:r>
    </w:p>
    <w:p w14:paraId="3BAC9BA8">
      <w:pPr>
        <w:pStyle w:val="18"/>
        <w:spacing w:line="360" w:lineRule="auto"/>
        <w:ind w:firstLine="420" w:firstLineChars="200"/>
        <w:rPr>
          <w:rFonts w:hAnsi="宋体" w:cs="宋体"/>
          <w:sz w:val="21"/>
          <w:szCs w:val="21"/>
        </w:rPr>
      </w:pPr>
      <w:r>
        <w:rPr>
          <w:rFonts w:hint="eastAsia" w:hAnsi="宋体" w:cs="宋体"/>
          <w:sz w:val="21"/>
          <w:szCs w:val="21"/>
        </w:rPr>
        <w:t>（1）含展陈平面图、参观流线图等内容。基于3200㎡的展厅空间，展陈设计制作中可灵活利用地贴、模块化拼装展台、展架等，打造简洁连贯的展览动线。</w:t>
      </w:r>
    </w:p>
    <w:p w14:paraId="67DC4E13">
      <w:pPr>
        <w:pStyle w:val="18"/>
        <w:spacing w:line="360" w:lineRule="auto"/>
        <w:ind w:firstLine="420" w:firstLineChars="200"/>
        <w:rPr>
          <w:rFonts w:hAnsi="宋体" w:cs="宋体"/>
          <w:sz w:val="21"/>
          <w:szCs w:val="21"/>
        </w:rPr>
      </w:pPr>
      <w:r>
        <w:rPr>
          <w:rFonts w:hint="eastAsia" w:hAnsi="宋体" w:cs="宋体"/>
          <w:sz w:val="21"/>
          <w:szCs w:val="21"/>
        </w:rPr>
        <w:t>（2）架上作品编排舒展，考虑架上作品和数字影像作品的光场设定和动线安排，有效设置作品主题展示区域与氛围营造，强化叙事效果的同时便于观众深入欣赏与短暂休息。</w:t>
      </w:r>
    </w:p>
    <w:p w14:paraId="09AC2B23">
      <w:pPr>
        <w:pStyle w:val="43"/>
        <w:spacing w:line="360" w:lineRule="auto"/>
        <w:ind w:left="0" w:firstLine="420" w:firstLineChars="200"/>
        <w:rPr>
          <w:rFonts w:ascii="宋体" w:hAnsi="宋体" w:cs="宋体"/>
        </w:rPr>
      </w:pPr>
      <w:r>
        <w:rPr>
          <w:rFonts w:hint="eastAsia" w:ascii="宋体" w:hAnsi="宋体" w:cs="宋体"/>
          <w:szCs w:val="21"/>
        </w:rPr>
        <w:t>（3）本次展览展品门类复杂，文献数量大，在展陈设计和制作中考虑文献的有效展示方式和视觉转化，必要时应采用数字化技术对文献进行呈现，同时配备相应的硬件设备。</w:t>
      </w:r>
    </w:p>
    <w:p w14:paraId="2CFF9756">
      <w:pPr>
        <w:pStyle w:val="18"/>
        <w:spacing w:line="360" w:lineRule="auto"/>
        <w:ind w:firstLine="420" w:firstLineChars="200"/>
        <w:rPr>
          <w:rFonts w:hAnsi="宋体" w:cs="宋体"/>
          <w:sz w:val="21"/>
          <w:szCs w:val="21"/>
        </w:rPr>
      </w:pPr>
      <w:r>
        <w:rPr>
          <w:rFonts w:hint="eastAsia" w:hAnsi="宋体" w:cs="宋体"/>
          <w:sz w:val="21"/>
          <w:szCs w:val="21"/>
        </w:rPr>
        <w:t>4、展项制作</w:t>
      </w:r>
    </w:p>
    <w:p w14:paraId="645D8BDE">
      <w:pPr>
        <w:pStyle w:val="18"/>
        <w:spacing w:line="360" w:lineRule="auto"/>
        <w:ind w:firstLine="420" w:firstLineChars="200"/>
        <w:rPr>
          <w:rFonts w:hAnsi="宋体" w:cs="宋体"/>
          <w:sz w:val="21"/>
          <w:szCs w:val="21"/>
        </w:rPr>
      </w:pPr>
      <w:r>
        <w:rPr>
          <w:rFonts w:hint="eastAsia" w:hAnsi="宋体" w:cs="宋体"/>
          <w:sz w:val="21"/>
          <w:szCs w:val="21"/>
        </w:rPr>
        <w:t>（1）墙面修补及改色粉刷，撤展后展墙修补</w:t>
      </w:r>
    </w:p>
    <w:p w14:paraId="73CBA461">
      <w:pPr>
        <w:pStyle w:val="18"/>
        <w:spacing w:line="360" w:lineRule="auto"/>
        <w:ind w:firstLine="420" w:firstLineChars="200"/>
        <w:rPr>
          <w:rFonts w:hAnsi="宋体" w:cs="宋体"/>
          <w:sz w:val="21"/>
          <w:szCs w:val="21"/>
        </w:rPr>
      </w:pPr>
      <w:r>
        <w:rPr>
          <w:rFonts w:hint="eastAsia" w:hAnsi="宋体" w:cs="宋体"/>
          <w:sz w:val="21"/>
          <w:szCs w:val="21"/>
        </w:rPr>
        <w:t>对1-4号展厅内需要使用的展墙进行粉刷出新，对部分区域进行修复和维修。要求使用无味乳胶漆，满足国家环保要求，需提供多种配色供选择，保证展墙面的平整度，颜色一致。进场施工时需做好对地面和展厅设施设备的遮挡防护工作避免交叉污染，不得影响美术馆开馆期间秩序，工完场清。</w:t>
      </w:r>
    </w:p>
    <w:p w14:paraId="666E0A2F">
      <w:pPr>
        <w:pStyle w:val="18"/>
        <w:spacing w:line="360" w:lineRule="auto"/>
        <w:ind w:firstLine="420" w:firstLineChars="200"/>
        <w:rPr>
          <w:rFonts w:hAnsi="宋体" w:cs="宋体"/>
          <w:sz w:val="21"/>
          <w:szCs w:val="21"/>
        </w:rPr>
      </w:pPr>
      <w:r>
        <w:rPr>
          <w:rFonts w:hint="eastAsia" w:hAnsi="宋体" w:cs="宋体"/>
          <w:sz w:val="21"/>
          <w:szCs w:val="21"/>
        </w:rPr>
        <w:t>（2）装置空间的制作及搭建</w:t>
      </w:r>
    </w:p>
    <w:p w14:paraId="26898B1C">
      <w:pPr>
        <w:pStyle w:val="18"/>
        <w:spacing w:line="360" w:lineRule="auto"/>
        <w:ind w:firstLine="420" w:firstLineChars="200"/>
        <w:rPr>
          <w:rFonts w:hAnsi="宋体" w:cs="宋体"/>
          <w:sz w:val="21"/>
          <w:szCs w:val="21"/>
        </w:rPr>
      </w:pPr>
      <w:r>
        <w:rPr>
          <w:rFonts w:hint="eastAsia" w:hAnsi="宋体" w:cs="宋体"/>
          <w:sz w:val="21"/>
          <w:szCs w:val="21"/>
        </w:rPr>
        <w:t>根据展览空间设计完成装置空间的搭建，确保设计合理，承重安全。完成1、2 号厅刘建华、王子耕、刘佳玉、杨泳梁、张文超等5个新媒体和装置艺术家作品的装置安装和空间定制，包含隔墙搭建、定制艺术展示台、装置吊装、投影框架幕布装置等配套工程。需严格按照艺术家确认的方案完成空间定制与装置安装，确保装置运行安全、视觉效果完全符合创作要求。刘佳玉（山体数字投影装置，需拼接，占地面积约40平米）、刘建华（陶瓷组合装置，总占地面积约55平米）、王子耕（装置占地面积约40平米，主体雕塑需吊装）等，结合作品面积和体量搭建展示空间。</w:t>
      </w:r>
    </w:p>
    <w:p w14:paraId="05AA8971">
      <w:pPr>
        <w:pStyle w:val="261"/>
        <w:spacing w:line="360" w:lineRule="auto"/>
        <w:ind w:left="0" w:leftChars="0" w:firstLine="420" w:firstLineChars="200"/>
        <w:rPr>
          <w:rFonts w:ascii="宋体" w:hAnsi="宋体" w:cs="宋体"/>
          <w:szCs w:val="21"/>
        </w:rPr>
      </w:pPr>
      <w:r>
        <w:rPr>
          <w:rFonts w:hint="eastAsia" w:ascii="宋体" w:hAnsi="宋体" w:cs="宋体"/>
          <w:szCs w:val="21"/>
        </w:rPr>
        <w:t>（3）互动装置定制</w:t>
      </w:r>
    </w:p>
    <w:p w14:paraId="7A676679">
      <w:pPr>
        <w:pStyle w:val="261"/>
        <w:spacing w:line="360" w:lineRule="auto"/>
        <w:ind w:left="0" w:leftChars="0" w:firstLine="420" w:firstLineChars="200"/>
        <w:rPr>
          <w:rFonts w:ascii="宋体" w:hAnsi="宋体" w:cs="宋体"/>
          <w:szCs w:val="21"/>
        </w:rPr>
      </w:pPr>
      <w:r>
        <w:rPr>
          <w:rFonts w:hint="eastAsia" w:ascii="宋体" w:hAnsi="宋体" w:cs="宋体"/>
          <w:szCs w:val="21"/>
        </w:rPr>
        <w:t>完成4号厅的卫星地图灯箱互动装置定制，总面积约100㎡。要求呈现江苏全域卫星地图，观众可脚踩站立的互动装置搭建。需保证地图来源准确合法合规，互动功能响应顺畅、结构安全稳固，符合美术馆公共空间使用标准。</w:t>
      </w:r>
    </w:p>
    <w:p w14:paraId="6BD33986">
      <w:pPr>
        <w:spacing w:line="360" w:lineRule="auto"/>
        <w:ind w:firstLine="420" w:firstLineChars="200"/>
        <w:rPr>
          <w:rFonts w:ascii="宋体" w:hAnsi="宋体" w:cs="宋体"/>
          <w:szCs w:val="21"/>
        </w:rPr>
      </w:pPr>
      <w:r>
        <w:rPr>
          <w:rFonts w:hint="eastAsia" w:ascii="宋体" w:hAnsi="宋体" w:cs="宋体"/>
          <w:szCs w:val="21"/>
        </w:rPr>
        <w:t>（4）场景氛围营造</w:t>
      </w:r>
    </w:p>
    <w:p w14:paraId="2152B667">
      <w:pPr>
        <w:spacing w:line="360" w:lineRule="auto"/>
        <w:ind w:firstLine="420" w:firstLineChars="200"/>
        <w:rPr>
          <w:rFonts w:ascii="宋体" w:hAnsi="宋体" w:cs="宋体"/>
          <w:szCs w:val="21"/>
        </w:rPr>
      </w:pPr>
      <w:r>
        <w:rPr>
          <w:rFonts w:hint="eastAsia" w:ascii="宋体" w:hAnsi="宋体" w:cs="宋体"/>
          <w:szCs w:val="21"/>
        </w:rPr>
        <w:t>结合展览主题，完成主题墙及序章、风物等场景的氛围布置营造，保证场景细节丰富、主题突出，视觉效果贴合展览定位。</w:t>
      </w:r>
    </w:p>
    <w:p w14:paraId="7D2C5678">
      <w:pPr>
        <w:pStyle w:val="261"/>
        <w:spacing w:line="360" w:lineRule="auto"/>
        <w:ind w:left="0" w:leftChars="0" w:firstLine="420" w:firstLineChars="200"/>
        <w:rPr>
          <w:rFonts w:ascii="宋体" w:hAnsi="宋体" w:cs="宋体"/>
          <w:szCs w:val="21"/>
        </w:rPr>
      </w:pPr>
      <w:r>
        <w:rPr>
          <w:rFonts w:hint="eastAsia" w:ascii="宋体" w:hAnsi="宋体" w:cs="宋体"/>
          <w:szCs w:val="21"/>
        </w:rPr>
        <w:t>（5）文献与建筑模型展台（展架）、雕塑展台、阅读区等定制</w:t>
      </w:r>
    </w:p>
    <w:p w14:paraId="28FE3D9F">
      <w:pPr>
        <w:pStyle w:val="261"/>
        <w:spacing w:line="360" w:lineRule="auto"/>
        <w:ind w:left="0" w:leftChars="0" w:firstLine="420" w:firstLineChars="200"/>
        <w:rPr>
          <w:rFonts w:ascii="宋体" w:hAnsi="宋体" w:cs="宋体"/>
          <w:szCs w:val="21"/>
        </w:rPr>
      </w:pPr>
      <w:r>
        <w:rPr>
          <w:rFonts w:hint="eastAsia" w:ascii="宋体" w:hAnsi="宋体" w:cs="宋体"/>
          <w:szCs w:val="21"/>
        </w:rPr>
        <w:t>根据展览空间设计完成1-4号厅的文献展示台定制，用于陈列建筑模型、文献资料等展品，同时4号展厅设置阅读区域，供观众休息阅读。要求展台（展架）结构稳固、可根据展陈需求拼装调整，适配不同类型展品的展示需求。具体展示的文献内容有门票、老商标招贴、书籍、明信片、老物件等。</w:t>
      </w:r>
    </w:p>
    <w:p w14:paraId="3C8EB256">
      <w:pPr>
        <w:pStyle w:val="261"/>
        <w:spacing w:line="360" w:lineRule="auto"/>
        <w:ind w:left="0" w:leftChars="0" w:firstLine="420" w:firstLineChars="200"/>
        <w:rPr>
          <w:rFonts w:ascii="宋体" w:hAnsi="宋体" w:cs="宋体"/>
          <w:szCs w:val="21"/>
        </w:rPr>
      </w:pPr>
      <w:r>
        <w:rPr>
          <w:rFonts w:hint="eastAsia" w:ascii="宋体" w:hAnsi="宋体" w:cs="宋体"/>
          <w:szCs w:val="21"/>
        </w:rPr>
        <w:t>（6）广告喷绘、丝网印刷、展签、地贴定制及安装</w:t>
      </w:r>
    </w:p>
    <w:p w14:paraId="495C6236">
      <w:pPr>
        <w:pStyle w:val="261"/>
        <w:spacing w:line="360" w:lineRule="auto"/>
        <w:ind w:left="0" w:leftChars="0" w:firstLine="420" w:firstLineChars="200"/>
        <w:rPr>
          <w:rFonts w:ascii="宋体" w:hAnsi="宋体" w:cs="宋体"/>
          <w:szCs w:val="21"/>
        </w:rPr>
      </w:pPr>
      <w:r>
        <w:rPr>
          <w:rFonts w:hint="eastAsia" w:ascii="宋体" w:hAnsi="宋体" w:cs="宋体"/>
          <w:szCs w:val="21"/>
        </w:rPr>
        <w:t>完成户外平台led电子屏尺寸：5120mm（宽）×6400mm（高）、一楼竖版电子屏尺寸：685mm（宽）×102mm（高），一楼中庭网格布条幅尺寸：3200mm（宽）×6800mm（高）、1-2号厅之间灯箱上： 6270mm（宽）× 740mm（高）灯箱需打孔、下 6270mm（宽）×2590mm（高）灯箱需打孔。以及立体雕刻字、丝网印刷文字、高密度雪弗板uv打印展签、加厚黑胶地贴。所有内容、尺寸、材质、物料、安装位、安装方式等需满足美术馆要求，需在布展期间内安装到位，并保证效率、质量及安全。</w:t>
      </w:r>
    </w:p>
    <w:p w14:paraId="78308AB4">
      <w:pPr>
        <w:pStyle w:val="18"/>
        <w:spacing w:line="360" w:lineRule="auto"/>
        <w:ind w:firstLine="420" w:firstLineChars="200"/>
        <w:rPr>
          <w:rFonts w:hAnsi="宋体" w:cs="宋体"/>
          <w:sz w:val="21"/>
          <w:szCs w:val="21"/>
          <w:highlight w:val="none"/>
        </w:rPr>
      </w:pPr>
      <w:r>
        <w:rPr>
          <w:rFonts w:hint="eastAsia" w:hAnsi="宋体" w:cs="宋体"/>
          <w:sz w:val="21"/>
          <w:szCs w:val="21"/>
          <w:highlight w:val="none"/>
        </w:rPr>
        <w:t>（7）作品装裱配框</w:t>
      </w:r>
    </w:p>
    <w:p w14:paraId="79461A77">
      <w:pPr>
        <w:pStyle w:val="43"/>
        <w:spacing w:line="360" w:lineRule="auto"/>
        <w:ind w:left="0" w:firstLine="420" w:firstLineChars="200"/>
        <w:rPr>
          <w:rFonts w:ascii="宋体" w:hAnsi="宋体" w:cs="宋体"/>
          <w:highlight w:val="none"/>
        </w:rPr>
      </w:pPr>
      <w:r>
        <w:rPr>
          <w:rFonts w:hint="eastAsia" w:ascii="宋体" w:hAnsi="宋体" w:cs="宋体"/>
          <w:szCs w:val="21"/>
          <w:highlight w:val="none"/>
        </w:rPr>
        <w:t>为不少于50件作品装裱配框，装裱和画框样式均需满足实际需求，具体装框数量以实际要求为准。装裱工艺需符合专业展览标准，根据作品材质、尺寸、主题等实际需求，确保作品装裱后平整、牢固、美观，不损伤作品原貌，具备良好的展示效果和保存性能。装裱材料需选用环保、耐用、无异味的优质材料，材质需经采购人确认后方可使用。画框材质需选用优质实木、铝合金等耐用材料，做工精细，尺寸需与作品及装裱后的尺寸精准匹配，确保作品安装稳固、展示协调。</w:t>
      </w:r>
    </w:p>
    <w:p w14:paraId="117249D5">
      <w:pPr>
        <w:spacing w:line="360" w:lineRule="auto"/>
        <w:ind w:firstLine="420" w:firstLineChars="200"/>
        <w:rPr>
          <w:rFonts w:ascii="宋体" w:hAnsi="宋体" w:cs="宋体"/>
          <w:szCs w:val="21"/>
          <w:highlight w:val="none"/>
        </w:rPr>
      </w:pPr>
      <w:r>
        <w:rPr>
          <w:rFonts w:hint="eastAsia" w:ascii="宋体" w:hAnsi="宋体" w:cs="宋体"/>
          <w:szCs w:val="21"/>
          <w:highlight w:val="none"/>
        </w:rPr>
        <w:t>（8）折页设计制作</w:t>
      </w:r>
    </w:p>
    <w:p w14:paraId="68873AEE">
      <w:pPr>
        <w:spacing w:line="360" w:lineRule="auto"/>
        <w:ind w:firstLine="420" w:firstLineChars="200"/>
        <w:rPr>
          <w:rFonts w:ascii="宋体" w:hAnsi="宋体" w:cs="宋体"/>
          <w:szCs w:val="21"/>
        </w:rPr>
      </w:pPr>
      <w:r>
        <w:rPr>
          <w:rFonts w:hint="eastAsia" w:ascii="宋体" w:hAnsi="宋体" w:cs="宋体"/>
          <w:szCs w:val="21"/>
          <w:highlight w:val="none"/>
        </w:rPr>
        <w:t>结合展览主题和内容，设计制作展览折页4000本（</w:t>
      </w:r>
      <w:r>
        <w:rPr>
          <w:rFonts w:hint="eastAsia" w:ascii="宋体" w:hAnsi="宋体" w:cs="宋体"/>
          <w:szCs w:val="21"/>
        </w:rPr>
        <w:t>具体数量以实际要求为准）。折页设计需紧扣展览主题视觉效果突出，能够充分展现展览核心内容和特色。根据采购人反馈意见进行修改完善，直至最终确认。设计过程中需搭配协调，符合展览整体调性。需在开展之前将成品运送至采购人指定地点。</w:t>
      </w:r>
    </w:p>
    <w:p w14:paraId="26ECB266">
      <w:pPr>
        <w:spacing w:line="360" w:lineRule="auto"/>
        <w:ind w:firstLine="420" w:firstLineChars="200"/>
        <w:rPr>
          <w:rFonts w:ascii="宋体" w:hAnsi="宋体" w:cs="宋体"/>
          <w:szCs w:val="21"/>
        </w:rPr>
      </w:pPr>
      <w:r>
        <w:rPr>
          <w:rFonts w:hint="eastAsia" w:ascii="宋体" w:hAnsi="宋体" w:cs="宋体"/>
          <w:szCs w:val="21"/>
        </w:rPr>
        <w:t>（9）摄影作品及部分文献高清输出</w:t>
      </w:r>
    </w:p>
    <w:p w14:paraId="6184C925">
      <w:pPr>
        <w:spacing w:line="360" w:lineRule="auto"/>
        <w:ind w:firstLine="420" w:firstLineChars="200"/>
        <w:rPr>
          <w:rFonts w:ascii="宋体" w:hAnsi="宋体" w:cs="宋体"/>
          <w:szCs w:val="21"/>
        </w:rPr>
      </w:pPr>
      <w:r>
        <w:rPr>
          <w:rFonts w:hint="eastAsia" w:ascii="宋体" w:hAnsi="宋体" w:cs="宋体"/>
          <w:szCs w:val="21"/>
        </w:rPr>
        <w:t>为约10张民国摄影作品，和部分文献照片（≥30张）进行高清输出。输出色彩还原准确，细节清晰，无模糊、失真、划痕等问题。输出材质需根据作品用途选择合适的专业材质（如高清相纸、艺术微喷纸等），材质质量需符合展览展示标准，经采购人确认后方可批量输出。</w:t>
      </w:r>
    </w:p>
    <w:p w14:paraId="3E258554">
      <w:pPr>
        <w:spacing w:line="360" w:lineRule="auto"/>
        <w:ind w:firstLine="420" w:firstLineChars="200"/>
        <w:rPr>
          <w:rFonts w:ascii="宋体" w:hAnsi="宋体" w:cs="宋体"/>
          <w:szCs w:val="21"/>
        </w:rPr>
      </w:pPr>
      <w:r>
        <w:rPr>
          <w:rFonts w:hint="eastAsia" w:ascii="宋体" w:hAnsi="宋体" w:cs="宋体"/>
          <w:szCs w:val="21"/>
        </w:rPr>
        <w:t>（10）多媒体系统</w:t>
      </w:r>
    </w:p>
    <w:p w14:paraId="39C64AED">
      <w:pPr>
        <w:spacing w:line="360" w:lineRule="auto"/>
        <w:ind w:firstLine="0" w:firstLineChars="0"/>
        <w:rPr>
          <w:rFonts w:ascii="宋体" w:hAnsi="宋体" w:cs="宋体"/>
          <w:szCs w:val="21"/>
        </w:rPr>
      </w:pPr>
      <w:r>
        <w:rPr>
          <w:rFonts w:hint="eastAsia" w:ascii="宋体" w:hAnsi="宋体" w:cs="宋体"/>
          <w:szCs w:val="21"/>
          <w:lang w:val="en-US" w:eastAsia="zh-CN"/>
        </w:rPr>
        <w:t xml:space="preserve">    </w:t>
      </w:r>
      <w:r>
        <w:rPr>
          <w:rFonts w:hint="eastAsia" w:ascii="宋体" w:hAnsi="宋体" w:cs="宋体"/>
          <w:szCs w:val="21"/>
        </w:rPr>
        <w:t>影像装置</w:t>
      </w:r>
      <w:r>
        <w:rPr>
          <w:rFonts w:hint="eastAsia" w:ascii="宋体" w:hAnsi="宋体" w:cs="宋体"/>
          <w:szCs w:val="21"/>
          <w:lang w:val="en-US" w:eastAsia="zh-CN"/>
        </w:rPr>
        <w:t>1</w:t>
      </w:r>
      <w:r>
        <w:rPr>
          <w:rFonts w:hint="eastAsia" w:ascii="宋体" w:hAnsi="宋体" w:cs="宋体"/>
          <w:szCs w:val="21"/>
        </w:rPr>
        <w:tab/>
      </w:r>
    </w:p>
    <w:p w14:paraId="073546D5">
      <w:pPr>
        <w:spacing w:line="360" w:lineRule="auto"/>
        <w:ind w:firstLine="420" w:firstLineChars="200"/>
        <w:rPr>
          <w:rFonts w:ascii="宋体" w:hAnsi="宋体" w:cs="宋体"/>
          <w:szCs w:val="21"/>
        </w:rPr>
      </w:pPr>
      <w:r>
        <w:rPr>
          <w:rFonts w:hint="eastAsia" w:ascii="宋体" w:hAnsi="宋体" w:cs="宋体"/>
          <w:szCs w:val="21"/>
        </w:rPr>
        <w:t>1、设备及安装基础需求：8000-12000流明，分辨率1920×1200或以上投影机4台及配套播放控制系统，提供同步播放及融合服务。</w:t>
      </w:r>
    </w:p>
    <w:p w14:paraId="21EB1FF7">
      <w:pPr>
        <w:spacing w:line="360" w:lineRule="auto"/>
        <w:ind w:firstLine="420" w:firstLineChars="200"/>
        <w:rPr>
          <w:rFonts w:ascii="宋体" w:hAnsi="宋体" w:cs="宋体"/>
          <w:szCs w:val="21"/>
        </w:rPr>
      </w:pPr>
      <w:r>
        <w:rPr>
          <w:rFonts w:hint="eastAsia" w:ascii="宋体" w:hAnsi="宋体" w:cs="宋体"/>
          <w:szCs w:val="21"/>
        </w:rPr>
        <w:t>2、软件及内容播放：根据布展设计所需调整。</w:t>
      </w:r>
    </w:p>
    <w:p w14:paraId="5435FE40">
      <w:pPr>
        <w:spacing w:line="360" w:lineRule="auto"/>
        <w:ind w:firstLine="420" w:firstLineChars="200"/>
        <w:rPr>
          <w:rFonts w:ascii="宋体" w:hAnsi="宋体" w:cs="宋体"/>
          <w:szCs w:val="21"/>
        </w:rPr>
      </w:pPr>
      <w:r>
        <w:rPr>
          <w:rFonts w:hint="eastAsia" w:ascii="宋体" w:hAnsi="宋体" w:cs="宋体"/>
          <w:szCs w:val="21"/>
        </w:rPr>
        <w:t>3、其他技术服务：布展确认后需对接详细装置展布展实施方案，包括并不限于空间配置、装饰配套设备配置，并提供布展、展览及撤展所需的其他技术服务。</w:t>
      </w:r>
    </w:p>
    <w:p w14:paraId="3667CDF1">
      <w:pPr>
        <w:spacing w:line="360" w:lineRule="auto"/>
        <w:ind w:firstLine="420" w:firstLineChars="200"/>
        <w:rPr>
          <w:rFonts w:ascii="宋体" w:hAnsi="宋体" w:cs="宋体"/>
          <w:szCs w:val="21"/>
        </w:rPr>
      </w:pPr>
      <w:r>
        <w:rPr>
          <w:rFonts w:hint="eastAsia" w:ascii="宋体" w:hAnsi="宋体" w:cs="宋体"/>
          <w:szCs w:val="21"/>
        </w:rPr>
        <w:t>4、服务期限：≥1个月。</w:t>
      </w:r>
    </w:p>
    <w:p w14:paraId="47547795">
      <w:pPr>
        <w:spacing w:line="360" w:lineRule="auto"/>
        <w:ind w:firstLine="420" w:firstLineChars="200"/>
        <w:rPr>
          <w:rFonts w:ascii="宋体" w:hAnsi="宋体" w:cs="宋体"/>
          <w:szCs w:val="21"/>
        </w:rPr>
      </w:pPr>
      <w:r>
        <w:rPr>
          <w:rFonts w:hint="eastAsia" w:ascii="宋体" w:hAnsi="宋体" w:cs="宋体"/>
          <w:szCs w:val="21"/>
        </w:rPr>
        <w:t>影像装置</w:t>
      </w:r>
      <w:r>
        <w:rPr>
          <w:rFonts w:hint="eastAsia" w:ascii="宋体" w:hAnsi="宋体" w:cs="宋体"/>
          <w:szCs w:val="21"/>
          <w:lang w:val="en-US" w:eastAsia="zh-CN"/>
        </w:rPr>
        <w:t>2</w:t>
      </w:r>
      <w:r>
        <w:rPr>
          <w:rFonts w:hint="eastAsia" w:ascii="宋体" w:hAnsi="宋体" w:cs="宋体"/>
          <w:szCs w:val="21"/>
        </w:rPr>
        <w:tab/>
      </w:r>
    </w:p>
    <w:p w14:paraId="0E7C7197">
      <w:pPr>
        <w:spacing w:line="360" w:lineRule="auto"/>
        <w:ind w:firstLine="420" w:firstLineChars="200"/>
        <w:rPr>
          <w:rFonts w:ascii="宋体" w:hAnsi="宋体" w:cs="宋体"/>
          <w:szCs w:val="21"/>
        </w:rPr>
      </w:pPr>
      <w:r>
        <w:rPr>
          <w:rFonts w:hint="eastAsia" w:ascii="宋体" w:hAnsi="宋体" w:cs="宋体"/>
          <w:szCs w:val="21"/>
        </w:rPr>
        <w:t>1、投影面积每屏≥360cm×225cm。</w:t>
      </w:r>
    </w:p>
    <w:p w14:paraId="571E54E4">
      <w:pPr>
        <w:spacing w:line="360" w:lineRule="auto"/>
        <w:ind w:firstLine="420" w:firstLineChars="200"/>
        <w:rPr>
          <w:rFonts w:ascii="宋体" w:hAnsi="宋体" w:cs="宋体"/>
          <w:szCs w:val="21"/>
        </w:rPr>
      </w:pPr>
      <w:r>
        <w:rPr>
          <w:rFonts w:hint="eastAsia" w:ascii="宋体" w:hAnsi="宋体" w:cs="宋体"/>
          <w:szCs w:val="21"/>
        </w:rPr>
        <w:t>2、设备及安装基础需求：</w:t>
      </w:r>
      <w:r>
        <w:rPr>
          <w:rFonts w:hint="eastAsia" w:ascii="宋体" w:hAnsi="宋体" w:cs="宋体"/>
          <w:szCs w:val="21"/>
          <w:highlight w:val="none"/>
        </w:rPr>
        <w:t>≥</w:t>
      </w:r>
      <w:r>
        <w:rPr>
          <w:rFonts w:hint="eastAsia" w:ascii="宋体" w:hAnsi="宋体" w:cs="宋体"/>
          <w:szCs w:val="21"/>
          <w:highlight w:val="none"/>
          <w:lang w:val="en-US" w:eastAsia="zh-CN"/>
        </w:rPr>
        <w:t>120</w:t>
      </w:r>
      <w:r>
        <w:rPr>
          <w:rFonts w:hint="eastAsia" w:ascii="宋体" w:hAnsi="宋体" w:cs="宋体"/>
          <w:szCs w:val="21"/>
          <w:highlight w:val="none"/>
        </w:rPr>
        <w:t>00流明</w:t>
      </w:r>
      <w:r>
        <w:rPr>
          <w:rFonts w:hint="eastAsia" w:ascii="宋体" w:hAnsi="宋体" w:cs="宋体"/>
          <w:szCs w:val="21"/>
        </w:rPr>
        <w:t>，分辨率1920×1200或以上投影机5台及配套播放控制系统、立体声音响5套、投影介质5套、五套视频的同步设备。</w:t>
      </w:r>
    </w:p>
    <w:p w14:paraId="41ABA105">
      <w:pPr>
        <w:spacing w:line="360" w:lineRule="auto"/>
        <w:ind w:firstLine="420" w:firstLineChars="200"/>
        <w:rPr>
          <w:rFonts w:ascii="宋体" w:hAnsi="宋体" w:cs="宋体"/>
          <w:szCs w:val="21"/>
        </w:rPr>
      </w:pPr>
      <w:r>
        <w:rPr>
          <w:rFonts w:hint="eastAsia" w:ascii="宋体" w:hAnsi="宋体" w:cs="宋体"/>
          <w:szCs w:val="21"/>
        </w:rPr>
        <w:t>3、软件及内容播放：根据布展设计所需调整。</w:t>
      </w:r>
    </w:p>
    <w:p w14:paraId="704D0FC2">
      <w:pPr>
        <w:spacing w:line="360" w:lineRule="auto"/>
        <w:ind w:firstLine="420" w:firstLineChars="200"/>
        <w:rPr>
          <w:rFonts w:ascii="宋体" w:hAnsi="宋体" w:cs="宋体"/>
          <w:szCs w:val="21"/>
        </w:rPr>
      </w:pPr>
      <w:r>
        <w:rPr>
          <w:rFonts w:hint="eastAsia" w:ascii="宋体" w:hAnsi="宋体" w:cs="宋体"/>
          <w:szCs w:val="21"/>
        </w:rPr>
        <w:t>4、其他技术服务：布展确认后需对接详细装置展布展实施方案，包括并不限于空间配置、装饰配套设备配置，并提供布展、展览及撤展所需的其他技术服务。</w:t>
      </w:r>
    </w:p>
    <w:p w14:paraId="5762889A">
      <w:pPr>
        <w:spacing w:line="360" w:lineRule="auto"/>
        <w:ind w:firstLine="420" w:firstLineChars="200"/>
        <w:rPr>
          <w:rFonts w:ascii="宋体" w:hAnsi="宋体" w:cs="宋体"/>
          <w:szCs w:val="21"/>
        </w:rPr>
      </w:pPr>
      <w:r>
        <w:rPr>
          <w:rFonts w:hint="eastAsia" w:ascii="宋体" w:hAnsi="宋体" w:cs="宋体"/>
          <w:szCs w:val="21"/>
        </w:rPr>
        <w:t>5、服务期限：≥1个月。</w:t>
      </w:r>
    </w:p>
    <w:p w14:paraId="7A1F50FC">
      <w:pPr>
        <w:spacing w:line="360" w:lineRule="auto"/>
        <w:ind w:firstLine="420" w:firstLineChars="200"/>
        <w:rPr>
          <w:rFonts w:ascii="宋体" w:hAnsi="宋体" w:cs="宋体"/>
          <w:szCs w:val="21"/>
        </w:rPr>
      </w:pPr>
      <w:r>
        <w:rPr>
          <w:rFonts w:hint="eastAsia" w:ascii="宋体" w:hAnsi="宋体" w:cs="宋体"/>
          <w:szCs w:val="21"/>
        </w:rPr>
        <w:t>影像装置</w:t>
      </w:r>
      <w:r>
        <w:rPr>
          <w:rFonts w:hint="eastAsia" w:ascii="宋体" w:hAnsi="宋体" w:cs="宋体"/>
          <w:szCs w:val="21"/>
          <w:lang w:val="en-US" w:eastAsia="zh-CN"/>
        </w:rPr>
        <w:t>3</w:t>
      </w:r>
      <w:r>
        <w:rPr>
          <w:rFonts w:hint="eastAsia" w:ascii="宋体" w:hAnsi="宋体" w:cs="宋体"/>
          <w:szCs w:val="21"/>
        </w:rPr>
        <w:tab/>
      </w:r>
    </w:p>
    <w:p w14:paraId="1E72D9F8">
      <w:pPr>
        <w:spacing w:line="360" w:lineRule="auto"/>
        <w:ind w:firstLine="420" w:firstLineChars="200"/>
        <w:rPr>
          <w:rFonts w:ascii="宋体" w:hAnsi="宋体" w:cs="宋体"/>
          <w:szCs w:val="21"/>
        </w:rPr>
      </w:pPr>
      <w:r>
        <w:rPr>
          <w:rFonts w:hint="eastAsia" w:ascii="宋体" w:hAnsi="宋体" w:cs="宋体"/>
          <w:szCs w:val="21"/>
        </w:rPr>
        <w:t>1、空间墙面比例适合作品比例，为完美呈现11520×2160的超宽幅视觉，需严格控制现场光害。</w:t>
      </w:r>
    </w:p>
    <w:p w14:paraId="3720D3D7">
      <w:pPr>
        <w:spacing w:line="360" w:lineRule="auto"/>
        <w:ind w:firstLine="420" w:firstLineChars="200"/>
        <w:rPr>
          <w:rFonts w:ascii="宋体" w:hAnsi="宋体" w:cs="宋体"/>
          <w:szCs w:val="21"/>
        </w:rPr>
      </w:pPr>
      <w:r>
        <w:rPr>
          <w:rFonts w:hint="eastAsia" w:ascii="宋体" w:hAnsi="宋体" w:cs="宋体"/>
          <w:szCs w:val="21"/>
        </w:rPr>
        <w:t>2、设备及安装基础需求：≥8000流明，分辨率 3840×2160 (4K UHD)或以上投影机3台及配套播放控制系统、立体声音响1套，提供同步播放及融合服务。</w:t>
      </w:r>
    </w:p>
    <w:p w14:paraId="016BA34B">
      <w:pPr>
        <w:spacing w:line="360" w:lineRule="auto"/>
        <w:ind w:firstLine="420" w:firstLineChars="200"/>
        <w:rPr>
          <w:rFonts w:ascii="宋体" w:hAnsi="宋体" w:cs="宋体"/>
          <w:szCs w:val="21"/>
        </w:rPr>
      </w:pPr>
      <w:r>
        <w:rPr>
          <w:rFonts w:hint="eastAsia" w:ascii="宋体" w:hAnsi="宋体" w:cs="宋体"/>
          <w:szCs w:val="21"/>
        </w:rPr>
        <w:t>3、软件及内容播放：根据布展设计所需调整。</w:t>
      </w:r>
    </w:p>
    <w:p w14:paraId="196432F7">
      <w:pPr>
        <w:spacing w:line="360" w:lineRule="auto"/>
        <w:ind w:firstLine="420" w:firstLineChars="200"/>
        <w:rPr>
          <w:rFonts w:ascii="宋体" w:hAnsi="宋体" w:cs="宋体"/>
          <w:szCs w:val="21"/>
        </w:rPr>
      </w:pPr>
      <w:r>
        <w:rPr>
          <w:rFonts w:hint="eastAsia" w:ascii="宋体" w:hAnsi="宋体" w:cs="宋体"/>
          <w:szCs w:val="21"/>
        </w:rPr>
        <w:t>4、其他技术服务：布展确认后需对接详细装置展布展实施方案，包括并不限于空间配置、装饰配套设备配置，并提供布展、展览及撤展所需的其他技术服务。</w:t>
      </w:r>
    </w:p>
    <w:p w14:paraId="3403E27B">
      <w:pPr>
        <w:spacing w:line="360" w:lineRule="auto"/>
        <w:ind w:firstLine="420" w:firstLineChars="200"/>
        <w:rPr>
          <w:rFonts w:ascii="宋体" w:hAnsi="宋体" w:cs="宋体"/>
          <w:szCs w:val="21"/>
        </w:rPr>
      </w:pPr>
      <w:r>
        <w:rPr>
          <w:rFonts w:hint="eastAsia" w:ascii="宋体" w:hAnsi="宋体" w:cs="宋体"/>
          <w:szCs w:val="21"/>
        </w:rPr>
        <w:t>5、服务期限：≥1个月。</w:t>
      </w:r>
    </w:p>
    <w:p w14:paraId="1414693B">
      <w:pPr>
        <w:spacing w:line="360" w:lineRule="auto"/>
        <w:ind w:firstLine="420" w:firstLineChars="200"/>
        <w:rPr>
          <w:rFonts w:ascii="宋体" w:hAnsi="宋体" w:cs="宋体"/>
          <w:szCs w:val="21"/>
        </w:rPr>
      </w:pPr>
      <w:r>
        <w:rPr>
          <w:rFonts w:hint="eastAsia" w:ascii="宋体" w:hAnsi="宋体" w:cs="宋体"/>
          <w:szCs w:val="21"/>
        </w:rPr>
        <w:t>文献数字化装置1</w:t>
      </w:r>
    </w:p>
    <w:p w14:paraId="6E15C4C6">
      <w:pPr>
        <w:spacing w:line="360" w:lineRule="auto"/>
        <w:ind w:firstLine="420" w:firstLineChars="200"/>
        <w:rPr>
          <w:rFonts w:ascii="宋体" w:hAnsi="宋体" w:cs="宋体"/>
          <w:szCs w:val="21"/>
        </w:rPr>
      </w:pPr>
      <w:r>
        <w:rPr>
          <w:rFonts w:hint="eastAsia" w:ascii="宋体" w:hAnsi="宋体" w:cs="宋体"/>
          <w:szCs w:val="21"/>
        </w:rPr>
        <w:t>1、结合内容版面展示。</w:t>
      </w:r>
    </w:p>
    <w:p w14:paraId="542ADB4C">
      <w:pPr>
        <w:spacing w:line="360" w:lineRule="auto"/>
        <w:ind w:firstLine="420" w:firstLineChars="200"/>
        <w:rPr>
          <w:rFonts w:ascii="宋体" w:hAnsi="宋体" w:cs="宋体"/>
          <w:szCs w:val="21"/>
        </w:rPr>
      </w:pPr>
      <w:r>
        <w:rPr>
          <w:rFonts w:hint="eastAsia" w:ascii="宋体" w:hAnsi="宋体" w:cs="宋体"/>
          <w:szCs w:val="21"/>
        </w:rPr>
        <w:t>2、设备及安装基础需求：≥55寸显示屏1台，分辨率1920×1080，墙面安装。</w:t>
      </w:r>
    </w:p>
    <w:p w14:paraId="0B2BE27B">
      <w:pPr>
        <w:spacing w:line="360" w:lineRule="auto"/>
        <w:ind w:firstLine="420" w:firstLineChars="200"/>
        <w:rPr>
          <w:rFonts w:ascii="宋体" w:hAnsi="宋体" w:cs="宋体"/>
          <w:szCs w:val="21"/>
        </w:rPr>
      </w:pPr>
      <w:r>
        <w:rPr>
          <w:rFonts w:hint="eastAsia" w:ascii="宋体" w:hAnsi="宋体" w:cs="宋体"/>
          <w:szCs w:val="21"/>
        </w:rPr>
        <w:t>3、软件及内容播放：根据布展设计所需调整。</w:t>
      </w:r>
    </w:p>
    <w:p w14:paraId="2D9C436E">
      <w:pPr>
        <w:spacing w:line="360" w:lineRule="auto"/>
        <w:ind w:firstLine="420" w:firstLineChars="200"/>
        <w:rPr>
          <w:rFonts w:ascii="宋体" w:hAnsi="宋体" w:cs="宋体"/>
          <w:szCs w:val="21"/>
        </w:rPr>
      </w:pPr>
      <w:r>
        <w:rPr>
          <w:rFonts w:hint="eastAsia" w:ascii="宋体" w:hAnsi="宋体" w:cs="宋体"/>
          <w:szCs w:val="21"/>
        </w:rPr>
        <w:t>4、其他技术服务：布展确认后需和设计师对接详细装置展布展实施方案，包括并不限于空间配置、装饰配套设备配置，并提供布展、展览及撤展所需的其他技术服务。</w:t>
      </w:r>
    </w:p>
    <w:p w14:paraId="5ED39605">
      <w:pPr>
        <w:spacing w:line="360" w:lineRule="auto"/>
        <w:ind w:firstLine="420" w:firstLineChars="200"/>
        <w:rPr>
          <w:rFonts w:ascii="宋体" w:hAnsi="宋体" w:cs="宋体"/>
          <w:szCs w:val="21"/>
        </w:rPr>
      </w:pPr>
      <w:r>
        <w:rPr>
          <w:rFonts w:hint="eastAsia" w:ascii="宋体" w:hAnsi="宋体" w:cs="宋体"/>
          <w:szCs w:val="21"/>
        </w:rPr>
        <w:t>5、服务期限：≥1个月。</w:t>
      </w:r>
    </w:p>
    <w:p w14:paraId="762F2D75">
      <w:pPr>
        <w:spacing w:line="360" w:lineRule="auto"/>
        <w:ind w:firstLine="420" w:firstLineChars="200"/>
        <w:rPr>
          <w:rFonts w:ascii="宋体" w:hAnsi="宋体" w:cs="宋体"/>
          <w:szCs w:val="21"/>
        </w:rPr>
      </w:pPr>
      <w:r>
        <w:rPr>
          <w:rFonts w:hint="eastAsia" w:ascii="宋体" w:hAnsi="宋体" w:cs="宋体"/>
          <w:szCs w:val="21"/>
        </w:rPr>
        <w:t>文献观看装置2</w:t>
      </w:r>
      <w:r>
        <w:rPr>
          <w:rFonts w:hint="eastAsia" w:ascii="宋体" w:hAnsi="宋体" w:cs="宋体"/>
          <w:szCs w:val="21"/>
        </w:rPr>
        <w:tab/>
      </w:r>
    </w:p>
    <w:p w14:paraId="0AEFD413">
      <w:pPr>
        <w:spacing w:line="360" w:lineRule="auto"/>
        <w:ind w:firstLine="420" w:firstLineChars="200"/>
        <w:rPr>
          <w:rFonts w:ascii="宋体" w:hAnsi="宋体" w:cs="宋体"/>
          <w:szCs w:val="21"/>
        </w:rPr>
      </w:pPr>
      <w:r>
        <w:rPr>
          <w:rFonts w:hint="eastAsia" w:ascii="宋体" w:hAnsi="宋体" w:cs="宋体"/>
          <w:szCs w:val="21"/>
        </w:rPr>
        <w:t>1、配合墙面地图布置观看窗口。</w:t>
      </w:r>
    </w:p>
    <w:p w14:paraId="2DA7860A">
      <w:pPr>
        <w:spacing w:line="360" w:lineRule="auto"/>
        <w:ind w:firstLine="420" w:firstLineChars="200"/>
        <w:rPr>
          <w:rFonts w:ascii="宋体" w:hAnsi="宋体" w:cs="宋体"/>
          <w:szCs w:val="21"/>
        </w:rPr>
      </w:pPr>
      <w:r>
        <w:rPr>
          <w:rFonts w:hint="eastAsia" w:ascii="宋体" w:hAnsi="宋体" w:cs="宋体"/>
          <w:szCs w:val="21"/>
        </w:rPr>
        <w:t>2、设备及安装基础需求：≥3套小型显示装置，墙面隐藏安装。</w:t>
      </w:r>
    </w:p>
    <w:p w14:paraId="0ECDFCC3">
      <w:pPr>
        <w:spacing w:line="360" w:lineRule="auto"/>
        <w:ind w:firstLine="420" w:firstLineChars="200"/>
        <w:rPr>
          <w:rFonts w:ascii="宋体" w:hAnsi="宋体" w:cs="宋体"/>
          <w:szCs w:val="21"/>
        </w:rPr>
      </w:pPr>
      <w:r>
        <w:rPr>
          <w:rFonts w:hint="eastAsia" w:ascii="宋体" w:hAnsi="宋体" w:cs="宋体"/>
          <w:szCs w:val="21"/>
        </w:rPr>
        <w:t>3、软件及内容播放：根据布展设计所需调整。</w:t>
      </w:r>
    </w:p>
    <w:p w14:paraId="0F667120">
      <w:pPr>
        <w:spacing w:line="360" w:lineRule="auto"/>
        <w:ind w:firstLine="420" w:firstLineChars="200"/>
        <w:rPr>
          <w:rFonts w:ascii="宋体" w:hAnsi="宋体" w:cs="宋体"/>
          <w:szCs w:val="21"/>
        </w:rPr>
      </w:pPr>
      <w:r>
        <w:rPr>
          <w:rFonts w:hint="eastAsia" w:ascii="宋体" w:hAnsi="宋体" w:cs="宋体"/>
          <w:szCs w:val="21"/>
        </w:rPr>
        <w:t>4、其他技术服务：布展确认后需对接详细装置展布展实施方案，包括并不限于空间配置、装饰配套设备配置，并提供布展、展览及撤展所需的其他技术服务。</w:t>
      </w:r>
    </w:p>
    <w:p w14:paraId="680E9983">
      <w:pPr>
        <w:spacing w:line="360" w:lineRule="auto"/>
        <w:ind w:firstLine="420" w:firstLineChars="200"/>
        <w:rPr>
          <w:rFonts w:ascii="宋体" w:hAnsi="宋体" w:cs="宋体"/>
          <w:szCs w:val="21"/>
        </w:rPr>
      </w:pPr>
      <w:r>
        <w:rPr>
          <w:rFonts w:hint="eastAsia" w:ascii="宋体" w:hAnsi="宋体" w:cs="宋体"/>
          <w:szCs w:val="21"/>
        </w:rPr>
        <w:t>5、服务期限：≥1个月。</w:t>
      </w:r>
    </w:p>
    <w:p w14:paraId="13241BF9">
      <w:pPr>
        <w:spacing w:line="360" w:lineRule="auto"/>
        <w:ind w:firstLine="420" w:firstLineChars="200"/>
        <w:rPr>
          <w:rFonts w:ascii="宋体" w:hAnsi="宋体" w:cs="宋体"/>
          <w:szCs w:val="21"/>
        </w:rPr>
      </w:pPr>
      <w:r>
        <w:rPr>
          <w:rFonts w:hint="eastAsia" w:ascii="宋体" w:hAnsi="宋体" w:cs="宋体"/>
          <w:szCs w:val="21"/>
        </w:rPr>
        <w:t>影像装置</w:t>
      </w:r>
      <w:r>
        <w:rPr>
          <w:rFonts w:hint="eastAsia" w:ascii="宋体" w:hAnsi="宋体" w:cs="宋体"/>
          <w:szCs w:val="21"/>
          <w:lang w:val="en-US" w:eastAsia="zh-CN"/>
        </w:rPr>
        <w:t>4</w:t>
      </w:r>
      <w:r>
        <w:rPr>
          <w:rFonts w:hint="eastAsia" w:ascii="宋体" w:hAnsi="宋体" w:cs="宋体"/>
          <w:szCs w:val="21"/>
        </w:rPr>
        <w:tab/>
      </w:r>
    </w:p>
    <w:p w14:paraId="6B51C9B7">
      <w:pPr>
        <w:spacing w:line="360" w:lineRule="auto"/>
        <w:ind w:firstLine="420" w:firstLineChars="200"/>
        <w:rPr>
          <w:rFonts w:ascii="宋体" w:hAnsi="宋体" w:cs="宋体"/>
          <w:szCs w:val="21"/>
        </w:rPr>
      </w:pPr>
      <w:r>
        <w:rPr>
          <w:rFonts w:hint="eastAsia" w:ascii="宋体" w:hAnsi="宋体" w:cs="宋体"/>
          <w:szCs w:val="21"/>
        </w:rPr>
        <w:t>1、配合布展位置灵活调整。</w:t>
      </w:r>
    </w:p>
    <w:p w14:paraId="3BB45C67">
      <w:pPr>
        <w:spacing w:line="360" w:lineRule="auto"/>
        <w:ind w:firstLine="420" w:firstLineChars="200"/>
        <w:rPr>
          <w:rFonts w:ascii="宋体" w:hAnsi="宋体" w:cs="宋体"/>
          <w:szCs w:val="21"/>
        </w:rPr>
      </w:pPr>
      <w:r>
        <w:rPr>
          <w:rFonts w:hint="eastAsia" w:ascii="宋体" w:hAnsi="宋体" w:cs="宋体"/>
          <w:szCs w:val="21"/>
        </w:rPr>
        <w:t>2、设备及安装基础需求：≥98寸显示屏1台，分辨率≥4K。备用（如需）≥55寸分辨率1920×1080显示屏2台，提供落地组合式结构支架及配套支架。</w:t>
      </w:r>
    </w:p>
    <w:p w14:paraId="1149BD0D">
      <w:pPr>
        <w:spacing w:line="360" w:lineRule="auto"/>
        <w:ind w:firstLine="420" w:firstLineChars="200"/>
        <w:rPr>
          <w:rFonts w:ascii="宋体" w:hAnsi="宋体" w:cs="宋体"/>
          <w:szCs w:val="21"/>
        </w:rPr>
      </w:pPr>
      <w:r>
        <w:rPr>
          <w:rFonts w:hint="eastAsia" w:ascii="宋体" w:hAnsi="宋体" w:cs="宋体"/>
          <w:szCs w:val="21"/>
        </w:rPr>
        <w:t>3、软件及内容播放：根据布展设计所需调整。</w:t>
      </w:r>
    </w:p>
    <w:p w14:paraId="54E66933">
      <w:pPr>
        <w:spacing w:line="360" w:lineRule="auto"/>
        <w:ind w:firstLine="420" w:firstLineChars="200"/>
        <w:rPr>
          <w:rFonts w:ascii="宋体" w:hAnsi="宋体" w:cs="宋体"/>
          <w:szCs w:val="21"/>
        </w:rPr>
      </w:pPr>
      <w:r>
        <w:rPr>
          <w:rFonts w:hint="eastAsia" w:ascii="宋体" w:hAnsi="宋体" w:cs="宋体"/>
          <w:szCs w:val="21"/>
        </w:rPr>
        <w:t>4、其他技术服务：布展确认后需对接详细装置展布展实施方案，包括并不限于空间配置、装饰配套设备配置，并提供布展、展览及撤展所需的其他技术服务。</w:t>
      </w:r>
    </w:p>
    <w:p w14:paraId="265E9C53">
      <w:pPr>
        <w:spacing w:line="360" w:lineRule="auto"/>
        <w:ind w:firstLine="420" w:firstLineChars="200"/>
        <w:rPr>
          <w:rFonts w:ascii="宋体" w:hAnsi="宋体" w:cs="宋体"/>
          <w:szCs w:val="21"/>
        </w:rPr>
      </w:pPr>
      <w:r>
        <w:rPr>
          <w:rFonts w:hint="eastAsia" w:ascii="宋体" w:hAnsi="宋体" w:cs="宋体"/>
          <w:szCs w:val="21"/>
        </w:rPr>
        <w:t>5、服务期限：≥1个月。</w:t>
      </w:r>
    </w:p>
    <w:p w14:paraId="169FEAFB">
      <w:pPr>
        <w:spacing w:line="360" w:lineRule="auto"/>
        <w:ind w:firstLine="420" w:firstLineChars="200"/>
        <w:rPr>
          <w:rFonts w:ascii="宋体" w:hAnsi="宋体" w:cs="宋体"/>
          <w:szCs w:val="21"/>
        </w:rPr>
      </w:pPr>
      <w:r>
        <w:rPr>
          <w:rFonts w:hint="eastAsia" w:ascii="宋体" w:hAnsi="宋体" w:cs="宋体"/>
          <w:szCs w:val="21"/>
        </w:rPr>
        <w:t>配套技术服务</w:t>
      </w:r>
      <w:r>
        <w:rPr>
          <w:rFonts w:hint="eastAsia" w:ascii="宋体" w:hAnsi="宋体" w:cs="宋体"/>
          <w:szCs w:val="21"/>
        </w:rPr>
        <w:tab/>
      </w:r>
    </w:p>
    <w:p w14:paraId="100655F6">
      <w:pPr>
        <w:spacing w:line="360" w:lineRule="auto"/>
        <w:ind w:firstLine="420" w:firstLineChars="200"/>
        <w:rPr>
          <w:rFonts w:ascii="宋体" w:hAnsi="宋体" w:cs="宋体"/>
          <w:szCs w:val="21"/>
        </w:rPr>
      </w:pPr>
      <w:r>
        <w:rPr>
          <w:rFonts w:hint="eastAsia" w:ascii="宋体" w:hAnsi="宋体" w:cs="宋体"/>
          <w:szCs w:val="21"/>
        </w:rPr>
        <w:t>1、配合设备布展的强弱电线材及辅材。</w:t>
      </w:r>
    </w:p>
    <w:p w14:paraId="5E1C6960">
      <w:pPr>
        <w:spacing w:line="360" w:lineRule="auto"/>
        <w:ind w:firstLine="420" w:firstLineChars="200"/>
        <w:rPr>
          <w:rFonts w:ascii="宋体" w:hAnsi="宋体" w:cs="宋体"/>
          <w:szCs w:val="21"/>
        </w:rPr>
      </w:pPr>
      <w:r>
        <w:rPr>
          <w:rFonts w:hint="eastAsia" w:ascii="宋体" w:hAnsi="宋体" w:cs="宋体"/>
          <w:szCs w:val="21"/>
        </w:rPr>
        <w:t>2、配合布展装置及设备的布展所必须的设备开启及关闭措施。</w:t>
      </w:r>
    </w:p>
    <w:p w14:paraId="03036BC2">
      <w:pPr>
        <w:spacing w:line="360" w:lineRule="auto"/>
        <w:ind w:firstLine="420" w:firstLineChars="200"/>
        <w:rPr>
          <w:rFonts w:ascii="宋体" w:hAnsi="宋体" w:cs="宋体"/>
          <w:szCs w:val="21"/>
        </w:rPr>
      </w:pPr>
      <w:r>
        <w:rPr>
          <w:rFonts w:hint="eastAsia" w:ascii="宋体" w:hAnsi="宋体" w:cs="宋体"/>
          <w:szCs w:val="21"/>
        </w:rPr>
        <w:t>3、配合布展所需的设备安装、系统集成及软件服务。</w:t>
      </w:r>
    </w:p>
    <w:p w14:paraId="3549A9D3">
      <w:pPr>
        <w:spacing w:line="360" w:lineRule="auto"/>
        <w:ind w:firstLine="420" w:firstLineChars="200"/>
        <w:rPr>
          <w:rFonts w:ascii="宋体" w:hAnsi="宋体" w:cs="宋体"/>
          <w:szCs w:val="21"/>
        </w:rPr>
      </w:pPr>
      <w:r>
        <w:rPr>
          <w:rFonts w:hint="eastAsia" w:ascii="宋体" w:hAnsi="宋体" w:cs="宋体"/>
          <w:szCs w:val="21"/>
        </w:rPr>
        <w:t>4、服务期限：≥1个月。</w:t>
      </w:r>
    </w:p>
    <w:p w14:paraId="6604CDE8">
      <w:pPr>
        <w:spacing w:line="360" w:lineRule="auto"/>
        <w:ind w:firstLine="420" w:firstLineChars="200"/>
        <w:rPr>
          <w:rFonts w:ascii="宋体" w:hAnsi="宋体" w:cs="宋体"/>
          <w:szCs w:val="21"/>
        </w:rPr>
      </w:pPr>
      <w:r>
        <w:rPr>
          <w:rFonts w:hint="eastAsia" w:ascii="宋体" w:hAnsi="宋体" w:cs="宋体"/>
          <w:szCs w:val="21"/>
        </w:rPr>
        <w:t>5、其他相关要求</w:t>
      </w:r>
    </w:p>
    <w:p w14:paraId="615C2E59">
      <w:pPr>
        <w:spacing w:line="360" w:lineRule="auto"/>
        <w:ind w:firstLine="420" w:firstLineChars="200"/>
        <w:rPr>
          <w:rFonts w:ascii="宋体" w:hAnsi="宋体" w:cs="宋体"/>
          <w:szCs w:val="21"/>
        </w:rPr>
      </w:pPr>
      <w:r>
        <w:rPr>
          <w:rFonts w:hint="eastAsia" w:ascii="宋体" w:hAnsi="宋体" w:cs="宋体"/>
          <w:szCs w:val="21"/>
        </w:rPr>
        <w:t>（1）实施方需能按照馆方布展方案完成相关工作，需有高度执行力和配合度以实现馆方展览陈列意图。供应商需充分考虑展览时间及布撤展工作难点及实施可行性，合理安排布展时间节点。</w:t>
      </w:r>
    </w:p>
    <w:p w14:paraId="286AE9D8">
      <w:pPr>
        <w:spacing w:line="360" w:lineRule="auto"/>
        <w:ind w:firstLine="420" w:firstLineChars="200"/>
        <w:rPr>
          <w:rFonts w:ascii="宋体" w:hAnsi="宋体" w:cs="宋体"/>
          <w:snapToGrid w:val="0"/>
          <w:szCs w:val="21"/>
          <w:highlight w:val="magenta"/>
        </w:rPr>
      </w:pPr>
      <w:r>
        <w:rPr>
          <w:rFonts w:hint="eastAsia" w:ascii="宋体" w:hAnsi="宋体" w:cs="宋体"/>
          <w:szCs w:val="21"/>
        </w:rPr>
        <w:t>（2）施工需确保安全及稳固，杜绝安全隐患。施工过程中需保护美术馆建筑及结构，施工中产生的所有垃圾均由施工单位自行处理。展览结束撤展后需还原至施工前状态。</w:t>
      </w:r>
    </w:p>
    <w:p w14:paraId="2899D152">
      <w:pPr>
        <w:spacing w:line="360" w:lineRule="auto"/>
        <w:ind w:firstLine="422" w:firstLineChars="200"/>
        <w:outlineLvl w:val="1"/>
        <w:rPr>
          <w:rFonts w:ascii="宋体" w:hAnsi="宋体" w:cs="宋体"/>
          <w:b/>
          <w:bCs/>
          <w:color w:val="000000" w:themeColor="text1"/>
          <w:kern w:val="2"/>
          <w:szCs w:val="21"/>
          <w14:textFill>
            <w14:solidFill>
              <w14:schemeClr w14:val="tx1"/>
            </w14:solidFill>
          </w14:textFill>
        </w:rPr>
      </w:pPr>
      <w:bookmarkStart w:id="233" w:name="_Toc29175"/>
      <w:r>
        <w:rPr>
          <w:rFonts w:hint="eastAsia" w:ascii="宋体" w:hAnsi="宋体" w:cs="宋体"/>
          <w:b/>
          <w:bCs/>
          <w:color w:val="000000" w:themeColor="text1"/>
          <w:kern w:val="2"/>
          <w:szCs w:val="21"/>
          <w14:textFill>
            <w14:solidFill>
              <w14:schemeClr w14:val="tx1"/>
            </w14:solidFill>
          </w14:textFill>
        </w:rPr>
        <w:t>（三）整体要求</w:t>
      </w:r>
      <w:r>
        <w:rPr>
          <w:rFonts w:hint="eastAsia" w:ascii="宋体" w:hAnsi="宋体" w:cs="宋体"/>
          <w:b/>
          <w:bCs/>
          <w:szCs w:val="21"/>
        </w:rPr>
        <w:t>（8号展厅）</w:t>
      </w:r>
      <w:bookmarkEnd w:id="233"/>
    </w:p>
    <w:p w14:paraId="30000611">
      <w:pPr>
        <w:spacing w:line="360" w:lineRule="auto"/>
        <w:ind w:firstLine="420" w:firstLineChars="200"/>
        <w:rPr>
          <w:rFonts w:ascii="宋体" w:hAnsi="宋体" w:cs="宋体"/>
          <w:color w:val="000000" w:themeColor="text1"/>
          <w:kern w:val="2"/>
          <w:szCs w:val="21"/>
          <w14:textFill>
            <w14:solidFill>
              <w14:schemeClr w14:val="tx1"/>
            </w14:solidFill>
          </w14:textFill>
        </w:rPr>
      </w:pPr>
      <w:r>
        <w:rPr>
          <w:rFonts w:hint="eastAsia" w:ascii="宋体" w:hAnsi="宋体" w:cs="宋体"/>
          <w:color w:val="000000" w:themeColor="text1"/>
          <w:kern w:val="2"/>
          <w:szCs w:val="21"/>
          <w14:textFill>
            <w14:solidFill>
              <w14:schemeClr w14:val="tx1"/>
            </w14:solidFill>
          </w14:textFill>
        </w:rPr>
        <w:t>项目内容包括设计策划、展品布展、撤展。</w:t>
      </w:r>
    </w:p>
    <w:p w14:paraId="0BF57466">
      <w:pPr>
        <w:spacing w:line="360" w:lineRule="auto"/>
        <w:ind w:firstLine="420" w:firstLineChars="200"/>
        <w:rPr>
          <w:rFonts w:ascii="宋体" w:hAnsi="宋体" w:cs="宋体"/>
          <w:color w:val="000000" w:themeColor="text1"/>
          <w:kern w:val="2"/>
          <w:szCs w:val="21"/>
          <w14:textFill>
            <w14:solidFill>
              <w14:schemeClr w14:val="tx1"/>
            </w14:solidFill>
          </w14:textFill>
        </w:rPr>
      </w:pPr>
      <w:r>
        <w:rPr>
          <w:rFonts w:hint="eastAsia" w:ascii="宋体" w:hAnsi="宋体" w:cs="宋体"/>
          <w:color w:val="000000" w:themeColor="text1"/>
          <w:kern w:val="2"/>
          <w:szCs w:val="21"/>
          <w14:textFill>
            <w14:solidFill>
              <w14:schemeClr w14:val="tx1"/>
            </w14:solidFill>
          </w14:textFill>
        </w:rPr>
        <w:t>1、方案设计理念</w:t>
      </w:r>
    </w:p>
    <w:p w14:paraId="627F25B3">
      <w:pPr>
        <w:spacing w:line="360" w:lineRule="auto"/>
        <w:ind w:firstLine="420" w:firstLineChars="200"/>
        <w:rPr>
          <w:rFonts w:ascii="宋体" w:hAnsi="宋体" w:cs="宋体"/>
          <w:color w:val="000000" w:themeColor="text1"/>
          <w:kern w:val="2"/>
          <w:szCs w:val="21"/>
          <w14:textFill>
            <w14:solidFill>
              <w14:schemeClr w14:val="tx1"/>
            </w14:solidFill>
          </w14:textFill>
        </w:rPr>
      </w:pPr>
      <w:r>
        <w:rPr>
          <w:rFonts w:hint="eastAsia" w:ascii="宋体" w:hAnsi="宋体" w:cs="宋体"/>
          <w:color w:val="000000" w:themeColor="text1"/>
          <w:kern w:val="2"/>
          <w:szCs w:val="21"/>
          <w14:textFill>
            <w14:solidFill>
              <w14:schemeClr w14:val="tx1"/>
            </w14:solidFill>
          </w14:textFill>
        </w:rPr>
        <w:t>（1）围绕“江苏”“建馆90周年”“多元”“活力”“多彩”等核心主题，配合相应的展示手段，营造丰富多元的展陈氛围。</w:t>
      </w:r>
    </w:p>
    <w:p w14:paraId="42D62A28">
      <w:pPr>
        <w:spacing w:line="360" w:lineRule="auto"/>
        <w:ind w:firstLine="420" w:firstLineChars="200"/>
        <w:rPr>
          <w:rFonts w:ascii="宋体" w:hAnsi="宋体" w:cs="宋体"/>
          <w:color w:val="000000" w:themeColor="text1"/>
          <w:kern w:val="2"/>
          <w:szCs w:val="21"/>
          <w14:textFill>
            <w14:solidFill>
              <w14:schemeClr w14:val="tx1"/>
            </w14:solidFill>
          </w14:textFill>
        </w:rPr>
      </w:pPr>
      <w:r>
        <w:rPr>
          <w:rFonts w:hint="eastAsia" w:ascii="宋体" w:hAnsi="宋体" w:cs="宋体"/>
          <w:color w:val="000000" w:themeColor="text1"/>
          <w:kern w:val="2"/>
          <w:szCs w:val="21"/>
          <w14:textFill>
            <w14:solidFill>
              <w14:schemeClr w14:val="tx1"/>
            </w14:solidFill>
          </w14:textFill>
        </w:rPr>
        <w:t>（2）展览应与展厅协调，展览设计风格、色调等符合展览定位。有机融入展示装置，营造整体统一的参观氛围。</w:t>
      </w:r>
    </w:p>
    <w:p w14:paraId="2D1C0A1D">
      <w:pPr>
        <w:spacing w:line="360" w:lineRule="auto"/>
        <w:ind w:firstLine="420" w:firstLineChars="200"/>
        <w:rPr>
          <w:rFonts w:ascii="宋体" w:hAnsi="宋体" w:cs="宋体"/>
          <w:color w:val="000000" w:themeColor="text1"/>
          <w:kern w:val="2"/>
          <w:szCs w:val="21"/>
          <w14:textFill>
            <w14:solidFill>
              <w14:schemeClr w14:val="tx1"/>
            </w14:solidFill>
          </w14:textFill>
        </w:rPr>
      </w:pPr>
      <w:r>
        <w:rPr>
          <w:rFonts w:hint="eastAsia" w:ascii="宋体" w:hAnsi="宋体" w:cs="宋体"/>
          <w:color w:val="000000" w:themeColor="text1"/>
          <w:kern w:val="2"/>
          <w:szCs w:val="21"/>
          <w14:textFill>
            <w14:solidFill>
              <w14:schemeClr w14:val="tx1"/>
            </w14:solidFill>
          </w14:textFill>
        </w:rPr>
        <w:t>2、空间布局及参观流线</w:t>
      </w:r>
    </w:p>
    <w:p w14:paraId="27BCBC40">
      <w:pPr>
        <w:spacing w:line="360" w:lineRule="auto"/>
        <w:ind w:firstLine="420" w:firstLineChars="200"/>
        <w:rPr>
          <w:rFonts w:ascii="宋体" w:hAnsi="宋体" w:cs="宋体"/>
          <w:color w:val="000000" w:themeColor="text1"/>
          <w:kern w:val="2"/>
          <w:szCs w:val="21"/>
          <w14:textFill>
            <w14:solidFill>
              <w14:schemeClr w14:val="tx1"/>
            </w14:solidFill>
          </w14:textFill>
        </w:rPr>
      </w:pPr>
      <w:r>
        <w:rPr>
          <w:rFonts w:hint="eastAsia" w:ascii="宋体" w:hAnsi="宋体" w:cs="宋体"/>
          <w:color w:val="000000" w:themeColor="text1"/>
          <w:kern w:val="2"/>
          <w:szCs w:val="21"/>
          <w14:textFill>
            <w14:solidFill>
              <w14:schemeClr w14:val="tx1"/>
            </w14:solidFill>
          </w14:textFill>
        </w:rPr>
        <w:t>（1）含展陈平面图、参观流线图等内容。科学合理划分展示节点安排和平面布局，与建筑内参观动线紧密结合，通过点位布局、展示内容、形式设计相互关联，打造参观记忆点，顺其自然地引导参观动线。</w:t>
      </w:r>
    </w:p>
    <w:p w14:paraId="0E8EA231">
      <w:pPr>
        <w:spacing w:line="360" w:lineRule="auto"/>
        <w:ind w:firstLine="420" w:firstLineChars="200"/>
        <w:rPr>
          <w:rFonts w:ascii="宋体" w:hAnsi="宋体" w:cs="宋体"/>
          <w:color w:val="000000" w:themeColor="text1"/>
          <w:kern w:val="2"/>
          <w:szCs w:val="21"/>
          <w14:textFill>
            <w14:solidFill>
              <w14:schemeClr w14:val="tx1"/>
            </w14:solidFill>
          </w14:textFill>
        </w:rPr>
      </w:pPr>
      <w:r>
        <w:rPr>
          <w:rFonts w:hint="eastAsia" w:ascii="宋体" w:hAnsi="宋体" w:cs="宋体"/>
          <w:color w:val="000000" w:themeColor="text1"/>
          <w:kern w:val="2"/>
          <w:szCs w:val="21"/>
          <w14:textFill>
            <w14:solidFill>
              <w14:schemeClr w14:val="tx1"/>
            </w14:solidFill>
          </w14:textFill>
        </w:rPr>
        <w:t>3、展项制作</w:t>
      </w:r>
    </w:p>
    <w:p w14:paraId="10F0FB75">
      <w:pPr>
        <w:spacing w:line="360" w:lineRule="auto"/>
        <w:ind w:firstLine="420" w:firstLineChars="200"/>
        <w:rPr>
          <w:rFonts w:ascii="宋体" w:hAnsi="宋体" w:cs="宋体"/>
          <w:color w:val="000000" w:themeColor="text1"/>
          <w:kern w:val="2"/>
          <w:szCs w:val="21"/>
          <w14:textFill>
            <w14:solidFill>
              <w14:schemeClr w14:val="tx1"/>
            </w14:solidFill>
          </w14:textFill>
        </w:rPr>
      </w:pPr>
      <w:r>
        <w:rPr>
          <w:rFonts w:hint="eastAsia" w:ascii="宋体" w:hAnsi="宋体" w:cs="宋体"/>
          <w:color w:val="000000" w:themeColor="text1"/>
          <w:kern w:val="2"/>
          <w:szCs w:val="21"/>
          <w14:textFill>
            <w14:solidFill>
              <w14:schemeClr w14:val="tx1"/>
            </w14:solidFill>
          </w14:textFill>
        </w:rPr>
        <w:t>（1）展览部分：</w:t>
      </w:r>
    </w:p>
    <w:p w14:paraId="07EB8030">
      <w:pPr>
        <w:numPr>
          <w:ilvl w:val="0"/>
          <w:numId w:val="4"/>
        </w:numPr>
        <w:spacing w:line="360" w:lineRule="auto"/>
        <w:ind w:firstLine="420" w:firstLineChars="200"/>
        <w:rPr>
          <w:rFonts w:ascii="宋体" w:hAnsi="宋体" w:cs="宋体"/>
          <w:color w:val="000000" w:themeColor="text1"/>
          <w:kern w:val="2"/>
          <w:szCs w:val="21"/>
          <w14:textFill>
            <w14:solidFill>
              <w14:schemeClr w14:val="tx1"/>
            </w14:solidFill>
          </w14:textFill>
        </w:rPr>
      </w:pPr>
      <w:r>
        <w:rPr>
          <w:rFonts w:hint="eastAsia" w:ascii="宋体" w:hAnsi="宋体" w:cs="宋体"/>
          <w:color w:val="000000" w:themeColor="text1"/>
          <w:kern w:val="2"/>
          <w:szCs w:val="21"/>
          <w14:textFill>
            <w14:solidFill>
              <w14:schemeClr w14:val="tx1"/>
            </w14:solidFill>
          </w14:textFill>
        </w:rPr>
        <w:t>含展览主视觉设计（包含微信宣传用展览海报及电子屏）、展陈设计及制作、场景设计及制作等内容。设计既要根据展示内容及性质表现设计风格，工艺合理、可行性和规范性强，设计以烘托实物为原则。</w:t>
      </w:r>
    </w:p>
    <w:p w14:paraId="70A16C41">
      <w:pPr>
        <w:numPr>
          <w:ilvl w:val="0"/>
          <w:numId w:val="4"/>
        </w:numPr>
        <w:spacing w:line="360" w:lineRule="auto"/>
        <w:ind w:firstLine="420" w:firstLineChars="200"/>
        <w:rPr>
          <w:rFonts w:ascii="宋体" w:hAnsi="宋体" w:cs="宋体"/>
          <w:kern w:val="2"/>
          <w:szCs w:val="21"/>
        </w:rPr>
      </w:pPr>
      <w:r>
        <w:rPr>
          <w:rFonts w:hint="eastAsia" w:ascii="宋体" w:hAnsi="宋体" w:cs="宋体"/>
          <w:kern w:val="2"/>
          <w:szCs w:val="21"/>
        </w:rPr>
        <w:t>结合展览主题设计主题墙，工艺不限于艺术墙纸字、丝网印等。</w:t>
      </w:r>
    </w:p>
    <w:p w14:paraId="7BC2EA01">
      <w:pPr>
        <w:numPr>
          <w:ilvl w:val="0"/>
          <w:numId w:val="4"/>
        </w:numPr>
        <w:spacing w:line="360" w:lineRule="auto"/>
        <w:ind w:firstLine="420" w:firstLineChars="200"/>
        <w:rPr>
          <w:rFonts w:ascii="宋体" w:hAnsi="宋体" w:cs="宋体"/>
          <w:kern w:val="2"/>
          <w:szCs w:val="21"/>
        </w:rPr>
      </w:pPr>
      <w:r>
        <w:rPr>
          <w:rFonts w:hint="eastAsia" w:ascii="宋体" w:hAnsi="宋体" w:cs="宋体"/>
          <w:kern w:val="2"/>
          <w:szCs w:val="21"/>
        </w:rPr>
        <w:t>制作不少于四个尺寸，约20件定制展台，具体尺寸依据设计方案。</w:t>
      </w:r>
    </w:p>
    <w:p w14:paraId="7F9813E2">
      <w:pPr>
        <w:numPr>
          <w:ilvl w:val="0"/>
          <w:numId w:val="4"/>
        </w:numPr>
        <w:spacing w:line="360" w:lineRule="auto"/>
        <w:ind w:firstLine="420" w:firstLineChars="200"/>
        <w:rPr>
          <w:rFonts w:ascii="宋体" w:hAnsi="宋体" w:cs="宋体"/>
          <w:color w:val="000000" w:themeColor="text1"/>
          <w:kern w:val="2"/>
          <w:szCs w:val="21"/>
          <w14:textFill>
            <w14:solidFill>
              <w14:schemeClr w14:val="tx1"/>
            </w14:solidFill>
          </w14:textFill>
        </w:rPr>
      </w:pPr>
      <w:r>
        <w:rPr>
          <w:rFonts w:hint="eastAsia" w:ascii="宋体" w:hAnsi="宋体" w:cs="宋体"/>
          <w:color w:val="000000" w:themeColor="text1"/>
          <w:kern w:val="2"/>
          <w:szCs w:val="21"/>
          <w14:textFill>
            <w14:solidFill>
              <w14:schemeClr w14:val="tx1"/>
            </w14:solidFill>
          </w14:textFill>
        </w:rPr>
        <w:t>标签为根据不同展陈空间的底色配相应色系的雪弗板，尺寸大小依据设计方案，数量根据展品数量计算。</w:t>
      </w:r>
    </w:p>
    <w:p w14:paraId="083FB81F">
      <w:pPr>
        <w:numPr>
          <w:ilvl w:val="0"/>
          <w:numId w:val="4"/>
        </w:numPr>
        <w:spacing w:line="360" w:lineRule="auto"/>
        <w:ind w:firstLine="420" w:firstLineChars="200"/>
        <w:rPr>
          <w:rFonts w:ascii="宋体" w:hAnsi="宋体" w:cs="宋体"/>
          <w:color w:val="000000" w:themeColor="text1"/>
          <w:kern w:val="2"/>
          <w:szCs w:val="21"/>
          <w14:textFill>
            <w14:solidFill>
              <w14:schemeClr w14:val="tx1"/>
            </w14:solidFill>
          </w14:textFill>
        </w:rPr>
      </w:pPr>
      <w:r>
        <w:rPr>
          <w:rFonts w:hint="eastAsia" w:ascii="宋体" w:hAnsi="宋体" w:cs="宋体"/>
          <w:kern w:val="2"/>
          <w:szCs w:val="21"/>
        </w:rPr>
        <w:t>墙面修补及改色，</w:t>
      </w:r>
      <w:r>
        <w:rPr>
          <w:rFonts w:hint="eastAsia" w:ascii="宋体" w:hAnsi="宋体" w:cs="宋体"/>
          <w:color w:val="000000" w:themeColor="text1"/>
          <w:kern w:val="2"/>
          <w:szCs w:val="21"/>
          <w14:textFill>
            <w14:solidFill>
              <w14:schemeClr w14:val="tx1"/>
            </w14:solidFill>
          </w14:textFill>
        </w:rPr>
        <w:t>8号展厅，展线约130米，</w:t>
      </w:r>
      <w:r>
        <w:rPr>
          <w:rFonts w:hint="eastAsia" w:ascii="宋体" w:hAnsi="宋体" w:cs="宋体"/>
          <w:kern w:val="2"/>
          <w:szCs w:val="21"/>
        </w:rPr>
        <w:t>对部分区域进行修复和维修。如</w:t>
      </w:r>
      <w:r>
        <w:rPr>
          <w:rFonts w:hint="eastAsia" w:ascii="宋体" w:hAnsi="宋体" w:cs="宋体"/>
          <w:kern w:val="2"/>
          <w:szCs w:val="21"/>
          <w:lang w:val="en-US" w:eastAsia="zh-CN"/>
        </w:rPr>
        <w:t>使用</w:t>
      </w:r>
      <w:r>
        <w:rPr>
          <w:rFonts w:hint="eastAsia" w:ascii="宋体" w:hAnsi="宋体" w:cs="宋体"/>
          <w:kern w:val="2"/>
          <w:szCs w:val="21"/>
        </w:rPr>
        <w:t>涂料，要求使用无味乳胶漆，满足国家环保要求，保证展墙面的平整度，颜色一致。进场施工时需做好对地面和展厅设施设备的遮挡防护工作避免交叉污染，不得影响美术馆开馆期间秩序，工完场清。</w:t>
      </w:r>
      <w:r>
        <w:rPr>
          <w:rFonts w:hint="eastAsia" w:ascii="宋体" w:hAnsi="宋体" w:cs="宋体"/>
          <w:color w:val="000000" w:themeColor="text1"/>
          <w:kern w:val="2"/>
          <w:szCs w:val="21"/>
          <w14:textFill>
            <w14:solidFill>
              <w14:schemeClr w14:val="tx1"/>
            </w14:solidFill>
          </w14:textFill>
        </w:rPr>
        <w:t>投标方需充分考虑展览时间，合理安排布展时间节点。</w:t>
      </w:r>
    </w:p>
    <w:p w14:paraId="0F8729D9">
      <w:pPr>
        <w:numPr>
          <w:ilvl w:val="0"/>
          <w:numId w:val="4"/>
        </w:numPr>
        <w:spacing w:line="360" w:lineRule="auto"/>
        <w:ind w:firstLine="420" w:firstLineChars="200"/>
        <w:rPr>
          <w:rFonts w:ascii="宋体" w:hAnsi="宋体" w:cs="宋体"/>
          <w:kern w:val="2"/>
          <w:szCs w:val="21"/>
        </w:rPr>
      </w:pPr>
      <w:r>
        <w:rPr>
          <w:rFonts w:hint="eastAsia" w:ascii="宋体" w:hAnsi="宋体" w:cs="宋体"/>
          <w:kern w:val="2"/>
          <w:szCs w:val="21"/>
        </w:rPr>
        <w:t>配合展览需求，完成展览展陈道具设计及制作，包含且不限于：不同尺寸的展</w:t>
      </w:r>
      <w:r>
        <w:rPr>
          <w:rFonts w:hint="eastAsia" w:ascii="宋体" w:hAnsi="宋体" w:cs="宋体"/>
          <w:kern w:val="2"/>
          <w:szCs w:val="21"/>
          <w:highlight w:val="none"/>
        </w:rPr>
        <w:t>台，氛围布置。</w:t>
      </w:r>
    </w:p>
    <w:p w14:paraId="4F5D203B">
      <w:pPr>
        <w:numPr>
          <w:ilvl w:val="0"/>
          <w:numId w:val="4"/>
        </w:numPr>
        <w:spacing w:line="360" w:lineRule="auto"/>
        <w:ind w:firstLine="420" w:firstLineChars="200"/>
        <w:rPr>
          <w:rFonts w:ascii="宋体" w:hAnsi="宋体" w:cs="宋体"/>
          <w:color w:val="000000" w:themeColor="text1"/>
          <w:kern w:val="2"/>
          <w:szCs w:val="21"/>
          <w14:textFill>
            <w14:solidFill>
              <w14:schemeClr w14:val="tx1"/>
            </w14:solidFill>
          </w14:textFill>
        </w:rPr>
      </w:pPr>
      <w:r>
        <w:rPr>
          <w:rFonts w:hint="eastAsia" w:ascii="宋体" w:hAnsi="宋体" w:cs="宋体"/>
          <w:color w:val="000000" w:themeColor="text1"/>
          <w:kern w:val="2"/>
          <w:szCs w:val="21"/>
          <w14:textFill>
            <w14:solidFill>
              <w14:schemeClr w14:val="tx1"/>
            </w14:solidFill>
          </w14:textFill>
        </w:rPr>
        <w:t>其他展览配套服务，包括且不限于一件作品高精度喷绘。</w:t>
      </w:r>
    </w:p>
    <w:p w14:paraId="42AA4C54">
      <w:pPr>
        <w:spacing w:line="360" w:lineRule="auto"/>
        <w:ind w:firstLine="420" w:firstLineChars="200"/>
        <w:rPr>
          <w:rFonts w:ascii="宋体" w:hAnsi="宋体" w:cs="宋体"/>
          <w:kern w:val="2"/>
          <w:szCs w:val="21"/>
        </w:rPr>
      </w:pPr>
      <w:r>
        <w:rPr>
          <w:rFonts w:hint="eastAsia" w:ascii="宋体" w:hAnsi="宋体" w:cs="宋体"/>
          <w:color w:val="000000" w:themeColor="text1"/>
          <w:kern w:val="2"/>
          <w:szCs w:val="21"/>
          <w14:textFill>
            <w14:solidFill>
              <w14:schemeClr w14:val="tx1"/>
            </w14:solidFill>
          </w14:textFill>
        </w:rPr>
        <w:t>4、展示材料</w:t>
      </w:r>
    </w:p>
    <w:p w14:paraId="1A3F04A4">
      <w:pPr>
        <w:spacing w:line="360" w:lineRule="auto"/>
        <w:ind w:firstLine="420" w:firstLineChars="200"/>
        <w:rPr>
          <w:rFonts w:ascii="宋体" w:hAnsi="宋体" w:cs="宋体"/>
          <w:kern w:val="2"/>
          <w:szCs w:val="21"/>
        </w:rPr>
      </w:pPr>
      <w:r>
        <w:rPr>
          <w:rFonts w:hint="eastAsia" w:ascii="宋体" w:hAnsi="宋体" w:cs="宋体"/>
          <w:kern w:val="2"/>
          <w:szCs w:val="21"/>
        </w:rPr>
        <w:t>（1）根据展览空间设计要求完成作品的特殊安装工艺的物料定制（包含且不限于特殊尺寸木板、轨道灯、铁框架、定制纱帘）。</w:t>
      </w:r>
    </w:p>
    <w:p w14:paraId="7EA1BE0C">
      <w:pPr>
        <w:spacing w:line="360" w:lineRule="auto"/>
        <w:ind w:firstLine="420" w:firstLineChars="200"/>
        <w:rPr>
          <w:rFonts w:ascii="宋体" w:hAnsi="宋体" w:cs="宋体"/>
          <w:color w:val="000000" w:themeColor="text1"/>
          <w:kern w:val="2"/>
          <w:szCs w:val="21"/>
          <w14:textFill>
            <w14:solidFill>
              <w14:schemeClr w14:val="tx1"/>
            </w14:solidFill>
          </w14:textFill>
        </w:rPr>
      </w:pPr>
      <w:r>
        <w:rPr>
          <w:rFonts w:hint="eastAsia" w:ascii="宋体" w:hAnsi="宋体" w:cs="宋体"/>
          <w:color w:val="000000" w:themeColor="text1"/>
          <w:kern w:val="2"/>
          <w:szCs w:val="21"/>
          <w14:textFill>
            <w14:solidFill>
              <w14:schemeClr w14:val="tx1"/>
            </w14:solidFill>
          </w14:textFill>
        </w:rPr>
        <w:t>（2）设计用材、安装要求充分强调布展的节能、环保理念，体现艺术氛围。设计和安装要求充分考虑消防、水、电、受力结构、流线通畅等国家规范要求及其安全因素。</w:t>
      </w:r>
    </w:p>
    <w:p w14:paraId="1E04D496">
      <w:pPr>
        <w:spacing w:line="360" w:lineRule="auto"/>
        <w:ind w:firstLine="420" w:firstLineChars="200"/>
        <w:jc w:val="left"/>
        <w:rPr>
          <w:rFonts w:ascii="宋体" w:hAnsi="宋体" w:cs="宋体"/>
          <w:szCs w:val="21"/>
        </w:rPr>
      </w:pPr>
      <w:r>
        <w:rPr>
          <w:rFonts w:hint="eastAsia" w:ascii="宋体" w:hAnsi="宋体" w:cs="宋体"/>
          <w:color w:val="000000" w:themeColor="text1"/>
          <w:kern w:val="2"/>
          <w:szCs w:val="21"/>
          <w14:textFill>
            <w14:solidFill>
              <w14:schemeClr w14:val="tx1"/>
            </w14:solidFill>
          </w14:textFill>
        </w:rPr>
        <w:t>（3）所有装饰材料的制作，因我馆属于室内场馆，要求全部使用无味环保材料，符合国家相关安全标准，后续移除时，不得残留胶印、不得对现有墙面、玻璃等造成损害。</w:t>
      </w:r>
    </w:p>
    <w:p w14:paraId="3A5C4CA5">
      <w:pPr>
        <w:spacing w:line="360" w:lineRule="auto"/>
        <w:ind w:firstLine="422" w:firstLineChars="200"/>
        <w:jc w:val="left"/>
        <w:outlineLvl w:val="9"/>
        <w:rPr>
          <w:rFonts w:asciiTheme="minorEastAsia" w:hAnsiTheme="minorEastAsia" w:eastAsiaTheme="minorEastAsia" w:cstheme="minorEastAsia"/>
          <w:color w:val="000000"/>
          <w:szCs w:val="21"/>
          <w:highlight w:val="none"/>
          <w:lang w:val="zh-CN"/>
        </w:rPr>
      </w:pPr>
      <w:bookmarkStart w:id="234" w:name="heading_22"/>
      <w:bookmarkStart w:id="235" w:name="_Toc12571"/>
      <w:r>
        <w:rPr>
          <w:rFonts w:hint="eastAsia" w:ascii="宋体" w:hAnsi="宋体" w:cs="宋体"/>
          <w:b/>
          <w:szCs w:val="21"/>
          <w:highlight w:val="none"/>
        </w:rPr>
        <w:t>（四）付款方式</w:t>
      </w:r>
      <w:bookmarkEnd w:id="234"/>
      <w:bookmarkEnd w:id="235"/>
    </w:p>
    <w:p w14:paraId="452942AB">
      <w:pPr>
        <w:spacing w:line="360" w:lineRule="auto"/>
        <w:ind w:firstLine="420" w:firstLineChars="200"/>
        <w:jc w:val="left"/>
        <w:outlineLvl w:val="9"/>
        <w:rPr>
          <w:rFonts w:hint="eastAsia" w:ascii="宋体" w:hAnsi="宋体" w:cs="宋体"/>
          <w:color w:val="000000" w:themeColor="text1"/>
          <w:kern w:val="2"/>
          <w:szCs w:val="21"/>
          <w14:textFill>
            <w14:solidFill>
              <w14:schemeClr w14:val="tx1"/>
            </w14:solidFill>
          </w14:textFill>
        </w:rPr>
      </w:pPr>
      <w:r>
        <w:rPr>
          <w:rFonts w:hint="eastAsia" w:ascii="宋体" w:hAnsi="宋体" w:cs="宋体"/>
          <w:color w:val="000000" w:themeColor="text1"/>
          <w:kern w:val="2"/>
          <w:szCs w:val="21"/>
          <w14:textFill>
            <w14:solidFill>
              <w14:schemeClr w14:val="tx1"/>
            </w14:solidFill>
          </w14:textFill>
        </w:rPr>
        <w:t>合同签订后，</w:t>
      </w:r>
      <w:r>
        <w:rPr>
          <w:rFonts w:hint="eastAsia" w:ascii="宋体" w:hAnsi="宋体" w:cs="宋体"/>
          <w:color w:val="000000" w:themeColor="text1"/>
          <w:kern w:val="2"/>
          <w:szCs w:val="21"/>
          <w:lang w:val="en-US" w:eastAsia="zh-CN"/>
          <w14:textFill>
            <w14:solidFill>
              <w14:schemeClr w14:val="tx1"/>
            </w14:solidFill>
          </w14:textFill>
        </w:rPr>
        <w:t>采购人</w:t>
      </w:r>
      <w:r>
        <w:rPr>
          <w:rFonts w:hint="eastAsia" w:ascii="宋体" w:hAnsi="宋体" w:cs="宋体"/>
          <w:color w:val="000000" w:themeColor="text1"/>
          <w:kern w:val="2"/>
          <w:szCs w:val="21"/>
          <w14:textFill>
            <w14:solidFill>
              <w14:schemeClr w14:val="tx1"/>
            </w14:solidFill>
          </w14:textFill>
        </w:rPr>
        <w:t>支付合同价款的40%作为首付款，</w:t>
      </w:r>
      <w:r>
        <w:rPr>
          <w:rFonts w:hint="eastAsia" w:ascii="宋体" w:hAnsi="宋体" w:cs="宋体"/>
          <w:color w:val="000000" w:themeColor="text1"/>
          <w:kern w:val="2"/>
          <w:szCs w:val="21"/>
          <w:lang w:val="en-US" w:eastAsia="zh-CN"/>
          <w14:textFill>
            <w14:solidFill>
              <w14:schemeClr w14:val="tx1"/>
            </w14:solidFill>
          </w14:textFill>
        </w:rPr>
        <w:t>布展完成后，采购人支付剩余40%合同价款，</w:t>
      </w:r>
      <w:r>
        <w:rPr>
          <w:rFonts w:hint="eastAsia" w:ascii="宋体" w:hAnsi="宋体" w:cs="宋体"/>
          <w:color w:val="000000" w:themeColor="text1"/>
          <w:kern w:val="2"/>
          <w:szCs w:val="21"/>
          <w14:textFill>
            <w14:solidFill>
              <w14:schemeClr w14:val="tx1"/>
            </w14:solidFill>
          </w14:textFill>
        </w:rPr>
        <w:t>撤展完成并通过验收后，</w:t>
      </w:r>
      <w:r>
        <w:rPr>
          <w:rFonts w:hint="eastAsia" w:ascii="宋体" w:hAnsi="宋体" w:cs="宋体"/>
          <w:color w:val="000000" w:themeColor="text1"/>
          <w:kern w:val="2"/>
          <w:szCs w:val="21"/>
          <w:lang w:val="en-US" w:eastAsia="zh-CN"/>
          <w14:textFill>
            <w14:solidFill>
              <w14:schemeClr w14:val="tx1"/>
            </w14:solidFill>
          </w14:textFill>
        </w:rPr>
        <w:t>采购人</w:t>
      </w:r>
      <w:r>
        <w:rPr>
          <w:rFonts w:hint="eastAsia" w:ascii="宋体" w:hAnsi="宋体" w:cs="宋体"/>
          <w:color w:val="000000" w:themeColor="text1"/>
          <w:kern w:val="2"/>
          <w:szCs w:val="21"/>
          <w14:textFill>
            <w14:solidFill>
              <w14:schemeClr w14:val="tx1"/>
            </w14:solidFill>
          </w14:textFill>
        </w:rPr>
        <w:t>支付剩余</w:t>
      </w:r>
      <w:r>
        <w:rPr>
          <w:rFonts w:hint="eastAsia" w:ascii="宋体" w:hAnsi="宋体" w:cs="宋体"/>
          <w:color w:val="000000" w:themeColor="text1"/>
          <w:kern w:val="2"/>
          <w:szCs w:val="21"/>
          <w:lang w:val="en-US" w:eastAsia="zh-CN"/>
          <w14:textFill>
            <w14:solidFill>
              <w14:schemeClr w14:val="tx1"/>
            </w14:solidFill>
          </w14:textFill>
        </w:rPr>
        <w:t>2</w:t>
      </w:r>
      <w:r>
        <w:rPr>
          <w:rFonts w:hint="eastAsia" w:ascii="宋体" w:hAnsi="宋体" w:cs="宋体"/>
          <w:color w:val="000000" w:themeColor="text1"/>
          <w:kern w:val="2"/>
          <w:szCs w:val="21"/>
          <w14:textFill>
            <w14:solidFill>
              <w14:schemeClr w14:val="tx1"/>
            </w14:solidFill>
          </w14:textFill>
        </w:rPr>
        <w:t>0%合同价款。</w:t>
      </w:r>
      <w:bookmarkEnd w:id="227"/>
      <w:bookmarkEnd w:id="228"/>
      <w:bookmarkEnd w:id="230"/>
      <w:bookmarkStart w:id="236" w:name="_Toc229703041"/>
      <w:bookmarkStart w:id="237" w:name="_Toc8914"/>
    </w:p>
    <w:p w14:paraId="5298F9AF">
      <w:pPr>
        <w:rPr>
          <w:b/>
          <w:sz w:val="28"/>
          <w:szCs w:val="28"/>
        </w:rPr>
      </w:pPr>
      <w:r>
        <w:rPr>
          <w:b/>
          <w:sz w:val="28"/>
          <w:szCs w:val="28"/>
        </w:rPr>
        <w:br w:type="page"/>
      </w:r>
    </w:p>
    <w:p w14:paraId="01F51ABB">
      <w:pPr>
        <w:spacing w:line="360" w:lineRule="auto"/>
        <w:jc w:val="center"/>
        <w:outlineLvl w:val="0"/>
        <w:rPr>
          <w:rFonts w:ascii="Arial" w:hAnsi="Arial" w:cs="Arial"/>
          <w:b/>
          <w:sz w:val="24"/>
          <w:szCs w:val="24"/>
        </w:rPr>
      </w:pPr>
      <w:r>
        <w:rPr>
          <w:b/>
          <w:sz w:val="28"/>
          <w:szCs w:val="28"/>
        </w:rPr>
        <w:t>第五章 拟签订的合同文本</w:t>
      </w:r>
      <w:bookmarkEnd w:id="236"/>
      <w:bookmarkEnd w:id="237"/>
    </w:p>
    <w:p w14:paraId="330F21AB">
      <w:pPr>
        <w:widowControl/>
        <w:spacing w:before="19" w:line="500" w:lineRule="exact"/>
        <w:jc w:val="center"/>
        <w:rPr>
          <w:rFonts w:eastAsia="方正小标宋_GBK"/>
          <w:bCs/>
          <w:sz w:val="40"/>
          <w:szCs w:val="24"/>
        </w:rPr>
      </w:pPr>
      <w:bookmarkStart w:id="238" w:name="_Toc6085"/>
      <w:bookmarkStart w:id="239" w:name="_Toc26736"/>
      <w:r>
        <w:rPr>
          <w:rFonts w:eastAsia="黑体"/>
          <w:b/>
          <w:sz w:val="24"/>
          <w:szCs w:val="24"/>
        </w:rPr>
        <w:t>（参考格式，本合同内容条款在正式签署前可具体补充细化，仅作参考，最终合同以采购人审查通过的版本为准）</w:t>
      </w:r>
      <w:bookmarkEnd w:id="238"/>
      <w:bookmarkStart w:id="240" w:name="_Toc9531"/>
      <w:bookmarkStart w:id="241" w:name="_Toc25708"/>
      <w:bookmarkStart w:id="242" w:name="_Toc203"/>
    </w:p>
    <w:p w14:paraId="668B7DA1">
      <w:pPr>
        <w:pStyle w:val="18"/>
        <w:spacing w:line="360" w:lineRule="auto"/>
        <w:jc w:val="center"/>
        <w:rPr>
          <w:rFonts w:hAnsi="宋体" w:cs="宋体"/>
          <w:b/>
          <w:bCs/>
          <w:sz w:val="21"/>
          <w:szCs w:val="21"/>
          <w:lang w:val="zh-CN"/>
        </w:rPr>
      </w:pPr>
    </w:p>
    <w:bookmarkEnd w:id="240"/>
    <w:bookmarkEnd w:id="241"/>
    <w:bookmarkEnd w:id="242"/>
    <w:p w14:paraId="105F7889">
      <w:pPr>
        <w:widowControl/>
        <w:shd w:val="clear" w:color="auto" w:fill="FFFFFF"/>
        <w:adjustRightInd w:val="0"/>
        <w:snapToGrid w:val="0"/>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合同编号：</w:t>
      </w:r>
    </w:p>
    <w:p w14:paraId="399FDA97">
      <w:pPr>
        <w:widowControl/>
        <w:shd w:val="clear" w:color="auto" w:fill="FFFFFF"/>
        <w:adjustRightInd w:val="0"/>
        <w:snapToGrid w:val="0"/>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 </w:t>
      </w:r>
    </w:p>
    <w:p w14:paraId="44919CE2">
      <w:pPr>
        <w:widowControl/>
        <w:shd w:val="clear" w:color="auto" w:fill="FFFFFF"/>
        <w:adjustRightInd w:val="0"/>
        <w:snapToGrid w:val="0"/>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签订时间：</w:t>
      </w:r>
    </w:p>
    <w:p w14:paraId="213C75A0">
      <w:pPr>
        <w:widowControl/>
        <w:shd w:val="clear" w:color="auto" w:fill="FFFFFF"/>
        <w:adjustRightInd w:val="0"/>
        <w:snapToGrid w:val="0"/>
        <w:spacing w:line="360" w:lineRule="auto"/>
        <w:jc w:val="left"/>
        <w:rPr>
          <w:rFonts w:ascii="宋体" w:hAnsi="宋体" w:cs="宋体"/>
          <w:color w:val="000000" w:themeColor="text1"/>
          <w:szCs w:val="21"/>
          <w:highlight w:val="yellow"/>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采购人：江苏省美术馆（以下称甲方） </w:t>
      </w:r>
      <w:r>
        <w:rPr>
          <w:rFonts w:hint="eastAsia" w:ascii="宋体" w:hAnsi="宋体" w:cs="宋体"/>
          <w:color w:val="000000" w:themeColor="text1"/>
          <w:szCs w:val="21"/>
          <w14:textFill>
            <w14:solidFill>
              <w14:schemeClr w14:val="tx1"/>
            </w14:solidFill>
          </w14:textFill>
        </w:rPr>
        <w:tab/>
      </w:r>
      <w:r>
        <w:rPr>
          <w:rFonts w:hint="eastAsia" w:ascii="宋体" w:hAnsi="宋体" w:cs="宋体"/>
          <w:color w:val="000000" w:themeColor="text1"/>
          <w:szCs w:val="21"/>
          <w14:textFill>
            <w14:solidFill>
              <w14:schemeClr w14:val="tx1"/>
            </w14:solidFill>
          </w14:textFill>
        </w:rPr>
        <w:t xml:space="preserve">             住所地：江苏省南京市长江路333号</w:t>
      </w:r>
    </w:p>
    <w:p w14:paraId="277947B4">
      <w:pPr>
        <w:pStyle w:val="18"/>
        <w:tabs>
          <w:tab w:val="left" w:pos="5241"/>
        </w:tabs>
        <w:adjustRightInd w:val="0"/>
        <w:snapToGrid w:val="0"/>
        <w:spacing w:line="360" w:lineRule="auto"/>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供应商：            （以下称乙方）                住所地：</w:t>
      </w:r>
      <w:r>
        <w:rPr>
          <w:rFonts w:hint="eastAsia" w:hAnsi="宋体" w:cs="宋体"/>
          <w:color w:val="000000" w:themeColor="text1"/>
          <w:sz w:val="21"/>
          <w:szCs w:val="21"/>
          <w14:textFill>
            <w14:solidFill>
              <w14:schemeClr w14:val="tx1"/>
            </w14:solidFill>
          </w14:textFill>
        </w:rPr>
        <w:tab/>
      </w:r>
    </w:p>
    <w:p w14:paraId="72C0904A">
      <w:pPr>
        <w:pStyle w:val="18"/>
        <w:adjustRightInd w:val="0"/>
        <w:snapToGrid w:val="0"/>
        <w:spacing w:line="360" w:lineRule="auto"/>
        <w:ind w:firstLine="48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根据《中华人民共和国民法典》等法律法规的规定，甲乙双方按照</w:t>
      </w:r>
      <w:r>
        <w:rPr>
          <w:rFonts w:hint="eastAsia" w:hAnsi="宋体" w:cs="宋体"/>
          <w:sz w:val="21"/>
          <w:szCs w:val="21"/>
          <w:u w:val="single"/>
        </w:rPr>
        <w:t>苏美达国际技术贸易有限公司</w:t>
      </w:r>
      <w:r>
        <w:rPr>
          <w:rFonts w:hint="eastAsia" w:hAnsi="宋体" w:cs="宋体"/>
          <w:color w:val="000000" w:themeColor="text1"/>
          <w:sz w:val="21"/>
          <w:szCs w:val="21"/>
          <w14:textFill>
            <w14:solidFill>
              <w14:schemeClr w14:val="tx1"/>
            </w14:solidFill>
          </w14:textFill>
        </w:rPr>
        <w:t>（采购人或者代理机构）2026年  月  日组织的</w:t>
      </w:r>
      <w:r>
        <w:rPr>
          <w:rFonts w:hint="eastAsia" w:hAnsi="宋体" w:cs="宋体"/>
          <w:color w:val="000000" w:themeColor="text1"/>
          <w:sz w:val="21"/>
          <w:szCs w:val="21"/>
          <w:u w:val="single"/>
          <w:lang w:eastAsia="zh-CN"/>
          <w14:textFill>
            <w14:solidFill>
              <w14:schemeClr w14:val="tx1"/>
            </w14:solidFill>
          </w14:textFill>
        </w:rPr>
        <w:t>江苏省美术馆“全景江苏-百年视觉中的旅行与文化”展览设计制作</w:t>
      </w:r>
      <w:r>
        <w:rPr>
          <w:rFonts w:hint="eastAsia" w:hAnsi="宋体" w:cs="宋体"/>
          <w:color w:val="000000" w:themeColor="text1"/>
          <w:sz w:val="21"/>
          <w:szCs w:val="21"/>
          <w14:textFill>
            <w14:solidFill>
              <w14:schemeClr w14:val="tx1"/>
            </w14:solidFill>
          </w14:textFill>
        </w:rPr>
        <w:t>（项目）采购结果签订本合同。</w:t>
      </w:r>
    </w:p>
    <w:p w14:paraId="606C6729">
      <w:pPr>
        <w:adjustRightInd w:val="0"/>
        <w:snapToGrid w:val="0"/>
        <w:spacing w:line="360" w:lineRule="auto"/>
        <w:jc w:val="left"/>
        <w:rPr>
          <w:rFonts w:ascii="宋体" w:hAnsi="宋体" w:cs="宋体"/>
          <w:snapToGrid w:val="0"/>
          <w:color w:val="000000" w:themeColor="text1"/>
          <w:szCs w:val="21"/>
          <w14:textFill>
            <w14:solidFill>
              <w14:schemeClr w14:val="tx1"/>
            </w14:solidFill>
          </w14:textFill>
        </w:rPr>
      </w:pPr>
      <w:bookmarkStart w:id="243" w:name="_Toc192058061"/>
      <w:bookmarkStart w:id="244" w:name="_Toc210978681"/>
      <w:r>
        <w:rPr>
          <w:rFonts w:hint="eastAsia" w:ascii="宋体" w:hAnsi="宋体" w:cs="宋体"/>
          <w:snapToGrid w:val="0"/>
          <w:color w:val="000000" w:themeColor="text1"/>
          <w:szCs w:val="21"/>
          <w14:textFill>
            <w14:solidFill>
              <w14:schemeClr w14:val="tx1"/>
            </w14:solidFill>
          </w14:textFill>
        </w:rPr>
        <w:t xml:space="preserve">第一条 </w:t>
      </w:r>
      <w:bookmarkEnd w:id="243"/>
      <w:bookmarkEnd w:id="244"/>
      <w:r>
        <w:rPr>
          <w:rFonts w:hint="eastAsia" w:ascii="宋体" w:hAnsi="宋体" w:cs="宋体"/>
          <w:snapToGrid w:val="0"/>
          <w:color w:val="000000" w:themeColor="text1"/>
          <w:szCs w:val="21"/>
          <w14:textFill>
            <w14:solidFill>
              <w14:schemeClr w14:val="tx1"/>
            </w14:solidFill>
          </w14:textFill>
        </w:rPr>
        <w:t>服务项目及要求</w:t>
      </w:r>
    </w:p>
    <w:p w14:paraId="39BE6889">
      <w:pPr>
        <w:adjustRightInd w:val="0"/>
        <w:snapToGrid w:val="0"/>
        <w:spacing w:line="360" w:lineRule="auto"/>
        <w:ind w:firstLine="420" w:firstLineChars="200"/>
        <w:rPr>
          <w:rFonts w:hint="eastAsia" w:ascii="宋体" w:hAnsi="宋体" w:eastAsia="宋体" w:cs="宋体"/>
          <w:color w:val="000000" w:themeColor="text1"/>
          <w:szCs w:val="21"/>
          <w:lang w:eastAsia="zh-CN"/>
          <w14:textFill>
            <w14:solidFill>
              <w14:schemeClr w14:val="tx1"/>
            </w14:solidFill>
          </w14:textFill>
        </w:rPr>
      </w:pPr>
      <w:bookmarkStart w:id="245" w:name="_Toc210978682"/>
      <w:bookmarkStart w:id="246" w:name="_Toc192058062"/>
      <w:r>
        <w:rPr>
          <w:rFonts w:hint="eastAsia" w:ascii="宋体" w:hAnsi="宋体" w:cs="宋体"/>
          <w:color w:val="000000" w:themeColor="text1"/>
          <w:szCs w:val="21"/>
          <w14:textFill>
            <w14:solidFill>
              <w14:schemeClr w14:val="tx1"/>
            </w14:solidFill>
          </w14:textFill>
        </w:rPr>
        <w:t>（一）服务名称：</w:t>
      </w:r>
      <w:r>
        <w:rPr>
          <w:rFonts w:hint="eastAsia" w:ascii="宋体" w:hAnsi="宋体" w:cs="宋体"/>
          <w:color w:val="000000" w:themeColor="text1"/>
          <w:szCs w:val="21"/>
          <w:lang w:eastAsia="zh-CN"/>
          <w14:textFill>
            <w14:solidFill>
              <w14:schemeClr w14:val="tx1"/>
            </w14:solidFill>
          </w14:textFill>
        </w:rPr>
        <w:t>江苏省美术馆“全景江苏-百年视觉中的旅行与文化”展览设计制作</w:t>
      </w:r>
    </w:p>
    <w:p w14:paraId="58BD2509">
      <w:pPr>
        <w:pStyle w:val="18"/>
        <w:spacing w:line="360" w:lineRule="auto"/>
        <w:ind w:firstLine="420" w:firstLineChars="200"/>
        <w:rPr>
          <w:rFonts w:hAnsi="宋体" w:cs="宋体"/>
          <w:sz w:val="21"/>
          <w:szCs w:val="21"/>
        </w:rPr>
      </w:pPr>
      <w:r>
        <w:rPr>
          <w:rFonts w:hint="eastAsia" w:hAnsi="宋体" w:cs="宋体"/>
          <w:sz w:val="21"/>
          <w:szCs w:val="21"/>
        </w:rPr>
        <w:t>（二）基本要求</w:t>
      </w:r>
    </w:p>
    <w:p w14:paraId="6B42BF3B">
      <w:pPr>
        <w:pStyle w:val="18"/>
        <w:spacing w:line="360" w:lineRule="auto"/>
        <w:ind w:firstLine="420" w:firstLineChars="200"/>
        <w:rPr>
          <w:rFonts w:hAnsi="宋体" w:cs="宋体"/>
          <w:sz w:val="21"/>
          <w:szCs w:val="21"/>
        </w:rPr>
      </w:pPr>
      <w:r>
        <w:rPr>
          <w:rFonts w:hint="eastAsia" w:hAnsi="宋体" w:cs="宋体"/>
          <w:sz w:val="21"/>
          <w:szCs w:val="21"/>
        </w:rPr>
        <w:t>1、</w:t>
      </w:r>
      <w:r>
        <w:rPr>
          <w:rFonts w:hint="eastAsia" w:hAnsi="宋体" w:cs="宋体"/>
          <w:sz w:val="21"/>
          <w:szCs w:val="21"/>
          <w:highlight w:val="none"/>
        </w:rPr>
        <w:t>展览时间</w:t>
      </w:r>
      <w:r>
        <w:rPr>
          <w:rFonts w:hint="eastAsia" w:hAnsi="宋体" w:cs="宋体"/>
          <w:sz w:val="21"/>
          <w:szCs w:val="21"/>
          <w:highlight w:val="none"/>
          <w:lang w:eastAsia="zh-CN"/>
        </w:rPr>
        <w:t>（</w:t>
      </w:r>
      <w:r>
        <w:rPr>
          <w:rFonts w:hint="eastAsia" w:hAnsi="宋体" w:cs="宋体"/>
          <w:sz w:val="21"/>
          <w:szCs w:val="21"/>
          <w:highlight w:val="none"/>
          <w:lang w:val="en-US" w:eastAsia="zh-CN"/>
        </w:rPr>
        <w:t>预计</w:t>
      </w:r>
      <w:r>
        <w:rPr>
          <w:rFonts w:hint="eastAsia" w:hAnsi="宋体" w:cs="宋体"/>
          <w:sz w:val="21"/>
          <w:szCs w:val="21"/>
          <w:highlight w:val="none"/>
          <w:lang w:eastAsia="zh-CN"/>
        </w:rPr>
        <w:t>）</w:t>
      </w:r>
      <w:r>
        <w:rPr>
          <w:rFonts w:hint="eastAsia" w:hAnsi="宋体" w:cs="宋体"/>
          <w:sz w:val="21"/>
          <w:szCs w:val="21"/>
          <w:highlight w:val="none"/>
        </w:rPr>
        <w:t>：2026/9/23-2026/11/</w:t>
      </w:r>
      <w:r>
        <w:rPr>
          <w:rFonts w:hint="eastAsia" w:hAnsi="宋体" w:cs="宋体"/>
          <w:sz w:val="21"/>
          <w:szCs w:val="21"/>
          <w:highlight w:val="none"/>
          <w:lang w:val="en-US" w:eastAsia="zh-CN"/>
        </w:rPr>
        <w:t>15</w:t>
      </w:r>
      <w:r>
        <w:rPr>
          <w:rFonts w:hint="eastAsia" w:hAnsi="宋体" w:cs="宋体"/>
          <w:sz w:val="21"/>
          <w:szCs w:val="21"/>
          <w:highlight w:val="none"/>
        </w:rPr>
        <w:t>（布撤展时间以</w:t>
      </w:r>
      <w:r>
        <w:rPr>
          <w:rFonts w:hint="eastAsia" w:hAnsi="宋体" w:cs="宋体"/>
          <w:sz w:val="21"/>
          <w:szCs w:val="21"/>
          <w:highlight w:val="none"/>
          <w:lang w:val="en-US" w:eastAsia="zh-CN"/>
        </w:rPr>
        <w:t>甲方</w:t>
      </w:r>
      <w:r>
        <w:rPr>
          <w:rFonts w:hint="eastAsia" w:hAnsi="宋体" w:cs="宋体"/>
          <w:sz w:val="21"/>
          <w:szCs w:val="21"/>
          <w:highlight w:val="none"/>
        </w:rPr>
        <w:t>通知为准）</w:t>
      </w:r>
    </w:p>
    <w:p w14:paraId="7AAF2906">
      <w:pPr>
        <w:pStyle w:val="18"/>
        <w:spacing w:line="360" w:lineRule="auto"/>
        <w:ind w:firstLine="420" w:firstLineChars="200"/>
        <w:rPr>
          <w:rFonts w:hAnsi="宋体" w:cs="宋体"/>
          <w:sz w:val="21"/>
          <w:szCs w:val="21"/>
        </w:rPr>
      </w:pPr>
      <w:r>
        <w:rPr>
          <w:rFonts w:hint="eastAsia" w:hAnsi="宋体" w:cs="宋体"/>
          <w:sz w:val="21"/>
          <w:szCs w:val="21"/>
        </w:rPr>
        <w:t>2、展览地点：江苏省美术馆（新馆）1、2、3、4、8号展厅</w:t>
      </w:r>
    </w:p>
    <w:p w14:paraId="2CC5CF48">
      <w:pPr>
        <w:pStyle w:val="18"/>
        <w:spacing w:line="360" w:lineRule="auto"/>
        <w:ind w:firstLine="420" w:firstLineChars="200"/>
        <w:rPr>
          <w:rFonts w:hAnsi="宋体" w:cs="宋体"/>
          <w:sz w:val="21"/>
          <w:szCs w:val="21"/>
        </w:rPr>
      </w:pPr>
      <w:r>
        <w:rPr>
          <w:rFonts w:hint="eastAsia" w:hAnsi="宋体" w:cs="宋体"/>
          <w:sz w:val="21"/>
          <w:szCs w:val="21"/>
        </w:rPr>
        <w:t>3、本次展览展示面积包含江苏省美术馆（新馆）1、2、3、4、8号展厅及建筑外立面宣传位与中庭空间宣传位。展厅空间共计3200㎡。其中一、三号展厅1200㎡，二、四号展厅400㎡,八号展厅400㎡。</w:t>
      </w:r>
    </w:p>
    <w:p w14:paraId="3BADB9A0">
      <w:pPr>
        <w:pStyle w:val="18"/>
        <w:spacing w:line="360" w:lineRule="auto"/>
        <w:ind w:firstLine="420" w:firstLineChars="200"/>
        <w:rPr>
          <w:rFonts w:hAnsi="宋体" w:cs="宋体"/>
          <w:sz w:val="21"/>
          <w:szCs w:val="21"/>
        </w:rPr>
      </w:pPr>
      <w:r>
        <w:rPr>
          <w:rFonts w:hint="eastAsia" w:hAnsi="宋体" w:cs="宋体"/>
          <w:sz w:val="21"/>
          <w:szCs w:val="21"/>
        </w:rPr>
        <w:t>4、本次展览布展工期8天，撤展工期2天（以接到甲方通知为准）。</w:t>
      </w:r>
    </w:p>
    <w:p w14:paraId="12B6F902">
      <w:pPr>
        <w:pStyle w:val="18"/>
        <w:spacing w:line="360" w:lineRule="auto"/>
        <w:ind w:firstLine="420" w:firstLineChars="200"/>
        <w:rPr>
          <w:rFonts w:hAnsi="宋体" w:cs="宋体"/>
          <w:sz w:val="21"/>
          <w:szCs w:val="21"/>
        </w:rPr>
      </w:pPr>
      <w:r>
        <w:rPr>
          <w:rFonts w:hint="eastAsia" w:hAnsi="宋体" w:cs="宋体"/>
          <w:sz w:val="21"/>
          <w:szCs w:val="21"/>
        </w:rPr>
        <w:t>（三）整体要求（1-4号主展厅）</w:t>
      </w:r>
    </w:p>
    <w:p w14:paraId="107B78F4">
      <w:pPr>
        <w:pStyle w:val="18"/>
        <w:spacing w:line="360" w:lineRule="auto"/>
        <w:ind w:firstLine="420" w:firstLineChars="200"/>
        <w:rPr>
          <w:rFonts w:hAnsi="宋体" w:cs="宋体"/>
          <w:sz w:val="21"/>
          <w:szCs w:val="21"/>
        </w:rPr>
      </w:pPr>
      <w:r>
        <w:rPr>
          <w:rFonts w:hint="eastAsia" w:hAnsi="宋体" w:cs="宋体"/>
          <w:sz w:val="21"/>
          <w:szCs w:val="21"/>
        </w:rPr>
        <w:t>项目内容包括设计策划、展项制作、展品布展、撤展及配合展览实施的其他相关工作。</w:t>
      </w:r>
    </w:p>
    <w:p w14:paraId="6BDBD718">
      <w:pPr>
        <w:pStyle w:val="18"/>
        <w:spacing w:line="360" w:lineRule="auto"/>
        <w:ind w:firstLine="420" w:firstLineChars="200"/>
        <w:rPr>
          <w:rFonts w:hAnsi="宋体" w:cs="宋体"/>
          <w:sz w:val="21"/>
          <w:szCs w:val="21"/>
        </w:rPr>
      </w:pPr>
      <w:r>
        <w:rPr>
          <w:rFonts w:hint="eastAsia" w:hAnsi="宋体" w:cs="宋体"/>
          <w:sz w:val="21"/>
          <w:szCs w:val="21"/>
        </w:rPr>
        <w:t>1、方案设计理念</w:t>
      </w:r>
    </w:p>
    <w:p w14:paraId="6BD7A53C">
      <w:pPr>
        <w:pStyle w:val="18"/>
        <w:spacing w:line="360" w:lineRule="auto"/>
        <w:ind w:firstLine="420" w:firstLineChars="200"/>
        <w:rPr>
          <w:rFonts w:hAnsi="宋体" w:cs="宋体"/>
          <w:sz w:val="21"/>
          <w:szCs w:val="21"/>
        </w:rPr>
      </w:pPr>
      <w:r>
        <w:rPr>
          <w:rFonts w:hint="eastAsia" w:hAnsi="宋体" w:cs="宋体"/>
          <w:sz w:val="21"/>
          <w:szCs w:val="21"/>
        </w:rPr>
        <w:t>（1）围绕“全景江苏：百年视觉中的旅行与文化”这一核心主题，配合相应的展示手段，准确、形象地表现出此次展览的定位。</w:t>
      </w:r>
    </w:p>
    <w:p w14:paraId="4AEACFD4">
      <w:pPr>
        <w:pStyle w:val="18"/>
        <w:spacing w:line="360" w:lineRule="auto"/>
        <w:ind w:firstLine="420" w:firstLineChars="200"/>
        <w:rPr>
          <w:rFonts w:hAnsi="宋体" w:cs="宋体"/>
          <w:sz w:val="21"/>
          <w:szCs w:val="21"/>
        </w:rPr>
      </w:pPr>
      <w:r>
        <w:rPr>
          <w:rFonts w:hint="eastAsia" w:hAnsi="宋体" w:cs="宋体"/>
          <w:sz w:val="21"/>
          <w:szCs w:val="21"/>
        </w:rPr>
        <w:t>（2）展览应与展厅展览协调，展览设计风格、色调等符合展览定位。有机融入文献展台、场景搭建，营造整体统一的参观氛围。</w:t>
      </w:r>
    </w:p>
    <w:p w14:paraId="2D33DA8C">
      <w:pPr>
        <w:pStyle w:val="43"/>
        <w:spacing w:line="360" w:lineRule="auto"/>
        <w:ind w:left="0" w:firstLine="420" w:firstLineChars="200"/>
        <w:rPr>
          <w:rFonts w:ascii="宋体" w:hAnsi="宋体" w:cs="宋体"/>
          <w:szCs w:val="21"/>
        </w:rPr>
      </w:pPr>
      <w:r>
        <w:rPr>
          <w:rFonts w:hint="eastAsia" w:ascii="宋体" w:hAnsi="宋体" w:cs="宋体"/>
          <w:szCs w:val="21"/>
        </w:rPr>
        <w:t>（3）作品中既有架上作品，也有数字影像和装置作品，应在设计中有效融合。</w:t>
      </w:r>
    </w:p>
    <w:p w14:paraId="3954013B">
      <w:pPr>
        <w:pStyle w:val="18"/>
        <w:spacing w:line="360" w:lineRule="auto"/>
        <w:ind w:firstLine="420" w:firstLineChars="200"/>
        <w:rPr>
          <w:rFonts w:hAnsi="宋体" w:cs="宋体"/>
          <w:sz w:val="21"/>
          <w:szCs w:val="21"/>
        </w:rPr>
      </w:pPr>
      <w:r>
        <w:rPr>
          <w:rFonts w:hint="eastAsia" w:hAnsi="宋体" w:cs="宋体"/>
          <w:sz w:val="21"/>
          <w:szCs w:val="21"/>
        </w:rPr>
        <w:t>2、展陈内容策划</w:t>
      </w:r>
    </w:p>
    <w:p w14:paraId="66BFFC23">
      <w:pPr>
        <w:pStyle w:val="43"/>
        <w:spacing w:line="360" w:lineRule="auto"/>
        <w:ind w:left="0" w:firstLine="420" w:firstLineChars="200"/>
        <w:rPr>
          <w:rFonts w:ascii="宋体" w:hAnsi="宋体" w:cs="宋体"/>
          <w:szCs w:val="21"/>
        </w:rPr>
      </w:pPr>
      <w:r>
        <w:rPr>
          <w:rFonts w:hint="eastAsia" w:ascii="宋体" w:hAnsi="宋体" w:cs="宋体"/>
          <w:szCs w:val="21"/>
        </w:rPr>
        <w:t>（1）展览将展出20世纪书画名家和当代艺术家的作品约150件，包含中自1919年至当代的中国画、油画、版画、水彩、摄影等作品，内容主题均为江苏全域的风景人文。主展览的基本结构如下：</w:t>
      </w:r>
    </w:p>
    <w:p w14:paraId="6E38C465">
      <w:pPr>
        <w:spacing w:line="360" w:lineRule="auto"/>
        <w:ind w:firstLine="420" w:firstLineChars="200"/>
        <w:rPr>
          <w:rFonts w:ascii="宋体" w:hAnsi="宋体" w:cs="宋体"/>
          <w:szCs w:val="21"/>
        </w:rPr>
      </w:pPr>
      <w:r>
        <w:rPr>
          <w:rFonts w:hint="eastAsia" w:ascii="宋体" w:hAnsi="宋体" w:cs="宋体"/>
          <w:szCs w:val="21"/>
        </w:rPr>
        <w:t>序章-现代旅行的兴起，本章将以《旅行杂志》等文献、老物件等阐述20世纪现代旅行的开端。</w:t>
      </w:r>
    </w:p>
    <w:p w14:paraId="12D3564C">
      <w:pPr>
        <w:spacing w:line="360" w:lineRule="auto"/>
        <w:ind w:firstLine="420" w:firstLineChars="200"/>
        <w:rPr>
          <w:rFonts w:ascii="宋体" w:hAnsi="宋体" w:cs="宋体"/>
          <w:szCs w:val="21"/>
        </w:rPr>
      </w:pPr>
      <w:r>
        <w:rPr>
          <w:rFonts w:hint="eastAsia" w:ascii="宋体" w:hAnsi="宋体" w:cs="宋体"/>
          <w:szCs w:val="21"/>
        </w:rPr>
        <w:t>第一章-循水而来（1、2号展厅），本章将以地理和空间视角，围绕江苏的水域呈现江苏省内各地的风景。</w:t>
      </w:r>
    </w:p>
    <w:p w14:paraId="50A261F9">
      <w:pPr>
        <w:spacing w:line="360" w:lineRule="auto"/>
        <w:ind w:firstLine="420" w:firstLineChars="200"/>
        <w:rPr>
          <w:rFonts w:ascii="宋体" w:hAnsi="宋体" w:cs="宋体"/>
          <w:szCs w:val="21"/>
        </w:rPr>
      </w:pPr>
      <w:r>
        <w:rPr>
          <w:rFonts w:hint="eastAsia" w:ascii="宋体" w:hAnsi="宋体" w:cs="宋体"/>
          <w:szCs w:val="21"/>
        </w:rPr>
        <w:t>1、太湖  2、长江  3、运河  4、黄海  5、风物（丝、泥、茶、竹、盐）</w:t>
      </w:r>
    </w:p>
    <w:p w14:paraId="0095686D">
      <w:pPr>
        <w:spacing w:line="360" w:lineRule="auto"/>
        <w:ind w:firstLine="420" w:firstLineChars="200"/>
        <w:rPr>
          <w:rFonts w:ascii="宋体" w:hAnsi="宋体" w:cs="宋体"/>
          <w:szCs w:val="21"/>
        </w:rPr>
      </w:pPr>
      <w:r>
        <w:rPr>
          <w:rFonts w:hint="eastAsia" w:ascii="宋体" w:hAnsi="宋体" w:cs="宋体"/>
          <w:szCs w:val="21"/>
        </w:rPr>
        <w:t>本章以架上作品为主，另包括2件数字影像作品（需要围合，暗场空间）、2件数字影像装置作品（需要围合，暗场空间）、2组雕塑装置。</w:t>
      </w:r>
    </w:p>
    <w:p w14:paraId="7ED3BE56">
      <w:pPr>
        <w:spacing w:line="360" w:lineRule="auto"/>
        <w:ind w:firstLine="420" w:firstLineChars="200"/>
        <w:rPr>
          <w:rFonts w:ascii="宋体" w:hAnsi="宋体" w:cs="宋体"/>
          <w:szCs w:val="21"/>
        </w:rPr>
      </w:pPr>
      <w:r>
        <w:rPr>
          <w:rFonts w:hint="eastAsia" w:ascii="宋体" w:hAnsi="宋体" w:cs="宋体"/>
          <w:szCs w:val="21"/>
        </w:rPr>
        <w:t>第二章-城市散步（3、4号展厅），本章将以城市和记忆视角，围绕打开城市旅行的几种视角呈现江苏省内各地的人文。</w:t>
      </w:r>
    </w:p>
    <w:p w14:paraId="1C39F7E9">
      <w:pPr>
        <w:spacing w:line="360" w:lineRule="auto"/>
        <w:ind w:firstLine="420" w:firstLineChars="200"/>
        <w:rPr>
          <w:rFonts w:ascii="宋体" w:hAnsi="宋体" w:cs="宋体"/>
          <w:szCs w:val="21"/>
        </w:rPr>
      </w:pPr>
      <w:r>
        <w:rPr>
          <w:rFonts w:hint="eastAsia" w:ascii="宋体" w:hAnsi="宋体" w:cs="宋体"/>
          <w:szCs w:val="21"/>
        </w:rPr>
        <w:t>1、500年前的citywalk  2、城市指南 3、从私家园林到城市公园 4、访古的趣味与情怀  5、百年城市与建筑</w:t>
      </w:r>
    </w:p>
    <w:p w14:paraId="76E85EA9">
      <w:pPr>
        <w:spacing w:line="360" w:lineRule="auto"/>
        <w:ind w:firstLine="420" w:firstLineChars="200"/>
        <w:rPr>
          <w:rFonts w:ascii="宋体" w:hAnsi="宋体" w:cs="宋体"/>
          <w:szCs w:val="21"/>
        </w:rPr>
      </w:pPr>
      <w:r>
        <w:rPr>
          <w:rFonts w:hint="eastAsia" w:ascii="宋体" w:hAnsi="宋体" w:cs="宋体"/>
          <w:szCs w:val="21"/>
        </w:rPr>
        <w:t>本章以架上作品为主，另包括1件数字影像作品，以及若干民国以来的旅行书籍（约10本左右）、古代及民国电子文献（约5项）、明信片（约10张）、老门票（约40张）、老广告（约20件）、老菜单（约5件）、老物件若干等。</w:t>
      </w:r>
    </w:p>
    <w:p w14:paraId="4B84825D">
      <w:pPr>
        <w:pStyle w:val="18"/>
        <w:spacing w:line="360" w:lineRule="auto"/>
        <w:ind w:firstLine="420" w:firstLineChars="200"/>
        <w:rPr>
          <w:rFonts w:hAnsi="宋体" w:cs="宋体"/>
          <w:sz w:val="21"/>
          <w:szCs w:val="21"/>
        </w:rPr>
      </w:pPr>
      <w:r>
        <w:rPr>
          <w:rFonts w:hint="eastAsia" w:hAnsi="宋体" w:cs="宋体"/>
          <w:sz w:val="21"/>
          <w:szCs w:val="21"/>
        </w:rPr>
        <w:t>（2）资料搜集整理全面，对展陈主题内容理解深刻、各板块内容和展陈主题紧密贴合、能充分体现“全景江苏：百年视觉中的旅行与文化”的主题特色。</w:t>
      </w:r>
    </w:p>
    <w:p w14:paraId="358A0520">
      <w:pPr>
        <w:pStyle w:val="18"/>
        <w:spacing w:line="360" w:lineRule="auto"/>
        <w:ind w:firstLine="420" w:firstLineChars="200"/>
        <w:rPr>
          <w:rFonts w:hAnsi="宋体" w:cs="宋体"/>
          <w:sz w:val="21"/>
          <w:szCs w:val="21"/>
        </w:rPr>
      </w:pPr>
      <w:r>
        <w:rPr>
          <w:rFonts w:hint="eastAsia" w:hAnsi="宋体" w:cs="宋体"/>
          <w:sz w:val="21"/>
          <w:szCs w:val="21"/>
        </w:rPr>
        <w:t>3、空间布局及参观流线</w:t>
      </w:r>
    </w:p>
    <w:p w14:paraId="0AF36037">
      <w:pPr>
        <w:pStyle w:val="18"/>
        <w:spacing w:line="360" w:lineRule="auto"/>
        <w:ind w:firstLine="420" w:firstLineChars="200"/>
        <w:rPr>
          <w:rFonts w:hAnsi="宋体" w:cs="宋体"/>
          <w:sz w:val="21"/>
          <w:szCs w:val="21"/>
        </w:rPr>
      </w:pPr>
      <w:r>
        <w:rPr>
          <w:rFonts w:hint="eastAsia" w:hAnsi="宋体" w:cs="宋体"/>
          <w:sz w:val="21"/>
          <w:szCs w:val="21"/>
        </w:rPr>
        <w:t>（1）含展陈平面图、参观流线图等内容。基于3200㎡的展厅空间，展陈设计制作中可灵活利用地贴、模块化拼装展台、展架等，打造简洁连贯的展览动线。</w:t>
      </w:r>
    </w:p>
    <w:p w14:paraId="35BECB50">
      <w:pPr>
        <w:pStyle w:val="18"/>
        <w:spacing w:line="360" w:lineRule="auto"/>
        <w:ind w:firstLine="420" w:firstLineChars="200"/>
        <w:rPr>
          <w:rFonts w:hAnsi="宋体" w:cs="宋体"/>
          <w:sz w:val="21"/>
          <w:szCs w:val="21"/>
        </w:rPr>
      </w:pPr>
      <w:r>
        <w:rPr>
          <w:rFonts w:hint="eastAsia" w:hAnsi="宋体" w:cs="宋体"/>
          <w:sz w:val="21"/>
          <w:szCs w:val="21"/>
        </w:rPr>
        <w:t>（2）架上作品编排舒展，考虑架上作品和数字影像作品的光场设定和动线安排，有效设置作品主题展示区域与氛围营造，强化叙事效果的同时便于观众深入欣赏与短暂休息。</w:t>
      </w:r>
    </w:p>
    <w:p w14:paraId="738A91C7">
      <w:pPr>
        <w:pStyle w:val="43"/>
        <w:spacing w:line="360" w:lineRule="auto"/>
        <w:ind w:left="0" w:firstLine="420" w:firstLineChars="200"/>
        <w:rPr>
          <w:rFonts w:ascii="宋体" w:hAnsi="宋体" w:cs="宋体"/>
        </w:rPr>
      </w:pPr>
      <w:r>
        <w:rPr>
          <w:rFonts w:hint="eastAsia" w:ascii="宋体" w:hAnsi="宋体" w:cs="宋体"/>
          <w:szCs w:val="21"/>
        </w:rPr>
        <w:t>（3）本次展览展品门类复杂，文献数量大，在展陈设计和制作中考虑文献的有效展示方式和视觉转化，必要时应采用数字化技术对文献进行呈现，同时配备相应的硬件设备。</w:t>
      </w:r>
    </w:p>
    <w:p w14:paraId="260777B4">
      <w:pPr>
        <w:pStyle w:val="18"/>
        <w:spacing w:line="360" w:lineRule="auto"/>
        <w:ind w:firstLine="420" w:firstLineChars="200"/>
        <w:rPr>
          <w:rFonts w:hAnsi="宋体" w:cs="宋体"/>
          <w:sz w:val="21"/>
          <w:szCs w:val="21"/>
        </w:rPr>
      </w:pPr>
      <w:r>
        <w:rPr>
          <w:rFonts w:hint="eastAsia" w:hAnsi="宋体" w:cs="宋体"/>
          <w:sz w:val="21"/>
          <w:szCs w:val="21"/>
        </w:rPr>
        <w:t>4、展项制作</w:t>
      </w:r>
    </w:p>
    <w:p w14:paraId="07880A56">
      <w:pPr>
        <w:pStyle w:val="18"/>
        <w:spacing w:line="360" w:lineRule="auto"/>
        <w:ind w:firstLine="420" w:firstLineChars="200"/>
        <w:rPr>
          <w:rFonts w:hAnsi="宋体" w:cs="宋体"/>
          <w:sz w:val="21"/>
          <w:szCs w:val="21"/>
        </w:rPr>
      </w:pPr>
      <w:r>
        <w:rPr>
          <w:rFonts w:hint="eastAsia" w:hAnsi="宋体" w:cs="宋体"/>
          <w:sz w:val="21"/>
          <w:szCs w:val="21"/>
        </w:rPr>
        <w:t>（1）墙面修补及改色粉刷，撤展后展墙修补</w:t>
      </w:r>
    </w:p>
    <w:p w14:paraId="090145D6">
      <w:pPr>
        <w:pStyle w:val="18"/>
        <w:spacing w:line="360" w:lineRule="auto"/>
        <w:ind w:firstLine="420" w:firstLineChars="200"/>
        <w:rPr>
          <w:rFonts w:hAnsi="宋体" w:cs="宋体"/>
          <w:sz w:val="21"/>
          <w:szCs w:val="21"/>
        </w:rPr>
      </w:pPr>
      <w:r>
        <w:rPr>
          <w:rFonts w:hint="eastAsia" w:hAnsi="宋体" w:cs="宋体"/>
          <w:sz w:val="21"/>
          <w:szCs w:val="21"/>
        </w:rPr>
        <w:t>对1-4号展厅内需要使用的展墙进行粉刷出新，对部分区域进行修复和维修。要求使用无味乳胶漆，满足国家环保要求，需提供多种配色供选择，保证展墙面的平整度，颜色一致。进场施工时需做好对地面和展厅设施设备的遮挡防护工作避免交叉污染，不得影响美术馆开馆期间秩序，工完场清。</w:t>
      </w:r>
    </w:p>
    <w:p w14:paraId="10E0C5E3">
      <w:pPr>
        <w:pStyle w:val="18"/>
        <w:spacing w:line="360" w:lineRule="auto"/>
        <w:ind w:firstLine="420" w:firstLineChars="200"/>
        <w:rPr>
          <w:rFonts w:hAnsi="宋体" w:cs="宋体"/>
          <w:sz w:val="21"/>
          <w:szCs w:val="21"/>
        </w:rPr>
      </w:pPr>
      <w:r>
        <w:rPr>
          <w:rFonts w:hint="eastAsia" w:hAnsi="宋体" w:cs="宋体"/>
          <w:sz w:val="21"/>
          <w:szCs w:val="21"/>
        </w:rPr>
        <w:t>（2）装置空间的制作及搭建</w:t>
      </w:r>
    </w:p>
    <w:p w14:paraId="1A145036">
      <w:pPr>
        <w:pStyle w:val="18"/>
        <w:spacing w:line="360" w:lineRule="auto"/>
        <w:ind w:firstLine="420" w:firstLineChars="200"/>
        <w:rPr>
          <w:rFonts w:hAnsi="宋体" w:cs="宋体"/>
          <w:sz w:val="21"/>
          <w:szCs w:val="21"/>
        </w:rPr>
      </w:pPr>
      <w:r>
        <w:rPr>
          <w:rFonts w:hint="eastAsia" w:hAnsi="宋体" w:cs="宋体"/>
          <w:sz w:val="21"/>
          <w:szCs w:val="21"/>
        </w:rPr>
        <w:t>根据展览空间设计完成装置空间的搭建，确保设计合理，承重安全。完成1、2 号厅刘建华、王子耕、刘佳玉、杨泳梁、张文超等5个新媒体和装置艺术家作品的装置安装和空间定制，包含隔墙搭建、定制艺术展示台、装置吊装、投影框架幕布装置等配套工程。需严格按照艺术家确认的方案完成空间定制与装置安装，确保装置运行安全、视觉效果完全符合创作要求。刘佳玉（山体数字投影装置，需拼接，占地面积约40平米）、刘建华（陶瓷组合装置，总占地面积约55平米）、王子耕（装置占地面积约40平米，主体雕塑需吊装）等，结合作品面积和体量搭建展示空间。</w:t>
      </w:r>
    </w:p>
    <w:p w14:paraId="1855EAAE">
      <w:pPr>
        <w:pStyle w:val="261"/>
        <w:spacing w:line="360" w:lineRule="auto"/>
        <w:ind w:left="0" w:leftChars="0" w:firstLine="420" w:firstLineChars="200"/>
        <w:rPr>
          <w:rFonts w:ascii="宋体" w:hAnsi="宋体" w:cs="宋体"/>
          <w:szCs w:val="21"/>
        </w:rPr>
      </w:pPr>
      <w:r>
        <w:rPr>
          <w:rFonts w:hint="eastAsia" w:ascii="宋体" w:hAnsi="宋体" w:cs="宋体"/>
          <w:szCs w:val="21"/>
        </w:rPr>
        <w:t>（3）互动装置定制</w:t>
      </w:r>
    </w:p>
    <w:p w14:paraId="3318DE7E">
      <w:pPr>
        <w:pStyle w:val="261"/>
        <w:spacing w:line="360" w:lineRule="auto"/>
        <w:ind w:left="0" w:leftChars="0" w:firstLine="420" w:firstLineChars="200"/>
        <w:rPr>
          <w:rFonts w:ascii="宋体" w:hAnsi="宋体" w:cs="宋体"/>
          <w:szCs w:val="21"/>
        </w:rPr>
      </w:pPr>
      <w:r>
        <w:rPr>
          <w:rFonts w:hint="eastAsia" w:ascii="宋体" w:hAnsi="宋体" w:cs="宋体"/>
          <w:szCs w:val="21"/>
        </w:rPr>
        <w:t>完成4号厅的卫星地图灯箱互动装置定制，总面积约100㎡。要求呈现江苏全域卫星地图，观众可脚踩站立的互动装置搭建。需保证地图来源准确合法合规，互动功能响应顺畅、结构安全稳固，符合美术馆公共空间使用标准。</w:t>
      </w:r>
    </w:p>
    <w:p w14:paraId="5C1C53F9">
      <w:pPr>
        <w:spacing w:line="360" w:lineRule="auto"/>
        <w:ind w:firstLine="420" w:firstLineChars="200"/>
        <w:rPr>
          <w:rFonts w:ascii="宋体" w:hAnsi="宋体" w:cs="宋体"/>
          <w:szCs w:val="21"/>
        </w:rPr>
      </w:pPr>
      <w:r>
        <w:rPr>
          <w:rFonts w:hint="eastAsia" w:ascii="宋体" w:hAnsi="宋体" w:cs="宋体"/>
          <w:szCs w:val="21"/>
        </w:rPr>
        <w:t>（4）场景氛围营造</w:t>
      </w:r>
    </w:p>
    <w:p w14:paraId="45CE6D3F">
      <w:pPr>
        <w:spacing w:line="360" w:lineRule="auto"/>
        <w:ind w:firstLine="420" w:firstLineChars="200"/>
        <w:rPr>
          <w:rFonts w:ascii="宋体" w:hAnsi="宋体" w:cs="宋体"/>
          <w:szCs w:val="21"/>
        </w:rPr>
      </w:pPr>
      <w:r>
        <w:rPr>
          <w:rFonts w:hint="eastAsia" w:ascii="宋体" w:hAnsi="宋体" w:cs="宋体"/>
          <w:szCs w:val="21"/>
        </w:rPr>
        <w:t>结合展览主题，完成主题墙及序章、风物等场景的氛围布置营造，保证场景细节丰富、主题突出，视觉效果贴合展览定位。</w:t>
      </w:r>
    </w:p>
    <w:p w14:paraId="1B41D20C">
      <w:pPr>
        <w:pStyle w:val="261"/>
        <w:spacing w:line="360" w:lineRule="auto"/>
        <w:ind w:left="0" w:leftChars="0" w:firstLine="420" w:firstLineChars="200"/>
        <w:rPr>
          <w:rFonts w:ascii="宋体" w:hAnsi="宋体" w:cs="宋体"/>
          <w:szCs w:val="21"/>
        </w:rPr>
      </w:pPr>
      <w:r>
        <w:rPr>
          <w:rFonts w:hint="eastAsia" w:ascii="宋体" w:hAnsi="宋体" w:cs="宋体"/>
          <w:szCs w:val="21"/>
        </w:rPr>
        <w:t>（5）文献与建筑模型展台（展架）、雕塑展台、阅读区等定制</w:t>
      </w:r>
    </w:p>
    <w:p w14:paraId="4723C6C3">
      <w:pPr>
        <w:pStyle w:val="261"/>
        <w:spacing w:line="360" w:lineRule="auto"/>
        <w:ind w:left="0" w:leftChars="0" w:firstLine="420" w:firstLineChars="200"/>
        <w:rPr>
          <w:rFonts w:ascii="宋体" w:hAnsi="宋体" w:cs="宋体"/>
          <w:szCs w:val="21"/>
        </w:rPr>
      </w:pPr>
      <w:r>
        <w:rPr>
          <w:rFonts w:hint="eastAsia" w:ascii="宋体" w:hAnsi="宋体" w:cs="宋体"/>
          <w:szCs w:val="21"/>
        </w:rPr>
        <w:t>根据展览空间设计完成1-4号厅的文献展示台定制，用于陈列建筑模型、文献资料等展品，同时4号展厅设置阅读区域，供观众休息阅读。要求展台（展架）结构稳固、可根据展陈需求拼装调整，适配不同类型展品的展示需求。具体展示的文献内容有门票、老商标招贴、书籍、明信片、老物件等。</w:t>
      </w:r>
    </w:p>
    <w:p w14:paraId="428D0DB7">
      <w:pPr>
        <w:pStyle w:val="261"/>
        <w:spacing w:line="360" w:lineRule="auto"/>
        <w:ind w:left="0" w:leftChars="0" w:firstLine="420" w:firstLineChars="200"/>
        <w:rPr>
          <w:rFonts w:ascii="宋体" w:hAnsi="宋体" w:cs="宋体"/>
          <w:szCs w:val="21"/>
        </w:rPr>
      </w:pPr>
      <w:r>
        <w:rPr>
          <w:rFonts w:hint="eastAsia" w:ascii="宋体" w:hAnsi="宋体" w:cs="宋体"/>
          <w:szCs w:val="21"/>
        </w:rPr>
        <w:t>（6）广告喷绘、丝网印刷、展签、地贴定制及安装</w:t>
      </w:r>
    </w:p>
    <w:p w14:paraId="38540E62">
      <w:pPr>
        <w:pStyle w:val="261"/>
        <w:spacing w:line="360" w:lineRule="auto"/>
        <w:ind w:left="0" w:leftChars="0" w:firstLine="420" w:firstLineChars="200"/>
        <w:rPr>
          <w:rFonts w:ascii="宋体" w:hAnsi="宋体" w:cs="宋体"/>
          <w:szCs w:val="21"/>
        </w:rPr>
      </w:pPr>
      <w:r>
        <w:rPr>
          <w:rFonts w:hint="eastAsia" w:ascii="宋体" w:hAnsi="宋体" w:cs="宋体"/>
          <w:szCs w:val="21"/>
        </w:rPr>
        <w:t>完成户外平台led电子屏尺寸：5120mm（宽）×6400mm（高）、一楼竖版电子屏尺寸：685mm（宽）×102mm（高），一楼中庭网格布条幅尺寸：3200mm（宽）×6800mm（高）、1-2号厅之间灯箱上： 6270mm（宽）× 740mm（高）灯箱需打孔、下 6270mm（宽）×2590mm（高）灯箱需打孔。以及立体雕刻字、丝网印刷文字、高密度雪弗板uv打印展签、加厚黑胶地贴。所有内容、尺寸、材质、物料、安装位、安装方式等需满足美术馆要求，需在布展期间内安装到位，并保证效率、质量及安全。</w:t>
      </w:r>
    </w:p>
    <w:p w14:paraId="0BB88478">
      <w:pPr>
        <w:pStyle w:val="18"/>
        <w:spacing w:line="360" w:lineRule="auto"/>
        <w:ind w:firstLine="420" w:firstLineChars="200"/>
        <w:rPr>
          <w:rFonts w:hAnsi="宋体" w:cs="宋体"/>
          <w:sz w:val="21"/>
          <w:szCs w:val="21"/>
        </w:rPr>
      </w:pPr>
      <w:r>
        <w:rPr>
          <w:rFonts w:hint="eastAsia" w:hAnsi="宋体" w:cs="宋体"/>
          <w:sz w:val="21"/>
          <w:szCs w:val="21"/>
        </w:rPr>
        <w:t>（7）作品装裱配框</w:t>
      </w:r>
    </w:p>
    <w:p w14:paraId="40BEB248">
      <w:pPr>
        <w:pStyle w:val="43"/>
        <w:spacing w:line="360" w:lineRule="auto"/>
        <w:ind w:left="0" w:firstLine="420" w:firstLineChars="200"/>
        <w:rPr>
          <w:rFonts w:ascii="宋体" w:hAnsi="宋体" w:cs="宋体"/>
        </w:rPr>
      </w:pPr>
      <w:r>
        <w:rPr>
          <w:rFonts w:hint="eastAsia" w:ascii="宋体" w:hAnsi="宋体" w:cs="宋体"/>
          <w:szCs w:val="21"/>
        </w:rPr>
        <w:t>为不少于50件作品装裱配框，装裱和画框样式均需满足实际需求，具体装框数量以实际要求为准。装裱工艺需符合专业展览标准，根据作品材质、尺寸、主题等实际需求，确保作品装裱后平整、牢固、美观，不损伤作品原貌，具备良好的展示效果和保存性能。装裱材料需选用环保、耐用、无异味的优质材料，材质需经采购人确认后方可使用。画框材质需选用优质实木、铝合金等耐用材料，做工精细，尺寸需与作品及装裱后的尺寸精准匹配，确保作品安装稳固、展示协调。</w:t>
      </w:r>
    </w:p>
    <w:p w14:paraId="6ECA40F5">
      <w:pPr>
        <w:spacing w:line="360" w:lineRule="auto"/>
        <w:ind w:firstLine="420" w:firstLineChars="200"/>
        <w:rPr>
          <w:rFonts w:ascii="宋体" w:hAnsi="宋体" w:cs="宋体"/>
          <w:szCs w:val="21"/>
        </w:rPr>
      </w:pPr>
      <w:r>
        <w:rPr>
          <w:rFonts w:hint="eastAsia" w:ascii="宋体" w:hAnsi="宋体" w:cs="宋体"/>
          <w:szCs w:val="21"/>
        </w:rPr>
        <w:t>（8）折页设计制作</w:t>
      </w:r>
    </w:p>
    <w:p w14:paraId="602AD7CF">
      <w:pPr>
        <w:spacing w:line="360" w:lineRule="auto"/>
        <w:ind w:firstLine="420" w:firstLineChars="200"/>
        <w:rPr>
          <w:rFonts w:ascii="宋体" w:hAnsi="宋体" w:cs="宋体"/>
          <w:szCs w:val="21"/>
        </w:rPr>
      </w:pPr>
      <w:r>
        <w:rPr>
          <w:rFonts w:hint="eastAsia" w:ascii="宋体" w:hAnsi="宋体" w:cs="宋体"/>
          <w:szCs w:val="21"/>
        </w:rPr>
        <w:t>结合展览主题和内容，设计制作展览折页</w:t>
      </w:r>
      <w:r>
        <w:rPr>
          <w:rFonts w:hint="eastAsia" w:ascii="宋体" w:hAnsi="宋体" w:cs="宋体"/>
          <w:szCs w:val="21"/>
          <w:lang w:val="en-US" w:eastAsia="zh-CN"/>
        </w:rPr>
        <w:t>4</w:t>
      </w:r>
      <w:r>
        <w:rPr>
          <w:rFonts w:hint="eastAsia" w:ascii="宋体" w:hAnsi="宋体" w:cs="宋体"/>
          <w:szCs w:val="21"/>
        </w:rPr>
        <w:t>000本（具体数量以实际要求为准）。折页设计需紧扣展览主题视觉效果突出，能够充分展现展览核心内容和特色。根据采购人反馈意见进行修改完善，直至最终确认。设计过程中需搭配协调，符合展览整体调性。需在开展之前将成品运送至采购人指定地点。</w:t>
      </w:r>
    </w:p>
    <w:p w14:paraId="66A6141C">
      <w:pPr>
        <w:spacing w:line="360" w:lineRule="auto"/>
        <w:ind w:firstLine="420" w:firstLineChars="200"/>
        <w:rPr>
          <w:rFonts w:ascii="宋体" w:hAnsi="宋体" w:cs="宋体"/>
          <w:szCs w:val="21"/>
        </w:rPr>
      </w:pPr>
      <w:r>
        <w:rPr>
          <w:rFonts w:hint="eastAsia" w:ascii="宋体" w:hAnsi="宋体" w:cs="宋体"/>
          <w:szCs w:val="21"/>
        </w:rPr>
        <w:t>（9）摄影作品及部分文献高清输出</w:t>
      </w:r>
    </w:p>
    <w:p w14:paraId="0C5E764D">
      <w:pPr>
        <w:spacing w:line="360" w:lineRule="auto"/>
        <w:ind w:firstLine="420" w:firstLineChars="200"/>
        <w:rPr>
          <w:rFonts w:ascii="宋体" w:hAnsi="宋体" w:cs="宋体"/>
          <w:szCs w:val="21"/>
        </w:rPr>
      </w:pPr>
      <w:r>
        <w:rPr>
          <w:rFonts w:hint="eastAsia" w:ascii="宋体" w:hAnsi="宋体" w:cs="宋体"/>
          <w:szCs w:val="21"/>
        </w:rPr>
        <w:t>为约10张民国摄影作品，和部分文献照片（≥30张）进行高清输出。输出色彩还原准确，细节清晰，无模糊、失真、划痕等问题。输出材质需根据作品用途选择合适的专业材质（如高清相纸、艺术微喷纸等），材质质量需符合展览展示标准，经采购人确认后方可批量输出。</w:t>
      </w:r>
    </w:p>
    <w:p w14:paraId="1EED32AE">
      <w:pPr>
        <w:spacing w:line="360" w:lineRule="auto"/>
        <w:ind w:firstLine="420" w:firstLineChars="200"/>
        <w:rPr>
          <w:rFonts w:ascii="宋体" w:hAnsi="宋体" w:cs="宋体"/>
          <w:szCs w:val="21"/>
        </w:rPr>
      </w:pPr>
      <w:r>
        <w:rPr>
          <w:rFonts w:hint="eastAsia" w:ascii="宋体" w:hAnsi="宋体" w:cs="宋体"/>
          <w:szCs w:val="21"/>
        </w:rPr>
        <w:t>（10）多媒体系统</w:t>
      </w:r>
    </w:p>
    <w:p w14:paraId="25B4AA24">
      <w:pPr>
        <w:spacing w:line="360" w:lineRule="auto"/>
        <w:ind w:firstLine="420" w:firstLineChars="200"/>
        <w:rPr>
          <w:rFonts w:ascii="宋体" w:hAnsi="宋体" w:cs="宋体"/>
          <w:szCs w:val="21"/>
        </w:rPr>
      </w:pPr>
      <w:r>
        <w:rPr>
          <w:rFonts w:hint="eastAsia" w:ascii="宋体" w:hAnsi="宋体" w:cs="宋体"/>
          <w:szCs w:val="21"/>
        </w:rPr>
        <w:t>影像装置</w:t>
      </w:r>
      <w:r>
        <w:rPr>
          <w:rFonts w:hint="eastAsia" w:ascii="宋体" w:hAnsi="宋体" w:cs="宋体"/>
          <w:szCs w:val="21"/>
          <w:lang w:val="en-US" w:eastAsia="zh-CN"/>
        </w:rPr>
        <w:t>1</w:t>
      </w:r>
      <w:r>
        <w:rPr>
          <w:rFonts w:hint="eastAsia" w:ascii="宋体" w:hAnsi="宋体" w:cs="宋体"/>
          <w:szCs w:val="21"/>
        </w:rPr>
        <w:tab/>
      </w:r>
    </w:p>
    <w:p w14:paraId="1EEFF169">
      <w:pPr>
        <w:spacing w:line="360" w:lineRule="auto"/>
        <w:ind w:firstLine="420" w:firstLineChars="200"/>
        <w:rPr>
          <w:rFonts w:ascii="宋体" w:hAnsi="宋体" w:cs="宋体"/>
          <w:szCs w:val="21"/>
        </w:rPr>
      </w:pPr>
      <w:r>
        <w:rPr>
          <w:rFonts w:hint="eastAsia" w:ascii="宋体" w:hAnsi="宋体" w:cs="宋体"/>
          <w:szCs w:val="21"/>
        </w:rPr>
        <w:t>1、设备及安装基础需求：8000-12000流明，分辨率1920×1200或以上投影机4台及配套播放控制系统，提供同步播放及融合服务。</w:t>
      </w:r>
    </w:p>
    <w:p w14:paraId="760D03CF">
      <w:pPr>
        <w:spacing w:line="360" w:lineRule="auto"/>
        <w:ind w:firstLine="420" w:firstLineChars="200"/>
        <w:rPr>
          <w:rFonts w:ascii="宋体" w:hAnsi="宋体" w:cs="宋体"/>
          <w:szCs w:val="21"/>
        </w:rPr>
      </w:pPr>
      <w:r>
        <w:rPr>
          <w:rFonts w:hint="eastAsia" w:ascii="宋体" w:hAnsi="宋体" w:cs="宋体"/>
          <w:szCs w:val="21"/>
        </w:rPr>
        <w:t>2、软件及内容播放：根据布展设计所需调整。</w:t>
      </w:r>
    </w:p>
    <w:p w14:paraId="6C582504">
      <w:pPr>
        <w:spacing w:line="360" w:lineRule="auto"/>
        <w:ind w:firstLine="420" w:firstLineChars="200"/>
        <w:rPr>
          <w:rFonts w:ascii="宋体" w:hAnsi="宋体" w:cs="宋体"/>
          <w:szCs w:val="21"/>
        </w:rPr>
      </w:pPr>
      <w:r>
        <w:rPr>
          <w:rFonts w:hint="eastAsia" w:ascii="宋体" w:hAnsi="宋体" w:cs="宋体"/>
          <w:szCs w:val="21"/>
        </w:rPr>
        <w:t>3、其他技术服务：布展确认后需对接详细装置展布展实施方案，包括并不限于空间配置、装饰配套设备配置，并提供布展、展览及撤展所需的其他技术服务。</w:t>
      </w:r>
    </w:p>
    <w:p w14:paraId="0C90FE5F">
      <w:pPr>
        <w:spacing w:line="360" w:lineRule="auto"/>
        <w:ind w:firstLine="420" w:firstLineChars="200"/>
        <w:rPr>
          <w:rFonts w:ascii="宋体" w:hAnsi="宋体" w:cs="宋体"/>
          <w:szCs w:val="21"/>
        </w:rPr>
      </w:pPr>
      <w:r>
        <w:rPr>
          <w:rFonts w:hint="eastAsia" w:ascii="宋体" w:hAnsi="宋体" w:cs="宋体"/>
          <w:szCs w:val="21"/>
        </w:rPr>
        <w:t>4、服务期限：≥1个月。</w:t>
      </w:r>
    </w:p>
    <w:p w14:paraId="317B35FD">
      <w:pPr>
        <w:spacing w:line="360" w:lineRule="auto"/>
        <w:ind w:firstLine="420" w:firstLineChars="200"/>
        <w:rPr>
          <w:rFonts w:ascii="宋体" w:hAnsi="宋体" w:cs="宋体"/>
          <w:szCs w:val="21"/>
        </w:rPr>
      </w:pPr>
      <w:r>
        <w:rPr>
          <w:rFonts w:hint="eastAsia" w:ascii="宋体" w:hAnsi="宋体" w:cs="宋体"/>
          <w:szCs w:val="21"/>
        </w:rPr>
        <w:t>影像装置</w:t>
      </w:r>
      <w:r>
        <w:rPr>
          <w:rFonts w:hint="eastAsia" w:ascii="宋体" w:hAnsi="宋体" w:cs="宋体"/>
          <w:szCs w:val="21"/>
          <w:lang w:val="en-US" w:eastAsia="zh-CN"/>
        </w:rPr>
        <w:t>2</w:t>
      </w:r>
      <w:r>
        <w:rPr>
          <w:rFonts w:hint="eastAsia" w:ascii="宋体" w:hAnsi="宋体" w:cs="宋体"/>
          <w:szCs w:val="21"/>
        </w:rPr>
        <w:tab/>
      </w:r>
    </w:p>
    <w:p w14:paraId="5ED2FC95">
      <w:pPr>
        <w:spacing w:line="360" w:lineRule="auto"/>
        <w:ind w:firstLine="420" w:firstLineChars="200"/>
        <w:rPr>
          <w:rFonts w:ascii="宋体" w:hAnsi="宋体" w:cs="宋体"/>
          <w:szCs w:val="21"/>
        </w:rPr>
      </w:pPr>
      <w:r>
        <w:rPr>
          <w:rFonts w:hint="eastAsia" w:ascii="宋体" w:hAnsi="宋体" w:cs="宋体"/>
          <w:szCs w:val="21"/>
        </w:rPr>
        <w:t>1、投影面积每屏≥360cm×225cm。</w:t>
      </w:r>
    </w:p>
    <w:p w14:paraId="5F30B984">
      <w:pPr>
        <w:spacing w:line="360" w:lineRule="auto"/>
        <w:ind w:firstLine="420" w:firstLineChars="200"/>
        <w:rPr>
          <w:rFonts w:ascii="宋体" w:hAnsi="宋体" w:cs="宋体"/>
          <w:szCs w:val="21"/>
        </w:rPr>
      </w:pPr>
      <w:r>
        <w:rPr>
          <w:rFonts w:hint="eastAsia" w:ascii="宋体" w:hAnsi="宋体" w:cs="宋体"/>
          <w:szCs w:val="21"/>
        </w:rPr>
        <w:t>2、</w:t>
      </w:r>
      <w:r>
        <w:rPr>
          <w:rFonts w:hint="eastAsia" w:ascii="宋体" w:hAnsi="宋体" w:cs="宋体"/>
          <w:szCs w:val="21"/>
          <w:highlight w:val="none"/>
        </w:rPr>
        <w:t>设备及安装基础需求：≥</w:t>
      </w:r>
      <w:r>
        <w:rPr>
          <w:rFonts w:hint="eastAsia" w:ascii="宋体" w:hAnsi="宋体" w:cs="宋体"/>
          <w:szCs w:val="21"/>
          <w:highlight w:val="none"/>
          <w:lang w:val="en-US" w:eastAsia="zh-CN"/>
        </w:rPr>
        <w:t>120</w:t>
      </w:r>
      <w:r>
        <w:rPr>
          <w:rFonts w:hint="eastAsia" w:ascii="宋体" w:hAnsi="宋体" w:cs="宋体"/>
          <w:szCs w:val="21"/>
          <w:highlight w:val="none"/>
        </w:rPr>
        <w:t>00流明，分辨率1920×1200或以上投影机5台及配套播放控制系统、立体声音响5套、投影介质5套、五套视频的同步设备。</w:t>
      </w:r>
    </w:p>
    <w:p w14:paraId="6B49F18A">
      <w:pPr>
        <w:spacing w:line="360" w:lineRule="auto"/>
        <w:ind w:firstLine="420" w:firstLineChars="200"/>
        <w:rPr>
          <w:rFonts w:ascii="宋体" w:hAnsi="宋体" w:cs="宋体"/>
          <w:szCs w:val="21"/>
        </w:rPr>
      </w:pPr>
      <w:r>
        <w:rPr>
          <w:rFonts w:hint="eastAsia" w:ascii="宋体" w:hAnsi="宋体" w:cs="宋体"/>
          <w:szCs w:val="21"/>
        </w:rPr>
        <w:t>3、软件及内容播放：根据布展设计所需调整。</w:t>
      </w:r>
    </w:p>
    <w:p w14:paraId="0EC42D40">
      <w:pPr>
        <w:spacing w:line="360" w:lineRule="auto"/>
        <w:ind w:firstLine="420" w:firstLineChars="200"/>
        <w:rPr>
          <w:rFonts w:ascii="宋体" w:hAnsi="宋体" w:cs="宋体"/>
          <w:szCs w:val="21"/>
        </w:rPr>
      </w:pPr>
      <w:r>
        <w:rPr>
          <w:rFonts w:hint="eastAsia" w:ascii="宋体" w:hAnsi="宋体" w:cs="宋体"/>
          <w:szCs w:val="21"/>
        </w:rPr>
        <w:t>4、其他技术服务：布展确认后需对接详细装置展布展实施方案，包括并不限于空间配置、装饰配套设备配置，并提供布展、展览及撤展所需的其他技术服务。</w:t>
      </w:r>
    </w:p>
    <w:p w14:paraId="1708BC4E">
      <w:pPr>
        <w:spacing w:line="360" w:lineRule="auto"/>
        <w:ind w:firstLine="420" w:firstLineChars="200"/>
        <w:rPr>
          <w:rFonts w:ascii="宋体" w:hAnsi="宋体" w:cs="宋体"/>
          <w:szCs w:val="21"/>
        </w:rPr>
      </w:pPr>
      <w:r>
        <w:rPr>
          <w:rFonts w:hint="eastAsia" w:ascii="宋体" w:hAnsi="宋体" w:cs="宋体"/>
          <w:szCs w:val="21"/>
        </w:rPr>
        <w:t>5、服务期限：≥1个月。</w:t>
      </w:r>
    </w:p>
    <w:p w14:paraId="452CBDD3">
      <w:pPr>
        <w:spacing w:line="360" w:lineRule="auto"/>
        <w:ind w:firstLine="420" w:firstLineChars="200"/>
        <w:rPr>
          <w:rFonts w:ascii="宋体" w:hAnsi="宋体" w:cs="宋体"/>
          <w:szCs w:val="21"/>
        </w:rPr>
      </w:pPr>
      <w:r>
        <w:rPr>
          <w:rFonts w:hint="eastAsia" w:ascii="宋体" w:hAnsi="宋体" w:cs="宋体"/>
          <w:szCs w:val="21"/>
        </w:rPr>
        <w:t>影像装置</w:t>
      </w:r>
      <w:r>
        <w:rPr>
          <w:rFonts w:hint="eastAsia" w:ascii="宋体" w:hAnsi="宋体" w:cs="宋体"/>
          <w:szCs w:val="21"/>
          <w:lang w:val="en-US" w:eastAsia="zh-CN"/>
        </w:rPr>
        <w:t>3</w:t>
      </w:r>
      <w:r>
        <w:rPr>
          <w:rFonts w:hint="eastAsia" w:ascii="宋体" w:hAnsi="宋体" w:cs="宋体"/>
          <w:szCs w:val="21"/>
        </w:rPr>
        <w:tab/>
      </w:r>
    </w:p>
    <w:p w14:paraId="607B180C">
      <w:pPr>
        <w:spacing w:line="360" w:lineRule="auto"/>
        <w:ind w:firstLine="420" w:firstLineChars="200"/>
        <w:rPr>
          <w:rFonts w:ascii="宋体" w:hAnsi="宋体" w:cs="宋体"/>
          <w:szCs w:val="21"/>
        </w:rPr>
      </w:pPr>
      <w:r>
        <w:rPr>
          <w:rFonts w:hint="eastAsia" w:ascii="宋体" w:hAnsi="宋体" w:cs="宋体"/>
          <w:szCs w:val="21"/>
        </w:rPr>
        <w:t>1、空间墙面比例适合作品比例，为完美呈现11520×2160的超宽幅视觉，需严格控制现场光害。</w:t>
      </w:r>
    </w:p>
    <w:p w14:paraId="6D5680BD">
      <w:pPr>
        <w:spacing w:line="360" w:lineRule="auto"/>
        <w:ind w:firstLine="420" w:firstLineChars="200"/>
        <w:rPr>
          <w:rFonts w:ascii="宋体" w:hAnsi="宋体" w:cs="宋体"/>
          <w:szCs w:val="21"/>
        </w:rPr>
      </w:pPr>
      <w:r>
        <w:rPr>
          <w:rFonts w:hint="eastAsia" w:ascii="宋体" w:hAnsi="宋体" w:cs="宋体"/>
          <w:szCs w:val="21"/>
        </w:rPr>
        <w:t>2、设备及安装基础需求：≥8000流明，分辨率 3840×2160 (4K UHD)或以上投影机3台及配套播放控制系统、立体声音响1套，提供同步播放及融合服务。</w:t>
      </w:r>
    </w:p>
    <w:p w14:paraId="2A95C095">
      <w:pPr>
        <w:spacing w:line="360" w:lineRule="auto"/>
        <w:ind w:firstLine="420" w:firstLineChars="200"/>
        <w:rPr>
          <w:rFonts w:ascii="宋体" w:hAnsi="宋体" w:cs="宋体"/>
          <w:szCs w:val="21"/>
        </w:rPr>
      </w:pPr>
      <w:r>
        <w:rPr>
          <w:rFonts w:hint="eastAsia" w:ascii="宋体" w:hAnsi="宋体" w:cs="宋体"/>
          <w:szCs w:val="21"/>
        </w:rPr>
        <w:t>3、软件及内容播放：根据布展设计所需调整。</w:t>
      </w:r>
    </w:p>
    <w:p w14:paraId="4E09D996">
      <w:pPr>
        <w:spacing w:line="360" w:lineRule="auto"/>
        <w:ind w:firstLine="420" w:firstLineChars="200"/>
        <w:rPr>
          <w:rFonts w:ascii="宋体" w:hAnsi="宋体" w:cs="宋体"/>
          <w:szCs w:val="21"/>
        </w:rPr>
      </w:pPr>
      <w:r>
        <w:rPr>
          <w:rFonts w:hint="eastAsia" w:ascii="宋体" w:hAnsi="宋体" w:cs="宋体"/>
          <w:szCs w:val="21"/>
        </w:rPr>
        <w:t>4、其他技术服务：布展确认后需对接详细装置展布展实施方案，包括并不限于空间配置、装饰配套设备配置，并提供布展、展览及撤展所需的其他技术服务。</w:t>
      </w:r>
    </w:p>
    <w:p w14:paraId="6AED37F1">
      <w:pPr>
        <w:spacing w:line="360" w:lineRule="auto"/>
        <w:ind w:firstLine="420" w:firstLineChars="200"/>
        <w:rPr>
          <w:rFonts w:ascii="宋体" w:hAnsi="宋体" w:cs="宋体"/>
          <w:szCs w:val="21"/>
        </w:rPr>
      </w:pPr>
      <w:r>
        <w:rPr>
          <w:rFonts w:hint="eastAsia" w:ascii="宋体" w:hAnsi="宋体" w:cs="宋体"/>
          <w:szCs w:val="21"/>
        </w:rPr>
        <w:t>5、服务期限：≥1个月。</w:t>
      </w:r>
    </w:p>
    <w:p w14:paraId="2987FA55">
      <w:pPr>
        <w:spacing w:line="360" w:lineRule="auto"/>
        <w:ind w:firstLine="420" w:firstLineChars="200"/>
        <w:rPr>
          <w:rFonts w:ascii="宋体" w:hAnsi="宋体" w:cs="宋体"/>
          <w:szCs w:val="21"/>
        </w:rPr>
      </w:pPr>
      <w:r>
        <w:rPr>
          <w:rFonts w:hint="eastAsia" w:ascii="宋体" w:hAnsi="宋体" w:cs="宋体"/>
          <w:szCs w:val="21"/>
        </w:rPr>
        <w:t>文献数字化装置1</w:t>
      </w:r>
    </w:p>
    <w:p w14:paraId="609B6A5D">
      <w:pPr>
        <w:spacing w:line="360" w:lineRule="auto"/>
        <w:ind w:firstLine="420" w:firstLineChars="200"/>
        <w:rPr>
          <w:rFonts w:ascii="宋体" w:hAnsi="宋体" w:cs="宋体"/>
          <w:szCs w:val="21"/>
        </w:rPr>
      </w:pPr>
      <w:r>
        <w:rPr>
          <w:rFonts w:hint="eastAsia" w:ascii="宋体" w:hAnsi="宋体" w:cs="宋体"/>
          <w:szCs w:val="21"/>
        </w:rPr>
        <w:t>1、结合内容版面展示。</w:t>
      </w:r>
    </w:p>
    <w:p w14:paraId="454C69AC">
      <w:pPr>
        <w:spacing w:line="360" w:lineRule="auto"/>
        <w:ind w:firstLine="420" w:firstLineChars="200"/>
        <w:rPr>
          <w:rFonts w:ascii="宋体" w:hAnsi="宋体" w:cs="宋体"/>
          <w:szCs w:val="21"/>
        </w:rPr>
      </w:pPr>
      <w:r>
        <w:rPr>
          <w:rFonts w:hint="eastAsia" w:ascii="宋体" w:hAnsi="宋体" w:cs="宋体"/>
          <w:szCs w:val="21"/>
        </w:rPr>
        <w:t>2、设备及安装基础需求：≥55寸显示屏1台，分辨率1920×1080，墙面安装。</w:t>
      </w:r>
    </w:p>
    <w:p w14:paraId="1F7EB6F1">
      <w:pPr>
        <w:spacing w:line="360" w:lineRule="auto"/>
        <w:ind w:firstLine="420" w:firstLineChars="200"/>
        <w:rPr>
          <w:rFonts w:ascii="宋体" w:hAnsi="宋体" w:cs="宋体"/>
          <w:szCs w:val="21"/>
        </w:rPr>
      </w:pPr>
      <w:r>
        <w:rPr>
          <w:rFonts w:hint="eastAsia" w:ascii="宋体" w:hAnsi="宋体" w:cs="宋体"/>
          <w:szCs w:val="21"/>
        </w:rPr>
        <w:t>3、软件及内容播放：根据布展设计所需调整。</w:t>
      </w:r>
    </w:p>
    <w:p w14:paraId="5B3CEBA7">
      <w:pPr>
        <w:spacing w:line="360" w:lineRule="auto"/>
        <w:ind w:firstLine="420" w:firstLineChars="200"/>
        <w:rPr>
          <w:rFonts w:ascii="宋体" w:hAnsi="宋体" w:cs="宋体"/>
          <w:szCs w:val="21"/>
        </w:rPr>
      </w:pPr>
      <w:r>
        <w:rPr>
          <w:rFonts w:hint="eastAsia" w:ascii="宋体" w:hAnsi="宋体" w:cs="宋体"/>
          <w:szCs w:val="21"/>
        </w:rPr>
        <w:t>4、其他技术服务：布展确认后需和设计师对接详细装置展布展实施方案，包括并不限于空间配置、装饰配套设备配置，并提供布展、展览及撤展所需的其他技术服务。</w:t>
      </w:r>
    </w:p>
    <w:p w14:paraId="4B295709">
      <w:pPr>
        <w:spacing w:line="360" w:lineRule="auto"/>
        <w:ind w:firstLine="420" w:firstLineChars="200"/>
        <w:rPr>
          <w:rFonts w:ascii="宋体" w:hAnsi="宋体" w:cs="宋体"/>
          <w:szCs w:val="21"/>
        </w:rPr>
      </w:pPr>
      <w:r>
        <w:rPr>
          <w:rFonts w:hint="eastAsia" w:ascii="宋体" w:hAnsi="宋体" w:cs="宋体"/>
          <w:szCs w:val="21"/>
        </w:rPr>
        <w:t>5、服务期限：≥1个月。</w:t>
      </w:r>
    </w:p>
    <w:p w14:paraId="0BFCC74B">
      <w:pPr>
        <w:spacing w:line="360" w:lineRule="auto"/>
        <w:ind w:firstLine="420" w:firstLineChars="200"/>
        <w:rPr>
          <w:rFonts w:ascii="宋体" w:hAnsi="宋体" w:cs="宋体"/>
          <w:szCs w:val="21"/>
        </w:rPr>
      </w:pPr>
      <w:r>
        <w:rPr>
          <w:rFonts w:hint="eastAsia" w:ascii="宋体" w:hAnsi="宋体" w:cs="宋体"/>
          <w:szCs w:val="21"/>
        </w:rPr>
        <w:t>文献观看装置2</w:t>
      </w:r>
      <w:r>
        <w:rPr>
          <w:rFonts w:hint="eastAsia" w:ascii="宋体" w:hAnsi="宋体" w:cs="宋体"/>
          <w:szCs w:val="21"/>
        </w:rPr>
        <w:tab/>
      </w:r>
    </w:p>
    <w:p w14:paraId="7B76459C">
      <w:pPr>
        <w:spacing w:line="360" w:lineRule="auto"/>
        <w:ind w:firstLine="420" w:firstLineChars="200"/>
        <w:rPr>
          <w:rFonts w:ascii="宋体" w:hAnsi="宋体" w:cs="宋体"/>
          <w:szCs w:val="21"/>
        </w:rPr>
      </w:pPr>
      <w:r>
        <w:rPr>
          <w:rFonts w:hint="eastAsia" w:ascii="宋体" w:hAnsi="宋体" w:cs="宋体"/>
          <w:szCs w:val="21"/>
        </w:rPr>
        <w:t>1、配合墙面地图布置观看窗口。</w:t>
      </w:r>
    </w:p>
    <w:p w14:paraId="035968D0">
      <w:pPr>
        <w:spacing w:line="360" w:lineRule="auto"/>
        <w:ind w:firstLine="420" w:firstLineChars="200"/>
        <w:rPr>
          <w:rFonts w:ascii="宋体" w:hAnsi="宋体" w:cs="宋体"/>
          <w:szCs w:val="21"/>
        </w:rPr>
      </w:pPr>
      <w:r>
        <w:rPr>
          <w:rFonts w:hint="eastAsia" w:ascii="宋体" w:hAnsi="宋体" w:cs="宋体"/>
          <w:szCs w:val="21"/>
        </w:rPr>
        <w:t>2、设备及安装基础需求：≥3套小型显示装置，墙面隐藏安装。</w:t>
      </w:r>
    </w:p>
    <w:p w14:paraId="18169FD9">
      <w:pPr>
        <w:spacing w:line="360" w:lineRule="auto"/>
        <w:ind w:firstLine="420" w:firstLineChars="200"/>
        <w:rPr>
          <w:rFonts w:ascii="宋体" w:hAnsi="宋体" w:cs="宋体"/>
          <w:szCs w:val="21"/>
        </w:rPr>
      </w:pPr>
      <w:r>
        <w:rPr>
          <w:rFonts w:hint="eastAsia" w:ascii="宋体" w:hAnsi="宋体" w:cs="宋体"/>
          <w:szCs w:val="21"/>
        </w:rPr>
        <w:t>3、软件及内容播放：根据布展设计所需调整。</w:t>
      </w:r>
    </w:p>
    <w:p w14:paraId="36FF08B9">
      <w:pPr>
        <w:spacing w:line="360" w:lineRule="auto"/>
        <w:ind w:firstLine="420" w:firstLineChars="200"/>
        <w:rPr>
          <w:rFonts w:ascii="宋体" w:hAnsi="宋体" w:cs="宋体"/>
          <w:szCs w:val="21"/>
        </w:rPr>
      </w:pPr>
      <w:r>
        <w:rPr>
          <w:rFonts w:hint="eastAsia" w:ascii="宋体" w:hAnsi="宋体" w:cs="宋体"/>
          <w:szCs w:val="21"/>
        </w:rPr>
        <w:t>4、其他技术服务：布展确认后需对接详细装置展布展实施方案，包括并不限于空间配置、装饰配套设备配置，并提供布展、展览及撤展所需的其他技术服务。</w:t>
      </w:r>
    </w:p>
    <w:p w14:paraId="70FE6038">
      <w:pPr>
        <w:spacing w:line="360" w:lineRule="auto"/>
        <w:ind w:firstLine="420" w:firstLineChars="200"/>
        <w:rPr>
          <w:rFonts w:ascii="宋体" w:hAnsi="宋体" w:cs="宋体"/>
          <w:szCs w:val="21"/>
        </w:rPr>
      </w:pPr>
      <w:r>
        <w:rPr>
          <w:rFonts w:hint="eastAsia" w:ascii="宋体" w:hAnsi="宋体" w:cs="宋体"/>
          <w:szCs w:val="21"/>
        </w:rPr>
        <w:t>5、服务期限：≥1个月。</w:t>
      </w:r>
    </w:p>
    <w:p w14:paraId="69BE3B54">
      <w:pPr>
        <w:spacing w:line="360" w:lineRule="auto"/>
        <w:ind w:firstLine="420" w:firstLineChars="200"/>
        <w:rPr>
          <w:rFonts w:ascii="宋体" w:hAnsi="宋体" w:cs="宋体"/>
          <w:szCs w:val="21"/>
        </w:rPr>
      </w:pPr>
      <w:r>
        <w:rPr>
          <w:rFonts w:hint="eastAsia" w:ascii="宋体" w:hAnsi="宋体" w:cs="宋体"/>
          <w:szCs w:val="21"/>
        </w:rPr>
        <w:t>影像装置</w:t>
      </w:r>
      <w:r>
        <w:rPr>
          <w:rFonts w:hint="eastAsia" w:ascii="宋体" w:hAnsi="宋体" w:cs="宋体"/>
          <w:szCs w:val="21"/>
          <w:lang w:val="en-US" w:eastAsia="zh-CN"/>
        </w:rPr>
        <w:t>4</w:t>
      </w:r>
      <w:r>
        <w:rPr>
          <w:rFonts w:hint="eastAsia" w:ascii="宋体" w:hAnsi="宋体" w:cs="宋体"/>
          <w:szCs w:val="21"/>
        </w:rPr>
        <w:tab/>
      </w:r>
    </w:p>
    <w:p w14:paraId="41F6F070">
      <w:pPr>
        <w:spacing w:line="360" w:lineRule="auto"/>
        <w:ind w:firstLine="420" w:firstLineChars="200"/>
        <w:rPr>
          <w:rFonts w:ascii="宋体" w:hAnsi="宋体" w:cs="宋体"/>
          <w:szCs w:val="21"/>
        </w:rPr>
      </w:pPr>
      <w:r>
        <w:rPr>
          <w:rFonts w:hint="eastAsia" w:ascii="宋体" w:hAnsi="宋体" w:cs="宋体"/>
          <w:szCs w:val="21"/>
        </w:rPr>
        <w:t>1、配合布展位置灵活调整。</w:t>
      </w:r>
    </w:p>
    <w:p w14:paraId="3972DA3F">
      <w:pPr>
        <w:spacing w:line="360" w:lineRule="auto"/>
        <w:ind w:firstLine="420" w:firstLineChars="200"/>
        <w:rPr>
          <w:rFonts w:ascii="宋体" w:hAnsi="宋体" w:cs="宋体"/>
          <w:szCs w:val="21"/>
        </w:rPr>
      </w:pPr>
      <w:r>
        <w:rPr>
          <w:rFonts w:hint="eastAsia" w:ascii="宋体" w:hAnsi="宋体" w:cs="宋体"/>
          <w:szCs w:val="21"/>
        </w:rPr>
        <w:t>2、设备及安装基础需求：≥98寸显示屏1台，分辨率≥4K。备用（如需）≥55寸分辨率1920×1080显示屏2台，提供落地组合式结构支架及配套支架。</w:t>
      </w:r>
    </w:p>
    <w:p w14:paraId="062B6966">
      <w:pPr>
        <w:spacing w:line="360" w:lineRule="auto"/>
        <w:ind w:firstLine="420" w:firstLineChars="200"/>
        <w:rPr>
          <w:rFonts w:ascii="宋体" w:hAnsi="宋体" w:cs="宋体"/>
          <w:szCs w:val="21"/>
        </w:rPr>
      </w:pPr>
      <w:r>
        <w:rPr>
          <w:rFonts w:hint="eastAsia" w:ascii="宋体" w:hAnsi="宋体" w:cs="宋体"/>
          <w:szCs w:val="21"/>
        </w:rPr>
        <w:t>3、软件及内容播放：根据布展设计所需调整。</w:t>
      </w:r>
    </w:p>
    <w:p w14:paraId="4A771E9C">
      <w:pPr>
        <w:spacing w:line="360" w:lineRule="auto"/>
        <w:ind w:firstLine="420" w:firstLineChars="200"/>
        <w:rPr>
          <w:rFonts w:ascii="宋体" w:hAnsi="宋体" w:cs="宋体"/>
          <w:szCs w:val="21"/>
        </w:rPr>
      </w:pPr>
      <w:r>
        <w:rPr>
          <w:rFonts w:hint="eastAsia" w:ascii="宋体" w:hAnsi="宋体" w:cs="宋体"/>
          <w:szCs w:val="21"/>
        </w:rPr>
        <w:t>4、其他技术服务：布展确认后需对接详细装置展布展实施方案，包括并不限于空间配置、装饰配套设备配置，并提供布展、展览及撤展所需的其他技术服务。</w:t>
      </w:r>
    </w:p>
    <w:p w14:paraId="56DE151F">
      <w:pPr>
        <w:spacing w:line="360" w:lineRule="auto"/>
        <w:ind w:firstLine="420" w:firstLineChars="200"/>
        <w:rPr>
          <w:rFonts w:ascii="宋体" w:hAnsi="宋体" w:cs="宋体"/>
          <w:szCs w:val="21"/>
        </w:rPr>
      </w:pPr>
      <w:r>
        <w:rPr>
          <w:rFonts w:hint="eastAsia" w:ascii="宋体" w:hAnsi="宋体" w:cs="宋体"/>
          <w:szCs w:val="21"/>
        </w:rPr>
        <w:t>5、服务期限：≥1个月。</w:t>
      </w:r>
    </w:p>
    <w:p w14:paraId="20DD26EC">
      <w:pPr>
        <w:spacing w:line="360" w:lineRule="auto"/>
        <w:ind w:firstLine="420" w:firstLineChars="200"/>
        <w:rPr>
          <w:rFonts w:ascii="宋体" w:hAnsi="宋体" w:cs="宋体"/>
          <w:szCs w:val="21"/>
        </w:rPr>
      </w:pPr>
      <w:r>
        <w:rPr>
          <w:rFonts w:hint="eastAsia" w:ascii="宋体" w:hAnsi="宋体" w:cs="宋体"/>
          <w:szCs w:val="21"/>
        </w:rPr>
        <w:t>配套技术服务</w:t>
      </w:r>
      <w:r>
        <w:rPr>
          <w:rFonts w:hint="eastAsia" w:ascii="宋体" w:hAnsi="宋体" w:cs="宋体"/>
          <w:szCs w:val="21"/>
        </w:rPr>
        <w:tab/>
      </w:r>
    </w:p>
    <w:p w14:paraId="5F2AEB59">
      <w:pPr>
        <w:spacing w:line="360" w:lineRule="auto"/>
        <w:ind w:firstLine="420" w:firstLineChars="200"/>
        <w:rPr>
          <w:rFonts w:ascii="宋体" w:hAnsi="宋体" w:cs="宋体"/>
          <w:szCs w:val="21"/>
        </w:rPr>
      </w:pPr>
      <w:r>
        <w:rPr>
          <w:rFonts w:hint="eastAsia" w:ascii="宋体" w:hAnsi="宋体" w:cs="宋体"/>
          <w:szCs w:val="21"/>
        </w:rPr>
        <w:t>1、配合设备布展的强弱电线材及辅材。</w:t>
      </w:r>
    </w:p>
    <w:p w14:paraId="0C939757">
      <w:pPr>
        <w:spacing w:line="360" w:lineRule="auto"/>
        <w:ind w:firstLine="420" w:firstLineChars="200"/>
        <w:rPr>
          <w:rFonts w:ascii="宋体" w:hAnsi="宋体" w:cs="宋体"/>
          <w:szCs w:val="21"/>
        </w:rPr>
      </w:pPr>
      <w:r>
        <w:rPr>
          <w:rFonts w:hint="eastAsia" w:ascii="宋体" w:hAnsi="宋体" w:cs="宋体"/>
          <w:szCs w:val="21"/>
        </w:rPr>
        <w:t>2、配合布展装置及设备的布展所必须的设备开启及关闭措施。</w:t>
      </w:r>
    </w:p>
    <w:p w14:paraId="1521AE90">
      <w:pPr>
        <w:spacing w:line="360" w:lineRule="auto"/>
        <w:ind w:firstLine="420" w:firstLineChars="200"/>
        <w:rPr>
          <w:rFonts w:ascii="宋体" w:hAnsi="宋体" w:cs="宋体"/>
          <w:szCs w:val="21"/>
        </w:rPr>
      </w:pPr>
      <w:r>
        <w:rPr>
          <w:rFonts w:hint="eastAsia" w:ascii="宋体" w:hAnsi="宋体" w:cs="宋体"/>
          <w:szCs w:val="21"/>
        </w:rPr>
        <w:t>3、配合布展所需的设备安装、系统集成及软件服务。</w:t>
      </w:r>
    </w:p>
    <w:p w14:paraId="48328881">
      <w:pPr>
        <w:spacing w:line="360" w:lineRule="auto"/>
        <w:ind w:firstLine="420" w:firstLineChars="200"/>
        <w:rPr>
          <w:rFonts w:ascii="宋体" w:hAnsi="宋体" w:cs="宋体"/>
          <w:szCs w:val="21"/>
        </w:rPr>
      </w:pPr>
      <w:r>
        <w:rPr>
          <w:rFonts w:hint="eastAsia" w:ascii="宋体" w:hAnsi="宋体" w:cs="宋体"/>
          <w:szCs w:val="21"/>
        </w:rPr>
        <w:t>4、服务期限：≥1个月。</w:t>
      </w:r>
    </w:p>
    <w:p w14:paraId="55AB8D8F">
      <w:pPr>
        <w:spacing w:line="360" w:lineRule="auto"/>
        <w:ind w:firstLine="420" w:firstLineChars="200"/>
        <w:rPr>
          <w:rFonts w:ascii="宋体" w:hAnsi="宋体" w:cs="宋体"/>
          <w:szCs w:val="21"/>
        </w:rPr>
      </w:pPr>
      <w:r>
        <w:rPr>
          <w:rFonts w:hint="eastAsia" w:ascii="宋体" w:hAnsi="宋体" w:cs="宋体"/>
          <w:szCs w:val="21"/>
        </w:rPr>
        <w:t>5、其他相关要求</w:t>
      </w:r>
    </w:p>
    <w:p w14:paraId="316298D7">
      <w:pPr>
        <w:spacing w:line="360" w:lineRule="auto"/>
        <w:ind w:firstLine="420" w:firstLineChars="200"/>
        <w:rPr>
          <w:rFonts w:ascii="宋体" w:hAnsi="宋体" w:cs="宋体"/>
          <w:szCs w:val="21"/>
        </w:rPr>
      </w:pPr>
      <w:r>
        <w:rPr>
          <w:rFonts w:hint="eastAsia" w:ascii="宋体" w:hAnsi="宋体" w:cs="宋体"/>
          <w:szCs w:val="21"/>
        </w:rPr>
        <w:t>（1）实施方需能按照馆方布展方案完成相关工作，需有高度执行力和配合度以实现馆方展览陈列意图。供应商需充分考虑展览时间及布撤展工作难点及实施可行性，合理安排布展时间节点。</w:t>
      </w:r>
    </w:p>
    <w:p w14:paraId="2E8E4D8B">
      <w:pPr>
        <w:spacing w:line="360" w:lineRule="auto"/>
        <w:ind w:firstLine="420" w:firstLineChars="200"/>
        <w:rPr>
          <w:rFonts w:ascii="宋体" w:hAnsi="宋体" w:cs="宋体"/>
          <w:snapToGrid w:val="0"/>
          <w:szCs w:val="21"/>
          <w:highlight w:val="magenta"/>
        </w:rPr>
      </w:pPr>
      <w:r>
        <w:rPr>
          <w:rFonts w:hint="eastAsia" w:ascii="宋体" w:hAnsi="宋体" w:cs="宋体"/>
          <w:szCs w:val="21"/>
        </w:rPr>
        <w:t>（2）施工需确保安全及稳固，杜绝安全隐患。施工过程中需保护美术馆建筑及结构，施工中产生的所有垃圾均由施工单位自行处理。展览结束撤展后需还原至施工前状态。</w:t>
      </w:r>
    </w:p>
    <w:p w14:paraId="24419461">
      <w:pPr>
        <w:spacing w:line="360" w:lineRule="auto"/>
        <w:ind w:firstLine="420" w:firstLineChars="200"/>
        <w:rPr>
          <w:rFonts w:ascii="宋体" w:hAnsi="宋体" w:cs="宋体"/>
          <w:color w:val="000000" w:themeColor="text1"/>
          <w:kern w:val="2"/>
          <w:szCs w:val="21"/>
          <w14:textFill>
            <w14:solidFill>
              <w14:schemeClr w14:val="tx1"/>
            </w14:solidFill>
          </w14:textFill>
        </w:rPr>
      </w:pPr>
      <w:r>
        <w:rPr>
          <w:rFonts w:hint="eastAsia" w:ascii="宋体" w:hAnsi="宋体" w:cs="宋体"/>
          <w:color w:val="000000" w:themeColor="text1"/>
          <w:kern w:val="2"/>
          <w:szCs w:val="21"/>
          <w14:textFill>
            <w14:solidFill>
              <w14:schemeClr w14:val="tx1"/>
            </w14:solidFill>
          </w14:textFill>
        </w:rPr>
        <w:t>（三）整体要求</w:t>
      </w:r>
      <w:r>
        <w:rPr>
          <w:rFonts w:hint="eastAsia" w:ascii="宋体" w:hAnsi="宋体" w:cs="宋体"/>
          <w:szCs w:val="21"/>
        </w:rPr>
        <w:t>（8号展厅）</w:t>
      </w:r>
    </w:p>
    <w:p w14:paraId="02E620A3">
      <w:pPr>
        <w:spacing w:line="360" w:lineRule="auto"/>
        <w:ind w:firstLine="420" w:firstLineChars="200"/>
        <w:rPr>
          <w:rFonts w:ascii="宋体" w:hAnsi="宋体" w:cs="宋体"/>
          <w:color w:val="000000" w:themeColor="text1"/>
          <w:kern w:val="2"/>
          <w:szCs w:val="21"/>
          <w14:textFill>
            <w14:solidFill>
              <w14:schemeClr w14:val="tx1"/>
            </w14:solidFill>
          </w14:textFill>
        </w:rPr>
      </w:pPr>
      <w:r>
        <w:rPr>
          <w:rFonts w:hint="eastAsia" w:ascii="宋体" w:hAnsi="宋体" w:cs="宋体"/>
          <w:color w:val="000000" w:themeColor="text1"/>
          <w:kern w:val="2"/>
          <w:szCs w:val="21"/>
          <w14:textFill>
            <w14:solidFill>
              <w14:schemeClr w14:val="tx1"/>
            </w14:solidFill>
          </w14:textFill>
        </w:rPr>
        <w:t>项目内容包括设计策划、展品布展、撤展。</w:t>
      </w:r>
    </w:p>
    <w:p w14:paraId="517EC70F">
      <w:pPr>
        <w:spacing w:line="360" w:lineRule="auto"/>
        <w:ind w:firstLine="420" w:firstLineChars="200"/>
        <w:rPr>
          <w:rFonts w:ascii="宋体" w:hAnsi="宋体" w:cs="宋体"/>
          <w:color w:val="000000" w:themeColor="text1"/>
          <w:kern w:val="2"/>
          <w:szCs w:val="21"/>
          <w14:textFill>
            <w14:solidFill>
              <w14:schemeClr w14:val="tx1"/>
            </w14:solidFill>
          </w14:textFill>
        </w:rPr>
      </w:pPr>
      <w:r>
        <w:rPr>
          <w:rFonts w:hint="eastAsia" w:ascii="宋体" w:hAnsi="宋体" w:cs="宋体"/>
          <w:color w:val="000000" w:themeColor="text1"/>
          <w:kern w:val="2"/>
          <w:szCs w:val="21"/>
          <w14:textFill>
            <w14:solidFill>
              <w14:schemeClr w14:val="tx1"/>
            </w14:solidFill>
          </w14:textFill>
        </w:rPr>
        <w:t>1、方案设计理念</w:t>
      </w:r>
    </w:p>
    <w:p w14:paraId="07A76CFC">
      <w:pPr>
        <w:spacing w:line="360" w:lineRule="auto"/>
        <w:ind w:firstLine="420" w:firstLineChars="200"/>
        <w:rPr>
          <w:rFonts w:ascii="宋体" w:hAnsi="宋体" w:cs="宋体"/>
          <w:color w:val="000000" w:themeColor="text1"/>
          <w:kern w:val="2"/>
          <w:szCs w:val="21"/>
          <w14:textFill>
            <w14:solidFill>
              <w14:schemeClr w14:val="tx1"/>
            </w14:solidFill>
          </w14:textFill>
        </w:rPr>
      </w:pPr>
      <w:r>
        <w:rPr>
          <w:rFonts w:hint="eastAsia" w:ascii="宋体" w:hAnsi="宋体" w:cs="宋体"/>
          <w:color w:val="000000" w:themeColor="text1"/>
          <w:kern w:val="2"/>
          <w:szCs w:val="21"/>
          <w14:textFill>
            <w14:solidFill>
              <w14:schemeClr w14:val="tx1"/>
            </w14:solidFill>
          </w14:textFill>
        </w:rPr>
        <w:t>（1）围绕“江苏”“建馆90周年”“多元”“活力”“多彩”等核心主题，配合相应的展示手段，营造丰富多元的展陈氛围。</w:t>
      </w:r>
    </w:p>
    <w:p w14:paraId="3D0CC48E">
      <w:pPr>
        <w:spacing w:line="360" w:lineRule="auto"/>
        <w:ind w:firstLine="420" w:firstLineChars="200"/>
        <w:rPr>
          <w:rFonts w:ascii="宋体" w:hAnsi="宋体" w:cs="宋体"/>
          <w:color w:val="000000" w:themeColor="text1"/>
          <w:kern w:val="2"/>
          <w:szCs w:val="21"/>
          <w14:textFill>
            <w14:solidFill>
              <w14:schemeClr w14:val="tx1"/>
            </w14:solidFill>
          </w14:textFill>
        </w:rPr>
      </w:pPr>
      <w:r>
        <w:rPr>
          <w:rFonts w:hint="eastAsia" w:ascii="宋体" w:hAnsi="宋体" w:cs="宋体"/>
          <w:color w:val="000000" w:themeColor="text1"/>
          <w:kern w:val="2"/>
          <w:szCs w:val="21"/>
          <w14:textFill>
            <w14:solidFill>
              <w14:schemeClr w14:val="tx1"/>
            </w14:solidFill>
          </w14:textFill>
        </w:rPr>
        <w:t>（2）展览应与展厅协调，展览设计风格、色调等符合展览定位。有机融入展示装置，营造整体统一的参观氛围。</w:t>
      </w:r>
    </w:p>
    <w:p w14:paraId="2DDD6097">
      <w:pPr>
        <w:spacing w:line="360" w:lineRule="auto"/>
        <w:ind w:firstLine="420" w:firstLineChars="200"/>
        <w:rPr>
          <w:rFonts w:ascii="宋体" w:hAnsi="宋体" w:cs="宋体"/>
          <w:color w:val="000000" w:themeColor="text1"/>
          <w:kern w:val="2"/>
          <w:szCs w:val="21"/>
          <w14:textFill>
            <w14:solidFill>
              <w14:schemeClr w14:val="tx1"/>
            </w14:solidFill>
          </w14:textFill>
        </w:rPr>
      </w:pPr>
      <w:r>
        <w:rPr>
          <w:rFonts w:hint="eastAsia" w:ascii="宋体" w:hAnsi="宋体" w:cs="宋体"/>
          <w:color w:val="000000" w:themeColor="text1"/>
          <w:kern w:val="2"/>
          <w:szCs w:val="21"/>
          <w14:textFill>
            <w14:solidFill>
              <w14:schemeClr w14:val="tx1"/>
            </w14:solidFill>
          </w14:textFill>
        </w:rPr>
        <w:t>2、空间布局及参观流线</w:t>
      </w:r>
    </w:p>
    <w:p w14:paraId="20CF5501">
      <w:pPr>
        <w:spacing w:line="360" w:lineRule="auto"/>
        <w:ind w:firstLine="420" w:firstLineChars="200"/>
        <w:rPr>
          <w:rFonts w:ascii="宋体" w:hAnsi="宋体" w:cs="宋体"/>
          <w:color w:val="000000" w:themeColor="text1"/>
          <w:kern w:val="2"/>
          <w:szCs w:val="21"/>
          <w14:textFill>
            <w14:solidFill>
              <w14:schemeClr w14:val="tx1"/>
            </w14:solidFill>
          </w14:textFill>
        </w:rPr>
      </w:pPr>
      <w:r>
        <w:rPr>
          <w:rFonts w:hint="eastAsia" w:ascii="宋体" w:hAnsi="宋体" w:cs="宋体"/>
          <w:color w:val="000000" w:themeColor="text1"/>
          <w:kern w:val="2"/>
          <w:szCs w:val="21"/>
          <w14:textFill>
            <w14:solidFill>
              <w14:schemeClr w14:val="tx1"/>
            </w14:solidFill>
          </w14:textFill>
        </w:rPr>
        <w:t>（1）含展陈平面图、参观流线图等内容。科学合理划分展示节点安排和平面布局，与建筑内参观动线紧密结合，通过点位布局、展示内容、形式设计相互关联，打造参观记忆点，顺其自然地引导参观动线。</w:t>
      </w:r>
    </w:p>
    <w:p w14:paraId="4CFCBA2A">
      <w:pPr>
        <w:spacing w:line="360" w:lineRule="auto"/>
        <w:ind w:firstLine="420" w:firstLineChars="200"/>
        <w:rPr>
          <w:rFonts w:ascii="宋体" w:hAnsi="宋体" w:cs="宋体"/>
          <w:color w:val="000000" w:themeColor="text1"/>
          <w:kern w:val="2"/>
          <w:szCs w:val="21"/>
          <w14:textFill>
            <w14:solidFill>
              <w14:schemeClr w14:val="tx1"/>
            </w14:solidFill>
          </w14:textFill>
        </w:rPr>
      </w:pPr>
      <w:r>
        <w:rPr>
          <w:rFonts w:hint="eastAsia" w:ascii="宋体" w:hAnsi="宋体" w:cs="宋体"/>
          <w:color w:val="000000" w:themeColor="text1"/>
          <w:kern w:val="2"/>
          <w:szCs w:val="21"/>
          <w14:textFill>
            <w14:solidFill>
              <w14:schemeClr w14:val="tx1"/>
            </w14:solidFill>
          </w14:textFill>
        </w:rPr>
        <w:t>3、展项制作</w:t>
      </w:r>
    </w:p>
    <w:p w14:paraId="167EBCF2">
      <w:pPr>
        <w:spacing w:line="360" w:lineRule="auto"/>
        <w:ind w:firstLine="420" w:firstLineChars="200"/>
        <w:rPr>
          <w:rFonts w:ascii="宋体" w:hAnsi="宋体" w:cs="宋体"/>
          <w:color w:val="000000" w:themeColor="text1"/>
          <w:kern w:val="2"/>
          <w:szCs w:val="21"/>
          <w14:textFill>
            <w14:solidFill>
              <w14:schemeClr w14:val="tx1"/>
            </w14:solidFill>
          </w14:textFill>
        </w:rPr>
      </w:pPr>
      <w:r>
        <w:rPr>
          <w:rFonts w:hint="eastAsia" w:ascii="宋体" w:hAnsi="宋体" w:cs="宋体"/>
          <w:color w:val="000000" w:themeColor="text1"/>
          <w:kern w:val="2"/>
          <w:szCs w:val="21"/>
          <w14:textFill>
            <w14:solidFill>
              <w14:schemeClr w14:val="tx1"/>
            </w14:solidFill>
          </w14:textFill>
        </w:rPr>
        <w:t>（1）展览部分：</w:t>
      </w:r>
    </w:p>
    <w:p w14:paraId="172341AB">
      <w:pPr>
        <w:numPr>
          <w:ilvl w:val="0"/>
          <w:numId w:val="4"/>
        </w:numPr>
        <w:spacing w:line="360" w:lineRule="auto"/>
        <w:ind w:firstLine="420" w:firstLineChars="200"/>
        <w:rPr>
          <w:rFonts w:ascii="宋体" w:hAnsi="宋体" w:cs="宋体"/>
          <w:color w:val="000000" w:themeColor="text1"/>
          <w:kern w:val="2"/>
          <w:szCs w:val="21"/>
          <w14:textFill>
            <w14:solidFill>
              <w14:schemeClr w14:val="tx1"/>
            </w14:solidFill>
          </w14:textFill>
        </w:rPr>
      </w:pPr>
      <w:r>
        <w:rPr>
          <w:rFonts w:hint="eastAsia" w:ascii="宋体" w:hAnsi="宋体" w:cs="宋体"/>
          <w:color w:val="000000" w:themeColor="text1"/>
          <w:kern w:val="2"/>
          <w:szCs w:val="21"/>
          <w14:textFill>
            <w14:solidFill>
              <w14:schemeClr w14:val="tx1"/>
            </w14:solidFill>
          </w14:textFill>
        </w:rPr>
        <w:t>含展览主视觉设计（包含微信宣传用展览海报及电子屏）、展陈设计及制作、场景设计及制作等内容。设计既要根据展示内容及性质表现设计风格，工艺合理、可行性和规范性强，设计以烘托实物为原则。</w:t>
      </w:r>
    </w:p>
    <w:p w14:paraId="3E9B07FA">
      <w:pPr>
        <w:numPr>
          <w:ilvl w:val="0"/>
          <w:numId w:val="4"/>
        </w:numPr>
        <w:spacing w:line="360" w:lineRule="auto"/>
        <w:ind w:firstLine="420" w:firstLineChars="200"/>
        <w:rPr>
          <w:rFonts w:ascii="宋体" w:hAnsi="宋体" w:cs="宋体"/>
          <w:kern w:val="2"/>
          <w:szCs w:val="21"/>
        </w:rPr>
      </w:pPr>
      <w:r>
        <w:rPr>
          <w:rFonts w:hint="eastAsia" w:ascii="宋体" w:hAnsi="宋体" w:cs="宋体"/>
          <w:kern w:val="2"/>
          <w:szCs w:val="21"/>
        </w:rPr>
        <w:t>结合展览主题设计主题墙，工艺不限于艺术墙纸字、丝网印等。</w:t>
      </w:r>
    </w:p>
    <w:p w14:paraId="5C8DC6E7">
      <w:pPr>
        <w:numPr>
          <w:ilvl w:val="0"/>
          <w:numId w:val="4"/>
        </w:numPr>
        <w:spacing w:line="360" w:lineRule="auto"/>
        <w:ind w:firstLine="420" w:firstLineChars="200"/>
        <w:rPr>
          <w:rFonts w:ascii="宋体" w:hAnsi="宋体" w:cs="宋体"/>
          <w:kern w:val="2"/>
          <w:szCs w:val="21"/>
        </w:rPr>
      </w:pPr>
      <w:r>
        <w:rPr>
          <w:rFonts w:hint="eastAsia" w:ascii="宋体" w:hAnsi="宋体" w:cs="宋体"/>
          <w:kern w:val="2"/>
          <w:szCs w:val="21"/>
        </w:rPr>
        <w:t>制作不少于四个尺寸，约20件定制展台，具体尺寸依据设计方案。</w:t>
      </w:r>
    </w:p>
    <w:p w14:paraId="461477E4">
      <w:pPr>
        <w:numPr>
          <w:ilvl w:val="0"/>
          <w:numId w:val="4"/>
        </w:numPr>
        <w:spacing w:line="360" w:lineRule="auto"/>
        <w:ind w:firstLine="420" w:firstLineChars="200"/>
        <w:rPr>
          <w:rFonts w:ascii="宋体" w:hAnsi="宋体" w:cs="宋体"/>
          <w:color w:val="000000" w:themeColor="text1"/>
          <w:kern w:val="2"/>
          <w:szCs w:val="21"/>
          <w14:textFill>
            <w14:solidFill>
              <w14:schemeClr w14:val="tx1"/>
            </w14:solidFill>
          </w14:textFill>
        </w:rPr>
      </w:pPr>
      <w:r>
        <w:rPr>
          <w:rFonts w:hint="eastAsia" w:ascii="宋体" w:hAnsi="宋体" w:cs="宋体"/>
          <w:color w:val="000000" w:themeColor="text1"/>
          <w:kern w:val="2"/>
          <w:szCs w:val="21"/>
          <w14:textFill>
            <w14:solidFill>
              <w14:schemeClr w14:val="tx1"/>
            </w14:solidFill>
          </w14:textFill>
        </w:rPr>
        <w:t>标签为根据不同展陈空间的底色配相应色系的雪弗板，尺寸大小依据设计方案，数量根据展品数量计算。</w:t>
      </w:r>
    </w:p>
    <w:p w14:paraId="1A4835DB">
      <w:pPr>
        <w:numPr>
          <w:ilvl w:val="0"/>
          <w:numId w:val="4"/>
        </w:numPr>
        <w:spacing w:line="360" w:lineRule="auto"/>
        <w:ind w:firstLine="420" w:firstLineChars="200"/>
        <w:rPr>
          <w:rFonts w:ascii="宋体" w:hAnsi="宋体" w:cs="宋体"/>
          <w:color w:val="000000" w:themeColor="text1"/>
          <w:kern w:val="2"/>
          <w:szCs w:val="21"/>
          <w14:textFill>
            <w14:solidFill>
              <w14:schemeClr w14:val="tx1"/>
            </w14:solidFill>
          </w14:textFill>
        </w:rPr>
      </w:pPr>
      <w:r>
        <w:rPr>
          <w:rFonts w:hint="eastAsia" w:ascii="宋体" w:hAnsi="宋体" w:cs="宋体"/>
          <w:kern w:val="2"/>
          <w:szCs w:val="21"/>
        </w:rPr>
        <w:t>墙面修补及改色，</w:t>
      </w:r>
      <w:r>
        <w:rPr>
          <w:rFonts w:hint="eastAsia" w:ascii="宋体" w:hAnsi="宋体" w:cs="宋体"/>
          <w:color w:val="000000" w:themeColor="text1"/>
          <w:kern w:val="2"/>
          <w:szCs w:val="21"/>
          <w14:textFill>
            <w14:solidFill>
              <w14:schemeClr w14:val="tx1"/>
            </w14:solidFill>
          </w14:textFill>
        </w:rPr>
        <w:t>8号展厅，展线约130米，</w:t>
      </w:r>
      <w:r>
        <w:rPr>
          <w:rFonts w:hint="eastAsia" w:ascii="宋体" w:hAnsi="宋体" w:cs="宋体"/>
          <w:kern w:val="2"/>
          <w:szCs w:val="21"/>
        </w:rPr>
        <w:t>对部分区域进行修复和维修。如使用涂料，要求使用无味乳胶漆，满足国家环保要求，保证展墙面的平整度，颜色一致。进场施工时需做好对地面和展厅设施设备的遮挡防护工作避免交叉污染，不得影响美术馆开馆期间秩序，工完场清。</w:t>
      </w:r>
      <w:r>
        <w:rPr>
          <w:rFonts w:hint="eastAsia" w:ascii="宋体" w:hAnsi="宋体" w:cs="宋体"/>
          <w:color w:val="000000" w:themeColor="text1"/>
          <w:kern w:val="2"/>
          <w:szCs w:val="21"/>
          <w14:textFill>
            <w14:solidFill>
              <w14:schemeClr w14:val="tx1"/>
            </w14:solidFill>
          </w14:textFill>
        </w:rPr>
        <w:t>投标方需充分考虑展览时间，合理安排布展时间节点。</w:t>
      </w:r>
    </w:p>
    <w:p w14:paraId="5F46C5BC">
      <w:pPr>
        <w:numPr>
          <w:ilvl w:val="0"/>
          <w:numId w:val="4"/>
        </w:numPr>
        <w:spacing w:line="360" w:lineRule="auto"/>
        <w:ind w:firstLine="420" w:firstLineChars="200"/>
        <w:rPr>
          <w:rFonts w:ascii="宋体" w:hAnsi="宋体" w:cs="宋体"/>
          <w:kern w:val="2"/>
          <w:szCs w:val="21"/>
        </w:rPr>
      </w:pPr>
      <w:r>
        <w:rPr>
          <w:rFonts w:hint="eastAsia" w:ascii="宋体" w:hAnsi="宋体" w:cs="宋体"/>
          <w:kern w:val="2"/>
          <w:szCs w:val="21"/>
        </w:rPr>
        <w:t>配合展览需求，完成展览展陈道具设计及制作，包含且不限于：不同尺寸的展</w:t>
      </w:r>
      <w:r>
        <w:rPr>
          <w:rFonts w:hint="eastAsia" w:ascii="宋体" w:hAnsi="宋体" w:cs="宋体"/>
          <w:kern w:val="2"/>
          <w:szCs w:val="21"/>
          <w:highlight w:val="none"/>
        </w:rPr>
        <w:t>台，氛围布置。</w:t>
      </w:r>
    </w:p>
    <w:p w14:paraId="391C9976">
      <w:pPr>
        <w:numPr>
          <w:ilvl w:val="0"/>
          <w:numId w:val="4"/>
        </w:numPr>
        <w:spacing w:line="360" w:lineRule="auto"/>
        <w:ind w:firstLine="420" w:firstLineChars="200"/>
        <w:rPr>
          <w:rFonts w:ascii="宋体" w:hAnsi="宋体" w:cs="宋体"/>
          <w:color w:val="000000" w:themeColor="text1"/>
          <w:kern w:val="2"/>
          <w:szCs w:val="21"/>
          <w14:textFill>
            <w14:solidFill>
              <w14:schemeClr w14:val="tx1"/>
            </w14:solidFill>
          </w14:textFill>
        </w:rPr>
      </w:pPr>
      <w:r>
        <w:rPr>
          <w:rFonts w:hint="eastAsia" w:ascii="宋体" w:hAnsi="宋体" w:cs="宋体"/>
          <w:color w:val="000000" w:themeColor="text1"/>
          <w:kern w:val="2"/>
          <w:szCs w:val="21"/>
          <w14:textFill>
            <w14:solidFill>
              <w14:schemeClr w14:val="tx1"/>
            </w14:solidFill>
          </w14:textFill>
        </w:rPr>
        <w:t>其他展览配套服务，包括且不限于一件作品高精度喷绘。</w:t>
      </w:r>
    </w:p>
    <w:p w14:paraId="19380761">
      <w:pPr>
        <w:spacing w:line="360" w:lineRule="auto"/>
        <w:ind w:firstLine="420" w:firstLineChars="200"/>
        <w:rPr>
          <w:rFonts w:ascii="宋体" w:hAnsi="宋体" w:cs="宋体"/>
          <w:kern w:val="2"/>
          <w:szCs w:val="21"/>
        </w:rPr>
      </w:pPr>
      <w:r>
        <w:rPr>
          <w:rFonts w:hint="eastAsia" w:ascii="宋体" w:hAnsi="宋体" w:cs="宋体"/>
          <w:color w:val="000000" w:themeColor="text1"/>
          <w:kern w:val="2"/>
          <w:szCs w:val="21"/>
          <w14:textFill>
            <w14:solidFill>
              <w14:schemeClr w14:val="tx1"/>
            </w14:solidFill>
          </w14:textFill>
        </w:rPr>
        <w:t>4、展示材料</w:t>
      </w:r>
    </w:p>
    <w:p w14:paraId="157FE0F8">
      <w:pPr>
        <w:spacing w:line="360" w:lineRule="auto"/>
        <w:ind w:firstLine="420" w:firstLineChars="200"/>
        <w:rPr>
          <w:rFonts w:ascii="宋体" w:hAnsi="宋体" w:cs="宋体"/>
          <w:kern w:val="2"/>
          <w:szCs w:val="21"/>
        </w:rPr>
      </w:pPr>
      <w:r>
        <w:rPr>
          <w:rFonts w:hint="eastAsia" w:ascii="宋体" w:hAnsi="宋体" w:cs="宋体"/>
          <w:kern w:val="2"/>
          <w:szCs w:val="21"/>
        </w:rPr>
        <w:t>（1）根据展览空间设计要求完成作品的特殊安装工艺的物料定制（包含且不限于特殊尺寸木板、轨道灯、铁框架、定制纱帘）。</w:t>
      </w:r>
    </w:p>
    <w:p w14:paraId="65E63D91">
      <w:pPr>
        <w:spacing w:line="360" w:lineRule="auto"/>
        <w:ind w:firstLine="420" w:firstLineChars="200"/>
        <w:rPr>
          <w:rFonts w:ascii="宋体" w:hAnsi="宋体" w:cs="宋体"/>
          <w:color w:val="000000" w:themeColor="text1"/>
          <w:kern w:val="2"/>
          <w:szCs w:val="21"/>
          <w14:textFill>
            <w14:solidFill>
              <w14:schemeClr w14:val="tx1"/>
            </w14:solidFill>
          </w14:textFill>
        </w:rPr>
      </w:pPr>
      <w:r>
        <w:rPr>
          <w:rFonts w:hint="eastAsia" w:ascii="宋体" w:hAnsi="宋体" w:cs="宋体"/>
          <w:color w:val="000000" w:themeColor="text1"/>
          <w:kern w:val="2"/>
          <w:szCs w:val="21"/>
          <w14:textFill>
            <w14:solidFill>
              <w14:schemeClr w14:val="tx1"/>
            </w14:solidFill>
          </w14:textFill>
        </w:rPr>
        <w:t>（2）设计用材、安装要求充分强调布展的节能、环保理念，体现艺术氛围。设计和安装要求充分考虑消防、水、电、受力结构、流线通畅等国家规范要求及其安全因素。</w:t>
      </w:r>
    </w:p>
    <w:p w14:paraId="4CD4DBB6">
      <w:pPr>
        <w:adjustRightInd w:val="0"/>
        <w:snapToGrid w:val="0"/>
        <w:spacing w:line="360" w:lineRule="auto"/>
        <w:ind w:firstLine="47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2"/>
          <w:szCs w:val="21"/>
          <w14:textFill>
            <w14:solidFill>
              <w14:schemeClr w14:val="tx1"/>
            </w14:solidFill>
          </w14:textFill>
        </w:rPr>
        <w:t>（3）所有装饰材料的制作，因我馆属于室内场馆，要求全部使用无味环保材料，符合国家相关安全标准，后续移除时，不得残留胶印、不得对现有墙面、玻璃等造成损害。</w:t>
      </w:r>
    </w:p>
    <w:p w14:paraId="1CFDAE82">
      <w:pPr>
        <w:adjustRightInd w:val="0"/>
        <w:snapToGrid w:val="0"/>
        <w:spacing w:line="360" w:lineRule="auto"/>
        <w:ind w:firstLine="47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（四）甲方指定        为本项目负责人，乙方指定          为本项目负责人，负责项目沟通、协调及文件签署，其行为视为甲乙双方行为。</w:t>
      </w:r>
    </w:p>
    <w:p w14:paraId="4B1C7F74">
      <w:pPr>
        <w:adjustRightInd w:val="0"/>
        <w:snapToGrid w:val="0"/>
        <w:spacing w:line="360" w:lineRule="auto"/>
        <w:jc w:val="left"/>
        <w:rPr>
          <w:rFonts w:ascii="宋体" w:hAnsi="宋体" w:cs="宋体"/>
          <w:snapToGrid w:val="0"/>
          <w:color w:val="000000" w:themeColor="text1"/>
          <w:szCs w:val="21"/>
          <w14:textFill>
            <w14:solidFill>
              <w14:schemeClr w14:val="tx1"/>
            </w14:solidFill>
          </w14:textFill>
        </w:rPr>
      </w:pPr>
      <w:r>
        <w:rPr>
          <w:rFonts w:hint="eastAsia" w:ascii="宋体" w:hAnsi="宋体" w:cs="宋体"/>
          <w:snapToGrid w:val="0"/>
          <w:color w:val="000000" w:themeColor="text1"/>
          <w:szCs w:val="21"/>
          <w14:textFill>
            <w14:solidFill>
              <w14:schemeClr w14:val="tx1"/>
            </w14:solidFill>
          </w14:textFill>
        </w:rPr>
        <w:t>第二条 合同总价款</w:t>
      </w:r>
      <w:bookmarkEnd w:id="245"/>
      <w:bookmarkEnd w:id="246"/>
      <w:r>
        <w:rPr>
          <w:rFonts w:hint="eastAsia" w:ascii="宋体" w:hAnsi="宋体" w:cs="宋体"/>
          <w:snapToGrid w:val="0"/>
          <w:color w:val="000000" w:themeColor="text1"/>
          <w:szCs w:val="21"/>
          <w14:textFill>
            <w14:solidFill>
              <w14:schemeClr w14:val="tx1"/>
            </w14:solidFill>
          </w14:textFill>
        </w:rPr>
        <w:t xml:space="preserve"> </w:t>
      </w:r>
    </w:p>
    <w:p w14:paraId="1F5250E5">
      <w:pPr>
        <w:pStyle w:val="18"/>
        <w:tabs>
          <w:tab w:val="left" w:pos="2925"/>
          <w:tab w:val="left" w:pos="7125"/>
        </w:tabs>
        <w:adjustRightInd w:val="0"/>
        <w:snapToGrid w:val="0"/>
        <w:spacing w:line="360" w:lineRule="auto"/>
        <w:ind w:firstLine="42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本合同项下人民币总价款为：</w:t>
      </w:r>
      <w:r>
        <w:rPr>
          <w:rFonts w:hint="eastAsia" w:hAnsi="宋体" w:cs="宋体"/>
          <w:color w:val="000000" w:themeColor="text1"/>
          <w:sz w:val="21"/>
          <w:szCs w:val="21"/>
          <w:u w:val="single" w:color="000000"/>
          <w14:textFill>
            <w14:solidFill>
              <w14:schemeClr w14:val="tx1"/>
            </w14:solidFill>
          </w14:textFill>
        </w:rPr>
        <w:t xml:space="preserve">         </w:t>
      </w:r>
      <w:r>
        <w:rPr>
          <w:rFonts w:hint="eastAsia" w:hAnsi="宋体" w:cs="宋体"/>
          <w:color w:val="000000" w:themeColor="text1"/>
          <w:sz w:val="21"/>
          <w:szCs w:val="21"/>
          <w14:textFill>
            <w14:solidFill>
              <w14:schemeClr w14:val="tx1"/>
            </w14:solidFill>
          </w14:textFill>
        </w:rPr>
        <w:t>（小写）</w:t>
      </w:r>
      <w:r>
        <w:rPr>
          <w:rFonts w:hint="eastAsia" w:hAnsi="宋体" w:cs="宋体"/>
          <w:color w:val="000000" w:themeColor="text1"/>
          <w:sz w:val="21"/>
          <w:szCs w:val="21"/>
          <w:u w:val="single"/>
          <w14:textFill>
            <w14:solidFill>
              <w14:schemeClr w14:val="tx1"/>
            </w14:solidFill>
          </w14:textFill>
        </w:rPr>
        <w:t xml:space="preserve">        </w:t>
      </w:r>
      <w:r>
        <w:rPr>
          <w:rFonts w:hint="eastAsia" w:hAnsi="宋体" w:cs="宋体"/>
          <w:color w:val="000000" w:themeColor="text1"/>
          <w:sz w:val="21"/>
          <w:szCs w:val="21"/>
          <w14:textFill>
            <w14:solidFill>
              <w14:schemeClr w14:val="tx1"/>
            </w14:solidFill>
          </w14:textFill>
        </w:rPr>
        <w:t>（大写）人民币，分项价款在“分项报价表”中有明确规定。此金额为合同执行不变价，不因国家政策变化而变化，该价款包括了服务价格及与之配套的设计、制造、正版软件、检验、包装、运输、保险、税费以及安装、组织验收、培训、技术服务（包括技术资料、图纸提供等）、质保期服务等全部价款，除此之外，甲方不再向乙方支付其他任何费用。</w:t>
      </w:r>
    </w:p>
    <w:p w14:paraId="33F62D2B">
      <w:pPr>
        <w:adjustRightInd w:val="0"/>
        <w:snapToGrid w:val="0"/>
        <w:spacing w:line="360" w:lineRule="auto"/>
        <w:jc w:val="left"/>
        <w:rPr>
          <w:rFonts w:ascii="宋体" w:hAnsi="宋体" w:cs="宋体"/>
          <w:snapToGrid w:val="0"/>
          <w:color w:val="000000" w:themeColor="text1"/>
          <w:szCs w:val="21"/>
          <w14:textFill>
            <w14:solidFill>
              <w14:schemeClr w14:val="tx1"/>
            </w14:solidFill>
          </w14:textFill>
        </w:rPr>
      </w:pPr>
      <w:bookmarkStart w:id="247" w:name="_Toc192058063"/>
      <w:bookmarkStart w:id="248" w:name="_Toc210978683"/>
      <w:r>
        <w:rPr>
          <w:rFonts w:hint="eastAsia" w:ascii="宋体" w:hAnsi="宋体" w:cs="宋体"/>
          <w:snapToGrid w:val="0"/>
          <w:color w:val="000000" w:themeColor="text1"/>
          <w:szCs w:val="21"/>
          <w14:textFill>
            <w14:solidFill>
              <w14:schemeClr w14:val="tx1"/>
            </w14:solidFill>
          </w14:textFill>
        </w:rPr>
        <w:t>第三条 组成本合同的有关文件</w:t>
      </w:r>
      <w:bookmarkEnd w:id="247"/>
      <w:bookmarkEnd w:id="248"/>
    </w:p>
    <w:p w14:paraId="062FAB82">
      <w:pPr>
        <w:adjustRightInd w:val="0"/>
        <w:snapToGrid w:val="0"/>
        <w:spacing w:line="360" w:lineRule="auto"/>
        <w:ind w:firstLine="47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下列关于</w:t>
      </w:r>
      <w:r>
        <w:rPr>
          <w:rFonts w:hint="eastAsia" w:ascii="宋体" w:hAnsi="宋体" w:cs="宋体"/>
          <w:color w:val="000000" w:themeColor="text1"/>
          <w:szCs w:val="21"/>
          <w:u w:val="single"/>
          <w:lang w:eastAsia="zh-CN"/>
          <w14:textFill>
            <w14:solidFill>
              <w14:schemeClr w14:val="tx1"/>
            </w14:solidFill>
          </w14:textFill>
        </w:rPr>
        <w:t>江苏省美术馆“全景江苏-百年视觉中的旅行与文化”展览设计制作</w:t>
      </w:r>
      <w:r>
        <w:rPr>
          <w:rFonts w:hint="eastAsia" w:ascii="宋体" w:hAnsi="宋体" w:cs="宋体"/>
          <w:color w:val="000000" w:themeColor="text1"/>
          <w:szCs w:val="21"/>
          <w14:textFill>
            <w14:solidFill>
              <w14:schemeClr w14:val="tx1"/>
            </w14:solidFill>
          </w14:textFill>
        </w:rPr>
        <w:t>（项目）的响应文件或与本次采购活动方式相适应的文件及有关附件是本合同不可分割的组成部分，与本合同具有同等法律效力，这些文件包括但不限于：</w:t>
      </w:r>
    </w:p>
    <w:p w14:paraId="6DD34861">
      <w:pPr>
        <w:pStyle w:val="18"/>
        <w:adjustRightInd w:val="0"/>
        <w:snapToGrid w:val="0"/>
        <w:spacing w:line="360" w:lineRule="auto"/>
        <w:ind w:firstLine="420" w:firstLineChars="20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（1）乙方提供的响应文件和报价表；</w:t>
      </w:r>
    </w:p>
    <w:p w14:paraId="5D8CAD3E">
      <w:pPr>
        <w:pStyle w:val="18"/>
        <w:adjustRightInd w:val="0"/>
        <w:snapToGrid w:val="0"/>
        <w:spacing w:line="360" w:lineRule="auto"/>
        <w:ind w:firstLine="420" w:firstLineChars="20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（2）技术规格响应表；</w:t>
      </w:r>
    </w:p>
    <w:p w14:paraId="78DF1509">
      <w:pPr>
        <w:pStyle w:val="18"/>
        <w:adjustRightInd w:val="0"/>
        <w:snapToGrid w:val="0"/>
        <w:spacing w:line="360" w:lineRule="auto"/>
        <w:ind w:firstLine="420" w:firstLineChars="20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（3）服务承诺；</w:t>
      </w:r>
    </w:p>
    <w:p w14:paraId="21370198">
      <w:pPr>
        <w:pStyle w:val="18"/>
        <w:adjustRightInd w:val="0"/>
        <w:snapToGrid w:val="0"/>
        <w:spacing w:line="360" w:lineRule="auto"/>
        <w:ind w:firstLine="420" w:firstLineChars="20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（4）成交通知书；</w:t>
      </w:r>
    </w:p>
    <w:p w14:paraId="5644D97E">
      <w:pPr>
        <w:adjustRightInd w:val="0"/>
        <w:snapToGrid w:val="0"/>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（5）甲乙双方商定的其他文件等。</w:t>
      </w:r>
    </w:p>
    <w:p w14:paraId="2A58963C">
      <w:pPr>
        <w:adjustRightInd w:val="0"/>
        <w:snapToGrid w:val="0"/>
        <w:spacing w:line="360" w:lineRule="auto"/>
        <w:jc w:val="left"/>
        <w:rPr>
          <w:rFonts w:ascii="宋体" w:hAnsi="宋体" w:cs="宋体"/>
          <w:snapToGrid w:val="0"/>
          <w:color w:val="000000" w:themeColor="text1"/>
          <w:szCs w:val="21"/>
          <w14:textFill>
            <w14:solidFill>
              <w14:schemeClr w14:val="tx1"/>
            </w14:solidFill>
          </w14:textFill>
        </w:rPr>
      </w:pPr>
      <w:bookmarkStart w:id="249" w:name="_Toc192058064"/>
      <w:bookmarkStart w:id="250" w:name="_Toc210978684"/>
      <w:r>
        <w:rPr>
          <w:rFonts w:hint="eastAsia" w:ascii="宋体" w:hAnsi="宋体" w:cs="宋体"/>
          <w:snapToGrid w:val="0"/>
          <w:color w:val="000000" w:themeColor="text1"/>
          <w:szCs w:val="21"/>
          <w14:textFill>
            <w14:solidFill>
              <w14:schemeClr w14:val="tx1"/>
            </w14:solidFill>
          </w14:textFill>
        </w:rPr>
        <w:t xml:space="preserve">第四条 </w:t>
      </w:r>
      <w:bookmarkEnd w:id="249"/>
      <w:bookmarkEnd w:id="250"/>
      <w:r>
        <w:rPr>
          <w:rFonts w:hint="eastAsia" w:ascii="宋体" w:hAnsi="宋体" w:cs="宋体"/>
          <w:snapToGrid w:val="0"/>
          <w:color w:val="000000" w:themeColor="text1"/>
          <w:szCs w:val="21"/>
          <w14:textFill>
            <w14:solidFill>
              <w14:schemeClr w14:val="tx1"/>
            </w14:solidFill>
          </w14:textFill>
        </w:rPr>
        <w:t>双方权利与义务</w:t>
      </w:r>
    </w:p>
    <w:p w14:paraId="23883F02">
      <w:pPr>
        <w:pStyle w:val="18"/>
        <w:adjustRightInd w:val="0"/>
        <w:snapToGrid w:val="0"/>
        <w:spacing w:line="360" w:lineRule="auto"/>
        <w:ind w:firstLine="420" w:firstLineChars="20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1.甲方有权向乙方询问工作进展情况及相关的内容，有权检查和监督乙方的服务工作的质量、管理等情况，有权要求乙方以书面形式就前述内容进行汇报。</w:t>
      </w:r>
    </w:p>
    <w:p w14:paraId="3CE606F2">
      <w:pPr>
        <w:pStyle w:val="18"/>
        <w:adjustRightInd w:val="0"/>
        <w:snapToGrid w:val="0"/>
        <w:spacing w:line="360" w:lineRule="auto"/>
        <w:ind w:firstLine="420" w:firstLineChars="20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2.甲方有权对乙方服务过程中出现的具体问题提出建议和意见，有权通知乙方对违反合同规定的行为及时纠正，并按本合同有关规定给予处理。甲方或获其授权的代表可就本合同的任何问题向乙方发出书面指示。乙方须立刻执行甲方发出的指示。若在收到甲方催促执行已发指示的书面通知后七日之内，乙方仍未执行，甲方可另聘第三人执行该指示所要求的工作，并将有关费用作为债务向乙方追讨，或从本合同应付或将付款项中扣除。</w:t>
      </w:r>
    </w:p>
    <w:p w14:paraId="5FA535DF">
      <w:pPr>
        <w:pStyle w:val="18"/>
        <w:adjustRightInd w:val="0"/>
        <w:snapToGrid w:val="0"/>
        <w:spacing w:line="360" w:lineRule="auto"/>
        <w:ind w:firstLine="420" w:firstLineChars="20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3.甲方在任何时候可以向乙方发出书面指示，在合同总体范围内提出变更。</w:t>
      </w:r>
    </w:p>
    <w:p w14:paraId="6010A28C">
      <w:pPr>
        <w:pStyle w:val="18"/>
        <w:adjustRightInd w:val="0"/>
        <w:snapToGrid w:val="0"/>
        <w:spacing w:line="360" w:lineRule="auto"/>
        <w:ind w:firstLine="420" w:firstLineChars="20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4.若上述任何变更导致了乙方履行本合同项下任何部分义务的费用或所需时间的增减，应对合同总金额和/或项目进度进行合理的调整同时相应地修改合同。乙方必须在接到甲方的变更指示后三日内根据本条款提出调整的要求。如乙方未能在上述期限内提供调整的要求，或者如果甲方经与乙方协商，在合理时间内不同意合同总金额的增减，调整交付期和/或对合同的其他修改等，甲方有权决定项目变更是否实施。</w:t>
      </w:r>
    </w:p>
    <w:p w14:paraId="7938BC55">
      <w:pPr>
        <w:pStyle w:val="18"/>
        <w:adjustRightInd w:val="0"/>
        <w:snapToGrid w:val="0"/>
        <w:spacing w:line="360" w:lineRule="auto"/>
        <w:ind w:firstLine="420" w:firstLineChars="20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5.当甲方认定乙方项目服务人员不按项目服务合同履行其职责，或专业能力、管理能力、责任心较差，不能有效与甲方配合并履行其项目服务义务，或与第三人串通给甲方造成经济损失的，甲方有权要求乙方更换项目服务专业人员，如对甲方造成实际损失的，甲方有权解除合同并要求乙方承担相应的赔偿责任。</w:t>
      </w:r>
    </w:p>
    <w:p w14:paraId="109E032A">
      <w:pPr>
        <w:pStyle w:val="18"/>
        <w:adjustRightInd w:val="0"/>
        <w:snapToGrid w:val="0"/>
        <w:spacing w:line="360" w:lineRule="auto"/>
        <w:ind w:firstLine="420" w:firstLineChars="20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6.甲方有权同意或不同意乙方因自身工作需要而更换合同约定的项目服务人员的要求。</w:t>
      </w:r>
    </w:p>
    <w:p w14:paraId="18EC2685">
      <w:pPr>
        <w:pStyle w:val="18"/>
        <w:adjustRightInd w:val="0"/>
        <w:snapToGrid w:val="0"/>
        <w:spacing w:line="360" w:lineRule="auto"/>
        <w:ind w:firstLine="420" w:firstLineChars="20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7.乙方有权在履行合同期间内取得按合同约定的合同款。</w:t>
      </w:r>
    </w:p>
    <w:p w14:paraId="368E8200">
      <w:pPr>
        <w:pStyle w:val="18"/>
        <w:adjustRightInd w:val="0"/>
        <w:snapToGrid w:val="0"/>
        <w:spacing w:line="360" w:lineRule="auto"/>
        <w:ind w:firstLine="420" w:firstLineChars="20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8.乙方在项目服务过程中，如甲方提供的资料不明确时可向甲方提出书面报告。</w:t>
      </w:r>
    </w:p>
    <w:p w14:paraId="141E10FF">
      <w:pPr>
        <w:pStyle w:val="18"/>
        <w:adjustRightInd w:val="0"/>
        <w:snapToGrid w:val="0"/>
        <w:spacing w:line="360" w:lineRule="auto"/>
        <w:ind w:firstLine="420" w:firstLineChars="20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9.乙方应严格遵守相关法律法规的规定，保证在合法且不侵犯他人利益的原则下进行项目服务活动，并对其所进行的服务活动负责。</w:t>
      </w:r>
    </w:p>
    <w:p w14:paraId="607EB5B1">
      <w:pPr>
        <w:pStyle w:val="18"/>
        <w:adjustRightInd w:val="0"/>
        <w:snapToGrid w:val="0"/>
        <w:spacing w:line="360" w:lineRule="auto"/>
        <w:ind w:firstLine="420" w:firstLineChars="20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10.乙方应按本合同所述的时间、服务范围和内容,依据本合同约定及行业通常接受的技术惯例和专业机构承认的标准，高效地履行自己的义务。</w:t>
      </w:r>
    </w:p>
    <w:p w14:paraId="780D23D6">
      <w:pPr>
        <w:pStyle w:val="18"/>
        <w:adjustRightInd w:val="0"/>
        <w:snapToGrid w:val="0"/>
        <w:spacing w:line="360" w:lineRule="auto"/>
        <w:ind w:firstLine="420" w:firstLineChars="20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11.乙方应对本项目所提供服务结果的可靠性、准确性、全面性向甲方负责，由于服务结果的可靠性、准确性、全面性不足而导致甲方工作偏差或失误，乙方应承担相应法律责任。</w:t>
      </w:r>
    </w:p>
    <w:p w14:paraId="2B24AF19">
      <w:pPr>
        <w:pStyle w:val="18"/>
        <w:adjustRightInd w:val="0"/>
        <w:snapToGrid w:val="0"/>
        <w:spacing w:line="360" w:lineRule="auto"/>
        <w:ind w:firstLine="420" w:firstLineChars="20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12.乙方在履行合同期间，履行本合同所确定的项目团队负责人及主要专业技术、管理人员等必须是本项目的实际操作者，未经甲方同意，乙方不得调换或撤离上述人员。</w:t>
      </w:r>
    </w:p>
    <w:p w14:paraId="395E0A5B">
      <w:pPr>
        <w:pStyle w:val="18"/>
        <w:adjustRightInd w:val="0"/>
        <w:snapToGrid w:val="0"/>
        <w:spacing w:line="360" w:lineRule="auto"/>
        <w:ind w:firstLine="420"/>
        <w:rPr>
          <w:rFonts w:hAnsi="宋体" w:cs="宋体"/>
          <w:sz w:val="21"/>
          <w:szCs w:val="21"/>
        </w:rPr>
      </w:pPr>
      <w:r>
        <w:rPr>
          <w:rFonts w:hint="eastAsia" w:hAnsi="宋体" w:cs="宋体"/>
          <w:color w:val="000000" w:themeColor="text1"/>
          <w:sz w:val="21"/>
          <w:szCs w:val="21"/>
          <w14:textFill>
            <w14:solidFill>
              <w14:schemeClr w14:val="tx1"/>
            </w14:solidFill>
          </w14:textFill>
        </w:rPr>
        <w:t>13.乙方应保证甲方在使用该服务或其任何一部分时不受第三方提出侵犯其专利权、版权、商标权或其他权利的起诉。一旦出现侵权，乙方应承担全部责任。</w:t>
      </w:r>
    </w:p>
    <w:p w14:paraId="67C00858">
      <w:pPr>
        <w:pStyle w:val="18"/>
        <w:adjustRightInd w:val="0"/>
        <w:snapToGrid w:val="0"/>
        <w:spacing w:line="360" w:lineRule="auto"/>
        <w:ind w:firstLine="42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14.知识产权</w:t>
      </w:r>
    </w:p>
    <w:p w14:paraId="4D0CF627">
      <w:pPr>
        <w:pStyle w:val="18"/>
        <w:adjustRightInd w:val="0"/>
        <w:snapToGrid w:val="0"/>
        <w:spacing w:line="360" w:lineRule="auto"/>
        <w:ind w:firstLine="42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1）在项目期间内，乙方根据本合同要求提交的项目文件及服务成果（包括但不限于阶段性、过程性成果等相关资料）的知识产权（此处及以下所称“知识产权”的类型，包括但不限于专利权、著作权、商标权、商业秘密），归甲方所有，乙方就此不做任何的权利保留。</w:t>
      </w:r>
    </w:p>
    <w:p w14:paraId="054C1C60">
      <w:pPr>
        <w:pStyle w:val="18"/>
        <w:adjustRightInd w:val="0"/>
        <w:snapToGrid w:val="0"/>
        <w:spacing w:line="360" w:lineRule="auto"/>
        <w:ind w:firstLine="42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2）乙方在项目中使用的由甲方提供的所有资料，包括但不限于本合同及附件、采购文件、设计文件及说明等资料的所有权和知识产权均属于甲方。乙方为履行本合同所形成的深化设计成果及其他任何成果的完整知识产权均属甲方所有。</w:t>
      </w:r>
    </w:p>
    <w:p w14:paraId="53E9390F">
      <w:pPr>
        <w:pStyle w:val="18"/>
        <w:adjustRightInd w:val="0"/>
        <w:snapToGrid w:val="0"/>
        <w:spacing w:line="360" w:lineRule="auto"/>
        <w:ind w:firstLine="42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3）乙方应确保其按照本合同要求所提交的服务成果及为完成项目而实施的其它工作没有侵犯第三人的知识产权。如因上述原因，第三方向甲方提起投诉、申诉或诉讼等，乙方有义务协助甲方处理相关投诉、申诉或诉讼，由此引起的法律责任全部由乙方承担。</w:t>
      </w:r>
    </w:p>
    <w:p w14:paraId="353ED868">
      <w:pPr>
        <w:pStyle w:val="18"/>
        <w:adjustRightInd w:val="0"/>
        <w:snapToGrid w:val="0"/>
        <w:spacing w:line="360" w:lineRule="auto"/>
        <w:ind w:firstLine="42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15.所有权</w:t>
      </w:r>
    </w:p>
    <w:p w14:paraId="4700CD18">
      <w:pPr>
        <w:pStyle w:val="18"/>
        <w:adjustRightInd w:val="0"/>
        <w:snapToGrid w:val="0"/>
        <w:spacing w:line="360" w:lineRule="auto"/>
        <w:ind w:firstLine="42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在项目期间内，乙方根据本合同要求提交的项目文件及服务成果（包括但不限于阶段性、过程性成果等相关资料）的所有权，归甲方所有，除公安机关、人民法院、人民检察院及其他相关政府部门依据相关法律法规查阅外，乙方需要查阅的，应向甲方提出申请，经甲方同意后可以查阅与其有关的材料（应对乙方保密的材料除外）。</w:t>
      </w:r>
    </w:p>
    <w:p w14:paraId="04C8FE38">
      <w:pPr>
        <w:adjustRightInd w:val="0"/>
        <w:snapToGrid w:val="0"/>
        <w:spacing w:line="360" w:lineRule="auto"/>
        <w:jc w:val="left"/>
        <w:rPr>
          <w:rFonts w:ascii="宋体" w:hAnsi="宋体" w:cs="宋体"/>
          <w:snapToGrid w:val="0"/>
          <w:color w:val="000000" w:themeColor="text1"/>
          <w:szCs w:val="21"/>
          <w14:textFill>
            <w14:solidFill>
              <w14:schemeClr w14:val="tx1"/>
            </w14:solidFill>
          </w14:textFill>
        </w:rPr>
      </w:pPr>
      <w:bookmarkStart w:id="251" w:name="_Toc192058065"/>
      <w:bookmarkStart w:id="252" w:name="_Toc210978685"/>
      <w:r>
        <w:rPr>
          <w:rFonts w:hint="eastAsia" w:ascii="宋体" w:hAnsi="宋体" w:cs="宋体"/>
          <w:snapToGrid w:val="0"/>
          <w:color w:val="000000" w:themeColor="text1"/>
          <w:szCs w:val="21"/>
          <w14:textFill>
            <w14:solidFill>
              <w14:schemeClr w14:val="tx1"/>
            </w14:solidFill>
          </w14:textFill>
        </w:rPr>
        <w:t>第五条 质量保证</w:t>
      </w:r>
      <w:bookmarkEnd w:id="251"/>
      <w:bookmarkEnd w:id="252"/>
    </w:p>
    <w:p w14:paraId="2DCD5E6C">
      <w:pPr>
        <w:adjustRightInd w:val="0"/>
        <w:snapToGrid w:val="0"/>
        <w:spacing w:line="360" w:lineRule="auto"/>
        <w:ind w:firstLine="420" w:firstLineChars="200"/>
        <w:jc w:val="left"/>
        <w:rPr>
          <w:rFonts w:ascii="宋体" w:hAnsi="宋体" w:cs="宋体"/>
          <w:color w:val="000000" w:themeColor="text1"/>
          <w:kern w:val="2"/>
          <w:szCs w:val="21"/>
          <w14:textFill>
            <w14:solidFill>
              <w14:schemeClr w14:val="tx1"/>
            </w14:solidFill>
          </w14:textFill>
        </w:rPr>
      </w:pPr>
      <w:bookmarkStart w:id="253" w:name="_Toc192058066"/>
      <w:bookmarkStart w:id="254" w:name="_Toc210978686"/>
      <w:r>
        <w:rPr>
          <w:rFonts w:hint="eastAsia" w:ascii="宋体" w:hAnsi="宋体" w:cs="宋体"/>
          <w:color w:val="000000" w:themeColor="text1"/>
          <w:kern w:val="2"/>
          <w:szCs w:val="21"/>
          <w14:textFill>
            <w14:solidFill>
              <w14:schemeClr w14:val="tx1"/>
            </w14:solidFill>
          </w14:textFill>
        </w:rPr>
        <w:t>1.采购文件规定、响应文件承诺的规范及要求明确的，乙方所交付项目的质量标准应当符合采购文件规定、响应文件承诺的规范及要求，且不应低于国家强制性标准。</w:t>
      </w:r>
    </w:p>
    <w:p w14:paraId="3AAC11ED">
      <w:pPr>
        <w:adjustRightInd w:val="0"/>
        <w:snapToGrid w:val="0"/>
        <w:spacing w:line="360" w:lineRule="auto"/>
        <w:ind w:firstLine="420" w:firstLineChars="200"/>
        <w:jc w:val="left"/>
        <w:rPr>
          <w:rFonts w:ascii="宋体" w:hAnsi="宋体" w:cs="宋体"/>
          <w:color w:val="000000" w:themeColor="text1"/>
          <w:kern w:val="2"/>
          <w:szCs w:val="21"/>
          <w14:textFill>
            <w14:solidFill>
              <w14:schemeClr w14:val="tx1"/>
            </w14:solidFill>
          </w14:textFill>
        </w:rPr>
      </w:pPr>
      <w:r>
        <w:rPr>
          <w:rFonts w:hint="eastAsia" w:ascii="宋体" w:hAnsi="宋体" w:cs="宋体"/>
          <w:color w:val="000000" w:themeColor="text1"/>
          <w:kern w:val="2"/>
          <w:szCs w:val="21"/>
          <w14:textFill>
            <w14:solidFill>
              <w14:schemeClr w14:val="tx1"/>
            </w14:solidFill>
          </w14:textFill>
        </w:rPr>
        <w:t>2.采购文件规定、响应文件承诺的规范及要求不明确的，乙方所交付项目的质量标准应按照最新的国家、地方标准或行业标准或企业标准确定，均有标准的以高者（严格者）为准。没有国家、地方标准、行业标准或企业标准的，按照通常标准或者符合合同目的的特定标准确定。</w:t>
      </w:r>
    </w:p>
    <w:p w14:paraId="76388FE1">
      <w:pPr>
        <w:adjustRightInd w:val="0"/>
        <w:snapToGrid w:val="0"/>
        <w:spacing w:line="360" w:lineRule="auto"/>
        <w:ind w:firstLine="420" w:firstLineChars="200"/>
        <w:jc w:val="left"/>
        <w:rPr>
          <w:rFonts w:ascii="宋体" w:hAnsi="宋体" w:cs="宋体"/>
          <w:color w:val="000000" w:themeColor="text1"/>
          <w:kern w:val="2"/>
          <w:szCs w:val="21"/>
          <w14:textFill>
            <w14:solidFill>
              <w14:schemeClr w14:val="tx1"/>
            </w14:solidFill>
          </w14:textFill>
        </w:rPr>
      </w:pPr>
      <w:r>
        <w:rPr>
          <w:rFonts w:hint="eastAsia" w:ascii="宋体" w:hAnsi="宋体" w:cs="宋体"/>
          <w:color w:val="000000" w:themeColor="text1"/>
          <w:kern w:val="2"/>
          <w:szCs w:val="21"/>
          <w14:textFill>
            <w14:solidFill>
              <w14:schemeClr w14:val="tx1"/>
            </w14:solidFill>
          </w14:textFill>
        </w:rPr>
        <w:t>3.乙方所交付的项目还应符合国家和江苏省有关安全、环保、卫生之规定。</w:t>
      </w:r>
    </w:p>
    <w:p w14:paraId="72F4A252">
      <w:pPr>
        <w:adjustRightInd w:val="0"/>
        <w:snapToGrid w:val="0"/>
        <w:spacing w:line="360" w:lineRule="auto"/>
        <w:ind w:firstLine="420" w:firstLineChars="200"/>
        <w:jc w:val="left"/>
        <w:rPr>
          <w:rFonts w:ascii="宋体" w:hAnsi="宋体" w:cs="宋体"/>
          <w:color w:val="000000" w:themeColor="text1"/>
          <w:kern w:val="2"/>
          <w:szCs w:val="21"/>
          <w14:textFill>
            <w14:solidFill>
              <w14:schemeClr w14:val="tx1"/>
            </w14:solidFill>
          </w14:textFill>
        </w:rPr>
      </w:pPr>
      <w:r>
        <w:rPr>
          <w:rFonts w:hint="eastAsia" w:ascii="宋体" w:hAnsi="宋体" w:cs="宋体"/>
          <w:color w:val="000000" w:themeColor="text1"/>
          <w:kern w:val="2"/>
          <w:szCs w:val="21"/>
          <w14:textFill>
            <w14:solidFill>
              <w14:schemeClr w14:val="tx1"/>
            </w14:solidFill>
          </w14:textFill>
        </w:rPr>
        <w:t>4.乙方应向甲方提供一套完整的技术文件，包括        等文件。</w:t>
      </w:r>
    </w:p>
    <w:p w14:paraId="2E042019">
      <w:pPr>
        <w:adjustRightInd w:val="0"/>
        <w:snapToGrid w:val="0"/>
        <w:spacing w:line="360" w:lineRule="auto"/>
        <w:ind w:firstLine="420" w:firstLineChars="200"/>
        <w:jc w:val="left"/>
        <w:rPr>
          <w:rFonts w:ascii="宋体" w:hAnsi="宋体" w:cs="宋体"/>
          <w:color w:val="000000" w:themeColor="text1"/>
          <w:kern w:val="2"/>
          <w:szCs w:val="21"/>
          <w14:textFill>
            <w14:solidFill>
              <w14:schemeClr w14:val="tx1"/>
            </w14:solidFill>
          </w14:textFill>
        </w:rPr>
      </w:pPr>
      <w:r>
        <w:rPr>
          <w:rFonts w:hint="eastAsia" w:ascii="宋体" w:hAnsi="宋体" w:cs="宋体"/>
          <w:color w:val="000000" w:themeColor="text1"/>
          <w:kern w:val="2"/>
          <w:szCs w:val="21"/>
          <w14:textFill>
            <w14:solidFill>
              <w14:schemeClr w14:val="tx1"/>
            </w14:solidFill>
          </w14:textFill>
        </w:rPr>
        <w:t>5.如乙方未能按合同规定履行其质量保证责任和义务，甲方有权委托其他单位来实施，甲方因寻求替代履行所支付的费用和损失，有权向乙方提出赔偿，或从本合同应付或将付款项中扣除。</w:t>
      </w:r>
    </w:p>
    <w:p w14:paraId="6F501FBE">
      <w:pPr>
        <w:adjustRightInd w:val="0"/>
        <w:snapToGrid w:val="0"/>
        <w:spacing w:line="360" w:lineRule="auto"/>
        <w:jc w:val="left"/>
        <w:rPr>
          <w:rFonts w:ascii="宋体" w:hAnsi="宋体" w:cs="宋体"/>
          <w:snapToGrid w:val="0"/>
          <w:color w:val="000000" w:themeColor="text1"/>
          <w:szCs w:val="21"/>
          <w14:textFill>
            <w14:solidFill>
              <w14:schemeClr w14:val="tx1"/>
            </w14:solidFill>
          </w14:textFill>
        </w:rPr>
      </w:pPr>
      <w:r>
        <w:rPr>
          <w:rFonts w:hint="eastAsia" w:ascii="宋体" w:hAnsi="宋体" w:cs="宋体"/>
          <w:snapToGrid w:val="0"/>
          <w:color w:val="000000" w:themeColor="text1"/>
          <w:szCs w:val="21"/>
          <w14:textFill>
            <w14:solidFill>
              <w14:schemeClr w14:val="tx1"/>
            </w14:solidFill>
          </w14:textFill>
        </w:rPr>
        <w:t>第六条 交付和验收</w:t>
      </w:r>
      <w:bookmarkEnd w:id="253"/>
      <w:bookmarkEnd w:id="254"/>
      <w:r>
        <w:rPr>
          <w:rFonts w:hint="eastAsia" w:ascii="宋体" w:hAnsi="宋体" w:cs="宋体"/>
          <w:snapToGrid w:val="0"/>
          <w:color w:val="000000" w:themeColor="text1"/>
          <w:szCs w:val="21"/>
          <w14:textFill>
            <w14:solidFill>
              <w14:schemeClr w14:val="tx1"/>
            </w14:solidFill>
          </w14:textFill>
        </w:rPr>
        <w:t xml:space="preserve"> </w:t>
      </w:r>
    </w:p>
    <w:p w14:paraId="6FDEB2DB">
      <w:pPr>
        <w:pStyle w:val="18"/>
        <w:adjustRightInd w:val="0"/>
        <w:snapToGrid w:val="0"/>
        <w:spacing w:line="360" w:lineRule="auto"/>
        <w:ind w:firstLine="420" w:firstLineChars="20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1.甲方有权按内控制度规定对乙方提交的服务成果进行验收。乙方应对提交的服务成果作出全面检查和整理，并列出清单，提交结项报告，作为甲方验收和使用技术条件依据，清单应随提交的服务成果交给甲方。</w:t>
      </w:r>
    </w:p>
    <w:p w14:paraId="4D807F0F">
      <w:pPr>
        <w:pStyle w:val="18"/>
        <w:adjustRightInd w:val="0"/>
        <w:snapToGrid w:val="0"/>
        <w:spacing w:line="360" w:lineRule="auto"/>
        <w:ind w:firstLine="420" w:firstLineChars="20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2.验收标准：按行业通行标准和乙方响应文件的承诺。 </w:t>
      </w:r>
    </w:p>
    <w:p w14:paraId="559733E5">
      <w:pPr>
        <w:adjustRightInd w:val="0"/>
        <w:snapToGrid w:val="0"/>
        <w:spacing w:line="360" w:lineRule="auto"/>
        <w:jc w:val="left"/>
        <w:rPr>
          <w:rFonts w:ascii="宋体" w:hAnsi="宋体" w:cs="宋体"/>
          <w:snapToGrid w:val="0"/>
          <w:color w:val="000000" w:themeColor="text1"/>
          <w:szCs w:val="21"/>
          <w14:textFill>
            <w14:solidFill>
              <w14:schemeClr w14:val="tx1"/>
            </w14:solidFill>
          </w14:textFill>
        </w:rPr>
      </w:pPr>
      <w:bookmarkStart w:id="255" w:name="_Toc192058067"/>
      <w:bookmarkStart w:id="256" w:name="_Toc210978687"/>
      <w:r>
        <w:rPr>
          <w:rFonts w:hint="eastAsia" w:ascii="宋体" w:hAnsi="宋体" w:cs="宋体"/>
          <w:snapToGrid w:val="0"/>
          <w:color w:val="000000" w:themeColor="text1"/>
          <w:szCs w:val="21"/>
          <w14:textFill>
            <w14:solidFill>
              <w14:schemeClr w14:val="tx1"/>
            </w14:solidFill>
          </w14:textFill>
        </w:rPr>
        <w:t>第七条 合同款支付</w:t>
      </w:r>
      <w:bookmarkEnd w:id="255"/>
      <w:bookmarkEnd w:id="256"/>
      <w:r>
        <w:rPr>
          <w:rFonts w:hint="eastAsia" w:ascii="宋体" w:hAnsi="宋体" w:cs="宋体"/>
          <w:snapToGrid w:val="0"/>
          <w:color w:val="000000" w:themeColor="text1"/>
          <w:szCs w:val="21"/>
          <w14:textFill>
            <w14:solidFill>
              <w14:schemeClr w14:val="tx1"/>
            </w14:solidFill>
          </w14:textFill>
        </w:rPr>
        <w:t xml:space="preserve"> </w:t>
      </w:r>
    </w:p>
    <w:p w14:paraId="24AEC30B">
      <w:pPr>
        <w:adjustRightInd w:val="0"/>
        <w:snapToGrid w:val="0"/>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1.本合同项下所有款项均以人民币支付。 </w:t>
      </w:r>
    </w:p>
    <w:p w14:paraId="5F7D3138">
      <w:pPr>
        <w:pStyle w:val="18"/>
        <w:adjustRightInd w:val="0"/>
        <w:snapToGrid w:val="0"/>
        <w:spacing w:line="360" w:lineRule="auto"/>
        <w:ind w:firstLine="420" w:firstLineChars="20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2.因财政资金未按时拨付，付款期限顺延。</w:t>
      </w:r>
    </w:p>
    <w:p w14:paraId="6F35FA49">
      <w:pPr>
        <w:spacing w:line="360" w:lineRule="auto"/>
        <w:ind w:firstLine="422" w:firstLineChars="200"/>
        <w:jc w:val="left"/>
        <w:outlineLvl w:val="9"/>
        <w:rPr>
          <w:rFonts w:hint="eastAsia" w:ascii="宋体" w:hAnsi="宋体" w:cs="宋体"/>
          <w:color w:val="000000" w:themeColor="text1"/>
          <w:kern w:val="2"/>
          <w:szCs w:val="21"/>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3.付款方式：</w:t>
      </w:r>
      <w:r>
        <w:rPr>
          <w:rFonts w:hint="eastAsia" w:ascii="宋体" w:hAnsi="宋体" w:cs="宋体"/>
          <w:color w:val="000000" w:themeColor="text1"/>
          <w:kern w:val="2"/>
          <w:szCs w:val="21"/>
          <w14:textFill>
            <w14:solidFill>
              <w14:schemeClr w14:val="tx1"/>
            </w14:solidFill>
          </w14:textFill>
        </w:rPr>
        <w:t>合同签订后，</w:t>
      </w:r>
      <w:r>
        <w:rPr>
          <w:rFonts w:hint="eastAsia" w:ascii="宋体" w:hAnsi="宋体" w:cs="宋体"/>
          <w:color w:val="000000" w:themeColor="text1"/>
          <w:kern w:val="2"/>
          <w:szCs w:val="21"/>
          <w:lang w:val="en-US" w:eastAsia="zh-CN"/>
          <w14:textFill>
            <w14:solidFill>
              <w14:schemeClr w14:val="tx1"/>
            </w14:solidFill>
          </w14:textFill>
        </w:rPr>
        <w:t>甲方</w:t>
      </w:r>
      <w:r>
        <w:rPr>
          <w:rFonts w:hint="eastAsia" w:ascii="宋体" w:hAnsi="宋体" w:cs="宋体"/>
          <w:color w:val="000000" w:themeColor="text1"/>
          <w:kern w:val="2"/>
          <w:szCs w:val="21"/>
          <w14:textFill>
            <w14:solidFill>
              <w14:schemeClr w14:val="tx1"/>
            </w14:solidFill>
          </w14:textFill>
        </w:rPr>
        <w:t>支付合同价款的40%作为首付款，</w:t>
      </w:r>
      <w:r>
        <w:rPr>
          <w:rFonts w:hint="eastAsia" w:ascii="宋体" w:hAnsi="宋体" w:cs="宋体"/>
          <w:color w:val="000000" w:themeColor="text1"/>
          <w:kern w:val="2"/>
          <w:szCs w:val="21"/>
          <w:lang w:val="en-US" w:eastAsia="zh-CN"/>
          <w14:textFill>
            <w14:solidFill>
              <w14:schemeClr w14:val="tx1"/>
            </w14:solidFill>
          </w14:textFill>
        </w:rPr>
        <w:t>布展完成后，甲方支付剩余40%合同价款，</w:t>
      </w:r>
      <w:r>
        <w:rPr>
          <w:rFonts w:hint="eastAsia" w:ascii="宋体" w:hAnsi="宋体" w:cs="宋体"/>
          <w:color w:val="000000" w:themeColor="text1"/>
          <w:kern w:val="2"/>
          <w:szCs w:val="21"/>
          <w14:textFill>
            <w14:solidFill>
              <w14:schemeClr w14:val="tx1"/>
            </w14:solidFill>
          </w14:textFill>
        </w:rPr>
        <w:t>撤展完成并通过验收后，</w:t>
      </w:r>
      <w:r>
        <w:rPr>
          <w:rFonts w:hint="eastAsia" w:ascii="宋体" w:hAnsi="宋体" w:cs="宋体"/>
          <w:color w:val="000000" w:themeColor="text1"/>
          <w:kern w:val="2"/>
          <w:szCs w:val="21"/>
          <w:lang w:val="en-US" w:eastAsia="zh-CN"/>
          <w14:textFill>
            <w14:solidFill>
              <w14:schemeClr w14:val="tx1"/>
            </w14:solidFill>
          </w14:textFill>
        </w:rPr>
        <w:t>甲方</w:t>
      </w:r>
      <w:r>
        <w:rPr>
          <w:rFonts w:hint="eastAsia" w:ascii="宋体" w:hAnsi="宋体" w:cs="宋体"/>
          <w:color w:val="000000" w:themeColor="text1"/>
          <w:kern w:val="2"/>
          <w:szCs w:val="21"/>
          <w14:textFill>
            <w14:solidFill>
              <w14:schemeClr w14:val="tx1"/>
            </w14:solidFill>
          </w14:textFill>
        </w:rPr>
        <w:t>支付剩余</w:t>
      </w:r>
      <w:r>
        <w:rPr>
          <w:rFonts w:hint="eastAsia" w:ascii="宋体" w:hAnsi="宋体" w:cs="宋体"/>
          <w:color w:val="000000" w:themeColor="text1"/>
          <w:kern w:val="2"/>
          <w:szCs w:val="21"/>
          <w:lang w:val="en-US" w:eastAsia="zh-CN"/>
          <w14:textFill>
            <w14:solidFill>
              <w14:schemeClr w14:val="tx1"/>
            </w14:solidFill>
          </w14:textFill>
        </w:rPr>
        <w:t>2</w:t>
      </w:r>
      <w:r>
        <w:rPr>
          <w:rFonts w:hint="eastAsia" w:ascii="宋体" w:hAnsi="宋体" w:cs="宋体"/>
          <w:color w:val="000000" w:themeColor="text1"/>
          <w:kern w:val="2"/>
          <w:szCs w:val="21"/>
          <w14:textFill>
            <w14:solidFill>
              <w14:schemeClr w14:val="tx1"/>
            </w14:solidFill>
          </w14:textFill>
        </w:rPr>
        <w:t>0%合同价款。</w:t>
      </w:r>
    </w:p>
    <w:p w14:paraId="11F013CA">
      <w:pPr>
        <w:adjustRightInd w:val="0"/>
        <w:snapToGrid w:val="0"/>
        <w:spacing w:line="360" w:lineRule="auto"/>
        <w:ind w:left="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4.每次付款前，乙方应提供等额合法发票。</w:t>
      </w:r>
    </w:p>
    <w:p w14:paraId="4233D7FE">
      <w:pPr>
        <w:pStyle w:val="18"/>
        <w:adjustRightInd w:val="0"/>
        <w:snapToGrid w:val="0"/>
        <w:spacing w:line="360" w:lineRule="auto"/>
        <w:ind w:firstLine="420" w:firstLineChars="20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5.此金额为合同执行不变价，不因国家政策变化而变化，该价款包括了服务价格及与之配套的设计、制造、正版软件、检验、包装、运输、保险、税费以及安装、组织验收、培训、技术服务（包括技术资料、图纸提供等）、质保期服务等全部价款，除此之外，甲方不再向乙方支付其他任何费用。</w:t>
      </w:r>
    </w:p>
    <w:p w14:paraId="59F1FA2C">
      <w:pPr>
        <w:pStyle w:val="18"/>
        <w:adjustRightInd w:val="0"/>
        <w:snapToGrid w:val="0"/>
        <w:spacing w:line="360" w:lineRule="auto"/>
        <w:ind w:firstLine="420" w:firstLineChars="20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6.若遇国家或地方政府政策性调整，双方另行协商。</w:t>
      </w:r>
    </w:p>
    <w:p w14:paraId="33174E17">
      <w:pPr>
        <w:spacing w:line="360" w:lineRule="auto"/>
        <w:rPr>
          <w:rFonts w:ascii="宋体" w:hAnsi="宋体" w:cs="宋体"/>
          <w:b/>
          <w:bCs/>
          <w:snapToGrid w:val="0"/>
          <w:color w:val="000000" w:themeColor="text1"/>
          <w:szCs w:val="21"/>
          <w14:textFill>
            <w14:solidFill>
              <w14:schemeClr w14:val="tx1"/>
            </w14:solidFill>
          </w14:textFill>
        </w:rPr>
      </w:pPr>
      <w:r>
        <w:rPr>
          <w:rFonts w:hint="eastAsia" w:ascii="宋体" w:hAnsi="宋体" w:cs="宋体"/>
          <w:b/>
          <w:bCs/>
          <w:snapToGrid w:val="0"/>
          <w:color w:val="000000" w:themeColor="text1"/>
          <w:szCs w:val="21"/>
          <w14:textFill>
            <w14:solidFill>
              <w14:schemeClr w14:val="tx1"/>
            </w14:solidFill>
          </w14:textFill>
        </w:rPr>
        <w:t>第八条 售后服务及承诺</w:t>
      </w:r>
    </w:p>
    <w:p w14:paraId="201B959C">
      <w:pPr>
        <w:adjustRightInd w:val="0"/>
        <w:snapToGrid w:val="0"/>
        <w:spacing w:line="360" w:lineRule="auto"/>
        <w:ind w:firstLine="420" w:firstLineChars="200"/>
        <w:jc w:val="left"/>
        <w:rPr>
          <w:rFonts w:ascii="宋体" w:hAnsi="宋体" w:cs="宋体"/>
          <w:color w:val="000000" w:themeColor="text1"/>
          <w:kern w:val="2"/>
          <w:szCs w:val="21"/>
          <w14:textFill>
            <w14:solidFill>
              <w14:schemeClr w14:val="tx1"/>
            </w14:solidFill>
          </w14:textFill>
        </w:rPr>
      </w:pPr>
      <w:r>
        <w:rPr>
          <w:rFonts w:hint="eastAsia" w:ascii="宋体" w:hAnsi="宋体" w:cs="宋体"/>
          <w:color w:val="000000" w:themeColor="text1"/>
          <w:kern w:val="2"/>
          <w:szCs w:val="21"/>
          <w14:textFill>
            <w14:solidFill>
              <w14:schemeClr w14:val="tx1"/>
            </w14:solidFill>
          </w14:textFill>
        </w:rPr>
        <w:t>1.质量保证期限自本项目服务验收合格之日起     年，在质量保证期内，乙方应对服务出现的问题负责处理并承担一切费用。</w:t>
      </w:r>
    </w:p>
    <w:p w14:paraId="5D473F90">
      <w:pPr>
        <w:adjustRightInd w:val="0"/>
        <w:snapToGrid w:val="0"/>
        <w:spacing w:line="360" w:lineRule="auto"/>
        <w:ind w:firstLine="420" w:firstLineChars="200"/>
        <w:jc w:val="left"/>
        <w:rPr>
          <w:rFonts w:ascii="宋体" w:hAnsi="宋体" w:cs="宋体"/>
          <w:color w:val="000000" w:themeColor="text1"/>
          <w:kern w:val="2"/>
          <w:szCs w:val="21"/>
          <w14:textFill>
            <w14:solidFill>
              <w14:schemeClr w14:val="tx1"/>
            </w14:solidFill>
          </w14:textFill>
        </w:rPr>
      </w:pPr>
      <w:r>
        <w:rPr>
          <w:rFonts w:hint="eastAsia" w:ascii="宋体" w:hAnsi="宋体" w:cs="宋体"/>
          <w:color w:val="000000" w:themeColor="text1"/>
          <w:kern w:val="2"/>
          <w:szCs w:val="21"/>
          <w14:textFill>
            <w14:solidFill>
              <w14:schemeClr w14:val="tx1"/>
            </w14:solidFill>
          </w14:textFill>
        </w:rPr>
        <w:t>2.服务范围：采购文件、响应文件所涉及到的所有服务。</w:t>
      </w:r>
    </w:p>
    <w:p w14:paraId="115E5281">
      <w:pPr>
        <w:adjustRightInd w:val="0"/>
        <w:snapToGrid w:val="0"/>
        <w:spacing w:line="360" w:lineRule="auto"/>
        <w:jc w:val="left"/>
        <w:rPr>
          <w:rFonts w:ascii="宋体" w:hAnsi="宋体" w:cs="宋体"/>
          <w:snapToGrid w:val="0"/>
          <w:color w:val="000000" w:themeColor="text1"/>
          <w:szCs w:val="21"/>
          <w14:textFill>
            <w14:solidFill>
              <w14:schemeClr w14:val="tx1"/>
            </w14:solidFill>
          </w14:textFill>
        </w:rPr>
      </w:pPr>
      <w:bookmarkStart w:id="257" w:name="_Toc210978688"/>
      <w:bookmarkStart w:id="258" w:name="_Toc192058068"/>
      <w:r>
        <w:rPr>
          <w:rFonts w:hint="eastAsia" w:ascii="宋体" w:hAnsi="宋体" w:cs="宋体"/>
          <w:snapToGrid w:val="0"/>
          <w:color w:val="000000" w:themeColor="text1"/>
          <w:szCs w:val="21"/>
          <w14:textFill>
            <w14:solidFill>
              <w14:schemeClr w14:val="tx1"/>
            </w14:solidFill>
          </w14:textFill>
        </w:rPr>
        <w:t>第九条 违约责任</w:t>
      </w:r>
      <w:bookmarkEnd w:id="257"/>
      <w:bookmarkEnd w:id="258"/>
      <w:r>
        <w:rPr>
          <w:rFonts w:hint="eastAsia" w:ascii="宋体" w:hAnsi="宋体" w:cs="宋体"/>
          <w:snapToGrid w:val="0"/>
          <w:color w:val="000000" w:themeColor="text1"/>
          <w:szCs w:val="21"/>
          <w14:textFill>
            <w14:solidFill>
              <w14:schemeClr w14:val="tx1"/>
            </w14:solidFill>
          </w14:textFill>
        </w:rPr>
        <w:t xml:space="preserve"> </w:t>
      </w:r>
    </w:p>
    <w:p w14:paraId="6A8FD482">
      <w:pPr>
        <w:pStyle w:val="18"/>
        <w:adjustRightInd w:val="0"/>
        <w:snapToGrid w:val="0"/>
        <w:spacing w:line="360" w:lineRule="auto"/>
        <w:ind w:firstLine="420"/>
        <w:rPr>
          <w:rFonts w:hAnsi="宋体" w:cs="宋体"/>
          <w:color w:val="000000" w:themeColor="text1"/>
          <w:sz w:val="21"/>
          <w:szCs w:val="21"/>
          <w14:textFill>
            <w14:solidFill>
              <w14:schemeClr w14:val="tx1"/>
            </w14:solidFill>
          </w14:textFill>
        </w:rPr>
      </w:pPr>
      <w:bookmarkStart w:id="259" w:name="_Toc192058069"/>
      <w:bookmarkStart w:id="260" w:name="_Toc210978689"/>
      <w:r>
        <w:rPr>
          <w:rFonts w:hint="eastAsia" w:hAnsi="宋体" w:cs="宋体"/>
          <w:color w:val="000000" w:themeColor="text1"/>
          <w:sz w:val="21"/>
          <w:szCs w:val="21"/>
          <w14:textFill>
            <w14:solidFill>
              <w14:schemeClr w14:val="tx1"/>
            </w14:solidFill>
          </w14:textFill>
        </w:rPr>
        <w:t>1.甲方未按合同规定的期限向乙方支付服务款的，每逾期1日甲方向乙方偿付欠款总额万分之零点五的违约金，但累计违约金总额不超过欠款总额的5%，因财政资金未按时拨付导致甲方迟延付款的，甲方不承担违约责任。</w:t>
      </w:r>
    </w:p>
    <w:p w14:paraId="2AD88187">
      <w:pPr>
        <w:pStyle w:val="18"/>
        <w:adjustRightInd w:val="0"/>
        <w:snapToGrid w:val="0"/>
        <w:spacing w:line="360" w:lineRule="auto"/>
        <w:ind w:firstLine="42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2.如乙方拒绝提供服务的，甲方有权单方解除合同，乙方还应向甲方支付合同总金额30%的违约金。如造成甲方损失超过违约金的，超出部分由乙方继续承担赔偿责任。</w:t>
      </w:r>
    </w:p>
    <w:p w14:paraId="4EEDED03">
      <w:pPr>
        <w:pStyle w:val="18"/>
        <w:adjustRightInd w:val="0"/>
        <w:snapToGrid w:val="0"/>
        <w:spacing w:line="360" w:lineRule="auto"/>
        <w:ind w:firstLine="42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3.乙方逾期提供本合同项下任一子项服务内容的，每逾期1日，乙方向甲方偿付合同总金额万分之五的违约金；乙方逾期提供多项任务要求的，逾期时间及逾期责任累计计算。如乙方累计逾期提供服务达10日，甲方有权解除合同，乙方应向甲方退还全部已付合同款，并向甲方支付合同总金额10%的违约金（此违约金不与逾期违约金并列适用）。</w:t>
      </w:r>
    </w:p>
    <w:p w14:paraId="18AA652F">
      <w:pPr>
        <w:pStyle w:val="18"/>
        <w:adjustRightInd w:val="0"/>
        <w:snapToGrid w:val="0"/>
        <w:spacing w:line="360" w:lineRule="auto"/>
        <w:ind w:firstLine="42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4.（1）乙方所提供的服务中任何一部分不符合合同约定的，甲方有权拒收全部乙方服务内容，甲方亦有权根据实际情况拒收不符合约定部分的服务内容。无论是甲方拒收全部服务内容还是拒收不符合约定部分的服务内容，甲方均有权单方解除合同，甲方无需向乙方支付任何款项，已支付的款项（如有）乙方应予全额退还。（2）甲方仅拒收部分服务内容的，对于该拒收的服务内容，甲方不再向乙方付费，如甲方已支付则乙方应予退还，同时，每出现一次不符合约定的服务内容，乙方应向甲方支付合同总金额10%的违约金。（3）经甲方同意，对于不符合约定的服务内容，乙方整改后重新提供且重新提供内容符合约定的，甲方对于该部分服务内容应予付费，但针对每一整改事项，乙方应向甲方支付合同总金额5%的违约金；整改后仍不符合约定的，甲方有权拒收该部分服务内容，对于该拒收的服务内容，甲方不再向乙方付费，如甲方已支付则乙方应予退还。</w:t>
      </w:r>
    </w:p>
    <w:p w14:paraId="5BF86E6D">
      <w:pPr>
        <w:pStyle w:val="18"/>
        <w:adjustRightInd w:val="0"/>
        <w:snapToGrid w:val="0"/>
        <w:spacing w:line="360" w:lineRule="auto"/>
        <w:ind w:firstLine="42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5.如乙方在本合同履行过程中出现任何一项违约情形，甲方均有权扣除乙方已缴纳的履约保证金（如有），并将乙方应承担的违约责任、侵权责任等全部责任金额在后续应付款中直接扣减，履约保证金和后续应付款不足以支付本合同约定的违约责任或者给甲方造成损失的赔偿责任的，乙方应根据甲方要求另行向甲方支付。</w:t>
      </w:r>
    </w:p>
    <w:p w14:paraId="64B127D5">
      <w:pPr>
        <w:pStyle w:val="18"/>
        <w:adjustRightInd w:val="0"/>
        <w:snapToGrid w:val="0"/>
        <w:spacing w:line="360" w:lineRule="auto"/>
        <w:ind w:firstLine="42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6.甲方依法或者依照本合同约定解除合同的，解除合同的通知自到达乙方时生效，乙方应退还全部已付合同款（如有），并向甲方支付按合同总金额10%的违约金（其他条款针对违约金有特别约定的从其约定），乙方履约保证金（如有）不予退还。</w:t>
      </w:r>
    </w:p>
    <w:p w14:paraId="7B520738">
      <w:pPr>
        <w:pStyle w:val="18"/>
        <w:adjustRightInd w:val="0"/>
        <w:snapToGrid w:val="0"/>
        <w:spacing w:line="360" w:lineRule="auto"/>
        <w:ind w:firstLine="42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7.乙方在承担上述一项或多项违约责任后，仍应继续履行合同规定的义务（甲方解除合同的除外）。甲方未能及时追究乙方的任何一项违约责任并不表明甲方放弃追究乙方该项或其他违约责任。</w:t>
      </w:r>
    </w:p>
    <w:p w14:paraId="14EBDE51">
      <w:pPr>
        <w:pStyle w:val="18"/>
        <w:adjustRightInd w:val="0"/>
        <w:snapToGrid w:val="0"/>
        <w:spacing w:line="360" w:lineRule="auto"/>
        <w:ind w:firstLine="42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8.乙方响应属虚假承诺，或经权威部门检测提供的服务不能满足采购文件要求，或是由于乙方的过错造成合同无法继续履行的，乙方履约保证金（如有）不予退还外，还应向甲方支付不少于合同总金额30%的违约金。</w:t>
      </w:r>
    </w:p>
    <w:p w14:paraId="37BC7D5A">
      <w:pPr>
        <w:pStyle w:val="18"/>
        <w:adjustRightInd w:val="0"/>
        <w:snapToGrid w:val="0"/>
        <w:spacing w:line="360" w:lineRule="auto"/>
        <w:ind w:firstLine="42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9.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5521BAD0">
      <w:pPr>
        <w:adjustRightInd w:val="0"/>
        <w:snapToGrid w:val="0"/>
        <w:spacing w:line="360" w:lineRule="auto"/>
        <w:rPr>
          <w:rFonts w:ascii="宋体" w:hAnsi="宋体" w:cs="宋体"/>
          <w:b/>
          <w:bCs/>
          <w:snapToGrid w:val="0"/>
          <w:color w:val="000000" w:themeColor="text1"/>
          <w:szCs w:val="21"/>
          <w14:textFill>
            <w14:solidFill>
              <w14:schemeClr w14:val="tx1"/>
            </w14:solidFill>
          </w14:textFill>
        </w:rPr>
      </w:pPr>
      <w:r>
        <w:rPr>
          <w:rFonts w:hint="eastAsia" w:ascii="宋体" w:hAnsi="宋体" w:cs="宋体"/>
          <w:b/>
          <w:bCs/>
          <w:snapToGrid w:val="0"/>
          <w:color w:val="000000" w:themeColor="text1"/>
          <w:szCs w:val="21"/>
          <w14:textFill>
            <w14:solidFill>
              <w14:schemeClr w14:val="tx1"/>
            </w14:solidFill>
          </w14:textFill>
        </w:rPr>
        <w:t>第十条 合同的变更和终止</w:t>
      </w:r>
      <w:bookmarkEnd w:id="259"/>
      <w:bookmarkEnd w:id="260"/>
    </w:p>
    <w:p w14:paraId="0A08A498">
      <w:pPr>
        <w:pStyle w:val="18"/>
        <w:adjustRightInd w:val="0"/>
        <w:snapToGrid w:val="0"/>
        <w:spacing w:line="360" w:lineRule="auto"/>
        <w:ind w:firstLine="420" w:firstLineChars="20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1.本合同一经签订，甲乙双方不得擅自变更、中止或终止合同。</w:t>
      </w:r>
    </w:p>
    <w:p w14:paraId="089F0555">
      <w:pPr>
        <w:pStyle w:val="18"/>
        <w:adjustRightInd w:val="0"/>
        <w:snapToGrid w:val="0"/>
        <w:spacing w:line="360" w:lineRule="auto"/>
        <w:ind w:firstLine="420" w:firstLineChars="20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2.除发生法律规定的不能预见、不能避免并不能克服的客观情况外，甲乙双方不得放弃或拒绝履行合同。</w:t>
      </w:r>
    </w:p>
    <w:p w14:paraId="579C4480">
      <w:pPr>
        <w:adjustRightInd w:val="0"/>
        <w:snapToGrid w:val="0"/>
        <w:spacing w:line="360" w:lineRule="auto"/>
        <w:jc w:val="left"/>
        <w:rPr>
          <w:rFonts w:ascii="宋体" w:hAnsi="宋体" w:cs="宋体"/>
          <w:snapToGrid w:val="0"/>
          <w:color w:val="000000" w:themeColor="text1"/>
          <w:szCs w:val="21"/>
          <w14:textFill>
            <w14:solidFill>
              <w14:schemeClr w14:val="tx1"/>
            </w14:solidFill>
          </w14:textFill>
        </w:rPr>
      </w:pPr>
      <w:bookmarkStart w:id="261" w:name="_Toc210978690"/>
      <w:bookmarkStart w:id="262" w:name="_Toc192058070"/>
      <w:r>
        <w:rPr>
          <w:rFonts w:hint="eastAsia" w:ascii="宋体" w:hAnsi="宋体" w:cs="宋体"/>
          <w:snapToGrid w:val="0"/>
          <w:color w:val="000000" w:themeColor="text1"/>
          <w:szCs w:val="21"/>
          <w14:textFill>
            <w14:solidFill>
              <w14:schemeClr w14:val="tx1"/>
            </w14:solidFill>
          </w14:textFill>
        </w:rPr>
        <w:t>第十一条 合同的转让</w:t>
      </w:r>
      <w:bookmarkEnd w:id="261"/>
      <w:bookmarkEnd w:id="262"/>
      <w:r>
        <w:rPr>
          <w:rFonts w:hint="eastAsia" w:ascii="宋体" w:hAnsi="宋体" w:cs="宋体"/>
          <w:snapToGrid w:val="0"/>
          <w:color w:val="000000" w:themeColor="text1"/>
          <w:szCs w:val="21"/>
          <w14:textFill>
            <w14:solidFill>
              <w14:schemeClr w14:val="tx1"/>
            </w14:solidFill>
          </w14:textFill>
        </w:rPr>
        <w:t xml:space="preserve"> </w:t>
      </w:r>
    </w:p>
    <w:p w14:paraId="20FCCC4D">
      <w:pPr>
        <w:adjustRightInd w:val="0"/>
        <w:snapToGrid w:val="0"/>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乙方不得擅自部分或全部转让其应履行的合同义务。 </w:t>
      </w:r>
    </w:p>
    <w:p w14:paraId="1D366BBC">
      <w:pPr>
        <w:adjustRightInd w:val="0"/>
        <w:snapToGrid w:val="0"/>
        <w:spacing w:line="360" w:lineRule="auto"/>
        <w:jc w:val="left"/>
        <w:rPr>
          <w:rFonts w:ascii="宋体" w:hAnsi="宋体" w:cs="宋体"/>
          <w:snapToGrid w:val="0"/>
          <w:color w:val="000000" w:themeColor="text1"/>
          <w:szCs w:val="21"/>
          <w14:textFill>
            <w14:solidFill>
              <w14:schemeClr w14:val="tx1"/>
            </w14:solidFill>
          </w14:textFill>
        </w:rPr>
      </w:pPr>
      <w:bookmarkStart w:id="263" w:name="_Toc192058071"/>
      <w:bookmarkStart w:id="264" w:name="_Toc210978691"/>
      <w:r>
        <w:rPr>
          <w:rFonts w:hint="eastAsia" w:ascii="宋体" w:hAnsi="宋体" w:cs="宋体"/>
          <w:snapToGrid w:val="0"/>
          <w:color w:val="000000" w:themeColor="text1"/>
          <w:szCs w:val="21"/>
          <w14:textFill>
            <w14:solidFill>
              <w14:schemeClr w14:val="tx1"/>
            </w14:solidFill>
          </w14:textFill>
        </w:rPr>
        <w:t>第十二条 争议的解决</w:t>
      </w:r>
      <w:bookmarkEnd w:id="263"/>
      <w:bookmarkEnd w:id="264"/>
    </w:p>
    <w:p w14:paraId="4BCFC2E5">
      <w:pPr>
        <w:pStyle w:val="18"/>
        <w:adjustRightInd w:val="0"/>
        <w:snapToGrid w:val="0"/>
        <w:spacing w:line="360" w:lineRule="auto"/>
        <w:ind w:firstLine="420" w:firstLineChars="20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1.因服务的质量问题发生争议的，应当邀请国家认可的质量检测机构对服务质量进行鉴定。符合标准的，鉴定费由甲方承担；不符合质量标准的，鉴定费由乙方承担。</w:t>
      </w:r>
    </w:p>
    <w:p w14:paraId="7C749C7C">
      <w:pPr>
        <w:pStyle w:val="18"/>
        <w:adjustRightInd w:val="0"/>
        <w:snapToGrid w:val="0"/>
        <w:spacing w:line="360" w:lineRule="auto"/>
        <w:ind w:firstLine="420" w:firstLineChars="20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2.因履行本合同引起的或与本合同有关的争议，甲、乙双方应首先通过友好协商解决，如果协商不能解决争议，则采取以下第（1）种方式解决争议：</w:t>
      </w:r>
    </w:p>
    <w:p w14:paraId="20A44453">
      <w:pPr>
        <w:pStyle w:val="18"/>
        <w:adjustRightInd w:val="0"/>
        <w:snapToGrid w:val="0"/>
        <w:spacing w:line="360" w:lineRule="auto"/>
        <w:ind w:firstLine="420" w:firstLineChars="20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（1）向甲方所在地有管辖权的人民法院提起诉讼；</w:t>
      </w:r>
    </w:p>
    <w:p w14:paraId="58DDE09E">
      <w:pPr>
        <w:pStyle w:val="18"/>
        <w:adjustRightInd w:val="0"/>
        <w:snapToGrid w:val="0"/>
        <w:spacing w:line="360" w:lineRule="auto"/>
        <w:ind w:firstLine="420" w:firstLineChars="20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（2）向南京仲裁委员会按其仲裁规则申请仲裁。 </w:t>
      </w:r>
    </w:p>
    <w:p w14:paraId="52FEFDA4">
      <w:pPr>
        <w:adjustRightInd w:val="0"/>
        <w:snapToGrid w:val="0"/>
        <w:spacing w:line="360" w:lineRule="auto"/>
        <w:jc w:val="left"/>
        <w:rPr>
          <w:rFonts w:ascii="宋体" w:hAnsi="宋体" w:cs="宋体"/>
          <w:snapToGrid w:val="0"/>
          <w:color w:val="000000" w:themeColor="text1"/>
          <w:szCs w:val="21"/>
          <w14:textFill>
            <w14:solidFill>
              <w14:schemeClr w14:val="tx1"/>
            </w14:solidFill>
          </w14:textFill>
        </w:rPr>
      </w:pPr>
      <w:bookmarkStart w:id="265" w:name="第六章__响应文件格式"/>
      <w:bookmarkEnd w:id="265"/>
      <w:bookmarkStart w:id="266" w:name="_Toc192058072"/>
      <w:bookmarkStart w:id="267" w:name="_Toc210978692"/>
      <w:r>
        <w:rPr>
          <w:rFonts w:hint="eastAsia" w:ascii="宋体" w:hAnsi="宋体" w:cs="宋体"/>
          <w:snapToGrid w:val="0"/>
          <w:color w:val="000000" w:themeColor="text1"/>
          <w:szCs w:val="21"/>
          <w14:textFill>
            <w14:solidFill>
              <w14:schemeClr w14:val="tx1"/>
            </w14:solidFill>
          </w14:textFill>
        </w:rPr>
        <w:t>第十三条 诚实信用</w:t>
      </w:r>
      <w:bookmarkEnd w:id="266"/>
      <w:bookmarkEnd w:id="267"/>
      <w:r>
        <w:rPr>
          <w:rFonts w:hint="eastAsia" w:ascii="宋体" w:hAnsi="宋体" w:cs="宋体"/>
          <w:snapToGrid w:val="0"/>
          <w:color w:val="000000" w:themeColor="text1"/>
          <w:szCs w:val="21"/>
          <w14:textFill>
            <w14:solidFill>
              <w14:schemeClr w14:val="tx1"/>
            </w14:solidFill>
          </w14:textFill>
        </w:rPr>
        <w:t xml:space="preserve"> </w:t>
      </w:r>
    </w:p>
    <w:p w14:paraId="1B555A2B">
      <w:pPr>
        <w:adjustRightInd w:val="0"/>
        <w:snapToGrid w:val="0"/>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乙方应诚实信用，严格按照采购文件要求和服务承诺履行合同，不向甲方进行商业贿赂或者提供不正当利益。 </w:t>
      </w:r>
    </w:p>
    <w:p w14:paraId="3470D214">
      <w:pPr>
        <w:adjustRightInd w:val="0"/>
        <w:snapToGrid w:val="0"/>
        <w:spacing w:line="360" w:lineRule="auto"/>
        <w:jc w:val="left"/>
        <w:rPr>
          <w:rFonts w:ascii="宋体" w:hAnsi="宋体" w:cs="宋体"/>
          <w:snapToGrid w:val="0"/>
          <w:color w:val="000000" w:themeColor="text1"/>
          <w:szCs w:val="21"/>
          <w14:textFill>
            <w14:solidFill>
              <w14:schemeClr w14:val="tx1"/>
            </w14:solidFill>
          </w14:textFill>
        </w:rPr>
      </w:pPr>
      <w:r>
        <w:rPr>
          <w:rFonts w:hint="eastAsia" w:ascii="宋体" w:hAnsi="宋体" w:cs="宋体"/>
          <w:snapToGrid w:val="0"/>
          <w:color w:val="000000" w:themeColor="text1"/>
          <w:szCs w:val="21"/>
          <w14:textFill>
            <w14:solidFill>
              <w14:schemeClr w14:val="tx1"/>
            </w14:solidFill>
          </w14:textFill>
        </w:rPr>
        <w:t>第十四条 保密条款</w:t>
      </w:r>
    </w:p>
    <w:p w14:paraId="6738146B">
      <w:pPr>
        <w:pStyle w:val="18"/>
        <w:adjustRightInd w:val="0"/>
        <w:snapToGrid w:val="0"/>
        <w:spacing w:line="360" w:lineRule="auto"/>
        <w:ind w:firstLine="420" w:firstLineChars="20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p>
    <w:p w14:paraId="6D742DD3">
      <w:pPr>
        <w:pStyle w:val="18"/>
        <w:adjustRightInd w:val="0"/>
        <w:snapToGrid w:val="0"/>
        <w:spacing w:line="360" w:lineRule="auto"/>
        <w:ind w:firstLine="420" w:firstLineChars="20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甲方向乙方提供的影像资料和文字资料的全部知识产权均属甲方所有，乙方对上述影像资料和文字资料的利用，仅以本合同确定的用途为限。乙方承诺不因任何事由侵犯甲方的著作权。乙方在使用上述影像资料和文字资料的过程中和使用工作结束后，均应对上述影像资料和文字资料附有保密义务，不得擅自将其用于其他用途，更不得以任何形式将其移转或实际移转给任何第三人。本合同约定的影像资料和文字资料使用期限届满后10日内，乙方应将其保存使用的影像资料和文字资料电子文件全部删除销毁或将影像资料和文字资料各类存储介质全部交还甲方，不得擅自复制、留存。乙方如违反本条约定，应承担相应的违约和赔偿责任。本条款的法律效力不因主合同和本附件法律效力的终止而终止。</w:t>
      </w:r>
    </w:p>
    <w:p w14:paraId="1D0EF981">
      <w:pPr>
        <w:adjustRightInd w:val="0"/>
        <w:snapToGrid w:val="0"/>
        <w:spacing w:line="360" w:lineRule="auto"/>
        <w:jc w:val="left"/>
        <w:rPr>
          <w:rFonts w:ascii="宋体" w:hAnsi="宋体" w:cs="宋体"/>
          <w:snapToGrid w:val="0"/>
          <w:color w:val="000000" w:themeColor="text1"/>
          <w:szCs w:val="21"/>
          <w14:textFill>
            <w14:solidFill>
              <w14:schemeClr w14:val="tx1"/>
            </w14:solidFill>
          </w14:textFill>
        </w:rPr>
      </w:pPr>
      <w:bookmarkStart w:id="268" w:name="_Toc192058073"/>
      <w:bookmarkStart w:id="269" w:name="_Toc210978693"/>
      <w:r>
        <w:rPr>
          <w:rFonts w:hint="eastAsia" w:ascii="宋体" w:hAnsi="宋体" w:cs="宋体"/>
          <w:snapToGrid w:val="0"/>
          <w:color w:val="000000" w:themeColor="text1"/>
          <w:szCs w:val="21"/>
          <w14:textFill>
            <w14:solidFill>
              <w14:schemeClr w14:val="tx1"/>
            </w14:solidFill>
          </w14:textFill>
        </w:rPr>
        <w:t>第十五条 合同生效及其他</w:t>
      </w:r>
      <w:bookmarkEnd w:id="268"/>
      <w:bookmarkEnd w:id="269"/>
    </w:p>
    <w:p w14:paraId="62869B75">
      <w:pPr>
        <w:adjustRightInd w:val="0"/>
        <w:snapToGrid w:val="0"/>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1.本合同经双方盖章并经法定代表人或者授权代表签字后生效。</w:t>
      </w:r>
    </w:p>
    <w:p w14:paraId="6106D049">
      <w:pPr>
        <w:pStyle w:val="18"/>
        <w:adjustRightInd w:val="0"/>
        <w:snapToGrid w:val="0"/>
        <w:spacing w:line="360" w:lineRule="auto"/>
        <w:ind w:firstLine="420" w:firstLineChars="20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2.本合同一式</w:t>
      </w:r>
      <w:r>
        <w:rPr>
          <w:rFonts w:hint="eastAsia" w:hAnsi="宋体" w:cs="宋体"/>
          <w:color w:val="000000" w:themeColor="text1"/>
          <w:sz w:val="21"/>
          <w:szCs w:val="21"/>
          <w:u w:val="single"/>
          <w14:textFill>
            <w14:solidFill>
              <w14:schemeClr w14:val="tx1"/>
            </w14:solidFill>
          </w14:textFill>
        </w:rPr>
        <w:t xml:space="preserve">  </w:t>
      </w:r>
      <w:r>
        <w:rPr>
          <w:rFonts w:hint="eastAsia" w:hAnsi="宋体" w:cs="宋体"/>
          <w:color w:val="000000" w:themeColor="text1"/>
          <w:sz w:val="21"/>
          <w:szCs w:val="21"/>
          <w14:textFill>
            <w14:solidFill>
              <w14:schemeClr w14:val="tx1"/>
            </w14:solidFill>
          </w14:textFill>
        </w:rPr>
        <w:t>份，甲方执叁份，乙方执</w:t>
      </w:r>
      <w:r>
        <w:rPr>
          <w:rFonts w:hint="eastAsia" w:hAnsi="宋体" w:cs="宋体"/>
          <w:color w:val="000000" w:themeColor="text1"/>
          <w:sz w:val="21"/>
          <w:szCs w:val="21"/>
          <w:u w:val="single"/>
          <w14:textFill>
            <w14:solidFill>
              <w14:schemeClr w14:val="tx1"/>
            </w14:solidFill>
          </w14:textFill>
        </w:rPr>
        <w:t xml:space="preserve">  </w:t>
      </w:r>
      <w:r>
        <w:rPr>
          <w:rFonts w:hint="eastAsia" w:hAnsi="宋体" w:cs="宋体"/>
          <w:color w:val="000000" w:themeColor="text1"/>
          <w:sz w:val="21"/>
          <w:szCs w:val="21"/>
          <w14:textFill>
            <w14:solidFill>
              <w14:schemeClr w14:val="tx1"/>
            </w14:solidFill>
          </w14:textFill>
        </w:rPr>
        <w:t>份，具有同等法律效力。</w:t>
      </w:r>
    </w:p>
    <w:p w14:paraId="5D71793A">
      <w:pPr>
        <w:pStyle w:val="18"/>
        <w:adjustRightInd w:val="0"/>
        <w:snapToGrid w:val="0"/>
        <w:spacing w:line="360" w:lineRule="auto"/>
        <w:ind w:firstLine="420" w:firstLineChars="200"/>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3.本合同应按照中华人民共和国的现行法律进行解释。</w:t>
      </w:r>
    </w:p>
    <w:tbl>
      <w:tblPr>
        <w:tblStyle w:val="49"/>
        <w:tblW w:w="9286" w:type="dxa"/>
        <w:tblInd w:w="0" w:type="dxa"/>
        <w:tblLayout w:type="fixed"/>
        <w:tblCellMar>
          <w:top w:w="0" w:type="dxa"/>
          <w:left w:w="108" w:type="dxa"/>
          <w:bottom w:w="0" w:type="dxa"/>
          <w:right w:w="108" w:type="dxa"/>
        </w:tblCellMar>
      </w:tblPr>
      <w:tblGrid>
        <w:gridCol w:w="4643"/>
        <w:gridCol w:w="4643"/>
      </w:tblGrid>
      <w:tr w14:paraId="50A0F2F0">
        <w:tblPrEx>
          <w:tblCellMar>
            <w:top w:w="0" w:type="dxa"/>
            <w:left w:w="108" w:type="dxa"/>
            <w:bottom w:w="0" w:type="dxa"/>
            <w:right w:w="108" w:type="dxa"/>
          </w:tblCellMar>
        </w:tblPrEx>
        <w:trPr>
          <w:trHeight w:val="257" w:hRule="atLeast"/>
        </w:trPr>
        <w:tc>
          <w:tcPr>
            <w:tcW w:w="4643" w:type="dxa"/>
            <w:tcBorders>
              <w:top w:val="nil"/>
              <w:left w:val="nil"/>
              <w:bottom w:val="nil"/>
              <w:right w:val="nil"/>
            </w:tcBorders>
            <w:vAlign w:val="center"/>
          </w:tcPr>
          <w:p w14:paraId="654497CF">
            <w:pPr>
              <w:shd w:val="clear" w:color="auto" w:fill="FFFFFF"/>
              <w:adjustRightInd w:val="0"/>
              <w:snapToGrid w:val="0"/>
              <w:spacing w:line="360" w:lineRule="auto"/>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甲方：（盖章）</w:t>
            </w:r>
          </w:p>
        </w:tc>
        <w:tc>
          <w:tcPr>
            <w:tcW w:w="4643" w:type="dxa"/>
            <w:tcBorders>
              <w:top w:val="nil"/>
              <w:left w:val="nil"/>
              <w:bottom w:val="nil"/>
              <w:right w:val="nil"/>
            </w:tcBorders>
            <w:vAlign w:val="center"/>
          </w:tcPr>
          <w:p w14:paraId="1380D611">
            <w:pPr>
              <w:shd w:val="clear" w:color="auto" w:fill="FFFFFF"/>
              <w:adjustRightInd w:val="0"/>
              <w:snapToGrid w:val="0"/>
              <w:spacing w:line="360" w:lineRule="auto"/>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乙方：（盖章）</w:t>
            </w:r>
          </w:p>
        </w:tc>
      </w:tr>
      <w:tr w14:paraId="3C80DADE">
        <w:tblPrEx>
          <w:tblCellMar>
            <w:top w:w="0" w:type="dxa"/>
            <w:left w:w="108" w:type="dxa"/>
            <w:bottom w:w="0" w:type="dxa"/>
            <w:right w:w="108" w:type="dxa"/>
          </w:tblCellMar>
        </w:tblPrEx>
        <w:trPr>
          <w:trHeight w:val="362" w:hRule="atLeast"/>
        </w:trPr>
        <w:tc>
          <w:tcPr>
            <w:tcW w:w="4643" w:type="dxa"/>
            <w:tcBorders>
              <w:top w:val="nil"/>
              <w:left w:val="nil"/>
              <w:bottom w:val="nil"/>
              <w:right w:val="nil"/>
            </w:tcBorders>
            <w:vAlign w:val="center"/>
          </w:tcPr>
          <w:p w14:paraId="4994B3D5">
            <w:pPr>
              <w:shd w:val="clear" w:color="auto" w:fill="FFFFFF"/>
              <w:adjustRightInd w:val="0"/>
              <w:snapToGrid w:val="0"/>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法定或委托代表人：</w:t>
            </w:r>
          </w:p>
        </w:tc>
        <w:tc>
          <w:tcPr>
            <w:tcW w:w="4643" w:type="dxa"/>
            <w:tcBorders>
              <w:top w:val="nil"/>
              <w:left w:val="nil"/>
              <w:bottom w:val="nil"/>
              <w:right w:val="nil"/>
            </w:tcBorders>
            <w:vAlign w:val="center"/>
          </w:tcPr>
          <w:p w14:paraId="68C3D9A1">
            <w:pPr>
              <w:shd w:val="clear" w:color="auto" w:fill="FFFFFF"/>
              <w:adjustRightInd w:val="0"/>
              <w:snapToGrid w:val="0"/>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法定或委托代表人</w:t>
            </w:r>
            <w:r>
              <w:rPr>
                <w:rFonts w:hint="eastAsia" w:ascii="宋体" w:hAnsi="宋体" w:cs="宋体"/>
                <w:color w:val="000000" w:themeColor="text1"/>
                <w:szCs w:val="21"/>
                <w14:textFill>
                  <w14:solidFill>
                    <w14:schemeClr w14:val="tx1"/>
                  </w14:solidFill>
                </w14:textFill>
              </w:rPr>
              <w:t>：</w:t>
            </w:r>
          </w:p>
        </w:tc>
      </w:tr>
      <w:tr w14:paraId="74CF2777">
        <w:tblPrEx>
          <w:tblCellMar>
            <w:top w:w="0" w:type="dxa"/>
            <w:left w:w="108" w:type="dxa"/>
            <w:bottom w:w="0" w:type="dxa"/>
            <w:right w:w="108" w:type="dxa"/>
          </w:tblCellMar>
        </w:tblPrEx>
        <w:trPr>
          <w:trHeight w:val="251" w:hRule="atLeast"/>
        </w:trPr>
        <w:tc>
          <w:tcPr>
            <w:tcW w:w="4643" w:type="dxa"/>
            <w:tcBorders>
              <w:top w:val="nil"/>
              <w:left w:val="nil"/>
              <w:bottom w:val="nil"/>
              <w:right w:val="nil"/>
            </w:tcBorders>
            <w:vAlign w:val="center"/>
          </w:tcPr>
          <w:p w14:paraId="36594746">
            <w:pPr>
              <w:shd w:val="clear" w:color="auto" w:fill="FFFFFF"/>
              <w:adjustRightInd w:val="0"/>
              <w:snapToGrid w:val="0"/>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电</w:t>
            </w: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话：</w:t>
            </w:r>
          </w:p>
        </w:tc>
        <w:tc>
          <w:tcPr>
            <w:tcW w:w="4643" w:type="dxa"/>
            <w:tcBorders>
              <w:top w:val="nil"/>
              <w:left w:val="nil"/>
              <w:bottom w:val="nil"/>
              <w:right w:val="nil"/>
            </w:tcBorders>
            <w:vAlign w:val="center"/>
          </w:tcPr>
          <w:p w14:paraId="1A100CFE">
            <w:pPr>
              <w:shd w:val="clear" w:color="auto" w:fill="FFFFFF"/>
              <w:adjustRightInd w:val="0"/>
              <w:snapToGrid w:val="0"/>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电</w:t>
            </w: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话：</w:t>
            </w:r>
          </w:p>
        </w:tc>
      </w:tr>
      <w:tr w14:paraId="6DFDFF1A">
        <w:tblPrEx>
          <w:tblCellMar>
            <w:top w:w="0" w:type="dxa"/>
            <w:left w:w="108" w:type="dxa"/>
            <w:bottom w:w="0" w:type="dxa"/>
            <w:right w:w="108" w:type="dxa"/>
          </w:tblCellMar>
        </w:tblPrEx>
        <w:trPr>
          <w:trHeight w:val="283" w:hRule="atLeast"/>
        </w:trPr>
        <w:tc>
          <w:tcPr>
            <w:tcW w:w="4643" w:type="dxa"/>
            <w:tcBorders>
              <w:top w:val="nil"/>
              <w:left w:val="nil"/>
              <w:bottom w:val="nil"/>
              <w:right w:val="nil"/>
            </w:tcBorders>
            <w:vAlign w:val="center"/>
          </w:tcPr>
          <w:p w14:paraId="4A29ED1A">
            <w:pPr>
              <w:shd w:val="clear" w:color="auto" w:fill="FFFFFF"/>
              <w:adjustRightInd w:val="0"/>
              <w:snapToGrid w:val="0"/>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开户银行：</w:t>
            </w:r>
          </w:p>
        </w:tc>
        <w:tc>
          <w:tcPr>
            <w:tcW w:w="4643" w:type="dxa"/>
            <w:tcBorders>
              <w:top w:val="nil"/>
              <w:left w:val="nil"/>
              <w:bottom w:val="nil"/>
              <w:right w:val="nil"/>
            </w:tcBorders>
            <w:vAlign w:val="center"/>
          </w:tcPr>
          <w:p w14:paraId="4579D570">
            <w:pPr>
              <w:shd w:val="clear" w:color="auto" w:fill="FFFFFF"/>
              <w:adjustRightInd w:val="0"/>
              <w:snapToGrid w:val="0"/>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开户银行：</w:t>
            </w:r>
          </w:p>
        </w:tc>
      </w:tr>
      <w:tr w14:paraId="68962924">
        <w:tblPrEx>
          <w:tblCellMar>
            <w:top w:w="0" w:type="dxa"/>
            <w:left w:w="108" w:type="dxa"/>
            <w:bottom w:w="0" w:type="dxa"/>
            <w:right w:w="108" w:type="dxa"/>
          </w:tblCellMar>
        </w:tblPrEx>
        <w:trPr>
          <w:trHeight w:val="315" w:hRule="atLeast"/>
        </w:trPr>
        <w:tc>
          <w:tcPr>
            <w:tcW w:w="4643" w:type="dxa"/>
            <w:tcBorders>
              <w:top w:val="nil"/>
              <w:left w:val="nil"/>
              <w:bottom w:val="nil"/>
              <w:right w:val="nil"/>
            </w:tcBorders>
            <w:vAlign w:val="center"/>
          </w:tcPr>
          <w:p w14:paraId="44308B58">
            <w:pPr>
              <w:shd w:val="clear" w:color="auto" w:fill="FFFFFF"/>
              <w:adjustRightInd w:val="0"/>
              <w:snapToGrid w:val="0"/>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帐</w:t>
            </w: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号：</w:t>
            </w:r>
          </w:p>
        </w:tc>
        <w:tc>
          <w:tcPr>
            <w:tcW w:w="4643" w:type="dxa"/>
            <w:tcBorders>
              <w:top w:val="nil"/>
              <w:left w:val="nil"/>
              <w:bottom w:val="nil"/>
              <w:right w:val="nil"/>
            </w:tcBorders>
            <w:vAlign w:val="center"/>
          </w:tcPr>
          <w:p w14:paraId="155E9566">
            <w:pPr>
              <w:shd w:val="clear" w:color="auto" w:fill="FFFFFF"/>
              <w:adjustRightInd w:val="0"/>
              <w:snapToGrid w:val="0"/>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帐</w:t>
            </w: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号：</w:t>
            </w:r>
          </w:p>
        </w:tc>
      </w:tr>
      <w:tr w14:paraId="5E7A9EAF">
        <w:tblPrEx>
          <w:tblCellMar>
            <w:top w:w="0" w:type="dxa"/>
            <w:left w:w="108" w:type="dxa"/>
            <w:bottom w:w="0" w:type="dxa"/>
            <w:right w:w="108" w:type="dxa"/>
          </w:tblCellMar>
        </w:tblPrEx>
        <w:trPr>
          <w:trHeight w:val="572" w:hRule="atLeast"/>
        </w:trPr>
        <w:tc>
          <w:tcPr>
            <w:tcW w:w="4643" w:type="dxa"/>
            <w:tcBorders>
              <w:top w:val="nil"/>
              <w:left w:val="nil"/>
              <w:bottom w:val="nil"/>
              <w:right w:val="nil"/>
            </w:tcBorders>
            <w:vAlign w:val="center"/>
          </w:tcPr>
          <w:p w14:paraId="63B54808">
            <w:pPr>
              <w:shd w:val="clear" w:color="auto" w:fill="FFFFFF"/>
              <w:adjustRightInd w:val="0"/>
              <w:snapToGrid w:val="0"/>
              <w:spacing w:line="360" w:lineRule="auto"/>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日  期：     年    月    日</w:t>
            </w:r>
          </w:p>
        </w:tc>
        <w:tc>
          <w:tcPr>
            <w:tcW w:w="4643" w:type="dxa"/>
            <w:tcBorders>
              <w:top w:val="nil"/>
              <w:left w:val="nil"/>
              <w:bottom w:val="nil"/>
              <w:right w:val="nil"/>
            </w:tcBorders>
            <w:vAlign w:val="center"/>
          </w:tcPr>
          <w:p w14:paraId="3C9941B5">
            <w:pPr>
              <w:shd w:val="clear" w:color="auto" w:fill="FFFFFF"/>
              <w:adjustRightInd w:val="0"/>
              <w:snapToGrid w:val="0"/>
              <w:spacing w:line="360" w:lineRule="auto"/>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日  期：     年    月    日</w:t>
            </w:r>
          </w:p>
        </w:tc>
      </w:tr>
    </w:tbl>
    <w:p w14:paraId="212688ED">
      <w:pPr>
        <w:spacing w:line="360" w:lineRule="auto"/>
        <w:ind w:firstLine="420" w:firstLineChars="200"/>
        <w:rPr>
          <w:rFonts w:ascii="宋体" w:hAnsi="宋体"/>
          <w:color w:val="000000"/>
          <w:szCs w:val="21"/>
        </w:rPr>
      </w:pPr>
    </w:p>
    <w:p w14:paraId="5E5FAE68">
      <w:pPr>
        <w:rPr>
          <w:rFonts w:ascii="宋体" w:hAnsi="宋体" w:cs="宋体"/>
          <w:b/>
          <w:sz w:val="24"/>
          <w:szCs w:val="24"/>
        </w:rPr>
      </w:pPr>
      <w:r>
        <w:rPr>
          <w:rFonts w:hint="eastAsia" w:ascii="宋体" w:hAnsi="宋体" w:cs="宋体"/>
          <w:b/>
          <w:sz w:val="24"/>
          <w:szCs w:val="24"/>
        </w:rPr>
        <w:br w:type="page" w:clear="all"/>
      </w:r>
      <w:bookmarkEnd w:id="239"/>
    </w:p>
    <w:p w14:paraId="17B2C278">
      <w:pPr>
        <w:spacing w:line="360" w:lineRule="auto"/>
        <w:jc w:val="center"/>
        <w:outlineLvl w:val="0"/>
        <w:rPr>
          <w:rFonts w:ascii="Arial" w:hAnsi="Arial" w:cs="Arial"/>
          <w:b/>
          <w:sz w:val="24"/>
          <w:szCs w:val="24"/>
        </w:rPr>
      </w:pPr>
      <w:bookmarkStart w:id="270" w:name="_Toc23727"/>
      <w:bookmarkStart w:id="271" w:name="_Toc31223"/>
      <w:bookmarkStart w:id="272" w:name="_Toc31586"/>
      <w:r>
        <w:rPr>
          <w:rFonts w:ascii="Arial" w:hAnsi="Arial" w:cs="Arial"/>
          <w:b/>
          <w:sz w:val="24"/>
          <w:szCs w:val="24"/>
        </w:rPr>
        <w:t>第六章 响应文件格式及附件</w:t>
      </w:r>
      <w:bookmarkEnd w:id="270"/>
      <w:bookmarkEnd w:id="271"/>
      <w:bookmarkEnd w:id="272"/>
    </w:p>
    <w:p w14:paraId="3FDB44A5">
      <w:pPr>
        <w:spacing w:line="360" w:lineRule="auto"/>
        <w:rPr>
          <w:rFonts w:ascii="Arial" w:hAnsi="Arial" w:cs="Arial"/>
          <w:b/>
          <w:bCs/>
          <w:sz w:val="24"/>
        </w:rPr>
      </w:pPr>
      <w:r>
        <w:rPr>
          <w:rFonts w:ascii="Arial" w:hAnsi="Arial" w:cs="Arial"/>
          <w:b/>
          <w:bCs/>
          <w:sz w:val="24"/>
        </w:rPr>
        <w:t>注：</w:t>
      </w:r>
    </w:p>
    <w:p w14:paraId="59E5399E">
      <w:pPr>
        <w:spacing w:line="360" w:lineRule="auto"/>
        <w:jc w:val="left"/>
        <w:rPr>
          <w:rFonts w:ascii="Arial" w:hAnsi="Arial" w:cs="Arial"/>
          <w:szCs w:val="21"/>
        </w:rPr>
      </w:pPr>
      <w:r>
        <w:rPr>
          <w:rFonts w:ascii="Arial" w:hAnsi="Arial" w:cs="Arial"/>
          <w:szCs w:val="21"/>
        </w:rPr>
        <w:t xml:space="preserve">1.本部分内容仅提供格式参考。 </w:t>
      </w:r>
    </w:p>
    <w:p w14:paraId="49E04DC5">
      <w:pPr>
        <w:spacing w:line="360" w:lineRule="auto"/>
        <w:jc w:val="left"/>
        <w:rPr>
          <w:rFonts w:ascii="Arial" w:hAnsi="Arial" w:cs="Arial"/>
          <w:szCs w:val="21"/>
        </w:rPr>
      </w:pPr>
      <w:r>
        <w:rPr>
          <w:rFonts w:ascii="Arial" w:hAnsi="Arial" w:cs="Arial"/>
          <w:szCs w:val="21"/>
        </w:rPr>
        <w:t xml:space="preserve">2.供应商应按照以下文件的要求格式、内容制作响应文件，并编制目录及页码，混乱的编排导致响应文件被误读或查找不到，后果由供应商承担。 </w:t>
      </w:r>
    </w:p>
    <w:p w14:paraId="3D146392">
      <w:pPr>
        <w:spacing w:line="360" w:lineRule="auto"/>
        <w:jc w:val="left"/>
        <w:rPr>
          <w:rFonts w:ascii="Arial" w:hAnsi="Arial" w:cs="Arial"/>
          <w:szCs w:val="21"/>
        </w:rPr>
      </w:pPr>
      <w:r>
        <w:rPr>
          <w:rFonts w:ascii="Arial" w:hAnsi="Arial" w:cs="Arial"/>
          <w:szCs w:val="21"/>
        </w:rPr>
        <w:t xml:space="preserve">3.所附表格中要求回答的全部问题和信息都必须正面回答。 </w:t>
      </w:r>
    </w:p>
    <w:p w14:paraId="523CAC2F">
      <w:pPr>
        <w:spacing w:line="360" w:lineRule="auto"/>
        <w:jc w:val="left"/>
        <w:rPr>
          <w:rFonts w:ascii="Arial" w:hAnsi="Arial" w:cs="Arial"/>
          <w:szCs w:val="21"/>
        </w:rPr>
      </w:pPr>
      <w:r>
        <w:rPr>
          <w:rFonts w:ascii="Arial" w:hAnsi="Arial" w:cs="Arial"/>
          <w:szCs w:val="21"/>
        </w:rPr>
        <w:t xml:space="preserve">4.供应商提交的材料不予退还。 </w:t>
      </w:r>
    </w:p>
    <w:p w14:paraId="7CA6603C">
      <w:pPr>
        <w:spacing w:line="360" w:lineRule="auto"/>
        <w:jc w:val="left"/>
        <w:rPr>
          <w:rFonts w:ascii="Arial" w:hAnsi="Arial" w:cs="Arial"/>
          <w:szCs w:val="21"/>
        </w:rPr>
      </w:pPr>
      <w:r>
        <w:rPr>
          <w:rFonts w:ascii="Arial" w:hAnsi="Arial" w:cs="Arial"/>
          <w:szCs w:val="21"/>
        </w:rPr>
        <w:t xml:space="preserve">5.全部文件应按供应商须知以及前附表中规定的语言和份数提交。 </w:t>
      </w:r>
    </w:p>
    <w:p w14:paraId="15C6E3D9">
      <w:pPr>
        <w:spacing w:line="360" w:lineRule="auto"/>
        <w:jc w:val="left"/>
        <w:rPr>
          <w:rFonts w:ascii="Arial" w:hAnsi="Arial" w:cs="Arial"/>
          <w:szCs w:val="21"/>
        </w:rPr>
      </w:pPr>
      <w:r>
        <w:rPr>
          <w:rFonts w:ascii="Arial" w:hAnsi="Arial" w:cs="Arial"/>
          <w:szCs w:val="21"/>
        </w:rPr>
        <w:t xml:space="preserve">6.响应文件应按照投标文件格式逐项填写，无相应内容可填的项应填写“无”“未测试”“没有相应指标”等明确的回答文字。 </w:t>
      </w:r>
    </w:p>
    <w:p w14:paraId="0A1FADAA">
      <w:pPr>
        <w:spacing w:line="360" w:lineRule="auto"/>
        <w:jc w:val="left"/>
        <w:rPr>
          <w:rFonts w:ascii="宋体" w:hAnsi="宋体" w:cs="宋体"/>
          <w:szCs w:val="21"/>
        </w:rPr>
      </w:pPr>
      <w:r>
        <w:rPr>
          <w:rFonts w:hint="eastAsia" w:ascii="宋体" w:hAnsi="宋体" w:cs="宋体"/>
          <w:szCs w:val="21"/>
        </w:rPr>
        <w:t xml:space="preserve"> </w:t>
      </w:r>
    </w:p>
    <w:p w14:paraId="7C55FE36">
      <w:pPr>
        <w:widowControl/>
        <w:jc w:val="left"/>
        <w:rPr>
          <w:rFonts w:ascii="宋体" w:hAnsi="宋体" w:cs="宋体"/>
          <w:szCs w:val="21"/>
        </w:rPr>
      </w:pPr>
      <w:r>
        <w:rPr>
          <w:rFonts w:hint="eastAsia" w:ascii="宋体" w:hAnsi="宋体" w:cs="宋体"/>
          <w:szCs w:val="21"/>
        </w:rPr>
        <w:t xml:space="preserve"> </w:t>
      </w:r>
    </w:p>
    <w:p w14:paraId="0A066B4F">
      <w:pPr>
        <w:rPr>
          <w:rFonts w:ascii="宋体" w:hAnsi="宋体" w:cs="宋体"/>
          <w:szCs w:val="21"/>
        </w:rPr>
      </w:pPr>
      <w:r>
        <w:rPr>
          <w:rFonts w:hint="eastAsia" w:ascii="宋体" w:hAnsi="宋体" w:cs="宋体"/>
          <w:szCs w:val="21"/>
        </w:rPr>
        <w:br w:type="page" w:clear="all"/>
      </w:r>
    </w:p>
    <w:p w14:paraId="334F7BC2">
      <w:pPr>
        <w:widowControl/>
        <w:jc w:val="left"/>
        <w:rPr>
          <w:rFonts w:ascii="Arial" w:hAnsi="Arial" w:cs="Arial"/>
        </w:rPr>
      </w:pPr>
      <w:r>
        <w:rPr>
          <w:rFonts w:ascii="Arial" w:hAnsi="Arial" w:cs="Arial"/>
          <w:b/>
          <w:bCs/>
          <w:sz w:val="28"/>
          <w:szCs w:val="28"/>
          <w:lang w:bidi="ar"/>
        </w:rPr>
        <w:t xml:space="preserve">响应文件封面格式 </w:t>
      </w:r>
    </w:p>
    <w:p w14:paraId="0B4B94F3">
      <w:pPr>
        <w:spacing w:line="500" w:lineRule="exact"/>
        <w:jc w:val="right"/>
        <w:rPr>
          <w:rFonts w:ascii="Arial" w:hAnsi="Arial" w:cs="Arial"/>
          <w:b/>
          <w:spacing w:val="80"/>
          <w:sz w:val="72"/>
        </w:rPr>
      </w:pPr>
      <w:r>
        <w:rPr>
          <w:rFonts w:ascii="Wingdings 2" w:hAnsi="Wingdings 2" w:eastAsia="Wingdings 2" w:cs="Wingdings 2"/>
          <w:b/>
          <w:iCs/>
          <w:sz w:val="36"/>
          <w:szCs w:val="36"/>
        </w:rPr>
        <w:t></w:t>
      </w:r>
      <w:r>
        <w:rPr>
          <w:rFonts w:ascii="Arial" w:hAnsi="Arial" w:cs="Arial"/>
          <w:b/>
          <w:iCs/>
          <w:sz w:val="44"/>
          <w:szCs w:val="44"/>
        </w:rPr>
        <w:t>正本/</w:t>
      </w:r>
      <w:r>
        <w:rPr>
          <w:rFonts w:ascii="Wingdings 2" w:hAnsi="Wingdings 2" w:eastAsia="Wingdings 2" w:cs="Wingdings 2"/>
          <w:b/>
          <w:iCs/>
          <w:sz w:val="36"/>
          <w:szCs w:val="36"/>
        </w:rPr>
        <w:t></w:t>
      </w:r>
      <w:r>
        <w:rPr>
          <w:rFonts w:ascii="Arial" w:hAnsi="Arial" w:cs="Arial"/>
          <w:b/>
          <w:iCs/>
          <w:sz w:val="44"/>
          <w:szCs w:val="44"/>
        </w:rPr>
        <w:t>副本</w:t>
      </w:r>
    </w:p>
    <w:p w14:paraId="6D9DEF16">
      <w:pPr>
        <w:spacing w:line="500" w:lineRule="exact"/>
        <w:jc w:val="center"/>
        <w:rPr>
          <w:rFonts w:ascii="宋体" w:hAnsi="宋体" w:cs="宋体"/>
          <w:b/>
          <w:sz w:val="44"/>
          <w:szCs w:val="44"/>
        </w:rPr>
      </w:pPr>
    </w:p>
    <w:p w14:paraId="5EEA23C3">
      <w:pPr>
        <w:spacing w:before="100" w:beforeAutospacing="1" w:after="100" w:afterAutospacing="1" w:line="360" w:lineRule="auto"/>
        <w:ind w:right="32"/>
        <w:jc w:val="center"/>
        <w:rPr>
          <w:rFonts w:ascii="宋体" w:hAnsi="宋体" w:cs="宋体"/>
          <w:b/>
          <w:sz w:val="48"/>
          <w:szCs w:val="48"/>
        </w:rPr>
      </w:pPr>
    </w:p>
    <w:p w14:paraId="576AEAF2">
      <w:pPr>
        <w:spacing w:line="360" w:lineRule="auto"/>
        <w:jc w:val="center"/>
        <w:rPr>
          <w:rFonts w:ascii="隶书" w:hAnsi="隶书" w:eastAsia="隶书" w:cs="隶书"/>
          <w:sz w:val="48"/>
          <w:szCs w:val="48"/>
        </w:rPr>
      </w:pPr>
      <w:bookmarkStart w:id="273" w:name="_Toc12946"/>
      <w:bookmarkStart w:id="274" w:name="_Toc32344"/>
      <w:bookmarkStart w:id="275" w:name="_Toc16835"/>
      <w:bookmarkStart w:id="276" w:name="_Toc29975063"/>
      <w:bookmarkStart w:id="277" w:name="_Toc6870"/>
      <w:bookmarkStart w:id="278" w:name="_Toc24614"/>
      <w:bookmarkStart w:id="279" w:name="_Toc31843"/>
      <w:bookmarkStart w:id="280" w:name="_Toc31165"/>
      <w:r>
        <w:rPr>
          <w:rFonts w:hint="eastAsia" w:ascii="隶书" w:hAnsi="隶书" w:eastAsia="隶书" w:cs="隶书"/>
          <w:sz w:val="96"/>
          <w:szCs w:val="96"/>
        </w:rPr>
        <w:t>江苏省美术馆</w:t>
      </w:r>
    </w:p>
    <w:p w14:paraId="3BC43076">
      <w:pPr>
        <w:spacing w:line="360" w:lineRule="auto"/>
        <w:jc w:val="center"/>
        <w:rPr>
          <w:rFonts w:hint="eastAsia" w:eastAsia="隶书"/>
          <w:bCs/>
          <w:sz w:val="56"/>
          <w:szCs w:val="16"/>
          <w:lang w:eastAsia="zh-CN"/>
        </w:rPr>
      </w:pPr>
      <w:r>
        <w:rPr>
          <w:rFonts w:hint="eastAsia" w:ascii="隶书" w:hAnsi="隶书" w:eastAsia="隶书" w:cs="隶书"/>
          <w:sz w:val="52"/>
          <w:szCs w:val="52"/>
          <w:lang w:eastAsia="zh-CN"/>
        </w:rPr>
        <w:t>“全景江苏-百年视觉中的旅行与文化”展览设计制作</w:t>
      </w:r>
    </w:p>
    <w:p w14:paraId="708403F1">
      <w:pPr>
        <w:spacing w:line="360" w:lineRule="auto"/>
        <w:rPr>
          <w:rFonts w:ascii="华文中宋" w:hAnsi="华文中宋" w:eastAsia="华文中宋" w:cs="华文中宋"/>
          <w:b/>
          <w:sz w:val="32"/>
          <w:szCs w:val="32"/>
        </w:rPr>
      </w:pPr>
    </w:p>
    <w:p w14:paraId="13983608">
      <w:pPr>
        <w:spacing w:line="360" w:lineRule="auto"/>
        <w:jc w:val="center"/>
        <w:rPr>
          <w:rFonts w:ascii="华文中宋" w:hAnsi="华文中宋" w:eastAsia="华文中宋" w:cs="华文中宋"/>
          <w:b/>
          <w:sz w:val="32"/>
          <w:szCs w:val="32"/>
        </w:rPr>
      </w:pPr>
    </w:p>
    <w:p w14:paraId="515D7F96">
      <w:pPr>
        <w:spacing w:line="360" w:lineRule="auto"/>
        <w:jc w:val="center"/>
        <w:rPr>
          <w:rFonts w:ascii="华文中宋" w:hAnsi="华文中宋" w:eastAsia="华文中宋" w:cs="华文中宋"/>
          <w:sz w:val="72"/>
          <w:szCs w:val="72"/>
        </w:rPr>
      </w:pPr>
      <w:r>
        <w:rPr>
          <w:rFonts w:hint="eastAsia" w:ascii="隶书" w:hAnsi="隶书" w:eastAsia="隶书" w:cs="隶书"/>
          <w:sz w:val="96"/>
          <w:szCs w:val="96"/>
        </w:rPr>
        <w:t>响应文件</w:t>
      </w:r>
    </w:p>
    <w:p w14:paraId="0AF47D8E">
      <w:pPr>
        <w:spacing w:line="440" w:lineRule="exact"/>
        <w:jc w:val="center"/>
        <w:rPr>
          <w:rFonts w:ascii="华文中宋" w:hAnsi="华文中宋" w:eastAsia="华文中宋" w:cs="华文中宋"/>
          <w:b/>
          <w:sz w:val="52"/>
        </w:rPr>
      </w:pPr>
    </w:p>
    <w:p w14:paraId="60815ED1">
      <w:pPr>
        <w:spacing w:line="360" w:lineRule="auto"/>
        <w:rPr>
          <w:rFonts w:ascii="华文中宋" w:hAnsi="华文中宋" w:eastAsia="华文中宋" w:cs="华文中宋"/>
          <w:sz w:val="28"/>
        </w:rPr>
      </w:pPr>
    </w:p>
    <w:p w14:paraId="5E1F5489">
      <w:pPr>
        <w:spacing w:line="360" w:lineRule="auto"/>
        <w:ind w:firstLine="1280"/>
        <w:rPr>
          <w:rFonts w:ascii="华文中宋" w:hAnsi="华文中宋" w:eastAsia="华文中宋" w:cs="华文中宋"/>
          <w:bCs/>
          <w:sz w:val="32"/>
          <w:szCs w:val="32"/>
        </w:rPr>
      </w:pPr>
    </w:p>
    <w:p w14:paraId="72FAF916">
      <w:pPr>
        <w:spacing w:line="360" w:lineRule="auto"/>
        <w:ind w:firstLine="1280"/>
        <w:rPr>
          <w:rFonts w:eastAsia="华文中宋"/>
        </w:rPr>
      </w:pPr>
      <w:r>
        <w:rPr>
          <w:rFonts w:hint="eastAsia" w:ascii="华文中宋" w:hAnsi="华文中宋" w:eastAsia="华文中宋" w:cs="华文中宋"/>
          <w:bCs/>
          <w:sz w:val="32"/>
          <w:szCs w:val="32"/>
        </w:rPr>
        <w:t>项目编号</w:t>
      </w:r>
      <w:r>
        <w:rPr>
          <w:rFonts w:hint="eastAsia" w:ascii="华文中宋" w:hAnsi="华文中宋" w:eastAsia="华文中宋" w:cs="华文中宋"/>
          <w:b/>
          <w:sz w:val="32"/>
          <w:szCs w:val="32"/>
        </w:rPr>
        <w:t>：</w:t>
      </w:r>
    </w:p>
    <w:p w14:paraId="2132C1B9">
      <w:pPr>
        <w:pStyle w:val="48"/>
        <w:spacing w:line="360" w:lineRule="auto"/>
        <w:ind w:firstLine="0"/>
        <w:rPr>
          <w:rFonts w:ascii="华文中宋" w:hAnsi="华文中宋" w:eastAsia="华文中宋" w:cs="华文中宋"/>
          <w:b/>
          <w:sz w:val="32"/>
          <w:szCs w:val="32"/>
        </w:rPr>
      </w:pPr>
      <w:r>
        <w:rPr>
          <w:rFonts w:hint="eastAsia" w:ascii="华文中宋" w:hAnsi="华文中宋" w:eastAsia="华文中宋" w:cs="华文中宋"/>
        </w:rPr>
        <w:t xml:space="preserve">         </w:t>
      </w:r>
      <w:r>
        <w:rPr>
          <w:rFonts w:hint="eastAsia" w:ascii="华文中宋" w:hAnsi="华文中宋" w:eastAsia="华文中宋" w:cs="华文中宋"/>
          <w:bCs/>
          <w:sz w:val="32"/>
          <w:szCs w:val="32"/>
        </w:rPr>
        <w:t>响应单位：</w:t>
      </w:r>
    </w:p>
    <w:p w14:paraId="333E8C15">
      <w:pPr>
        <w:spacing w:line="360" w:lineRule="auto"/>
        <w:rPr>
          <w:rFonts w:ascii="华文中宋" w:hAnsi="华文中宋" w:eastAsia="华文中宋" w:cs="华文中宋"/>
          <w:b/>
          <w:sz w:val="32"/>
          <w:szCs w:val="32"/>
        </w:rPr>
      </w:pPr>
    </w:p>
    <w:p w14:paraId="0190CC1D">
      <w:pPr>
        <w:spacing w:line="360" w:lineRule="auto"/>
        <w:jc w:val="center"/>
        <w:rPr>
          <w:b/>
          <w:sz w:val="36"/>
          <w:szCs w:val="36"/>
        </w:rPr>
      </w:pPr>
      <w:r>
        <w:rPr>
          <w:b/>
          <w:sz w:val="36"/>
          <w:szCs w:val="36"/>
        </w:rPr>
        <w:t>202</w:t>
      </w:r>
      <w:r>
        <w:rPr>
          <w:rFonts w:hint="eastAsia"/>
          <w:b/>
          <w:sz w:val="36"/>
          <w:szCs w:val="36"/>
        </w:rPr>
        <w:t>6年  月</w:t>
      </w:r>
    </w:p>
    <w:p w14:paraId="2AF316C7">
      <w:pPr>
        <w:pStyle w:val="4"/>
        <w:spacing w:before="0" w:after="0" w:line="360" w:lineRule="auto"/>
        <w:jc w:val="center"/>
        <w:rPr>
          <w:rFonts w:ascii="Times New Roman" w:hAnsi="Times New Roman" w:eastAsia="宋体"/>
          <w:szCs w:val="24"/>
        </w:rPr>
        <w:sectPr>
          <w:headerReference r:id="rId12" w:type="first"/>
          <w:headerReference r:id="rId11" w:type="default"/>
          <w:footerReference r:id="rId13" w:type="default"/>
          <w:pgSz w:w="11906" w:h="16838"/>
          <w:pgMar w:top="1134" w:right="1134" w:bottom="1134" w:left="1134" w:header="851" w:footer="992" w:gutter="0"/>
          <w:cols w:space="720" w:num="1"/>
          <w:titlePg/>
          <w:docGrid w:linePitch="360" w:charSpace="0"/>
        </w:sectPr>
      </w:pPr>
    </w:p>
    <w:p w14:paraId="4ABDAA82">
      <w:pPr>
        <w:pStyle w:val="4"/>
        <w:spacing w:before="0" w:after="0" w:line="360" w:lineRule="auto"/>
        <w:jc w:val="center"/>
        <w:rPr>
          <w:rFonts w:ascii="Times New Roman" w:hAnsi="Times New Roman" w:eastAsia="宋体"/>
          <w:szCs w:val="24"/>
        </w:rPr>
      </w:pPr>
      <w:bookmarkStart w:id="281" w:name="_Toc670"/>
      <w:r>
        <w:rPr>
          <w:rFonts w:ascii="Times New Roman" w:hAnsi="Times New Roman" w:eastAsia="宋体"/>
          <w:szCs w:val="24"/>
        </w:rPr>
        <w:t>资格审查索引表</w:t>
      </w:r>
      <w:bookmarkEnd w:id="273"/>
      <w:bookmarkEnd w:id="274"/>
      <w:bookmarkEnd w:id="275"/>
      <w:bookmarkEnd w:id="281"/>
    </w:p>
    <w:p w14:paraId="694316E0">
      <w:pPr>
        <w:spacing w:line="360" w:lineRule="auto"/>
        <w:jc w:val="center"/>
        <w:rPr>
          <w:b/>
          <w:bCs/>
          <w:sz w:val="24"/>
          <w:szCs w:val="24"/>
        </w:rPr>
      </w:pPr>
      <w:r>
        <w:rPr>
          <w:b/>
          <w:bCs/>
          <w:sz w:val="24"/>
          <w:szCs w:val="24"/>
        </w:rPr>
        <w:t>（具体详见采购文件第一章申请人的资格要求）</w:t>
      </w:r>
    </w:p>
    <w:tbl>
      <w:tblPr>
        <w:tblStyle w:val="49"/>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73"/>
        <w:gridCol w:w="5332"/>
        <w:gridCol w:w="1949"/>
      </w:tblGrid>
      <w:tr w14:paraId="42160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73" w:type="dxa"/>
            <w:vAlign w:val="center"/>
          </w:tcPr>
          <w:p w14:paraId="4DD18935">
            <w:pPr>
              <w:widowControl/>
              <w:spacing w:line="300" w:lineRule="auto"/>
              <w:jc w:val="center"/>
              <w:rPr>
                <w:rFonts w:ascii="宋体" w:hAnsi="宋体" w:cs="宋体"/>
                <w:b/>
                <w:sz w:val="24"/>
                <w:szCs w:val="24"/>
              </w:rPr>
            </w:pPr>
            <w:r>
              <w:rPr>
                <w:rFonts w:hint="eastAsia" w:ascii="宋体" w:hAnsi="宋体" w:cs="宋体"/>
                <w:b/>
                <w:sz w:val="24"/>
                <w:szCs w:val="24"/>
              </w:rPr>
              <w:t>资审项目</w:t>
            </w:r>
          </w:p>
        </w:tc>
        <w:tc>
          <w:tcPr>
            <w:tcW w:w="5332" w:type="dxa"/>
          </w:tcPr>
          <w:p w14:paraId="7A899D6D">
            <w:pPr>
              <w:jc w:val="center"/>
              <w:rPr>
                <w:rFonts w:ascii="宋体" w:hAnsi="宋体" w:cs="宋体"/>
                <w:b/>
                <w:sz w:val="24"/>
                <w:szCs w:val="24"/>
              </w:rPr>
            </w:pPr>
            <w:r>
              <w:rPr>
                <w:rFonts w:hint="eastAsia" w:ascii="宋体" w:hAnsi="宋体" w:cs="宋体"/>
                <w:b/>
                <w:sz w:val="24"/>
                <w:szCs w:val="24"/>
              </w:rPr>
              <w:t>资格要求</w:t>
            </w:r>
          </w:p>
        </w:tc>
        <w:tc>
          <w:tcPr>
            <w:tcW w:w="1949" w:type="dxa"/>
          </w:tcPr>
          <w:p w14:paraId="0C696360">
            <w:pPr>
              <w:jc w:val="center"/>
              <w:rPr>
                <w:rFonts w:ascii="宋体" w:hAnsi="宋体" w:cs="宋体"/>
                <w:b/>
                <w:sz w:val="24"/>
                <w:szCs w:val="24"/>
              </w:rPr>
            </w:pPr>
            <w:r>
              <w:rPr>
                <w:rFonts w:hint="eastAsia" w:ascii="宋体" w:hAnsi="宋体" w:cs="宋体"/>
                <w:b/>
                <w:sz w:val="24"/>
                <w:szCs w:val="24"/>
              </w:rPr>
              <w:t>所在页码</w:t>
            </w:r>
          </w:p>
        </w:tc>
      </w:tr>
      <w:tr w14:paraId="793B3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73" w:type="dxa"/>
            <w:vAlign w:val="center"/>
          </w:tcPr>
          <w:p w14:paraId="62479029">
            <w:pPr>
              <w:widowControl/>
              <w:spacing w:line="360" w:lineRule="auto"/>
              <w:rPr>
                <w:rFonts w:ascii="宋体" w:hAnsi="宋体" w:cs="宋体"/>
                <w:sz w:val="24"/>
                <w:szCs w:val="24"/>
              </w:rPr>
            </w:pPr>
          </w:p>
        </w:tc>
        <w:tc>
          <w:tcPr>
            <w:tcW w:w="5332" w:type="dxa"/>
            <w:vAlign w:val="center"/>
          </w:tcPr>
          <w:p w14:paraId="6E7259F8">
            <w:pPr>
              <w:spacing w:line="360" w:lineRule="auto"/>
              <w:rPr>
                <w:rFonts w:ascii="宋体" w:hAnsi="宋体" w:cs="宋体"/>
                <w:sz w:val="24"/>
                <w:szCs w:val="24"/>
              </w:rPr>
            </w:pPr>
          </w:p>
        </w:tc>
        <w:tc>
          <w:tcPr>
            <w:tcW w:w="1949" w:type="dxa"/>
          </w:tcPr>
          <w:p w14:paraId="33F28092">
            <w:pPr>
              <w:widowControl/>
              <w:tabs>
                <w:tab w:val="left" w:pos="403"/>
              </w:tabs>
              <w:spacing w:line="360" w:lineRule="auto"/>
              <w:ind w:left="613"/>
              <w:rPr>
                <w:rFonts w:ascii="宋体" w:hAnsi="宋体" w:cs="宋体"/>
                <w:sz w:val="24"/>
                <w:szCs w:val="24"/>
              </w:rPr>
            </w:pPr>
          </w:p>
        </w:tc>
      </w:tr>
      <w:tr w14:paraId="0759C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2573" w:type="dxa"/>
            <w:vAlign w:val="center"/>
          </w:tcPr>
          <w:p w14:paraId="6F96A3AF">
            <w:pPr>
              <w:spacing w:line="360" w:lineRule="auto"/>
              <w:rPr>
                <w:rFonts w:ascii="宋体" w:hAnsi="宋体" w:cs="宋体"/>
                <w:sz w:val="24"/>
                <w:szCs w:val="24"/>
              </w:rPr>
            </w:pPr>
          </w:p>
        </w:tc>
        <w:tc>
          <w:tcPr>
            <w:tcW w:w="5332" w:type="dxa"/>
            <w:vAlign w:val="center"/>
          </w:tcPr>
          <w:p w14:paraId="01126BB0">
            <w:pPr>
              <w:spacing w:line="360" w:lineRule="auto"/>
              <w:rPr>
                <w:rFonts w:ascii="宋体" w:hAnsi="宋体" w:cs="宋体"/>
                <w:sz w:val="24"/>
                <w:szCs w:val="24"/>
              </w:rPr>
            </w:pPr>
          </w:p>
        </w:tc>
        <w:tc>
          <w:tcPr>
            <w:tcW w:w="1949" w:type="dxa"/>
          </w:tcPr>
          <w:p w14:paraId="3AB9DCD6">
            <w:pPr>
              <w:spacing w:line="360" w:lineRule="auto"/>
              <w:rPr>
                <w:rFonts w:ascii="宋体" w:hAnsi="宋体" w:cs="宋体"/>
                <w:sz w:val="24"/>
                <w:szCs w:val="24"/>
              </w:rPr>
            </w:pPr>
          </w:p>
        </w:tc>
      </w:tr>
      <w:tr w14:paraId="7D23E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2573" w:type="dxa"/>
            <w:vAlign w:val="center"/>
          </w:tcPr>
          <w:p w14:paraId="19AB0F0E">
            <w:pPr>
              <w:spacing w:line="360" w:lineRule="auto"/>
              <w:rPr>
                <w:rFonts w:ascii="宋体" w:hAnsi="宋体" w:cs="宋体"/>
                <w:sz w:val="24"/>
                <w:szCs w:val="24"/>
              </w:rPr>
            </w:pPr>
          </w:p>
        </w:tc>
        <w:tc>
          <w:tcPr>
            <w:tcW w:w="5332" w:type="dxa"/>
            <w:vAlign w:val="center"/>
          </w:tcPr>
          <w:p w14:paraId="526D597C">
            <w:pPr>
              <w:spacing w:line="360" w:lineRule="auto"/>
              <w:rPr>
                <w:rFonts w:ascii="宋体" w:hAnsi="宋体" w:cs="宋体"/>
                <w:sz w:val="24"/>
                <w:szCs w:val="24"/>
              </w:rPr>
            </w:pPr>
          </w:p>
        </w:tc>
        <w:tc>
          <w:tcPr>
            <w:tcW w:w="1949" w:type="dxa"/>
          </w:tcPr>
          <w:p w14:paraId="480EDC3D">
            <w:pPr>
              <w:spacing w:line="360" w:lineRule="auto"/>
              <w:rPr>
                <w:rFonts w:ascii="宋体" w:hAnsi="宋体" w:cs="宋体"/>
                <w:sz w:val="24"/>
                <w:szCs w:val="24"/>
              </w:rPr>
            </w:pPr>
          </w:p>
        </w:tc>
      </w:tr>
      <w:tr w14:paraId="788BC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2573" w:type="dxa"/>
            <w:vAlign w:val="center"/>
          </w:tcPr>
          <w:p w14:paraId="64CC5F91">
            <w:pPr>
              <w:spacing w:line="360" w:lineRule="auto"/>
              <w:rPr>
                <w:rFonts w:ascii="宋体" w:hAnsi="宋体" w:cs="宋体"/>
                <w:sz w:val="24"/>
                <w:szCs w:val="24"/>
              </w:rPr>
            </w:pPr>
          </w:p>
        </w:tc>
        <w:tc>
          <w:tcPr>
            <w:tcW w:w="5332" w:type="dxa"/>
            <w:vAlign w:val="center"/>
          </w:tcPr>
          <w:p w14:paraId="0F7B3916">
            <w:pPr>
              <w:spacing w:line="360" w:lineRule="auto"/>
              <w:rPr>
                <w:rFonts w:ascii="宋体" w:hAnsi="宋体" w:cs="宋体"/>
                <w:sz w:val="24"/>
                <w:szCs w:val="24"/>
              </w:rPr>
            </w:pPr>
          </w:p>
        </w:tc>
        <w:tc>
          <w:tcPr>
            <w:tcW w:w="1949" w:type="dxa"/>
          </w:tcPr>
          <w:p w14:paraId="0549BAB1">
            <w:pPr>
              <w:spacing w:line="360" w:lineRule="auto"/>
              <w:rPr>
                <w:rFonts w:ascii="宋体" w:hAnsi="宋体" w:cs="宋体"/>
                <w:sz w:val="24"/>
                <w:szCs w:val="24"/>
              </w:rPr>
            </w:pPr>
          </w:p>
        </w:tc>
      </w:tr>
      <w:tr w14:paraId="7DD7D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2573" w:type="dxa"/>
            <w:vAlign w:val="center"/>
          </w:tcPr>
          <w:p w14:paraId="254C2C05">
            <w:pPr>
              <w:spacing w:line="360" w:lineRule="auto"/>
              <w:rPr>
                <w:rFonts w:ascii="宋体" w:hAnsi="宋体" w:cs="宋体"/>
                <w:sz w:val="24"/>
                <w:szCs w:val="24"/>
              </w:rPr>
            </w:pPr>
          </w:p>
        </w:tc>
        <w:tc>
          <w:tcPr>
            <w:tcW w:w="5332" w:type="dxa"/>
            <w:vAlign w:val="center"/>
          </w:tcPr>
          <w:p w14:paraId="764182C5">
            <w:pPr>
              <w:spacing w:line="360" w:lineRule="auto"/>
              <w:rPr>
                <w:rFonts w:ascii="宋体" w:hAnsi="宋体" w:cs="宋体"/>
                <w:sz w:val="24"/>
                <w:szCs w:val="24"/>
              </w:rPr>
            </w:pPr>
          </w:p>
        </w:tc>
        <w:tc>
          <w:tcPr>
            <w:tcW w:w="1949" w:type="dxa"/>
          </w:tcPr>
          <w:p w14:paraId="4A42C04B">
            <w:pPr>
              <w:spacing w:line="360" w:lineRule="auto"/>
              <w:rPr>
                <w:rFonts w:ascii="宋体" w:hAnsi="宋体" w:cs="宋体"/>
                <w:sz w:val="24"/>
                <w:szCs w:val="24"/>
              </w:rPr>
            </w:pPr>
          </w:p>
        </w:tc>
      </w:tr>
      <w:tr w14:paraId="637C8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2573" w:type="dxa"/>
            <w:vAlign w:val="center"/>
          </w:tcPr>
          <w:p w14:paraId="5CBF3486">
            <w:pPr>
              <w:spacing w:line="360" w:lineRule="auto"/>
              <w:rPr>
                <w:rFonts w:ascii="宋体" w:hAnsi="宋体" w:cs="宋体"/>
                <w:sz w:val="24"/>
                <w:szCs w:val="24"/>
              </w:rPr>
            </w:pPr>
          </w:p>
        </w:tc>
        <w:tc>
          <w:tcPr>
            <w:tcW w:w="5332" w:type="dxa"/>
            <w:vAlign w:val="center"/>
          </w:tcPr>
          <w:p w14:paraId="2E4EE7CD">
            <w:pPr>
              <w:spacing w:line="360" w:lineRule="auto"/>
              <w:rPr>
                <w:rFonts w:ascii="宋体" w:hAnsi="宋体" w:cs="宋体"/>
                <w:sz w:val="24"/>
                <w:szCs w:val="24"/>
              </w:rPr>
            </w:pPr>
          </w:p>
        </w:tc>
        <w:tc>
          <w:tcPr>
            <w:tcW w:w="1949" w:type="dxa"/>
          </w:tcPr>
          <w:p w14:paraId="241F6543">
            <w:pPr>
              <w:spacing w:line="360" w:lineRule="auto"/>
              <w:rPr>
                <w:rFonts w:ascii="宋体" w:hAnsi="宋体" w:cs="宋体"/>
                <w:sz w:val="24"/>
                <w:szCs w:val="24"/>
              </w:rPr>
            </w:pPr>
          </w:p>
        </w:tc>
      </w:tr>
      <w:tr w14:paraId="22AFD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2573" w:type="dxa"/>
            <w:vAlign w:val="center"/>
          </w:tcPr>
          <w:p w14:paraId="3A7739C9">
            <w:pPr>
              <w:spacing w:line="360" w:lineRule="auto"/>
              <w:rPr>
                <w:rFonts w:ascii="宋体" w:hAnsi="宋体" w:cs="宋体"/>
                <w:sz w:val="24"/>
                <w:szCs w:val="24"/>
              </w:rPr>
            </w:pPr>
          </w:p>
        </w:tc>
        <w:tc>
          <w:tcPr>
            <w:tcW w:w="5332" w:type="dxa"/>
            <w:vAlign w:val="center"/>
          </w:tcPr>
          <w:p w14:paraId="0AF09D14">
            <w:pPr>
              <w:spacing w:line="360" w:lineRule="auto"/>
              <w:rPr>
                <w:rFonts w:ascii="宋体" w:hAnsi="宋体" w:cs="宋体"/>
                <w:sz w:val="24"/>
                <w:szCs w:val="24"/>
              </w:rPr>
            </w:pPr>
          </w:p>
        </w:tc>
        <w:tc>
          <w:tcPr>
            <w:tcW w:w="1949" w:type="dxa"/>
          </w:tcPr>
          <w:p w14:paraId="4BC6BF90">
            <w:pPr>
              <w:spacing w:line="360" w:lineRule="auto"/>
              <w:rPr>
                <w:rFonts w:ascii="宋体" w:hAnsi="宋体" w:cs="宋体"/>
                <w:sz w:val="24"/>
                <w:szCs w:val="24"/>
              </w:rPr>
            </w:pPr>
          </w:p>
        </w:tc>
      </w:tr>
      <w:tr w14:paraId="3BBAA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2573" w:type="dxa"/>
            <w:vAlign w:val="center"/>
          </w:tcPr>
          <w:p w14:paraId="4E42537A">
            <w:pPr>
              <w:spacing w:line="360" w:lineRule="auto"/>
              <w:rPr>
                <w:rFonts w:ascii="宋体" w:hAnsi="宋体" w:cs="宋体"/>
                <w:sz w:val="24"/>
                <w:szCs w:val="24"/>
              </w:rPr>
            </w:pPr>
          </w:p>
        </w:tc>
        <w:tc>
          <w:tcPr>
            <w:tcW w:w="5332" w:type="dxa"/>
            <w:vAlign w:val="center"/>
          </w:tcPr>
          <w:p w14:paraId="618950A7">
            <w:pPr>
              <w:spacing w:line="360" w:lineRule="auto"/>
              <w:rPr>
                <w:rFonts w:ascii="宋体" w:hAnsi="宋体" w:cs="宋体"/>
                <w:sz w:val="24"/>
                <w:szCs w:val="24"/>
              </w:rPr>
            </w:pPr>
          </w:p>
        </w:tc>
        <w:tc>
          <w:tcPr>
            <w:tcW w:w="1949" w:type="dxa"/>
          </w:tcPr>
          <w:p w14:paraId="6BE7EEA2">
            <w:pPr>
              <w:spacing w:line="360" w:lineRule="auto"/>
              <w:rPr>
                <w:rFonts w:ascii="宋体" w:hAnsi="宋体" w:cs="宋体"/>
                <w:sz w:val="24"/>
                <w:szCs w:val="24"/>
              </w:rPr>
            </w:pPr>
          </w:p>
        </w:tc>
      </w:tr>
    </w:tbl>
    <w:p w14:paraId="019E05C2">
      <w:pPr>
        <w:spacing w:line="440" w:lineRule="exact"/>
        <w:outlineLvl w:val="1"/>
        <w:rPr>
          <w:sz w:val="24"/>
        </w:rPr>
        <w:sectPr>
          <w:pgSz w:w="11906" w:h="16838"/>
          <w:pgMar w:top="1134" w:right="1134" w:bottom="1134" w:left="1134" w:header="851" w:footer="992" w:gutter="0"/>
          <w:cols w:space="720" w:num="1"/>
          <w:titlePg/>
          <w:docGrid w:linePitch="360" w:charSpace="0"/>
        </w:sectPr>
      </w:pPr>
    </w:p>
    <w:p w14:paraId="264F88F1">
      <w:pPr>
        <w:pStyle w:val="4"/>
        <w:spacing w:before="0" w:after="0" w:line="360" w:lineRule="auto"/>
        <w:jc w:val="center"/>
        <w:rPr>
          <w:rFonts w:ascii="Times New Roman" w:hAnsi="Times New Roman" w:eastAsia="宋体"/>
          <w:szCs w:val="24"/>
        </w:rPr>
      </w:pPr>
      <w:bookmarkStart w:id="282" w:name="_Toc15249"/>
      <w:bookmarkStart w:id="283" w:name="_Toc17809"/>
      <w:bookmarkStart w:id="284" w:name="_Toc18881"/>
      <w:bookmarkStart w:id="285" w:name="_Toc3337"/>
      <w:bookmarkStart w:id="286" w:name="_Toc8986"/>
      <w:r>
        <w:rPr>
          <w:rFonts w:ascii="Times New Roman" w:hAnsi="Times New Roman" w:eastAsia="宋体"/>
          <w:szCs w:val="24"/>
        </w:rPr>
        <w:t>评审索引表</w:t>
      </w:r>
      <w:bookmarkEnd w:id="282"/>
      <w:bookmarkEnd w:id="283"/>
      <w:bookmarkEnd w:id="284"/>
      <w:bookmarkEnd w:id="285"/>
      <w:bookmarkEnd w:id="286"/>
    </w:p>
    <w:p w14:paraId="5445587F">
      <w:pPr>
        <w:spacing w:line="360" w:lineRule="auto"/>
        <w:jc w:val="center"/>
        <w:rPr>
          <w:b/>
          <w:bCs/>
          <w:sz w:val="24"/>
          <w:szCs w:val="24"/>
        </w:rPr>
      </w:pPr>
      <w:r>
        <w:rPr>
          <w:b/>
          <w:bCs/>
          <w:sz w:val="24"/>
          <w:szCs w:val="24"/>
        </w:rPr>
        <w:t>（具体详见采购文件第三章评审标准）</w:t>
      </w:r>
    </w:p>
    <w:tbl>
      <w:tblPr>
        <w:tblStyle w:val="49"/>
        <w:tblW w:w="95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466"/>
        <w:gridCol w:w="6185"/>
        <w:gridCol w:w="1170"/>
      </w:tblGrid>
      <w:tr w14:paraId="40A5A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blHeader/>
          <w:jc w:val="center"/>
        </w:trPr>
        <w:tc>
          <w:tcPr>
            <w:tcW w:w="730" w:type="dxa"/>
            <w:vAlign w:val="center"/>
          </w:tcPr>
          <w:p w14:paraId="0360E867">
            <w:pPr>
              <w:widowControl/>
              <w:spacing w:line="360" w:lineRule="auto"/>
              <w:jc w:val="center"/>
              <w:rPr>
                <w:b/>
                <w:szCs w:val="21"/>
              </w:rPr>
            </w:pPr>
            <w:r>
              <w:rPr>
                <w:b/>
                <w:szCs w:val="21"/>
              </w:rPr>
              <w:t>序号</w:t>
            </w:r>
          </w:p>
        </w:tc>
        <w:tc>
          <w:tcPr>
            <w:tcW w:w="1466" w:type="dxa"/>
            <w:vAlign w:val="center"/>
          </w:tcPr>
          <w:p w14:paraId="37C0748F">
            <w:pPr>
              <w:widowControl/>
              <w:spacing w:line="360" w:lineRule="auto"/>
              <w:jc w:val="center"/>
              <w:rPr>
                <w:b/>
                <w:szCs w:val="21"/>
              </w:rPr>
            </w:pPr>
            <w:r>
              <w:rPr>
                <w:b/>
                <w:szCs w:val="21"/>
              </w:rPr>
              <w:t>评审因素</w:t>
            </w:r>
          </w:p>
        </w:tc>
        <w:tc>
          <w:tcPr>
            <w:tcW w:w="6185" w:type="dxa"/>
            <w:vAlign w:val="center"/>
          </w:tcPr>
          <w:p w14:paraId="6D44742E">
            <w:pPr>
              <w:widowControl/>
              <w:spacing w:line="360" w:lineRule="auto"/>
              <w:jc w:val="center"/>
              <w:rPr>
                <w:b/>
                <w:szCs w:val="21"/>
              </w:rPr>
            </w:pPr>
            <w:r>
              <w:rPr>
                <w:b/>
                <w:szCs w:val="21"/>
              </w:rPr>
              <w:t>评审标准</w:t>
            </w:r>
          </w:p>
        </w:tc>
        <w:tc>
          <w:tcPr>
            <w:tcW w:w="1170" w:type="dxa"/>
            <w:vAlign w:val="center"/>
          </w:tcPr>
          <w:p w14:paraId="7629E791">
            <w:pPr>
              <w:widowControl/>
              <w:spacing w:line="360" w:lineRule="auto"/>
              <w:jc w:val="center"/>
              <w:rPr>
                <w:b/>
                <w:szCs w:val="21"/>
              </w:rPr>
            </w:pPr>
            <w:r>
              <w:rPr>
                <w:b/>
                <w:szCs w:val="21"/>
              </w:rPr>
              <w:t>所在页码</w:t>
            </w:r>
          </w:p>
        </w:tc>
      </w:tr>
      <w:tr w14:paraId="1B1C3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30" w:type="dxa"/>
            <w:vAlign w:val="center"/>
          </w:tcPr>
          <w:p w14:paraId="2D9FFD13">
            <w:pPr>
              <w:widowControl/>
              <w:spacing w:line="360" w:lineRule="auto"/>
              <w:jc w:val="center"/>
              <w:rPr>
                <w:b/>
                <w:szCs w:val="21"/>
              </w:rPr>
            </w:pPr>
          </w:p>
        </w:tc>
        <w:tc>
          <w:tcPr>
            <w:tcW w:w="1466" w:type="dxa"/>
            <w:vAlign w:val="center"/>
          </w:tcPr>
          <w:p w14:paraId="6DBC8197">
            <w:pPr>
              <w:widowControl/>
              <w:spacing w:line="360" w:lineRule="auto"/>
              <w:jc w:val="center"/>
              <w:rPr>
                <w:b/>
                <w:szCs w:val="21"/>
              </w:rPr>
            </w:pPr>
          </w:p>
        </w:tc>
        <w:tc>
          <w:tcPr>
            <w:tcW w:w="6185" w:type="dxa"/>
            <w:vAlign w:val="center"/>
          </w:tcPr>
          <w:p w14:paraId="73C466D4">
            <w:pPr>
              <w:spacing w:line="360" w:lineRule="auto"/>
              <w:rPr>
                <w:szCs w:val="21"/>
              </w:rPr>
            </w:pPr>
          </w:p>
        </w:tc>
        <w:tc>
          <w:tcPr>
            <w:tcW w:w="1170" w:type="dxa"/>
            <w:vAlign w:val="center"/>
          </w:tcPr>
          <w:p w14:paraId="50A9BF49">
            <w:pPr>
              <w:widowControl/>
              <w:spacing w:line="360" w:lineRule="auto"/>
              <w:jc w:val="center"/>
              <w:rPr>
                <w:szCs w:val="21"/>
              </w:rPr>
            </w:pPr>
          </w:p>
        </w:tc>
      </w:tr>
      <w:tr w14:paraId="48F4C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5" w:hRule="atLeast"/>
          <w:jc w:val="center"/>
        </w:trPr>
        <w:tc>
          <w:tcPr>
            <w:tcW w:w="730" w:type="dxa"/>
            <w:vAlign w:val="center"/>
          </w:tcPr>
          <w:p w14:paraId="25BC94CC">
            <w:pPr>
              <w:widowControl/>
              <w:spacing w:line="360" w:lineRule="auto"/>
              <w:jc w:val="center"/>
              <w:rPr>
                <w:b/>
                <w:szCs w:val="21"/>
              </w:rPr>
            </w:pPr>
          </w:p>
        </w:tc>
        <w:tc>
          <w:tcPr>
            <w:tcW w:w="1466" w:type="dxa"/>
            <w:vAlign w:val="center"/>
          </w:tcPr>
          <w:p w14:paraId="4EA52FA6">
            <w:pPr>
              <w:widowControl/>
              <w:spacing w:line="360" w:lineRule="auto"/>
              <w:jc w:val="center"/>
              <w:rPr>
                <w:b/>
                <w:szCs w:val="21"/>
              </w:rPr>
            </w:pPr>
          </w:p>
        </w:tc>
        <w:tc>
          <w:tcPr>
            <w:tcW w:w="6185" w:type="dxa"/>
            <w:vAlign w:val="center"/>
          </w:tcPr>
          <w:p w14:paraId="3221CF78">
            <w:pPr>
              <w:spacing w:line="360" w:lineRule="auto"/>
              <w:rPr>
                <w:szCs w:val="21"/>
              </w:rPr>
            </w:pPr>
          </w:p>
        </w:tc>
        <w:tc>
          <w:tcPr>
            <w:tcW w:w="1170" w:type="dxa"/>
            <w:vAlign w:val="center"/>
          </w:tcPr>
          <w:p w14:paraId="5620F21A">
            <w:pPr>
              <w:widowControl/>
              <w:spacing w:line="360" w:lineRule="auto"/>
              <w:jc w:val="center"/>
              <w:rPr>
                <w:szCs w:val="21"/>
              </w:rPr>
            </w:pPr>
          </w:p>
        </w:tc>
      </w:tr>
      <w:tr w14:paraId="57F73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5" w:hRule="atLeast"/>
          <w:jc w:val="center"/>
        </w:trPr>
        <w:tc>
          <w:tcPr>
            <w:tcW w:w="730" w:type="dxa"/>
            <w:vAlign w:val="center"/>
          </w:tcPr>
          <w:p w14:paraId="70D7DB9B">
            <w:pPr>
              <w:widowControl/>
              <w:spacing w:line="360" w:lineRule="auto"/>
              <w:jc w:val="center"/>
              <w:rPr>
                <w:b/>
                <w:szCs w:val="21"/>
              </w:rPr>
            </w:pPr>
          </w:p>
        </w:tc>
        <w:tc>
          <w:tcPr>
            <w:tcW w:w="1466" w:type="dxa"/>
            <w:vAlign w:val="center"/>
          </w:tcPr>
          <w:p w14:paraId="2410C159">
            <w:pPr>
              <w:widowControl/>
              <w:spacing w:line="360" w:lineRule="auto"/>
              <w:jc w:val="center"/>
              <w:rPr>
                <w:b/>
                <w:szCs w:val="21"/>
              </w:rPr>
            </w:pPr>
          </w:p>
        </w:tc>
        <w:tc>
          <w:tcPr>
            <w:tcW w:w="6185" w:type="dxa"/>
            <w:vAlign w:val="center"/>
          </w:tcPr>
          <w:p w14:paraId="31D62682">
            <w:pPr>
              <w:spacing w:line="360" w:lineRule="auto"/>
              <w:rPr>
                <w:szCs w:val="21"/>
              </w:rPr>
            </w:pPr>
          </w:p>
        </w:tc>
        <w:tc>
          <w:tcPr>
            <w:tcW w:w="1170" w:type="dxa"/>
            <w:vAlign w:val="center"/>
          </w:tcPr>
          <w:p w14:paraId="7F902563">
            <w:pPr>
              <w:widowControl/>
              <w:spacing w:line="360" w:lineRule="auto"/>
              <w:jc w:val="center"/>
              <w:rPr>
                <w:szCs w:val="21"/>
              </w:rPr>
            </w:pPr>
          </w:p>
        </w:tc>
      </w:tr>
      <w:tr w14:paraId="6F5D6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30" w:type="dxa"/>
            <w:vAlign w:val="center"/>
          </w:tcPr>
          <w:p w14:paraId="411974E8">
            <w:pPr>
              <w:widowControl/>
              <w:spacing w:line="360" w:lineRule="auto"/>
              <w:jc w:val="center"/>
              <w:rPr>
                <w:b/>
                <w:szCs w:val="21"/>
              </w:rPr>
            </w:pPr>
          </w:p>
        </w:tc>
        <w:tc>
          <w:tcPr>
            <w:tcW w:w="1466" w:type="dxa"/>
            <w:vAlign w:val="center"/>
          </w:tcPr>
          <w:p w14:paraId="08A6C918">
            <w:pPr>
              <w:widowControl/>
              <w:spacing w:line="360" w:lineRule="auto"/>
              <w:jc w:val="center"/>
              <w:rPr>
                <w:b/>
                <w:szCs w:val="21"/>
              </w:rPr>
            </w:pPr>
          </w:p>
        </w:tc>
        <w:tc>
          <w:tcPr>
            <w:tcW w:w="6185" w:type="dxa"/>
            <w:vAlign w:val="center"/>
          </w:tcPr>
          <w:p w14:paraId="017D44E9">
            <w:pPr>
              <w:spacing w:line="360" w:lineRule="auto"/>
              <w:rPr>
                <w:szCs w:val="21"/>
              </w:rPr>
            </w:pPr>
          </w:p>
        </w:tc>
        <w:tc>
          <w:tcPr>
            <w:tcW w:w="1170" w:type="dxa"/>
            <w:vAlign w:val="center"/>
          </w:tcPr>
          <w:p w14:paraId="3DC9520C">
            <w:pPr>
              <w:widowControl/>
              <w:spacing w:line="360" w:lineRule="auto"/>
              <w:jc w:val="center"/>
              <w:rPr>
                <w:szCs w:val="21"/>
              </w:rPr>
            </w:pPr>
          </w:p>
        </w:tc>
      </w:tr>
      <w:tr w14:paraId="11F1C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30" w:type="dxa"/>
            <w:vAlign w:val="center"/>
          </w:tcPr>
          <w:p w14:paraId="6C618BC9">
            <w:pPr>
              <w:widowControl/>
              <w:spacing w:line="360" w:lineRule="auto"/>
              <w:jc w:val="center"/>
              <w:rPr>
                <w:b/>
                <w:szCs w:val="21"/>
              </w:rPr>
            </w:pPr>
          </w:p>
        </w:tc>
        <w:tc>
          <w:tcPr>
            <w:tcW w:w="1466" w:type="dxa"/>
            <w:vAlign w:val="center"/>
          </w:tcPr>
          <w:p w14:paraId="753C8A4A">
            <w:pPr>
              <w:widowControl/>
              <w:spacing w:line="360" w:lineRule="auto"/>
              <w:jc w:val="center"/>
              <w:rPr>
                <w:b/>
                <w:szCs w:val="21"/>
              </w:rPr>
            </w:pPr>
          </w:p>
        </w:tc>
        <w:tc>
          <w:tcPr>
            <w:tcW w:w="6185" w:type="dxa"/>
            <w:vAlign w:val="center"/>
          </w:tcPr>
          <w:p w14:paraId="2E9224DB">
            <w:pPr>
              <w:spacing w:line="360" w:lineRule="auto"/>
              <w:rPr>
                <w:szCs w:val="21"/>
              </w:rPr>
            </w:pPr>
          </w:p>
        </w:tc>
        <w:tc>
          <w:tcPr>
            <w:tcW w:w="1170" w:type="dxa"/>
            <w:vAlign w:val="center"/>
          </w:tcPr>
          <w:p w14:paraId="379CB5A8">
            <w:pPr>
              <w:widowControl/>
              <w:spacing w:line="360" w:lineRule="auto"/>
              <w:jc w:val="center"/>
              <w:rPr>
                <w:szCs w:val="21"/>
              </w:rPr>
            </w:pPr>
          </w:p>
        </w:tc>
      </w:tr>
      <w:tr w14:paraId="2D190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30" w:type="dxa"/>
            <w:vAlign w:val="center"/>
          </w:tcPr>
          <w:p w14:paraId="048D5C2D">
            <w:pPr>
              <w:widowControl/>
              <w:spacing w:line="360" w:lineRule="auto"/>
              <w:jc w:val="center"/>
              <w:rPr>
                <w:b/>
                <w:szCs w:val="21"/>
              </w:rPr>
            </w:pPr>
          </w:p>
        </w:tc>
        <w:tc>
          <w:tcPr>
            <w:tcW w:w="1466" w:type="dxa"/>
            <w:vAlign w:val="center"/>
          </w:tcPr>
          <w:p w14:paraId="3E15EE3C">
            <w:pPr>
              <w:widowControl/>
              <w:spacing w:line="360" w:lineRule="auto"/>
              <w:jc w:val="center"/>
              <w:rPr>
                <w:b/>
                <w:szCs w:val="21"/>
              </w:rPr>
            </w:pPr>
          </w:p>
        </w:tc>
        <w:tc>
          <w:tcPr>
            <w:tcW w:w="6185" w:type="dxa"/>
            <w:vAlign w:val="center"/>
          </w:tcPr>
          <w:p w14:paraId="6A613D00">
            <w:pPr>
              <w:spacing w:line="360" w:lineRule="auto"/>
              <w:rPr>
                <w:szCs w:val="21"/>
              </w:rPr>
            </w:pPr>
          </w:p>
        </w:tc>
        <w:tc>
          <w:tcPr>
            <w:tcW w:w="1170" w:type="dxa"/>
            <w:vAlign w:val="center"/>
          </w:tcPr>
          <w:p w14:paraId="2F6E1499">
            <w:pPr>
              <w:widowControl/>
              <w:spacing w:line="360" w:lineRule="auto"/>
              <w:jc w:val="center"/>
              <w:rPr>
                <w:szCs w:val="21"/>
              </w:rPr>
            </w:pPr>
          </w:p>
        </w:tc>
      </w:tr>
      <w:tr w14:paraId="6FC8E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30" w:type="dxa"/>
            <w:vAlign w:val="center"/>
          </w:tcPr>
          <w:p w14:paraId="33E68AC5">
            <w:pPr>
              <w:widowControl/>
              <w:spacing w:line="360" w:lineRule="auto"/>
              <w:jc w:val="center"/>
              <w:rPr>
                <w:b/>
                <w:szCs w:val="21"/>
              </w:rPr>
            </w:pPr>
          </w:p>
        </w:tc>
        <w:tc>
          <w:tcPr>
            <w:tcW w:w="1466" w:type="dxa"/>
            <w:vAlign w:val="center"/>
          </w:tcPr>
          <w:p w14:paraId="2E6681DB">
            <w:pPr>
              <w:widowControl/>
              <w:spacing w:line="360" w:lineRule="auto"/>
              <w:jc w:val="center"/>
              <w:rPr>
                <w:b/>
                <w:szCs w:val="21"/>
              </w:rPr>
            </w:pPr>
          </w:p>
        </w:tc>
        <w:tc>
          <w:tcPr>
            <w:tcW w:w="6185" w:type="dxa"/>
            <w:vAlign w:val="center"/>
          </w:tcPr>
          <w:p w14:paraId="2D9083AE">
            <w:pPr>
              <w:spacing w:line="360" w:lineRule="auto"/>
              <w:rPr>
                <w:szCs w:val="21"/>
              </w:rPr>
            </w:pPr>
          </w:p>
        </w:tc>
        <w:tc>
          <w:tcPr>
            <w:tcW w:w="1170" w:type="dxa"/>
            <w:vAlign w:val="center"/>
          </w:tcPr>
          <w:p w14:paraId="1C186AE0">
            <w:pPr>
              <w:widowControl/>
              <w:spacing w:line="360" w:lineRule="auto"/>
              <w:jc w:val="center"/>
              <w:rPr>
                <w:szCs w:val="21"/>
              </w:rPr>
            </w:pPr>
          </w:p>
        </w:tc>
      </w:tr>
      <w:tr w14:paraId="44539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30" w:type="dxa"/>
            <w:vAlign w:val="center"/>
          </w:tcPr>
          <w:p w14:paraId="08D9D8D2">
            <w:pPr>
              <w:widowControl/>
              <w:spacing w:line="360" w:lineRule="auto"/>
              <w:jc w:val="center"/>
              <w:rPr>
                <w:b/>
                <w:szCs w:val="21"/>
              </w:rPr>
            </w:pPr>
          </w:p>
        </w:tc>
        <w:tc>
          <w:tcPr>
            <w:tcW w:w="1466" w:type="dxa"/>
            <w:vAlign w:val="center"/>
          </w:tcPr>
          <w:p w14:paraId="285FB3CD">
            <w:pPr>
              <w:widowControl/>
              <w:spacing w:line="360" w:lineRule="auto"/>
              <w:jc w:val="center"/>
              <w:rPr>
                <w:b/>
                <w:szCs w:val="21"/>
              </w:rPr>
            </w:pPr>
          </w:p>
        </w:tc>
        <w:tc>
          <w:tcPr>
            <w:tcW w:w="6185" w:type="dxa"/>
            <w:vAlign w:val="center"/>
          </w:tcPr>
          <w:p w14:paraId="7A818C32">
            <w:pPr>
              <w:spacing w:line="360" w:lineRule="auto"/>
              <w:rPr>
                <w:szCs w:val="21"/>
              </w:rPr>
            </w:pPr>
          </w:p>
        </w:tc>
        <w:tc>
          <w:tcPr>
            <w:tcW w:w="1170" w:type="dxa"/>
            <w:vAlign w:val="center"/>
          </w:tcPr>
          <w:p w14:paraId="56EC5A5E">
            <w:pPr>
              <w:widowControl/>
              <w:spacing w:line="360" w:lineRule="auto"/>
              <w:jc w:val="center"/>
              <w:rPr>
                <w:szCs w:val="21"/>
              </w:rPr>
            </w:pPr>
          </w:p>
        </w:tc>
      </w:tr>
      <w:tr w14:paraId="55908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30" w:type="dxa"/>
            <w:vAlign w:val="center"/>
          </w:tcPr>
          <w:p w14:paraId="5643C68C">
            <w:pPr>
              <w:widowControl/>
              <w:spacing w:line="360" w:lineRule="auto"/>
              <w:jc w:val="center"/>
              <w:rPr>
                <w:b/>
                <w:szCs w:val="21"/>
              </w:rPr>
            </w:pPr>
          </w:p>
        </w:tc>
        <w:tc>
          <w:tcPr>
            <w:tcW w:w="1466" w:type="dxa"/>
            <w:vAlign w:val="center"/>
          </w:tcPr>
          <w:p w14:paraId="0124D955">
            <w:pPr>
              <w:widowControl/>
              <w:spacing w:line="360" w:lineRule="auto"/>
              <w:jc w:val="center"/>
              <w:rPr>
                <w:b/>
                <w:szCs w:val="21"/>
              </w:rPr>
            </w:pPr>
          </w:p>
        </w:tc>
        <w:tc>
          <w:tcPr>
            <w:tcW w:w="6185" w:type="dxa"/>
            <w:vAlign w:val="center"/>
          </w:tcPr>
          <w:p w14:paraId="7DB237A4">
            <w:pPr>
              <w:spacing w:line="360" w:lineRule="auto"/>
              <w:rPr>
                <w:szCs w:val="21"/>
              </w:rPr>
            </w:pPr>
          </w:p>
        </w:tc>
        <w:tc>
          <w:tcPr>
            <w:tcW w:w="1170" w:type="dxa"/>
            <w:vAlign w:val="center"/>
          </w:tcPr>
          <w:p w14:paraId="390D7D66">
            <w:pPr>
              <w:widowControl/>
              <w:spacing w:line="360" w:lineRule="auto"/>
              <w:jc w:val="center"/>
              <w:rPr>
                <w:szCs w:val="21"/>
              </w:rPr>
            </w:pPr>
          </w:p>
        </w:tc>
      </w:tr>
      <w:tr w14:paraId="1B2CD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30" w:type="dxa"/>
            <w:vAlign w:val="center"/>
          </w:tcPr>
          <w:p w14:paraId="2508E53A">
            <w:pPr>
              <w:widowControl/>
              <w:spacing w:line="360" w:lineRule="auto"/>
              <w:ind w:right="211"/>
              <w:jc w:val="center"/>
              <w:rPr>
                <w:b/>
                <w:szCs w:val="21"/>
              </w:rPr>
            </w:pPr>
          </w:p>
        </w:tc>
        <w:tc>
          <w:tcPr>
            <w:tcW w:w="1466" w:type="dxa"/>
            <w:vAlign w:val="center"/>
          </w:tcPr>
          <w:p w14:paraId="614EB384">
            <w:pPr>
              <w:spacing w:line="360" w:lineRule="auto"/>
              <w:jc w:val="center"/>
              <w:rPr>
                <w:b/>
                <w:szCs w:val="21"/>
              </w:rPr>
            </w:pPr>
          </w:p>
        </w:tc>
        <w:tc>
          <w:tcPr>
            <w:tcW w:w="6185" w:type="dxa"/>
            <w:vAlign w:val="center"/>
          </w:tcPr>
          <w:p w14:paraId="2349B9CE">
            <w:pPr>
              <w:pStyle w:val="48"/>
              <w:ind w:firstLine="0"/>
              <w:rPr>
                <w:rFonts w:ascii="Times New Roman"/>
              </w:rPr>
            </w:pPr>
          </w:p>
        </w:tc>
        <w:tc>
          <w:tcPr>
            <w:tcW w:w="1170" w:type="dxa"/>
            <w:vAlign w:val="center"/>
          </w:tcPr>
          <w:p w14:paraId="5E69C80F">
            <w:pPr>
              <w:spacing w:line="360" w:lineRule="auto"/>
              <w:jc w:val="center"/>
              <w:rPr>
                <w:szCs w:val="21"/>
              </w:rPr>
            </w:pPr>
          </w:p>
        </w:tc>
      </w:tr>
      <w:tr w14:paraId="717AE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30" w:type="dxa"/>
            <w:vAlign w:val="center"/>
          </w:tcPr>
          <w:p w14:paraId="22783D98">
            <w:pPr>
              <w:widowControl/>
              <w:spacing w:line="360" w:lineRule="auto"/>
              <w:ind w:right="211"/>
              <w:jc w:val="center"/>
              <w:rPr>
                <w:b/>
                <w:szCs w:val="21"/>
              </w:rPr>
            </w:pPr>
          </w:p>
        </w:tc>
        <w:tc>
          <w:tcPr>
            <w:tcW w:w="1466" w:type="dxa"/>
            <w:vAlign w:val="center"/>
          </w:tcPr>
          <w:p w14:paraId="79DFC230">
            <w:pPr>
              <w:spacing w:line="360" w:lineRule="auto"/>
              <w:jc w:val="center"/>
              <w:rPr>
                <w:b/>
                <w:szCs w:val="21"/>
              </w:rPr>
            </w:pPr>
          </w:p>
        </w:tc>
        <w:tc>
          <w:tcPr>
            <w:tcW w:w="6185" w:type="dxa"/>
            <w:vAlign w:val="center"/>
          </w:tcPr>
          <w:p w14:paraId="1829A0B4">
            <w:pPr>
              <w:pStyle w:val="48"/>
              <w:ind w:firstLine="0"/>
              <w:rPr>
                <w:rFonts w:ascii="Times New Roman"/>
              </w:rPr>
            </w:pPr>
          </w:p>
        </w:tc>
        <w:tc>
          <w:tcPr>
            <w:tcW w:w="1170" w:type="dxa"/>
            <w:vAlign w:val="center"/>
          </w:tcPr>
          <w:p w14:paraId="1006D736">
            <w:pPr>
              <w:spacing w:line="360" w:lineRule="auto"/>
              <w:jc w:val="center"/>
              <w:rPr>
                <w:szCs w:val="21"/>
              </w:rPr>
            </w:pPr>
          </w:p>
        </w:tc>
      </w:tr>
      <w:tr w14:paraId="76C35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30" w:type="dxa"/>
            <w:vAlign w:val="center"/>
          </w:tcPr>
          <w:p w14:paraId="12026218">
            <w:pPr>
              <w:widowControl/>
              <w:spacing w:line="360" w:lineRule="auto"/>
              <w:ind w:right="211"/>
              <w:jc w:val="center"/>
              <w:rPr>
                <w:b/>
                <w:szCs w:val="21"/>
              </w:rPr>
            </w:pPr>
          </w:p>
        </w:tc>
        <w:tc>
          <w:tcPr>
            <w:tcW w:w="1466" w:type="dxa"/>
            <w:vAlign w:val="center"/>
          </w:tcPr>
          <w:p w14:paraId="0079E7FF">
            <w:pPr>
              <w:spacing w:line="360" w:lineRule="auto"/>
              <w:jc w:val="center"/>
              <w:rPr>
                <w:b/>
                <w:szCs w:val="21"/>
              </w:rPr>
            </w:pPr>
          </w:p>
        </w:tc>
        <w:tc>
          <w:tcPr>
            <w:tcW w:w="6185" w:type="dxa"/>
            <w:vAlign w:val="center"/>
          </w:tcPr>
          <w:p w14:paraId="5FC5DABB">
            <w:pPr>
              <w:pStyle w:val="48"/>
              <w:ind w:firstLine="0"/>
              <w:rPr>
                <w:rFonts w:ascii="Times New Roman"/>
              </w:rPr>
            </w:pPr>
          </w:p>
        </w:tc>
        <w:tc>
          <w:tcPr>
            <w:tcW w:w="1170" w:type="dxa"/>
            <w:vAlign w:val="center"/>
          </w:tcPr>
          <w:p w14:paraId="44652182">
            <w:pPr>
              <w:spacing w:line="360" w:lineRule="auto"/>
              <w:jc w:val="center"/>
              <w:rPr>
                <w:szCs w:val="21"/>
              </w:rPr>
            </w:pPr>
          </w:p>
        </w:tc>
      </w:tr>
      <w:tr w14:paraId="38244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30" w:type="dxa"/>
            <w:vAlign w:val="center"/>
          </w:tcPr>
          <w:p w14:paraId="3F835896">
            <w:pPr>
              <w:widowControl/>
              <w:spacing w:line="360" w:lineRule="auto"/>
              <w:ind w:right="211"/>
              <w:jc w:val="center"/>
              <w:rPr>
                <w:b/>
                <w:szCs w:val="21"/>
              </w:rPr>
            </w:pPr>
          </w:p>
        </w:tc>
        <w:tc>
          <w:tcPr>
            <w:tcW w:w="1466" w:type="dxa"/>
            <w:vAlign w:val="center"/>
          </w:tcPr>
          <w:p w14:paraId="2CEA5852">
            <w:pPr>
              <w:spacing w:line="360" w:lineRule="auto"/>
              <w:jc w:val="center"/>
              <w:rPr>
                <w:b/>
                <w:szCs w:val="21"/>
              </w:rPr>
            </w:pPr>
          </w:p>
        </w:tc>
        <w:tc>
          <w:tcPr>
            <w:tcW w:w="6185" w:type="dxa"/>
            <w:vAlign w:val="center"/>
          </w:tcPr>
          <w:p w14:paraId="354B15DC">
            <w:pPr>
              <w:pStyle w:val="48"/>
              <w:ind w:firstLine="0"/>
              <w:rPr>
                <w:rFonts w:ascii="Times New Roman"/>
              </w:rPr>
            </w:pPr>
          </w:p>
        </w:tc>
        <w:tc>
          <w:tcPr>
            <w:tcW w:w="1170" w:type="dxa"/>
            <w:vAlign w:val="center"/>
          </w:tcPr>
          <w:p w14:paraId="1C926B1F">
            <w:pPr>
              <w:spacing w:line="360" w:lineRule="auto"/>
              <w:jc w:val="center"/>
              <w:rPr>
                <w:szCs w:val="21"/>
              </w:rPr>
            </w:pPr>
          </w:p>
        </w:tc>
      </w:tr>
      <w:tr w14:paraId="6C691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0" w:hRule="atLeast"/>
          <w:jc w:val="center"/>
        </w:trPr>
        <w:tc>
          <w:tcPr>
            <w:tcW w:w="730" w:type="dxa"/>
            <w:vAlign w:val="center"/>
          </w:tcPr>
          <w:p w14:paraId="61F96E21">
            <w:pPr>
              <w:widowControl/>
              <w:spacing w:line="360" w:lineRule="auto"/>
              <w:ind w:right="211"/>
              <w:jc w:val="center"/>
              <w:rPr>
                <w:b/>
                <w:szCs w:val="21"/>
              </w:rPr>
            </w:pPr>
          </w:p>
        </w:tc>
        <w:tc>
          <w:tcPr>
            <w:tcW w:w="1466" w:type="dxa"/>
            <w:vAlign w:val="center"/>
          </w:tcPr>
          <w:p w14:paraId="3902DCBA">
            <w:pPr>
              <w:spacing w:line="360" w:lineRule="auto"/>
              <w:jc w:val="center"/>
              <w:rPr>
                <w:b/>
                <w:szCs w:val="21"/>
              </w:rPr>
            </w:pPr>
          </w:p>
        </w:tc>
        <w:tc>
          <w:tcPr>
            <w:tcW w:w="6185" w:type="dxa"/>
            <w:vAlign w:val="center"/>
          </w:tcPr>
          <w:p w14:paraId="3DDAA543">
            <w:pPr>
              <w:pStyle w:val="48"/>
              <w:ind w:firstLine="0"/>
              <w:rPr>
                <w:rFonts w:ascii="Times New Roman"/>
              </w:rPr>
            </w:pPr>
          </w:p>
          <w:bookmarkEnd w:id="276"/>
          <w:bookmarkEnd w:id="277"/>
          <w:bookmarkEnd w:id="278"/>
          <w:bookmarkEnd w:id="279"/>
          <w:bookmarkEnd w:id="280"/>
        </w:tc>
        <w:tc>
          <w:tcPr>
            <w:tcW w:w="1170" w:type="dxa"/>
            <w:vAlign w:val="center"/>
          </w:tcPr>
          <w:p w14:paraId="0802BF14">
            <w:pPr>
              <w:spacing w:line="360" w:lineRule="auto"/>
              <w:jc w:val="center"/>
              <w:rPr>
                <w:szCs w:val="21"/>
              </w:rPr>
            </w:pPr>
          </w:p>
        </w:tc>
      </w:tr>
    </w:tbl>
    <w:p w14:paraId="179EDE40">
      <w:pPr>
        <w:pStyle w:val="48"/>
        <w:ind w:firstLine="280"/>
        <w:sectPr>
          <w:pgSz w:w="11906" w:h="16838"/>
          <w:pgMar w:top="1134" w:right="1134" w:bottom="1134" w:left="1134" w:header="851" w:footer="992" w:gutter="0"/>
          <w:cols w:space="720" w:num="1"/>
          <w:titlePg/>
          <w:docGrid w:linePitch="360" w:charSpace="0"/>
        </w:sectPr>
      </w:pPr>
    </w:p>
    <w:p w14:paraId="44C0E9D5">
      <w:pPr>
        <w:spacing w:line="360" w:lineRule="auto"/>
        <w:outlineLvl w:val="1"/>
        <w:rPr>
          <w:rFonts w:ascii="宋体" w:hAnsi="宋体" w:cs="宋体"/>
          <w:b/>
          <w:bCs/>
          <w:sz w:val="24"/>
        </w:rPr>
      </w:pPr>
      <w:bookmarkStart w:id="287" w:name="_Toc11305"/>
      <w:bookmarkStart w:id="288" w:name="_Toc4209"/>
      <w:r>
        <w:rPr>
          <w:rFonts w:hint="eastAsia" w:ascii="宋体" w:hAnsi="宋体" w:cs="宋体"/>
          <w:b/>
          <w:bCs/>
          <w:sz w:val="24"/>
        </w:rPr>
        <w:t xml:space="preserve">附件一 </w:t>
      </w:r>
      <w:bookmarkEnd w:id="287"/>
      <w:r>
        <w:rPr>
          <w:rFonts w:hint="eastAsia"/>
          <w:b/>
          <w:bCs/>
          <w:sz w:val="24"/>
          <w:szCs w:val="22"/>
        </w:rPr>
        <w:t>磋商申请及申明</w:t>
      </w:r>
      <w:bookmarkEnd w:id="288"/>
    </w:p>
    <w:p w14:paraId="37D76D24">
      <w:pPr>
        <w:spacing w:line="360" w:lineRule="auto"/>
        <w:jc w:val="center"/>
        <w:rPr>
          <w:b/>
          <w:bCs/>
          <w:sz w:val="24"/>
          <w:szCs w:val="22"/>
        </w:rPr>
      </w:pPr>
      <w:r>
        <w:rPr>
          <w:rFonts w:hint="eastAsia"/>
          <w:b/>
          <w:bCs/>
          <w:sz w:val="24"/>
          <w:szCs w:val="22"/>
        </w:rPr>
        <w:t>磋商申请及申明</w:t>
      </w:r>
    </w:p>
    <w:p w14:paraId="5E82D2F8">
      <w:pPr>
        <w:spacing w:line="440" w:lineRule="exact"/>
        <w:rPr>
          <w:rFonts w:ascii="Arial" w:hAnsi="Arial" w:cs="Arial"/>
          <w:szCs w:val="21"/>
        </w:rPr>
      </w:pPr>
      <w:bookmarkStart w:id="289" w:name="_Toc24716"/>
      <w:r>
        <w:rPr>
          <w:rFonts w:ascii="Arial" w:hAnsi="Arial" w:cs="Arial"/>
          <w:szCs w:val="21"/>
        </w:rPr>
        <w:t>致：</w:t>
      </w:r>
      <w:r>
        <w:rPr>
          <w:rFonts w:hint="eastAsia" w:ascii="Arial" w:hAnsi="Arial" w:cs="Arial"/>
          <w:szCs w:val="21"/>
        </w:rPr>
        <w:t>苏美达国际技术贸易有限公司</w:t>
      </w:r>
    </w:p>
    <w:p w14:paraId="5BE46C94">
      <w:pPr>
        <w:spacing w:line="440" w:lineRule="exact"/>
        <w:ind w:firstLine="420"/>
        <w:rPr>
          <w:rFonts w:ascii="Arial" w:hAnsi="Arial" w:cs="Arial"/>
          <w:szCs w:val="21"/>
        </w:rPr>
      </w:pPr>
      <w:r>
        <w:rPr>
          <w:rFonts w:hint="eastAsia" w:ascii="Arial" w:hAnsi="Arial" w:cs="Arial"/>
          <w:szCs w:val="21"/>
        </w:rPr>
        <w:t>根据贵方</w:t>
      </w:r>
      <w:r>
        <w:rPr>
          <w:rFonts w:hint="eastAsia" w:ascii="Arial" w:hAnsi="Arial" w:cs="Arial"/>
          <w:szCs w:val="21"/>
          <w:u w:val="single"/>
        </w:rPr>
        <w:t xml:space="preserve">                      </w:t>
      </w:r>
      <w:r>
        <w:rPr>
          <w:rFonts w:hint="eastAsia" w:ascii="Arial" w:hAnsi="Arial" w:cs="Arial"/>
          <w:szCs w:val="21"/>
        </w:rPr>
        <w:t>（项目名称）</w:t>
      </w:r>
      <w:r>
        <w:rPr>
          <w:rFonts w:hint="eastAsia" w:ascii="Arial" w:hAnsi="Arial" w:cs="Arial"/>
          <w:szCs w:val="21"/>
          <w:u w:val="single"/>
        </w:rPr>
        <w:t xml:space="preserve"> </w:t>
      </w:r>
      <w:r>
        <w:rPr>
          <w:rFonts w:ascii="Arial" w:hAnsi="Arial" w:cs="Arial"/>
          <w:szCs w:val="21"/>
          <w:u w:val="single"/>
        </w:rPr>
        <w:t xml:space="preserve">            </w:t>
      </w:r>
      <w:r>
        <w:rPr>
          <w:rFonts w:hint="eastAsia" w:ascii="Arial" w:hAnsi="Arial" w:cs="Arial"/>
          <w:szCs w:val="21"/>
        </w:rPr>
        <w:t>（项目编号）磋商邀请，正式授权下述签字人</w:t>
      </w:r>
      <w:r>
        <w:rPr>
          <w:rFonts w:ascii="Arial" w:hAnsi="Arial" w:cs="Arial"/>
          <w:szCs w:val="21"/>
          <w:u w:val="single"/>
        </w:rPr>
        <w:t xml:space="preserve">                  </w:t>
      </w:r>
      <w:r>
        <w:rPr>
          <w:rFonts w:ascii="Arial" w:hAnsi="Arial" w:cs="Arial"/>
          <w:szCs w:val="21"/>
        </w:rPr>
        <w:t>(</w:t>
      </w:r>
      <w:r>
        <w:rPr>
          <w:rFonts w:hint="eastAsia" w:ascii="Arial" w:hAnsi="Arial" w:cs="Arial"/>
          <w:szCs w:val="21"/>
        </w:rPr>
        <w:t>姓名和职务</w:t>
      </w:r>
      <w:r>
        <w:rPr>
          <w:rFonts w:ascii="Arial" w:hAnsi="Arial" w:cs="Arial"/>
          <w:szCs w:val="21"/>
        </w:rPr>
        <w:t>)</w:t>
      </w:r>
      <w:r>
        <w:rPr>
          <w:rFonts w:hint="eastAsia" w:ascii="Arial" w:hAnsi="Arial" w:cs="Arial"/>
          <w:szCs w:val="21"/>
        </w:rPr>
        <w:t>代表</w:t>
      </w:r>
      <w:r>
        <w:rPr>
          <w:rFonts w:ascii="Arial" w:hAnsi="Arial" w:cs="Arial"/>
          <w:szCs w:val="21"/>
          <w:u w:val="single"/>
        </w:rPr>
        <w:t xml:space="preserve">                 </w:t>
      </w:r>
      <w:r>
        <w:rPr>
          <w:rFonts w:hint="eastAsia" w:ascii="Arial" w:hAnsi="Arial" w:cs="Arial"/>
          <w:szCs w:val="21"/>
        </w:rPr>
        <w:t>（供应商名称），提交响应文件并参加磋商。</w:t>
      </w:r>
    </w:p>
    <w:p w14:paraId="6526469A">
      <w:pPr>
        <w:spacing w:line="440" w:lineRule="exact"/>
        <w:ind w:firstLine="420"/>
        <w:rPr>
          <w:rFonts w:ascii="Arial" w:hAnsi="Arial" w:cs="Arial"/>
          <w:szCs w:val="21"/>
        </w:rPr>
      </w:pPr>
      <w:r>
        <w:rPr>
          <w:rFonts w:hint="eastAsia" w:ascii="宋体" w:hAnsi="宋体"/>
        </w:rPr>
        <w:t>据此函，签字人兹宣布同意如下：</w:t>
      </w:r>
      <w:r>
        <w:rPr>
          <w:rFonts w:ascii="Arial" w:hAnsi="Arial" w:cs="Arial"/>
          <w:szCs w:val="21"/>
        </w:rPr>
        <w:t xml:space="preserve"> </w:t>
      </w:r>
      <w:r>
        <w:rPr>
          <w:rFonts w:hint="eastAsia" w:ascii="Arial" w:hAnsi="Arial" w:cs="Arial"/>
          <w:szCs w:val="21"/>
        </w:rPr>
        <w:t xml:space="preserve">  </w:t>
      </w:r>
    </w:p>
    <w:p w14:paraId="086F5DD0">
      <w:pPr>
        <w:spacing w:line="440" w:lineRule="exact"/>
        <w:jc w:val="left"/>
        <w:rPr>
          <w:rFonts w:ascii="Arial" w:hAnsi="Arial" w:cs="Arial"/>
          <w:szCs w:val="21"/>
          <w:lang w:val="zh-CN"/>
        </w:rPr>
      </w:pPr>
      <w:r>
        <w:rPr>
          <w:rFonts w:hint="eastAsia" w:ascii="Arial" w:hAnsi="Arial" w:cs="Arial"/>
          <w:szCs w:val="21"/>
        </w:rPr>
        <w:t xml:space="preserve"> </w:t>
      </w:r>
      <w:r>
        <w:rPr>
          <w:rFonts w:ascii="Arial" w:hAnsi="Arial" w:cs="Arial"/>
          <w:szCs w:val="21"/>
        </w:rPr>
        <w:t xml:space="preserve">  1、</w:t>
      </w:r>
      <w:r>
        <w:rPr>
          <w:rFonts w:ascii="Arial" w:hAnsi="Arial" w:cs="Arial"/>
          <w:szCs w:val="21"/>
          <w:lang w:val="zh-CN"/>
        </w:rPr>
        <w:t>我们已详细审核全部</w:t>
      </w:r>
      <w:r>
        <w:rPr>
          <w:rFonts w:hint="eastAsia" w:ascii="Arial" w:hAnsi="Arial" w:cs="Arial"/>
          <w:szCs w:val="21"/>
        </w:rPr>
        <w:t>采购</w:t>
      </w:r>
      <w:r>
        <w:rPr>
          <w:rFonts w:ascii="Arial" w:hAnsi="Arial" w:cs="Arial"/>
          <w:szCs w:val="21"/>
          <w:lang w:val="zh-CN"/>
        </w:rPr>
        <w:t>文件及其有效补充文件，我们放弃对</w:t>
      </w:r>
      <w:r>
        <w:rPr>
          <w:rFonts w:hint="eastAsia" w:ascii="Arial" w:hAnsi="Arial" w:cs="Arial"/>
          <w:szCs w:val="21"/>
        </w:rPr>
        <w:t>采购</w:t>
      </w:r>
      <w:r>
        <w:rPr>
          <w:rFonts w:ascii="Arial" w:hAnsi="Arial" w:cs="Arial"/>
          <w:szCs w:val="21"/>
          <w:lang w:val="zh-CN"/>
        </w:rPr>
        <w:t>文件任何误解的权利，提交响应文件后，不对</w:t>
      </w:r>
      <w:r>
        <w:rPr>
          <w:rFonts w:hint="eastAsia" w:ascii="Arial" w:hAnsi="Arial" w:cs="Arial"/>
          <w:szCs w:val="21"/>
        </w:rPr>
        <w:t>采购</w:t>
      </w:r>
      <w:r>
        <w:rPr>
          <w:rFonts w:ascii="Arial" w:hAnsi="Arial" w:cs="Arial"/>
          <w:szCs w:val="21"/>
          <w:lang w:val="zh-CN"/>
        </w:rPr>
        <w:t>文件本身提出质疑。否则，属于不诚信和故意扰乱采购活动行为，我们将无条件接受处罚。</w:t>
      </w:r>
    </w:p>
    <w:p w14:paraId="336E9C33">
      <w:pPr>
        <w:spacing w:line="440" w:lineRule="exact"/>
        <w:ind w:firstLine="420"/>
        <w:rPr>
          <w:rFonts w:ascii="Arial" w:hAnsi="Arial" w:cs="Arial"/>
          <w:szCs w:val="21"/>
        </w:rPr>
      </w:pPr>
      <w:r>
        <w:rPr>
          <w:rFonts w:ascii="Arial" w:hAnsi="Arial" w:cs="Arial"/>
          <w:szCs w:val="21"/>
        </w:rPr>
        <w:t>2、一旦我方成交，我方将根据</w:t>
      </w:r>
      <w:r>
        <w:rPr>
          <w:rFonts w:hint="eastAsia" w:ascii="Arial" w:hAnsi="Arial" w:cs="Arial"/>
          <w:szCs w:val="21"/>
        </w:rPr>
        <w:t>采购</w:t>
      </w:r>
      <w:r>
        <w:rPr>
          <w:rFonts w:ascii="Arial" w:hAnsi="Arial" w:cs="Arial"/>
          <w:szCs w:val="21"/>
        </w:rPr>
        <w:t>文件的规定，严格履行合同，保证于承诺的时间内完成本项目规定的服务内容。</w:t>
      </w:r>
    </w:p>
    <w:p w14:paraId="356B2DBD">
      <w:pPr>
        <w:spacing w:line="440" w:lineRule="exact"/>
        <w:ind w:firstLine="420"/>
        <w:rPr>
          <w:rFonts w:ascii="Arial" w:hAnsi="Arial" w:cs="Arial"/>
          <w:szCs w:val="21"/>
        </w:rPr>
      </w:pPr>
      <w:r>
        <w:rPr>
          <w:rFonts w:ascii="Arial" w:hAnsi="Arial" w:cs="Arial"/>
          <w:szCs w:val="21"/>
        </w:rPr>
        <w:t>3、我方决不提供虚假材料谋取成交、决不采取不正当手段诋毁、排挤其他</w:t>
      </w:r>
      <w:r>
        <w:rPr>
          <w:rFonts w:hint="eastAsia" w:ascii="Arial" w:hAnsi="Arial" w:cs="Arial"/>
          <w:szCs w:val="21"/>
        </w:rPr>
        <w:t>供应商</w:t>
      </w:r>
      <w:r>
        <w:rPr>
          <w:rFonts w:ascii="Arial" w:hAnsi="Arial" w:cs="Arial"/>
          <w:szCs w:val="21"/>
        </w:rPr>
        <w:t>、决不与采购人、其它</w:t>
      </w:r>
      <w:r>
        <w:rPr>
          <w:rFonts w:hint="eastAsia" w:ascii="Arial" w:hAnsi="Arial" w:cs="Arial"/>
          <w:szCs w:val="21"/>
        </w:rPr>
        <w:t>供应商</w:t>
      </w:r>
      <w:r>
        <w:rPr>
          <w:rFonts w:ascii="Arial" w:hAnsi="Arial" w:cs="Arial"/>
          <w:szCs w:val="21"/>
        </w:rPr>
        <w:t>或者采购代理机构恶意串通、决不向采购人、采购代理机构和磋商小组进行商业贿赂、决不拒绝有关部门监督检查或提供虚假情况，如有违反，无条件接受贵方及相关管理部门的处罚。</w:t>
      </w:r>
    </w:p>
    <w:p w14:paraId="6BC68400">
      <w:pPr>
        <w:spacing w:line="440" w:lineRule="exact"/>
        <w:ind w:firstLine="420"/>
        <w:rPr>
          <w:rFonts w:ascii="Arial" w:hAnsi="Arial" w:cs="Arial"/>
          <w:szCs w:val="21"/>
        </w:rPr>
      </w:pPr>
      <w:r>
        <w:rPr>
          <w:rFonts w:ascii="Arial" w:hAnsi="Arial" w:cs="Arial"/>
          <w:szCs w:val="21"/>
        </w:rPr>
        <w:t>4．本响应文件的有效期为</w:t>
      </w:r>
      <w:r>
        <w:rPr>
          <w:rFonts w:hint="eastAsia" w:ascii="Arial" w:hAnsi="Arial" w:cs="Arial"/>
          <w:szCs w:val="21"/>
        </w:rPr>
        <w:t>递交响应文件</w:t>
      </w:r>
      <w:r>
        <w:rPr>
          <w:rFonts w:ascii="Arial" w:hAnsi="Arial" w:cs="Arial"/>
          <w:szCs w:val="21"/>
        </w:rPr>
        <w:t>之日起90天。在这期间，本响应文件将始终对我方具有约束力，并可随时被接受。如果成交，本次</w:t>
      </w:r>
      <w:r>
        <w:rPr>
          <w:rFonts w:hint="eastAsia" w:ascii="Arial" w:hAnsi="Arial" w:cs="Arial"/>
          <w:szCs w:val="21"/>
        </w:rPr>
        <w:t>采购</w:t>
      </w:r>
      <w:r>
        <w:rPr>
          <w:rFonts w:ascii="Arial" w:hAnsi="Arial" w:cs="Arial"/>
          <w:szCs w:val="21"/>
        </w:rPr>
        <w:t>文件和本响应文件（含承诺书）将作为合同的附件。</w:t>
      </w:r>
    </w:p>
    <w:p w14:paraId="39C2D3C2">
      <w:pPr>
        <w:spacing w:line="440" w:lineRule="exact"/>
        <w:rPr>
          <w:rFonts w:ascii="Arial" w:hAnsi="Arial" w:cs="Arial"/>
          <w:szCs w:val="21"/>
        </w:rPr>
      </w:pPr>
      <w:r>
        <w:rPr>
          <w:rFonts w:ascii="Arial" w:hAnsi="Arial" w:cs="Arial"/>
          <w:szCs w:val="21"/>
        </w:rPr>
        <w:t xml:space="preserve">    5．其它说明：</w:t>
      </w:r>
    </w:p>
    <w:p w14:paraId="024298B7">
      <w:pPr>
        <w:spacing w:line="440" w:lineRule="exact"/>
        <w:rPr>
          <w:rFonts w:ascii="Arial" w:hAnsi="Arial" w:cs="Arial"/>
          <w:szCs w:val="21"/>
        </w:rPr>
      </w:pPr>
    </w:p>
    <w:p w14:paraId="4FE952C9">
      <w:pPr>
        <w:spacing w:line="440" w:lineRule="exact"/>
        <w:rPr>
          <w:rFonts w:ascii="Arial" w:hAnsi="Arial" w:cs="Arial"/>
          <w:szCs w:val="21"/>
        </w:rPr>
      </w:pPr>
      <w:r>
        <w:rPr>
          <w:rFonts w:hint="eastAsia" w:ascii="Arial" w:hAnsi="Arial" w:cs="Arial"/>
          <w:szCs w:val="21"/>
        </w:rPr>
        <w:t>供应商</w:t>
      </w:r>
      <w:r>
        <w:rPr>
          <w:rFonts w:ascii="Arial" w:hAnsi="Arial" w:cs="Arial"/>
          <w:szCs w:val="21"/>
        </w:rPr>
        <w:t>全称：                               （盖章）</w:t>
      </w:r>
    </w:p>
    <w:p w14:paraId="4519CC9A">
      <w:pPr>
        <w:spacing w:line="440" w:lineRule="exact"/>
        <w:rPr>
          <w:rFonts w:ascii="Arial" w:hAnsi="Arial" w:cs="Arial"/>
          <w:szCs w:val="21"/>
        </w:rPr>
      </w:pPr>
      <w:r>
        <w:rPr>
          <w:rFonts w:ascii="Arial" w:hAnsi="Arial" w:cs="Arial"/>
          <w:szCs w:val="21"/>
        </w:rPr>
        <w:t>授权代表签字或盖章：</w:t>
      </w:r>
    </w:p>
    <w:p w14:paraId="09CB09CA">
      <w:pPr>
        <w:spacing w:line="440" w:lineRule="exact"/>
        <w:rPr>
          <w:rFonts w:ascii="Arial" w:hAnsi="Arial" w:cs="Arial"/>
          <w:szCs w:val="21"/>
        </w:rPr>
      </w:pPr>
      <w:r>
        <w:rPr>
          <w:rFonts w:ascii="Arial" w:hAnsi="Arial" w:cs="Arial"/>
          <w:szCs w:val="21"/>
        </w:rPr>
        <w:t>职务：</w:t>
      </w:r>
    </w:p>
    <w:p w14:paraId="4D4335B1">
      <w:pPr>
        <w:spacing w:line="440" w:lineRule="exact"/>
        <w:rPr>
          <w:rFonts w:ascii="Arial" w:hAnsi="Arial" w:cs="Arial"/>
          <w:szCs w:val="21"/>
        </w:rPr>
      </w:pPr>
      <w:r>
        <w:rPr>
          <w:rFonts w:ascii="Arial" w:hAnsi="Arial" w:cs="Arial"/>
          <w:szCs w:val="21"/>
        </w:rPr>
        <w:t>日期：</w:t>
      </w:r>
    </w:p>
    <w:p w14:paraId="266FA0B1">
      <w:pPr>
        <w:spacing w:line="440" w:lineRule="exact"/>
        <w:rPr>
          <w:rFonts w:ascii="Arial" w:hAnsi="Arial" w:cs="Arial"/>
          <w:szCs w:val="21"/>
        </w:rPr>
      </w:pPr>
      <w:r>
        <w:rPr>
          <w:rFonts w:ascii="Arial" w:hAnsi="Arial" w:cs="Arial"/>
          <w:szCs w:val="21"/>
        </w:rPr>
        <w:t>地址：                                      邮编：</w:t>
      </w:r>
    </w:p>
    <w:p w14:paraId="23747487">
      <w:pPr>
        <w:spacing w:line="440" w:lineRule="exact"/>
        <w:rPr>
          <w:rFonts w:ascii="Arial" w:hAnsi="Arial" w:cs="Arial"/>
          <w:szCs w:val="21"/>
        </w:rPr>
      </w:pPr>
      <w:r>
        <w:rPr>
          <w:rFonts w:ascii="Arial" w:hAnsi="Arial" w:cs="Arial"/>
          <w:szCs w:val="21"/>
        </w:rPr>
        <w:t xml:space="preserve">电话：                                      传真： </w:t>
      </w:r>
    </w:p>
    <w:p w14:paraId="45A72ACC">
      <w:pPr>
        <w:spacing w:line="360" w:lineRule="auto"/>
        <w:outlineLvl w:val="1"/>
        <w:rPr>
          <w:rFonts w:ascii="宋体" w:hAnsi="宋体" w:cs="宋体"/>
          <w:b/>
          <w:bCs/>
          <w:sz w:val="24"/>
          <w:szCs w:val="22"/>
        </w:rPr>
      </w:pPr>
      <w:r>
        <w:rPr>
          <w:rFonts w:hint="eastAsia" w:ascii="宋体" w:hAnsi="宋体" w:cs="宋体"/>
          <w:b/>
          <w:bCs/>
          <w:sz w:val="24"/>
          <w:szCs w:val="22"/>
        </w:rPr>
        <w:br w:type="page" w:clear="all"/>
      </w:r>
      <w:bookmarkStart w:id="290" w:name="_Toc13656"/>
      <w:r>
        <w:rPr>
          <w:rFonts w:hint="eastAsia" w:ascii="宋体" w:hAnsi="宋体" w:cs="宋体"/>
          <w:b/>
          <w:bCs/>
          <w:sz w:val="24"/>
          <w:szCs w:val="22"/>
        </w:rPr>
        <w:t>附件二 响应一览表</w:t>
      </w:r>
      <w:bookmarkEnd w:id="289"/>
      <w:bookmarkEnd w:id="290"/>
    </w:p>
    <w:p w14:paraId="3921A016">
      <w:pPr>
        <w:spacing w:line="360" w:lineRule="auto"/>
        <w:jc w:val="center"/>
        <w:rPr>
          <w:rFonts w:ascii="宋体" w:hAnsi="宋体" w:cs="宋体"/>
          <w:b/>
          <w:sz w:val="28"/>
          <w:szCs w:val="22"/>
        </w:rPr>
      </w:pPr>
      <w:r>
        <w:rPr>
          <w:rFonts w:hint="eastAsia" w:ascii="宋体" w:hAnsi="宋体" w:cs="宋体"/>
          <w:b/>
          <w:bCs/>
          <w:sz w:val="24"/>
          <w:szCs w:val="22"/>
        </w:rPr>
        <w:t>响应</w:t>
      </w:r>
      <w:r>
        <w:rPr>
          <w:rFonts w:hint="eastAsia" w:ascii="宋体" w:hAnsi="宋体" w:cs="宋体"/>
          <w:b/>
          <w:sz w:val="28"/>
          <w:szCs w:val="22"/>
        </w:rPr>
        <w:t>一览表</w:t>
      </w:r>
    </w:p>
    <w:p w14:paraId="5A074CE0">
      <w:pPr>
        <w:spacing w:line="440" w:lineRule="exact"/>
        <w:jc w:val="left"/>
        <w:rPr>
          <w:b/>
          <w:sz w:val="28"/>
          <w:szCs w:val="22"/>
        </w:rPr>
      </w:pPr>
      <w:r>
        <w:rPr>
          <w:szCs w:val="21"/>
        </w:rPr>
        <w:t xml:space="preserve">项目编号：             </w:t>
      </w:r>
    </w:p>
    <w:tbl>
      <w:tblPr>
        <w:tblStyle w:val="49"/>
        <w:tblW w:w="938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85"/>
        <w:gridCol w:w="6898"/>
      </w:tblGrid>
      <w:tr w14:paraId="077473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0" w:hRule="atLeast"/>
        </w:trPr>
        <w:tc>
          <w:tcPr>
            <w:tcW w:w="2485" w:type="dxa"/>
            <w:vAlign w:val="center"/>
          </w:tcPr>
          <w:p w14:paraId="651D01E4">
            <w:pPr>
              <w:spacing w:line="480" w:lineRule="exact"/>
              <w:jc w:val="center"/>
              <w:rPr>
                <w:szCs w:val="21"/>
              </w:rPr>
            </w:pPr>
            <w:r>
              <w:rPr>
                <w:szCs w:val="21"/>
              </w:rPr>
              <w:t>项目名称</w:t>
            </w:r>
          </w:p>
        </w:tc>
        <w:tc>
          <w:tcPr>
            <w:tcW w:w="6898" w:type="dxa"/>
            <w:vAlign w:val="center"/>
          </w:tcPr>
          <w:p w14:paraId="24DE83D6">
            <w:pPr>
              <w:spacing w:line="480" w:lineRule="exact"/>
              <w:ind w:firstLine="105"/>
              <w:rPr>
                <w:szCs w:val="21"/>
              </w:rPr>
            </w:pPr>
          </w:p>
        </w:tc>
      </w:tr>
      <w:tr w14:paraId="125721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80" w:hRule="atLeast"/>
        </w:trPr>
        <w:tc>
          <w:tcPr>
            <w:tcW w:w="2485" w:type="dxa"/>
            <w:vAlign w:val="center"/>
          </w:tcPr>
          <w:p w14:paraId="198C1948">
            <w:pPr>
              <w:spacing w:line="480" w:lineRule="exact"/>
              <w:jc w:val="center"/>
              <w:rPr>
                <w:szCs w:val="21"/>
              </w:rPr>
            </w:pPr>
            <w:r>
              <w:rPr>
                <w:szCs w:val="21"/>
              </w:rPr>
              <w:t>报价（总价）</w:t>
            </w:r>
          </w:p>
        </w:tc>
        <w:tc>
          <w:tcPr>
            <w:tcW w:w="6898" w:type="dxa"/>
            <w:vAlign w:val="center"/>
          </w:tcPr>
          <w:p w14:paraId="2EB29867">
            <w:pPr>
              <w:spacing w:line="480" w:lineRule="exact"/>
              <w:rPr>
                <w:szCs w:val="21"/>
                <w:u w:val="single"/>
              </w:rPr>
            </w:pPr>
            <w:r>
              <w:rPr>
                <w:szCs w:val="21"/>
              </w:rPr>
              <w:t>人民币：</w:t>
            </w:r>
            <w:r>
              <w:rPr>
                <w:szCs w:val="21"/>
                <w:u w:val="single"/>
              </w:rPr>
              <w:t xml:space="preserve">           </w:t>
            </w:r>
          </w:p>
          <w:p w14:paraId="148D7891">
            <w:pPr>
              <w:spacing w:line="480" w:lineRule="exact"/>
              <w:rPr>
                <w:szCs w:val="21"/>
              </w:rPr>
            </w:pPr>
            <w:r>
              <w:rPr>
                <w:szCs w:val="21"/>
              </w:rPr>
              <w:t>（大写）：</w:t>
            </w:r>
            <w:r>
              <w:rPr>
                <w:szCs w:val="21"/>
                <w:u w:val="single"/>
              </w:rPr>
              <w:t xml:space="preserve">         </w:t>
            </w:r>
          </w:p>
        </w:tc>
      </w:tr>
      <w:tr w14:paraId="4F3AC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9" w:hRule="atLeast"/>
        </w:trPr>
        <w:tc>
          <w:tcPr>
            <w:tcW w:w="2485" w:type="dxa"/>
            <w:vAlign w:val="center"/>
          </w:tcPr>
          <w:p w14:paraId="33B2C861">
            <w:pPr>
              <w:spacing w:line="480" w:lineRule="exact"/>
              <w:jc w:val="center"/>
              <w:rPr>
                <w:szCs w:val="21"/>
              </w:rPr>
            </w:pPr>
            <w:r>
              <w:rPr>
                <w:szCs w:val="21"/>
              </w:rPr>
              <w:t>合同履行期限</w:t>
            </w:r>
          </w:p>
        </w:tc>
        <w:tc>
          <w:tcPr>
            <w:tcW w:w="6898" w:type="dxa"/>
            <w:vAlign w:val="center"/>
          </w:tcPr>
          <w:p w14:paraId="6CBDFA5E">
            <w:pPr>
              <w:spacing w:line="480" w:lineRule="exact"/>
              <w:ind w:firstLine="105"/>
              <w:rPr>
                <w:szCs w:val="21"/>
              </w:rPr>
            </w:pPr>
          </w:p>
        </w:tc>
      </w:tr>
      <w:tr w14:paraId="529B34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9" w:hRule="atLeast"/>
        </w:trPr>
        <w:tc>
          <w:tcPr>
            <w:tcW w:w="2485" w:type="dxa"/>
          </w:tcPr>
          <w:p w14:paraId="1DCEC609">
            <w:pPr>
              <w:spacing w:line="480" w:lineRule="exact"/>
              <w:jc w:val="center"/>
            </w:pPr>
            <w:r>
              <w:t>是否属于小微型企业</w:t>
            </w:r>
          </w:p>
        </w:tc>
        <w:tc>
          <w:tcPr>
            <w:tcW w:w="6898" w:type="dxa"/>
          </w:tcPr>
          <w:p w14:paraId="209015A6">
            <w:pPr>
              <w:pStyle w:val="260"/>
              <w:spacing w:line="440" w:lineRule="exact"/>
              <w:ind w:firstLine="210"/>
              <w:rPr>
                <w:szCs w:val="21"/>
              </w:rPr>
            </w:pPr>
            <w:r>
              <w:rPr>
                <w:rFonts w:hint="eastAsia"/>
                <w:b w:val="0"/>
                <w:sz w:val="21"/>
                <w:szCs w:val="21"/>
              </w:rPr>
              <w:t>□</w:t>
            </w:r>
            <w:r>
              <w:rPr>
                <w:b w:val="0"/>
                <w:sz w:val="21"/>
                <w:szCs w:val="21"/>
              </w:rPr>
              <w:t xml:space="preserve">是                       </w:t>
            </w:r>
            <w:r>
              <w:rPr>
                <w:rFonts w:hint="eastAsia"/>
                <w:b w:val="0"/>
                <w:sz w:val="21"/>
                <w:szCs w:val="21"/>
              </w:rPr>
              <w:t>□</w:t>
            </w:r>
            <w:r>
              <w:rPr>
                <w:b w:val="0"/>
                <w:sz w:val="21"/>
                <w:szCs w:val="21"/>
              </w:rPr>
              <w:t>否</w:t>
            </w:r>
          </w:p>
        </w:tc>
      </w:tr>
      <w:tr w14:paraId="3453D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9" w:hRule="atLeast"/>
        </w:trPr>
        <w:tc>
          <w:tcPr>
            <w:tcW w:w="9383" w:type="dxa"/>
            <w:gridSpan w:val="2"/>
          </w:tcPr>
          <w:p w14:paraId="273EEE97">
            <w:pPr>
              <w:spacing w:line="480" w:lineRule="exact"/>
              <w:ind w:firstLine="105"/>
              <w:rPr>
                <w:rFonts w:ascii="宋体" w:hAnsi="宋体" w:cs="宋体"/>
                <w:szCs w:val="21"/>
              </w:rPr>
            </w:pPr>
            <w:r>
              <w:rPr>
                <w:rFonts w:hint="eastAsia" w:ascii="宋体" w:hAnsi="宋体" w:cs="宋体"/>
                <w:b/>
                <w:szCs w:val="21"/>
              </w:rPr>
              <w:t>“是否属于小微型企业</w:t>
            </w:r>
            <w:r>
              <w:rPr>
                <w:rFonts w:hint="eastAsia" w:ascii="宋体" w:hAnsi="宋体" w:cs="宋体"/>
                <w:b/>
                <w:szCs w:val="21"/>
                <w:lang w:val="zh-CN"/>
              </w:rPr>
              <w:t>”栏内</w:t>
            </w:r>
            <w:r>
              <w:rPr>
                <w:rFonts w:hint="eastAsia" w:ascii="宋体" w:hAnsi="宋体" w:cs="宋体"/>
                <w:b/>
                <w:szCs w:val="21"/>
              </w:rPr>
              <w:t>请勾选</w:t>
            </w:r>
            <w:r>
              <w:rPr>
                <w:rFonts w:hint="eastAsia" w:ascii="宋体" w:hAnsi="宋体" w:cs="宋体"/>
                <w:b/>
                <w:szCs w:val="21"/>
                <w:lang w:val="zh-CN"/>
              </w:rPr>
              <w:t>“是”或“否”。如</w:t>
            </w:r>
            <w:r>
              <w:rPr>
                <w:rFonts w:hint="eastAsia" w:ascii="宋体" w:hAnsi="宋体" w:cs="宋体"/>
                <w:b/>
                <w:szCs w:val="21"/>
              </w:rPr>
              <w:t>勾选</w:t>
            </w:r>
            <w:r>
              <w:rPr>
                <w:rFonts w:hint="eastAsia" w:ascii="宋体" w:hAnsi="宋体" w:cs="宋体"/>
                <w:b/>
                <w:szCs w:val="21"/>
                <w:lang w:val="zh-CN"/>
              </w:rPr>
              <w:t>“是”，</w:t>
            </w:r>
            <w:r>
              <w:rPr>
                <w:rFonts w:hint="eastAsia" w:ascii="宋体" w:hAnsi="宋体" w:cs="宋体"/>
                <w:b/>
                <w:szCs w:val="21"/>
              </w:rPr>
              <w:t>供应商需同时提供附件六所要求的对应文件。</w:t>
            </w:r>
          </w:p>
        </w:tc>
      </w:tr>
    </w:tbl>
    <w:p w14:paraId="0EB0E31B">
      <w:pPr>
        <w:spacing w:line="360" w:lineRule="auto"/>
        <w:rPr>
          <w:rFonts w:ascii="宋体" w:hAnsi="宋体" w:cs="宋体"/>
          <w:szCs w:val="21"/>
        </w:rPr>
      </w:pPr>
    </w:p>
    <w:p w14:paraId="33052F3E">
      <w:pPr>
        <w:spacing w:line="360" w:lineRule="auto"/>
        <w:rPr>
          <w:rFonts w:ascii="宋体" w:hAnsi="宋体" w:cs="宋体"/>
          <w:szCs w:val="21"/>
        </w:rPr>
      </w:pPr>
      <w:r>
        <w:rPr>
          <w:rFonts w:hint="eastAsia" w:ascii="宋体" w:hAnsi="宋体" w:cs="宋体"/>
          <w:szCs w:val="21"/>
        </w:rPr>
        <w:t>供应商名称（公章）：</w:t>
      </w:r>
    </w:p>
    <w:p w14:paraId="68F22C59">
      <w:pPr>
        <w:spacing w:line="360" w:lineRule="auto"/>
        <w:rPr>
          <w:rFonts w:ascii="宋体" w:hAnsi="宋体" w:cs="宋体"/>
          <w:szCs w:val="21"/>
        </w:rPr>
      </w:pPr>
      <w:r>
        <w:rPr>
          <w:rFonts w:hint="eastAsia" w:ascii="宋体" w:hAnsi="宋体" w:cs="宋体"/>
          <w:szCs w:val="21"/>
        </w:rPr>
        <w:t>授权代表（签字）：</w:t>
      </w:r>
    </w:p>
    <w:p w14:paraId="2D9C2F78">
      <w:pPr>
        <w:spacing w:line="360" w:lineRule="auto"/>
        <w:rPr>
          <w:rFonts w:ascii="宋体" w:hAnsi="宋体" w:cs="宋体"/>
          <w:szCs w:val="21"/>
        </w:rPr>
      </w:pPr>
      <w:r>
        <w:rPr>
          <w:rFonts w:hint="eastAsia" w:ascii="宋体" w:hAnsi="宋体" w:cs="宋体"/>
          <w:szCs w:val="21"/>
        </w:rPr>
        <w:t>日期：</w:t>
      </w:r>
    </w:p>
    <w:p w14:paraId="5BD5DFF7">
      <w:pPr>
        <w:spacing w:line="360" w:lineRule="auto"/>
        <w:rPr>
          <w:rFonts w:ascii="宋体" w:hAnsi="宋体" w:cs="宋体"/>
          <w:b/>
        </w:rPr>
      </w:pPr>
    </w:p>
    <w:p w14:paraId="36FDEA9C">
      <w:pPr>
        <w:spacing w:line="360" w:lineRule="auto"/>
        <w:rPr>
          <w:rFonts w:cs="宋体"/>
          <w:szCs w:val="21"/>
        </w:rPr>
      </w:pPr>
      <w:r>
        <w:rPr>
          <w:rFonts w:hint="eastAsia" w:ascii="宋体" w:hAnsi="宋体" w:cs="宋体"/>
          <w:szCs w:val="21"/>
        </w:rPr>
        <w:t>注：此表中，</w:t>
      </w:r>
      <w:r>
        <w:rPr>
          <w:szCs w:val="21"/>
        </w:rPr>
        <w:t>报价（总价）</w:t>
      </w:r>
      <w:r>
        <w:rPr>
          <w:rFonts w:hint="eastAsia" w:ascii="宋体" w:hAnsi="宋体" w:cs="宋体"/>
          <w:szCs w:val="21"/>
        </w:rPr>
        <w:t>应和分项报价表中的总价一致。</w:t>
      </w:r>
    </w:p>
    <w:p w14:paraId="461E4162">
      <w:pPr>
        <w:spacing w:line="440" w:lineRule="exact"/>
        <w:rPr>
          <w:szCs w:val="21"/>
        </w:rPr>
      </w:pPr>
    </w:p>
    <w:p w14:paraId="11BF16DC">
      <w:pPr>
        <w:spacing w:line="360" w:lineRule="auto"/>
        <w:jc w:val="center"/>
        <w:rPr>
          <w:rFonts w:ascii="宋体" w:hAnsi="宋体" w:cs="宋体"/>
          <w:b/>
        </w:rPr>
      </w:pPr>
    </w:p>
    <w:p w14:paraId="6ADCA99F">
      <w:pPr>
        <w:spacing w:line="360" w:lineRule="auto"/>
        <w:jc w:val="center"/>
        <w:rPr>
          <w:rFonts w:ascii="宋体" w:hAnsi="宋体" w:cs="宋体"/>
          <w:b/>
        </w:rPr>
      </w:pPr>
    </w:p>
    <w:p w14:paraId="2E641F57">
      <w:pPr>
        <w:spacing w:line="360" w:lineRule="auto"/>
        <w:rPr>
          <w:rFonts w:ascii="宋体" w:hAnsi="宋体" w:cs="宋体"/>
          <w:b/>
        </w:rPr>
      </w:pPr>
    </w:p>
    <w:p w14:paraId="521319B5">
      <w:pPr>
        <w:pStyle w:val="26"/>
      </w:pPr>
    </w:p>
    <w:p w14:paraId="41CE0B12">
      <w:pPr>
        <w:pStyle w:val="14"/>
      </w:pPr>
    </w:p>
    <w:p w14:paraId="188B94F9">
      <w:pPr>
        <w:pStyle w:val="14"/>
      </w:pPr>
    </w:p>
    <w:p w14:paraId="3DDEC95B">
      <w:pPr>
        <w:pStyle w:val="14"/>
      </w:pPr>
    </w:p>
    <w:p w14:paraId="26DF8B0A">
      <w:pPr>
        <w:pStyle w:val="14"/>
      </w:pPr>
      <w:r>
        <w:rPr/>
        <w:br w:type="page" w:clear="all"/>
      </w:r>
    </w:p>
    <w:p w14:paraId="68E5D672">
      <w:pPr>
        <w:pStyle w:val="14"/>
      </w:pPr>
    </w:p>
    <w:p w14:paraId="5460CF1F">
      <w:pPr>
        <w:spacing w:line="360" w:lineRule="auto"/>
        <w:outlineLvl w:val="1"/>
        <w:rPr>
          <w:rFonts w:ascii="宋体" w:hAnsi="宋体" w:cs="宋体"/>
          <w:b/>
          <w:bCs/>
          <w:sz w:val="24"/>
          <w:szCs w:val="22"/>
        </w:rPr>
      </w:pPr>
      <w:bookmarkStart w:id="291" w:name="_Toc9376"/>
      <w:bookmarkStart w:id="292" w:name="_Toc13310"/>
      <w:r>
        <w:rPr>
          <w:rFonts w:hint="eastAsia" w:ascii="宋体" w:hAnsi="宋体" w:cs="宋体"/>
          <w:b/>
          <w:bCs/>
          <w:sz w:val="24"/>
          <w:szCs w:val="22"/>
        </w:rPr>
        <w:t>附件三 分项报价表</w:t>
      </w:r>
      <w:bookmarkEnd w:id="291"/>
      <w:bookmarkEnd w:id="292"/>
    </w:p>
    <w:p w14:paraId="20F6ADD5">
      <w:pPr>
        <w:spacing w:line="360" w:lineRule="auto"/>
        <w:jc w:val="center"/>
        <w:rPr>
          <w:rFonts w:ascii="宋体" w:hAnsi="宋体" w:cs="宋体"/>
          <w:b/>
          <w:sz w:val="28"/>
          <w:szCs w:val="22"/>
        </w:rPr>
      </w:pPr>
      <w:r>
        <w:rPr>
          <w:rFonts w:hint="eastAsia" w:ascii="宋体" w:hAnsi="宋体" w:cs="宋体"/>
          <w:b/>
          <w:sz w:val="28"/>
          <w:szCs w:val="22"/>
        </w:rPr>
        <w:t>分项报价表（仅参考）</w:t>
      </w:r>
    </w:p>
    <w:p w14:paraId="3277887D">
      <w:pPr>
        <w:spacing w:after="156" w:line="360" w:lineRule="auto"/>
        <w:ind w:firstLine="525"/>
        <w:rPr>
          <w:rFonts w:ascii="宋体" w:hAnsi="宋体" w:cs="宋体"/>
        </w:rPr>
      </w:pPr>
      <w:r>
        <w:rPr>
          <w:rFonts w:hint="eastAsia" w:ascii="宋体" w:hAnsi="宋体" w:cs="宋体"/>
          <w:szCs w:val="21"/>
        </w:rPr>
        <w:t>项目名称：                                              项目</w:t>
      </w:r>
      <w:r>
        <w:rPr>
          <w:rFonts w:hint="eastAsia" w:ascii="宋体" w:hAnsi="宋体" w:cs="宋体"/>
        </w:rPr>
        <w:t xml:space="preserve">编号：     </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p>
    <w:tbl>
      <w:tblPr>
        <w:tblStyle w:val="49"/>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0"/>
        <w:gridCol w:w="2836"/>
        <w:gridCol w:w="882"/>
        <w:gridCol w:w="1249"/>
        <w:gridCol w:w="869"/>
        <w:gridCol w:w="947"/>
        <w:gridCol w:w="1913"/>
      </w:tblGrid>
      <w:tr w14:paraId="5641E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84" w:type="pct"/>
            <w:vAlign w:val="center"/>
          </w:tcPr>
          <w:p w14:paraId="2EBC0185">
            <w:pPr>
              <w:widowControl/>
              <w:snapToGrid w:val="0"/>
              <w:spacing w:line="288" w:lineRule="auto"/>
              <w:jc w:val="center"/>
              <w:rPr>
                <w:rFonts w:ascii="宋体" w:hAnsi="宋体"/>
                <w:b/>
                <w:szCs w:val="21"/>
              </w:rPr>
            </w:pPr>
            <w:r>
              <w:rPr>
                <w:rFonts w:hint="eastAsia" w:ascii="宋体" w:hAnsi="宋体"/>
                <w:b/>
                <w:szCs w:val="21"/>
              </w:rPr>
              <w:t>序号</w:t>
            </w:r>
          </w:p>
        </w:tc>
        <w:tc>
          <w:tcPr>
            <w:tcW w:w="1440" w:type="pct"/>
            <w:vAlign w:val="center"/>
          </w:tcPr>
          <w:p w14:paraId="7D932A8C">
            <w:pPr>
              <w:widowControl/>
              <w:snapToGrid w:val="0"/>
              <w:spacing w:line="288" w:lineRule="auto"/>
              <w:jc w:val="center"/>
              <w:rPr>
                <w:rFonts w:ascii="宋体" w:hAnsi="宋体"/>
                <w:b/>
                <w:szCs w:val="21"/>
              </w:rPr>
            </w:pPr>
            <w:r>
              <w:rPr>
                <w:rFonts w:hint="eastAsia" w:ascii="宋体" w:hAnsi="宋体"/>
                <w:b/>
                <w:szCs w:val="21"/>
              </w:rPr>
              <w:t>分项内容</w:t>
            </w:r>
          </w:p>
        </w:tc>
        <w:tc>
          <w:tcPr>
            <w:tcW w:w="448" w:type="pct"/>
            <w:vAlign w:val="center"/>
          </w:tcPr>
          <w:p w14:paraId="11D437E5">
            <w:pPr>
              <w:widowControl/>
              <w:snapToGrid w:val="0"/>
              <w:spacing w:line="288" w:lineRule="auto"/>
              <w:jc w:val="center"/>
              <w:rPr>
                <w:rFonts w:ascii="宋体" w:hAnsi="宋体"/>
                <w:b/>
                <w:szCs w:val="21"/>
              </w:rPr>
            </w:pPr>
            <w:r>
              <w:rPr>
                <w:rFonts w:hint="eastAsia" w:ascii="宋体" w:hAnsi="宋体"/>
                <w:b/>
                <w:szCs w:val="21"/>
              </w:rPr>
              <w:t>单位</w:t>
            </w:r>
          </w:p>
        </w:tc>
        <w:tc>
          <w:tcPr>
            <w:tcW w:w="634" w:type="pct"/>
            <w:vAlign w:val="center"/>
          </w:tcPr>
          <w:p w14:paraId="15710990">
            <w:pPr>
              <w:widowControl/>
              <w:snapToGrid w:val="0"/>
              <w:spacing w:line="288" w:lineRule="auto"/>
              <w:jc w:val="center"/>
              <w:rPr>
                <w:rFonts w:ascii="宋体" w:hAnsi="宋体"/>
                <w:b/>
                <w:szCs w:val="21"/>
              </w:rPr>
            </w:pPr>
            <w:r>
              <w:rPr>
                <w:rFonts w:hint="eastAsia" w:ascii="宋体" w:hAnsi="宋体"/>
                <w:b/>
                <w:szCs w:val="21"/>
              </w:rPr>
              <w:t>数量</w:t>
            </w:r>
          </w:p>
        </w:tc>
        <w:tc>
          <w:tcPr>
            <w:tcW w:w="441" w:type="pct"/>
            <w:vAlign w:val="center"/>
          </w:tcPr>
          <w:p w14:paraId="2C8883B9">
            <w:pPr>
              <w:widowControl/>
              <w:snapToGrid w:val="0"/>
              <w:spacing w:line="288" w:lineRule="auto"/>
              <w:jc w:val="center"/>
              <w:rPr>
                <w:rFonts w:ascii="宋体" w:hAnsi="宋体"/>
                <w:b/>
                <w:szCs w:val="21"/>
              </w:rPr>
            </w:pPr>
            <w:r>
              <w:rPr>
                <w:rFonts w:hint="eastAsia" w:ascii="宋体" w:hAnsi="宋体"/>
                <w:b/>
                <w:szCs w:val="21"/>
              </w:rPr>
              <w:t>单价</w:t>
            </w:r>
          </w:p>
        </w:tc>
        <w:tc>
          <w:tcPr>
            <w:tcW w:w="481" w:type="pct"/>
            <w:vAlign w:val="center"/>
          </w:tcPr>
          <w:p w14:paraId="0C3222B5">
            <w:pPr>
              <w:snapToGrid w:val="0"/>
              <w:spacing w:line="288" w:lineRule="auto"/>
              <w:jc w:val="center"/>
              <w:rPr>
                <w:rFonts w:ascii="宋体" w:hAnsi="宋体"/>
                <w:b/>
                <w:szCs w:val="21"/>
              </w:rPr>
            </w:pPr>
            <w:r>
              <w:rPr>
                <w:rFonts w:hint="eastAsia" w:ascii="宋体" w:hAnsi="宋体"/>
                <w:b/>
                <w:szCs w:val="21"/>
              </w:rPr>
              <w:t>总价</w:t>
            </w:r>
          </w:p>
        </w:tc>
        <w:tc>
          <w:tcPr>
            <w:tcW w:w="970" w:type="pct"/>
            <w:vAlign w:val="center"/>
          </w:tcPr>
          <w:p w14:paraId="7A6A2CB4">
            <w:pPr>
              <w:widowControl/>
              <w:snapToGrid w:val="0"/>
              <w:spacing w:line="288" w:lineRule="auto"/>
              <w:jc w:val="center"/>
              <w:rPr>
                <w:rFonts w:ascii="宋体" w:hAnsi="宋体"/>
                <w:b/>
                <w:szCs w:val="21"/>
              </w:rPr>
            </w:pPr>
            <w:r>
              <w:rPr>
                <w:rFonts w:hint="eastAsia" w:ascii="宋体" w:hAnsi="宋体"/>
                <w:b/>
                <w:szCs w:val="21"/>
              </w:rPr>
              <w:t>备注</w:t>
            </w:r>
          </w:p>
        </w:tc>
      </w:tr>
      <w:tr w14:paraId="3DEDF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584" w:type="pct"/>
            <w:vAlign w:val="center"/>
          </w:tcPr>
          <w:p w14:paraId="38AEBA0A">
            <w:pPr>
              <w:widowControl/>
              <w:snapToGrid w:val="0"/>
              <w:spacing w:line="288" w:lineRule="auto"/>
              <w:jc w:val="center"/>
              <w:rPr>
                <w:rFonts w:ascii="宋体" w:hAnsi="宋体"/>
                <w:bCs/>
                <w:szCs w:val="21"/>
              </w:rPr>
            </w:pPr>
            <w:r>
              <w:rPr>
                <w:rFonts w:hint="eastAsia" w:ascii="宋体" w:hAnsi="宋体"/>
                <w:bCs/>
                <w:szCs w:val="21"/>
              </w:rPr>
              <w:t>1</w:t>
            </w:r>
          </w:p>
        </w:tc>
        <w:tc>
          <w:tcPr>
            <w:tcW w:w="1440" w:type="pct"/>
            <w:vAlign w:val="center"/>
          </w:tcPr>
          <w:p w14:paraId="2223E435">
            <w:pPr>
              <w:widowControl/>
              <w:snapToGrid w:val="0"/>
              <w:spacing w:line="288" w:lineRule="auto"/>
              <w:rPr>
                <w:rFonts w:ascii="宋体" w:hAnsi="宋体"/>
                <w:b/>
                <w:szCs w:val="21"/>
              </w:rPr>
            </w:pPr>
          </w:p>
        </w:tc>
        <w:tc>
          <w:tcPr>
            <w:tcW w:w="448" w:type="pct"/>
            <w:vAlign w:val="center"/>
          </w:tcPr>
          <w:p w14:paraId="55F67F2C">
            <w:pPr>
              <w:widowControl/>
              <w:snapToGrid w:val="0"/>
              <w:spacing w:line="288" w:lineRule="auto"/>
              <w:rPr>
                <w:rFonts w:ascii="宋体" w:hAnsi="宋体"/>
                <w:szCs w:val="21"/>
              </w:rPr>
            </w:pPr>
          </w:p>
        </w:tc>
        <w:tc>
          <w:tcPr>
            <w:tcW w:w="634" w:type="pct"/>
            <w:vAlign w:val="center"/>
          </w:tcPr>
          <w:p w14:paraId="6C79A47B">
            <w:pPr>
              <w:widowControl/>
              <w:snapToGrid w:val="0"/>
              <w:spacing w:line="288" w:lineRule="auto"/>
              <w:rPr>
                <w:rFonts w:ascii="宋体" w:hAnsi="宋体"/>
                <w:szCs w:val="21"/>
              </w:rPr>
            </w:pPr>
          </w:p>
        </w:tc>
        <w:tc>
          <w:tcPr>
            <w:tcW w:w="441" w:type="pct"/>
            <w:vAlign w:val="center"/>
          </w:tcPr>
          <w:p w14:paraId="11A7F94C">
            <w:pPr>
              <w:widowControl/>
              <w:snapToGrid w:val="0"/>
              <w:spacing w:line="288" w:lineRule="auto"/>
              <w:rPr>
                <w:rFonts w:ascii="宋体" w:hAnsi="宋体"/>
                <w:szCs w:val="21"/>
              </w:rPr>
            </w:pPr>
          </w:p>
        </w:tc>
        <w:tc>
          <w:tcPr>
            <w:tcW w:w="481" w:type="pct"/>
            <w:vAlign w:val="center"/>
          </w:tcPr>
          <w:p w14:paraId="7413A0C3">
            <w:pPr>
              <w:snapToGrid w:val="0"/>
              <w:spacing w:line="288" w:lineRule="auto"/>
              <w:rPr>
                <w:rFonts w:ascii="宋体" w:hAnsi="宋体"/>
                <w:szCs w:val="21"/>
              </w:rPr>
            </w:pPr>
          </w:p>
        </w:tc>
        <w:tc>
          <w:tcPr>
            <w:tcW w:w="970" w:type="pct"/>
            <w:vAlign w:val="center"/>
          </w:tcPr>
          <w:p w14:paraId="300B55F9">
            <w:pPr>
              <w:widowControl/>
              <w:snapToGrid w:val="0"/>
              <w:spacing w:line="288" w:lineRule="auto"/>
              <w:rPr>
                <w:rFonts w:ascii="宋体" w:hAnsi="宋体"/>
                <w:szCs w:val="21"/>
              </w:rPr>
            </w:pPr>
          </w:p>
        </w:tc>
      </w:tr>
      <w:tr w14:paraId="18730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584" w:type="pct"/>
            <w:vAlign w:val="center"/>
          </w:tcPr>
          <w:p w14:paraId="6C6E5FBB">
            <w:pPr>
              <w:widowControl/>
              <w:snapToGrid w:val="0"/>
              <w:spacing w:line="288" w:lineRule="auto"/>
              <w:jc w:val="center"/>
              <w:rPr>
                <w:rFonts w:ascii="宋体" w:hAnsi="宋体"/>
                <w:bCs/>
                <w:szCs w:val="21"/>
              </w:rPr>
            </w:pPr>
            <w:r>
              <w:rPr>
                <w:rFonts w:hint="eastAsia" w:ascii="宋体" w:hAnsi="宋体"/>
                <w:bCs/>
                <w:szCs w:val="21"/>
              </w:rPr>
              <w:t>2</w:t>
            </w:r>
          </w:p>
        </w:tc>
        <w:tc>
          <w:tcPr>
            <w:tcW w:w="1440" w:type="pct"/>
            <w:vAlign w:val="center"/>
          </w:tcPr>
          <w:p w14:paraId="615B8C48">
            <w:pPr>
              <w:widowControl/>
              <w:snapToGrid w:val="0"/>
              <w:spacing w:line="288" w:lineRule="auto"/>
              <w:rPr>
                <w:rFonts w:ascii="宋体" w:hAnsi="宋体"/>
                <w:b/>
                <w:szCs w:val="21"/>
              </w:rPr>
            </w:pPr>
          </w:p>
        </w:tc>
        <w:tc>
          <w:tcPr>
            <w:tcW w:w="448" w:type="pct"/>
            <w:vAlign w:val="center"/>
          </w:tcPr>
          <w:p w14:paraId="10219008">
            <w:pPr>
              <w:widowControl/>
              <w:snapToGrid w:val="0"/>
              <w:spacing w:line="288" w:lineRule="auto"/>
              <w:rPr>
                <w:rFonts w:ascii="宋体" w:hAnsi="宋体"/>
                <w:szCs w:val="21"/>
              </w:rPr>
            </w:pPr>
          </w:p>
        </w:tc>
        <w:tc>
          <w:tcPr>
            <w:tcW w:w="634" w:type="pct"/>
            <w:vAlign w:val="center"/>
          </w:tcPr>
          <w:p w14:paraId="729F4FA1">
            <w:pPr>
              <w:widowControl/>
              <w:snapToGrid w:val="0"/>
              <w:spacing w:line="288" w:lineRule="auto"/>
              <w:rPr>
                <w:rFonts w:ascii="宋体" w:hAnsi="宋体"/>
                <w:szCs w:val="21"/>
              </w:rPr>
            </w:pPr>
          </w:p>
        </w:tc>
        <w:tc>
          <w:tcPr>
            <w:tcW w:w="441" w:type="pct"/>
            <w:vAlign w:val="center"/>
          </w:tcPr>
          <w:p w14:paraId="64BED3B0">
            <w:pPr>
              <w:widowControl/>
              <w:snapToGrid w:val="0"/>
              <w:spacing w:line="288" w:lineRule="auto"/>
              <w:rPr>
                <w:rFonts w:ascii="宋体" w:hAnsi="宋体"/>
                <w:szCs w:val="21"/>
              </w:rPr>
            </w:pPr>
          </w:p>
        </w:tc>
        <w:tc>
          <w:tcPr>
            <w:tcW w:w="481" w:type="pct"/>
            <w:vAlign w:val="center"/>
          </w:tcPr>
          <w:p w14:paraId="07CBFF0D">
            <w:pPr>
              <w:snapToGrid w:val="0"/>
              <w:spacing w:line="288" w:lineRule="auto"/>
              <w:rPr>
                <w:rFonts w:ascii="宋体" w:hAnsi="宋体"/>
                <w:szCs w:val="21"/>
              </w:rPr>
            </w:pPr>
          </w:p>
        </w:tc>
        <w:tc>
          <w:tcPr>
            <w:tcW w:w="970" w:type="pct"/>
            <w:vAlign w:val="center"/>
          </w:tcPr>
          <w:p w14:paraId="38044FB8">
            <w:pPr>
              <w:widowControl/>
              <w:snapToGrid w:val="0"/>
              <w:spacing w:line="288" w:lineRule="auto"/>
              <w:rPr>
                <w:rFonts w:ascii="宋体" w:hAnsi="宋体"/>
                <w:szCs w:val="21"/>
              </w:rPr>
            </w:pPr>
          </w:p>
        </w:tc>
      </w:tr>
      <w:tr w14:paraId="29CFD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584" w:type="pct"/>
            <w:vAlign w:val="center"/>
          </w:tcPr>
          <w:p w14:paraId="1137A968">
            <w:pPr>
              <w:widowControl/>
              <w:snapToGrid w:val="0"/>
              <w:spacing w:line="288" w:lineRule="auto"/>
              <w:jc w:val="center"/>
              <w:rPr>
                <w:rFonts w:ascii="宋体" w:hAnsi="宋体"/>
                <w:bCs/>
                <w:szCs w:val="21"/>
              </w:rPr>
            </w:pPr>
            <w:r>
              <w:rPr>
                <w:rFonts w:hint="eastAsia" w:ascii="宋体" w:hAnsi="宋体"/>
                <w:bCs/>
                <w:szCs w:val="21"/>
              </w:rPr>
              <w:t>3</w:t>
            </w:r>
          </w:p>
        </w:tc>
        <w:tc>
          <w:tcPr>
            <w:tcW w:w="1440" w:type="pct"/>
            <w:vAlign w:val="center"/>
          </w:tcPr>
          <w:p w14:paraId="1F6AC33D">
            <w:pPr>
              <w:widowControl/>
              <w:snapToGrid w:val="0"/>
              <w:spacing w:line="288" w:lineRule="auto"/>
              <w:rPr>
                <w:rFonts w:ascii="宋体" w:hAnsi="宋体"/>
                <w:b/>
                <w:szCs w:val="21"/>
              </w:rPr>
            </w:pPr>
          </w:p>
        </w:tc>
        <w:tc>
          <w:tcPr>
            <w:tcW w:w="448" w:type="pct"/>
            <w:vAlign w:val="center"/>
          </w:tcPr>
          <w:p w14:paraId="5DD0C770">
            <w:pPr>
              <w:widowControl/>
              <w:snapToGrid w:val="0"/>
              <w:spacing w:line="288" w:lineRule="auto"/>
              <w:rPr>
                <w:rFonts w:ascii="宋体" w:hAnsi="宋体"/>
                <w:szCs w:val="21"/>
              </w:rPr>
            </w:pPr>
          </w:p>
        </w:tc>
        <w:tc>
          <w:tcPr>
            <w:tcW w:w="634" w:type="pct"/>
            <w:vAlign w:val="center"/>
          </w:tcPr>
          <w:p w14:paraId="2D7FEA15">
            <w:pPr>
              <w:widowControl/>
              <w:snapToGrid w:val="0"/>
              <w:spacing w:line="288" w:lineRule="auto"/>
              <w:rPr>
                <w:rFonts w:ascii="宋体" w:hAnsi="宋体"/>
                <w:szCs w:val="21"/>
              </w:rPr>
            </w:pPr>
          </w:p>
        </w:tc>
        <w:tc>
          <w:tcPr>
            <w:tcW w:w="441" w:type="pct"/>
            <w:vAlign w:val="center"/>
          </w:tcPr>
          <w:p w14:paraId="1F43EBAB">
            <w:pPr>
              <w:widowControl/>
              <w:snapToGrid w:val="0"/>
              <w:spacing w:line="288" w:lineRule="auto"/>
              <w:rPr>
                <w:rFonts w:ascii="宋体" w:hAnsi="宋体"/>
                <w:szCs w:val="21"/>
              </w:rPr>
            </w:pPr>
          </w:p>
        </w:tc>
        <w:tc>
          <w:tcPr>
            <w:tcW w:w="481" w:type="pct"/>
            <w:vAlign w:val="center"/>
          </w:tcPr>
          <w:p w14:paraId="0BB4AFE7">
            <w:pPr>
              <w:snapToGrid w:val="0"/>
              <w:spacing w:line="288" w:lineRule="auto"/>
              <w:rPr>
                <w:rFonts w:ascii="宋体" w:hAnsi="宋体"/>
                <w:szCs w:val="21"/>
              </w:rPr>
            </w:pPr>
          </w:p>
        </w:tc>
        <w:tc>
          <w:tcPr>
            <w:tcW w:w="970" w:type="pct"/>
            <w:vAlign w:val="center"/>
          </w:tcPr>
          <w:p w14:paraId="2DCCEDE9">
            <w:pPr>
              <w:widowControl/>
              <w:snapToGrid w:val="0"/>
              <w:spacing w:line="288" w:lineRule="auto"/>
              <w:rPr>
                <w:rFonts w:ascii="宋体" w:hAnsi="宋体"/>
                <w:szCs w:val="21"/>
              </w:rPr>
            </w:pPr>
          </w:p>
        </w:tc>
      </w:tr>
      <w:tr w14:paraId="26754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584" w:type="pct"/>
            <w:vAlign w:val="center"/>
          </w:tcPr>
          <w:p w14:paraId="259BF94A">
            <w:pPr>
              <w:widowControl/>
              <w:snapToGrid w:val="0"/>
              <w:spacing w:line="288" w:lineRule="auto"/>
              <w:jc w:val="center"/>
              <w:rPr>
                <w:rFonts w:ascii="宋体" w:hAnsi="宋体"/>
                <w:bCs/>
                <w:szCs w:val="21"/>
              </w:rPr>
            </w:pPr>
            <w:r>
              <w:rPr>
                <w:rFonts w:hint="eastAsia" w:ascii="宋体" w:hAnsi="宋体"/>
                <w:bCs/>
                <w:szCs w:val="21"/>
              </w:rPr>
              <w:t>4</w:t>
            </w:r>
          </w:p>
        </w:tc>
        <w:tc>
          <w:tcPr>
            <w:tcW w:w="1440" w:type="pct"/>
            <w:vAlign w:val="center"/>
          </w:tcPr>
          <w:p w14:paraId="6BB76352">
            <w:pPr>
              <w:widowControl/>
              <w:snapToGrid w:val="0"/>
              <w:spacing w:line="288" w:lineRule="auto"/>
              <w:rPr>
                <w:rFonts w:ascii="宋体" w:hAnsi="宋体"/>
                <w:b/>
                <w:szCs w:val="21"/>
              </w:rPr>
            </w:pPr>
          </w:p>
        </w:tc>
        <w:tc>
          <w:tcPr>
            <w:tcW w:w="448" w:type="pct"/>
            <w:vAlign w:val="center"/>
          </w:tcPr>
          <w:p w14:paraId="756A4004">
            <w:pPr>
              <w:widowControl/>
              <w:snapToGrid w:val="0"/>
              <w:spacing w:line="288" w:lineRule="auto"/>
              <w:rPr>
                <w:rFonts w:ascii="宋体" w:hAnsi="宋体"/>
                <w:szCs w:val="21"/>
              </w:rPr>
            </w:pPr>
          </w:p>
        </w:tc>
        <w:tc>
          <w:tcPr>
            <w:tcW w:w="634" w:type="pct"/>
            <w:vAlign w:val="center"/>
          </w:tcPr>
          <w:p w14:paraId="0826C3C8">
            <w:pPr>
              <w:widowControl/>
              <w:snapToGrid w:val="0"/>
              <w:spacing w:line="288" w:lineRule="auto"/>
              <w:rPr>
                <w:rFonts w:ascii="宋体" w:hAnsi="宋体"/>
                <w:szCs w:val="21"/>
              </w:rPr>
            </w:pPr>
          </w:p>
        </w:tc>
        <w:tc>
          <w:tcPr>
            <w:tcW w:w="441" w:type="pct"/>
            <w:vAlign w:val="center"/>
          </w:tcPr>
          <w:p w14:paraId="5231798A">
            <w:pPr>
              <w:widowControl/>
              <w:snapToGrid w:val="0"/>
              <w:spacing w:line="288" w:lineRule="auto"/>
              <w:rPr>
                <w:rFonts w:ascii="宋体" w:hAnsi="宋体"/>
                <w:szCs w:val="21"/>
              </w:rPr>
            </w:pPr>
          </w:p>
        </w:tc>
        <w:tc>
          <w:tcPr>
            <w:tcW w:w="481" w:type="pct"/>
            <w:vAlign w:val="center"/>
          </w:tcPr>
          <w:p w14:paraId="4F109194">
            <w:pPr>
              <w:snapToGrid w:val="0"/>
              <w:spacing w:line="288" w:lineRule="auto"/>
              <w:rPr>
                <w:rFonts w:ascii="宋体" w:hAnsi="宋体"/>
                <w:szCs w:val="21"/>
              </w:rPr>
            </w:pPr>
          </w:p>
        </w:tc>
        <w:tc>
          <w:tcPr>
            <w:tcW w:w="970" w:type="pct"/>
            <w:vAlign w:val="center"/>
          </w:tcPr>
          <w:p w14:paraId="49ADAA90">
            <w:pPr>
              <w:widowControl/>
              <w:snapToGrid w:val="0"/>
              <w:spacing w:line="288" w:lineRule="auto"/>
              <w:rPr>
                <w:rFonts w:ascii="宋体" w:hAnsi="宋体"/>
                <w:szCs w:val="21"/>
              </w:rPr>
            </w:pPr>
          </w:p>
        </w:tc>
      </w:tr>
      <w:tr w14:paraId="50D40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584" w:type="pct"/>
            <w:vAlign w:val="center"/>
          </w:tcPr>
          <w:p w14:paraId="7B575C39">
            <w:pPr>
              <w:widowControl/>
              <w:snapToGrid w:val="0"/>
              <w:spacing w:line="288" w:lineRule="auto"/>
              <w:jc w:val="center"/>
              <w:rPr>
                <w:rFonts w:ascii="宋体" w:hAnsi="宋体"/>
                <w:bCs/>
                <w:szCs w:val="21"/>
              </w:rPr>
            </w:pPr>
            <w:r>
              <w:rPr>
                <w:rFonts w:hint="eastAsia" w:ascii="宋体" w:hAnsi="宋体"/>
                <w:bCs/>
                <w:szCs w:val="21"/>
              </w:rPr>
              <w:t>5</w:t>
            </w:r>
          </w:p>
        </w:tc>
        <w:tc>
          <w:tcPr>
            <w:tcW w:w="1440" w:type="pct"/>
            <w:vAlign w:val="center"/>
          </w:tcPr>
          <w:p w14:paraId="6179DF75">
            <w:pPr>
              <w:widowControl/>
              <w:snapToGrid w:val="0"/>
              <w:spacing w:line="288" w:lineRule="auto"/>
              <w:rPr>
                <w:rFonts w:ascii="宋体" w:hAnsi="宋体"/>
                <w:b/>
                <w:szCs w:val="21"/>
              </w:rPr>
            </w:pPr>
          </w:p>
        </w:tc>
        <w:tc>
          <w:tcPr>
            <w:tcW w:w="448" w:type="pct"/>
            <w:vAlign w:val="center"/>
          </w:tcPr>
          <w:p w14:paraId="1B7E62F3">
            <w:pPr>
              <w:widowControl/>
              <w:snapToGrid w:val="0"/>
              <w:spacing w:line="288" w:lineRule="auto"/>
              <w:rPr>
                <w:rFonts w:ascii="宋体" w:hAnsi="宋体"/>
                <w:szCs w:val="21"/>
              </w:rPr>
            </w:pPr>
          </w:p>
        </w:tc>
        <w:tc>
          <w:tcPr>
            <w:tcW w:w="634" w:type="pct"/>
            <w:vAlign w:val="center"/>
          </w:tcPr>
          <w:p w14:paraId="5AA6B6C7">
            <w:pPr>
              <w:widowControl/>
              <w:snapToGrid w:val="0"/>
              <w:spacing w:line="288" w:lineRule="auto"/>
              <w:rPr>
                <w:rFonts w:ascii="宋体" w:hAnsi="宋体"/>
                <w:szCs w:val="21"/>
              </w:rPr>
            </w:pPr>
          </w:p>
        </w:tc>
        <w:tc>
          <w:tcPr>
            <w:tcW w:w="441" w:type="pct"/>
            <w:vAlign w:val="center"/>
          </w:tcPr>
          <w:p w14:paraId="48BEDA77">
            <w:pPr>
              <w:widowControl/>
              <w:snapToGrid w:val="0"/>
              <w:spacing w:line="288" w:lineRule="auto"/>
              <w:rPr>
                <w:rFonts w:ascii="宋体" w:hAnsi="宋体"/>
                <w:szCs w:val="21"/>
              </w:rPr>
            </w:pPr>
          </w:p>
        </w:tc>
        <w:tc>
          <w:tcPr>
            <w:tcW w:w="481" w:type="pct"/>
            <w:vAlign w:val="center"/>
          </w:tcPr>
          <w:p w14:paraId="5CCFEFD4">
            <w:pPr>
              <w:snapToGrid w:val="0"/>
              <w:spacing w:line="288" w:lineRule="auto"/>
              <w:rPr>
                <w:rFonts w:ascii="宋体" w:hAnsi="宋体"/>
                <w:szCs w:val="21"/>
              </w:rPr>
            </w:pPr>
          </w:p>
        </w:tc>
        <w:tc>
          <w:tcPr>
            <w:tcW w:w="970" w:type="pct"/>
            <w:vAlign w:val="center"/>
          </w:tcPr>
          <w:p w14:paraId="303087BC">
            <w:pPr>
              <w:widowControl/>
              <w:snapToGrid w:val="0"/>
              <w:spacing w:line="288" w:lineRule="auto"/>
              <w:rPr>
                <w:rFonts w:ascii="宋体" w:hAnsi="宋体"/>
                <w:szCs w:val="21"/>
              </w:rPr>
            </w:pPr>
          </w:p>
        </w:tc>
      </w:tr>
      <w:tr w14:paraId="725F0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584" w:type="pct"/>
            <w:vAlign w:val="center"/>
          </w:tcPr>
          <w:p w14:paraId="71A268E5">
            <w:pPr>
              <w:widowControl/>
              <w:snapToGrid w:val="0"/>
              <w:spacing w:line="288" w:lineRule="auto"/>
              <w:jc w:val="center"/>
              <w:rPr>
                <w:rFonts w:ascii="宋体" w:hAnsi="宋体"/>
                <w:bCs/>
                <w:szCs w:val="21"/>
              </w:rPr>
            </w:pPr>
            <w:r>
              <w:rPr>
                <w:rFonts w:hint="eastAsia" w:ascii="宋体" w:hAnsi="宋体"/>
                <w:bCs/>
                <w:szCs w:val="21"/>
              </w:rPr>
              <w:t>6</w:t>
            </w:r>
          </w:p>
        </w:tc>
        <w:tc>
          <w:tcPr>
            <w:tcW w:w="1440" w:type="pct"/>
            <w:vAlign w:val="center"/>
          </w:tcPr>
          <w:p w14:paraId="7E9F0815">
            <w:pPr>
              <w:widowControl/>
              <w:snapToGrid w:val="0"/>
              <w:spacing w:line="288" w:lineRule="auto"/>
              <w:rPr>
                <w:rFonts w:ascii="宋体" w:hAnsi="宋体"/>
                <w:b/>
                <w:szCs w:val="21"/>
              </w:rPr>
            </w:pPr>
            <w:r>
              <w:rPr>
                <w:rFonts w:hint="eastAsia" w:ascii="宋体" w:hAnsi="宋体"/>
                <w:b/>
                <w:szCs w:val="21"/>
              </w:rPr>
              <w:t>……</w:t>
            </w:r>
          </w:p>
        </w:tc>
        <w:tc>
          <w:tcPr>
            <w:tcW w:w="448" w:type="pct"/>
            <w:vAlign w:val="center"/>
          </w:tcPr>
          <w:p w14:paraId="3606073D">
            <w:pPr>
              <w:widowControl/>
              <w:snapToGrid w:val="0"/>
              <w:spacing w:line="288" w:lineRule="auto"/>
              <w:rPr>
                <w:rFonts w:ascii="宋体" w:hAnsi="宋体"/>
                <w:szCs w:val="21"/>
              </w:rPr>
            </w:pPr>
          </w:p>
        </w:tc>
        <w:tc>
          <w:tcPr>
            <w:tcW w:w="634" w:type="pct"/>
            <w:vAlign w:val="center"/>
          </w:tcPr>
          <w:p w14:paraId="20508182">
            <w:pPr>
              <w:widowControl/>
              <w:snapToGrid w:val="0"/>
              <w:spacing w:line="288" w:lineRule="auto"/>
              <w:rPr>
                <w:rFonts w:ascii="宋体" w:hAnsi="宋体"/>
                <w:szCs w:val="21"/>
              </w:rPr>
            </w:pPr>
          </w:p>
        </w:tc>
        <w:tc>
          <w:tcPr>
            <w:tcW w:w="441" w:type="pct"/>
            <w:vAlign w:val="center"/>
          </w:tcPr>
          <w:p w14:paraId="4B85239B">
            <w:pPr>
              <w:widowControl/>
              <w:snapToGrid w:val="0"/>
              <w:spacing w:line="288" w:lineRule="auto"/>
              <w:rPr>
                <w:rFonts w:ascii="宋体" w:hAnsi="宋体"/>
                <w:szCs w:val="21"/>
              </w:rPr>
            </w:pPr>
          </w:p>
        </w:tc>
        <w:tc>
          <w:tcPr>
            <w:tcW w:w="481" w:type="pct"/>
            <w:vAlign w:val="center"/>
          </w:tcPr>
          <w:p w14:paraId="4DB3C0CF">
            <w:pPr>
              <w:snapToGrid w:val="0"/>
              <w:spacing w:line="288" w:lineRule="auto"/>
              <w:rPr>
                <w:rFonts w:ascii="宋体" w:hAnsi="宋体"/>
                <w:szCs w:val="21"/>
              </w:rPr>
            </w:pPr>
          </w:p>
        </w:tc>
        <w:tc>
          <w:tcPr>
            <w:tcW w:w="970" w:type="pct"/>
            <w:vAlign w:val="center"/>
          </w:tcPr>
          <w:p w14:paraId="03F89454">
            <w:pPr>
              <w:widowControl/>
              <w:snapToGrid w:val="0"/>
              <w:spacing w:line="288" w:lineRule="auto"/>
              <w:rPr>
                <w:rFonts w:ascii="宋体" w:hAnsi="宋体"/>
                <w:szCs w:val="21"/>
              </w:rPr>
            </w:pPr>
          </w:p>
        </w:tc>
      </w:tr>
      <w:tr w14:paraId="08B89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584" w:type="pct"/>
            <w:vAlign w:val="center"/>
          </w:tcPr>
          <w:p w14:paraId="4294A75C">
            <w:pPr>
              <w:widowControl/>
              <w:snapToGrid w:val="0"/>
              <w:spacing w:line="288" w:lineRule="auto"/>
              <w:rPr>
                <w:rFonts w:ascii="宋体" w:hAnsi="宋体"/>
                <w:szCs w:val="21"/>
              </w:rPr>
            </w:pPr>
            <w:r>
              <w:rPr>
                <w:rFonts w:hint="eastAsia" w:ascii="宋体" w:hAnsi="宋体"/>
                <w:szCs w:val="21"/>
              </w:rPr>
              <w:t xml:space="preserve">合计：          </w:t>
            </w:r>
          </w:p>
        </w:tc>
        <w:tc>
          <w:tcPr>
            <w:tcW w:w="4415" w:type="pct"/>
            <w:gridSpan w:val="6"/>
            <w:vAlign w:val="center"/>
          </w:tcPr>
          <w:p w14:paraId="5BE559F3">
            <w:pPr>
              <w:widowControl/>
              <w:snapToGrid w:val="0"/>
              <w:spacing w:line="288" w:lineRule="auto"/>
              <w:ind w:firstLine="1680" w:firstLineChars="800"/>
              <w:rPr>
                <w:rFonts w:ascii="宋体" w:hAnsi="宋体"/>
                <w:szCs w:val="21"/>
              </w:rPr>
            </w:pPr>
            <w:r>
              <w:rPr>
                <w:rFonts w:hint="eastAsia" w:ascii="宋体" w:hAnsi="宋体"/>
                <w:szCs w:val="21"/>
              </w:rPr>
              <w:t>元(小数点保留两位)</w:t>
            </w:r>
          </w:p>
        </w:tc>
      </w:tr>
    </w:tbl>
    <w:p w14:paraId="2D8BFD6D">
      <w:pPr>
        <w:spacing w:line="360" w:lineRule="auto"/>
        <w:rPr>
          <w:rFonts w:ascii="宋体" w:hAnsi="宋体" w:cs="宋体"/>
        </w:rPr>
      </w:pPr>
    </w:p>
    <w:p w14:paraId="6E85FA8A">
      <w:pPr>
        <w:spacing w:line="360" w:lineRule="auto"/>
        <w:rPr>
          <w:rFonts w:ascii="宋体" w:hAnsi="宋体" w:cs="宋体"/>
          <w:szCs w:val="21"/>
        </w:rPr>
      </w:pPr>
      <w:r>
        <w:rPr>
          <w:rFonts w:hint="eastAsia" w:ascii="宋体" w:hAnsi="宋体" w:cs="宋体"/>
          <w:szCs w:val="21"/>
        </w:rPr>
        <w:t>供应商名称（公章）：</w:t>
      </w:r>
    </w:p>
    <w:p w14:paraId="24E965F6">
      <w:pPr>
        <w:spacing w:line="360" w:lineRule="auto"/>
        <w:rPr>
          <w:rFonts w:ascii="宋体" w:hAnsi="宋体" w:cs="宋体"/>
          <w:szCs w:val="21"/>
        </w:rPr>
      </w:pPr>
      <w:r>
        <w:rPr>
          <w:rFonts w:hint="eastAsia" w:ascii="宋体" w:hAnsi="宋体" w:cs="宋体"/>
          <w:szCs w:val="21"/>
        </w:rPr>
        <w:t>授权代表（签字）：</w:t>
      </w:r>
    </w:p>
    <w:p w14:paraId="28F96283">
      <w:pPr>
        <w:spacing w:line="360" w:lineRule="auto"/>
        <w:rPr>
          <w:rFonts w:ascii="宋体" w:hAnsi="宋体" w:cs="宋体"/>
          <w:szCs w:val="21"/>
        </w:rPr>
      </w:pPr>
      <w:r>
        <w:rPr>
          <w:rFonts w:hint="eastAsia" w:ascii="宋体" w:hAnsi="宋体" w:cs="宋体"/>
          <w:szCs w:val="21"/>
        </w:rPr>
        <w:t>日期：</w:t>
      </w:r>
    </w:p>
    <w:p w14:paraId="024514C2">
      <w:pPr>
        <w:spacing w:line="360" w:lineRule="auto"/>
        <w:rPr>
          <w:rFonts w:ascii="宋体" w:hAnsi="宋体" w:cs="宋体"/>
        </w:rPr>
      </w:pPr>
    </w:p>
    <w:p w14:paraId="2F3A0FCC">
      <w:pPr>
        <w:spacing w:line="360" w:lineRule="auto"/>
        <w:rPr>
          <w:rFonts w:ascii="Arial" w:hAnsi="Arial" w:cs="Arial"/>
        </w:rPr>
      </w:pPr>
      <w:r>
        <w:rPr>
          <w:rFonts w:ascii="Arial" w:hAnsi="Arial" w:cs="Arial"/>
        </w:rPr>
        <w:t>注：1、供应商应对上述每项内容列明组成的详细分项价格。</w:t>
      </w:r>
    </w:p>
    <w:p w14:paraId="617CDD3A">
      <w:pPr>
        <w:spacing w:line="360" w:lineRule="auto"/>
        <w:ind w:firstLine="420"/>
        <w:rPr>
          <w:rFonts w:ascii="Arial" w:hAnsi="Arial" w:cs="Arial"/>
        </w:rPr>
      </w:pPr>
      <w:r>
        <w:rPr>
          <w:rFonts w:ascii="Arial" w:hAnsi="Arial" w:cs="Arial"/>
        </w:rPr>
        <w:t>2、表中表格行数可自行添加。</w:t>
      </w:r>
    </w:p>
    <w:p w14:paraId="0E3FDBEE">
      <w:pPr>
        <w:spacing w:line="360" w:lineRule="auto"/>
        <w:ind w:firstLine="420"/>
        <w:rPr>
          <w:rFonts w:ascii="宋体" w:hAnsi="宋体" w:cs="宋体"/>
        </w:rPr>
      </w:pPr>
    </w:p>
    <w:p w14:paraId="42E4F57B">
      <w:pPr>
        <w:spacing w:line="360" w:lineRule="auto"/>
        <w:jc w:val="center"/>
        <w:rPr>
          <w:rFonts w:ascii="宋体" w:hAnsi="宋体" w:cs="宋体"/>
          <w:b/>
        </w:rPr>
      </w:pPr>
    </w:p>
    <w:p w14:paraId="64AA361D">
      <w:pPr>
        <w:spacing w:line="360" w:lineRule="auto"/>
        <w:rPr>
          <w:rFonts w:ascii="宋体" w:hAnsi="宋体" w:cs="宋体"/>
          <w:sz w:val="24"/>
        </w:rPr>
      </w:pPr>
    </w:p>
    <w:p w14:paraId="70EAECD8">
      <w:pPr>
        <w:spacing w:line="360" w:lineRule="auto"/>
        <w:rPr>
          <w:rFonts w:ascii="宋体" w:hAnsi="宋体" w:cs="宋体"/>
          <w:sz w:val="24"/>
        </w:rPr>
      </w:pPr>
    </w:p>
    <w:p w14:paraId="7F8D1366">
      <w:pPr>
        <w:spacing w:line="360" w:lineRule="auto"/>
        <w:rPr>
          <w:rFonts w:ascii="宋体" w:hAnsi="宋体" w:cs="宋体"/>
          <w:sz w:val="24"/>
        </w:rPr>
      </w:pPr>
    </w:p>
    <w:p w14:paraId="622E36D9">
      <w:pPr>
        <w:pStyle w:val="48"/>
        <w:ind w:firstLine="280"/>
      </w:pPr>
    </w:p>
    <w:p w14:paraId="21FB1A58">
      <w:pPr>
        <w:pStyle w:val="48"/>
        <w:ind w:firstLine="280"/>
      </w:pPr>
    </w:p>
    <w:p w14:paraId="392E70F2">
      <w:pPr>
        <w:pStyle w:val="48"/>
        <w:ind w:firstLine="280"/>
      </w:pPr>
    </w:p>
    <w:p w14:paraId="45AFB8A0">
      <w:pPr>
        <w:pStyle w:val="48"/>
        <w:ind w:firstLine="280"/>
      </w:pPr>
    </w:p>
    <w:p w14:paraId="014A9B42">
      <w:pPr>
        <w:rPr>
          <w:rFonts w:ascii="宋体" w:hAnsi="宋体" w:cs="宋体"/>
          <w:b/>
          <w:bCs/>
          <w:sz w:val="24"/>
          <w:szCs w:val="22"/>
        </w:rPr>
      </w:pPr>
      <w:bookmarkStart w:id="293" w:name="_Toc1431"/>
      <w:r>
        <w:rPr>
          <w:rFonts w:hint="eastAsia" w:ascii="宋体" w:hAnsi="宋体" w:cs="宋体"/>
          <w:b/>
          <w:bCs/>
          <w:sz w:val="24"/>
          <w:szCs w:val="22"/>
        </w:rPr>
        <w:br w:type="page" w:clear="all"/>
      </w:r>
    </w:p>
    <w:p w14:paraId="2632F13E">
      <w:pPr>
        <w:spacing w:after="156" w:line="360" w:lineRule="auto"/>
        <w:outlineLvl w:val="1"/>
        <w:rPr>
          <w:rFonts w:ascii="宋体" w:hAnsi="宋体" w:cs="宋体"/>
          <w:b/>
          <w:bCs/>
          <w:sz w:val="24"/>
          <w:szCs w:val="22"/>
        </w:rPr>
      </w:pPr>
      <w:bookmarkStart w:id="294" w:name="_Toc13864"/>
      <w:r>
        <w:rPr>
          <w:rFonts w:hint="eastAsia" w:ascii="宋体" w:hAnsi="宋体" w:cs="宋体"/>
          <w:b/>
          <w:bCs/>
          <w:sz w:val="24"/>
          <w:szCs w:val="22"/>
        </w:rPr>
        <w:t>附件四 商务条款偏离表</w:t>
      </w:r>
      <w:bookmarkEnd w:id="293"/>
      <w:bookmarkEnd w:id="294"/>
    </w:p>
    <w:tbl>
      <w:tblPr>
        <w:tblStyle w:val="49"/>
        <w:tblW w:w="976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94"/>
        <w:gridCol w:w="1734"/>
        <w:gridCol w:w="2895"/>
        <w:gridCol w:w="1628"/>
        <w:gridCol w:w="2815"/>
      </w:tblGrid>
      <w:tr w14:paraId="216B02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694" w:type="dxa"/>
            <w:tcBorders>
              <w:top w:val="single" w:color="auto" w:sz="4" w:space="0"/>
              <w:left w:val="single" w:color="auto" w:sz="4" w:space="0"/>
              <w:bottom w:val="single" w:color="auto" w:sz="4" w:space="0"/>
              <w:right w:val="single" w:color="auto" w:sz="4" w:space="0"/>
            </w:tcBorders>
          </w:tcPr>
          <w:p w14:paraId="0B5DAF32">
            <w:pPr>
              <w:spacing w:before="156" w:line="360" w:lineRule="auto"/>
              <w:jc w:val="center"/>
              <w:rPr>
                <w:rFonts w:ascii="宋体" w:hAnsi="宋体" w:cs="宋体"/>
                <w:szCs w:val="21"/>
              </w:rPr>
            </w:pPr>
            <w:r>
              <w:rPr>
                <w:rFonts w:hint="eastAsia" w:ascii="宋体" w:hAnsi="宋体" w:cs="宋体"/>
                <w:szCs w:val="21"/>
              </w:rPr>
              <w:t>序号</w:t>
            </w:r>
          </w:p>
        </w:tc>
        <w:tc>
          <w:tcPr>
            <w:tcW w:w="1734" w:type="dxa"/>
            <w:tcBorders>
              <w:top w:val="single" w:color="auto" w:sz="4" w:space="0"/>
              <w:left w:val="single" w:color="auto" w:sz="4" w:space="0"/>
              <w:bottom w:val="single" w:color="auto" w:sz="4" w:space="0"/>
              <w:right w:val="single" w:color="auto" w:sz="4" w:space="0"/>
            </w:tcBorders>
          </w:tcPr>
          <w:p w14:paraId="2416BDB6">
            <w:pPr>
              <w:spacing w:before="156" w:line="360" w:lineRule="auto"/>
              <w:jc w:val="center"/>
              <w:rPr>
                <w:rFonts w:ascii="宋体" w:hAnsi="宋体" w:cs="宋体"/>
                <w:szCs w:val="21"/>
              </w:rPr>
            </w:pPr>
            <w:r>
              <w:rPr>
                <w:rFonts w:hint="eastAsia" w:ascii="宋体" w:hAnsi="宋体" w:cs="宋体"/>
                <w:szCs w:val="21"/>
              </w:rPr>
              <w:t>采购文件条目号</w:t>
            </w:r>
          </w:p>
        </w:tc>
        <w:tc>
          <w:tcPr>
            <w:tcW w:w="2895" w:type="dxa"/>
            <w:tcBorders>
              <w:top w:val="single" w:color="auto" w:sz="4" w:space="0"/>
              <w:left w:val="single" w:color="auto" w:sz="4" w:space="0"/>
              <w:bottom w:val="single" w:color="auto" w:sz="4" w:space="0"/>
              <w:right w:val="single" w:color="auto" w:sz="4" w:space="0"/>
            </w:tcBorders>
          </w:tcPr>
          <w:p w14:paraId="1778B537">
            <w:pPr>
              <w:spacing w:before="156" w:line="360" w:lineRule="auto"/>
              <w:jc w:val="center"/>
              <w:rPr>
                <w:rFonts w:ascii="宋体" w:hAnsi="宋体" w:cs="宋体"/>
                <w:szCs w:val="21"/>
              </w:rPr>
            </w:pPr>
            <w:r>
              <w:rPr>
                <w:rFonts w:hint="eastAsia" w:ascii="宋体" w:hAnsi="宋体" w:cs="宋体"/>
                <w:szCs w:val="21"/>
              </w:rPr>
              <w:t>采购文件的商务条款</w:t>
            </w:r>
          </w:p>
        </w:tc>
        <w:tc>
          <w:tcPr>
            <w:tcW w:w="1628" w:type="dxa"/>
            <w:tcBorders>
              <w:top w:val="single" w:color="auto" w:sz="4" w:space="0"/>
              <w:left w:val="single" w:color="auto" w:sz="4" w:space="0"/>
              <w:bottom w:val="single" w:color="auto" w:sz="4" w:space="0"/>
              <w:right w:val="single" w:color="auto" w:sz="4" w:space="0"/>
            </w:tcBorders>
          </w:tcPr>
          <w:p w14:paraId="0CCCC2C2">
            <w:pPr>
              <w:spacing w:before="156" w:line="360" w:lineRule="auto"/>
              <w:jc w:val="center"/>
              <w:rPr>
                <w:rFonts w:ascii="宋体" w:hAnsi="宋体" w:cs="宋体"/>
                <w:szCs w:val="21"/>
              </w:rPr>
            </w:pPr>
            <w:r>
              <w:rPr>
                <w:rFonts w:hint="eastAsia" w:ascii="宋体" w:hAnsi="宋体" w:cs="宋体"/>
                <w:szCs w:val="21"/>
              </w:rPr>
              <w:t>采购文件响应</w:t>
            </w:r>
          </w:p>
        </w:tc>
        <w:tc>
          <w:tcPr>
            <w:tcW w:w="2815" w:type="dxa"/>
            <w:tcBorders>
              <w:top w:val="single" w:color="auto" w:sz="4" w:space="0"/>
              <w:left w:val="single" w:color="auto" w:sz="4" w:space="0"/>
              <w:bottom w:val="single" w:color="auto" w:sz="4" w:space="0"/>
              <w:right w:val="single" w:color="auto" w:sz="4" w:space="0"/>
            </w:tcBorders>
          </w:tcPr>
          <w:p w14:paraId="2658380D">
            <w:pPr>
              <w:spacing w:before="156" w:line="360" w:lineRule="auto"/>
              <w:jc w:val="center"/>
              <w:rPr>
                <w:rFonts w:ascii="宋体" w:hAnsi="宋体" w:cs="宋体"/>
                <w:szCs w:val="21"/>
              </w:rPr>
            </w:pPr>
            <w:r>
              <w:rPr>
                <w:rFonts w:hint="eastAsia" w:ascii="宋体" w:hAnsi="宋体" w:cs="宋体"/>
                <w:szCs w:val="21"/>
              </w:rPr>
              <w:t>供应商的承诺或说明</w:t>
            </w:r>
          </w:p>
        </w:tc>
      </w:tr>
      <w:tr w14:paraId="19F3F5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jc w:val="center"/>
        </w:trPr>
        <w:tc>
          <w:tcPr>
            <w:tcW w:w="694" w:type="dxa"/>
            <w:tcBorders>
              <w:top w:val="single" w:color="auto" w:sz="4" w:space="0"/>
              <w:left w:val="single" w:color="auto" w:sz="4" w:space="0"/>
              <w:bottom w:val="single" w:color="auto" w:sz="4" w:space="0"/>
              <w:right w:val="single" w:color="auto" w:sz="4" w:space="0"/>
            </w:tcBorders>
          </w:tcPr>
          <w:p w14:paraId="215D43FD">
            <w:pPr>
              <w:spacing w:before="156" w:line="360" w:lineRule="auto"/>
              <w:rPr>
                <w:rFonts w:ascii="宋体" w:hAnsi="宋体" w:cs="宋体"/>
                <w:szCs w:val="21"/>
              </w:rPr>
            </w:pPr>
          </w:p>
        </w:tc>
        <w:tc>
          <w:tcPr>
            <w:tcW w:w="1734" w:type="dxa"/>
            <w:tcBorders>
              <w:top w:val="single" w:color="auto" w:sz="4" w:space="0"/>
              <w:left w:val="single" w:color="auto" w:sz="4" w:space="0"/>
              <w:bottom w:val="single" w:color="auto" w:sz="4" w:space="0"/>
              <w:right w:val="single" w:color="auto" w:sz="4" w:space="0"/>
            </w:tcBorders>
          </w:tcPr>
          <w:p w14:paraId="12060DFA">
            <w:pPr>
              <w:spacing w:before="156" w:line="360" w:lineRule="auto"/>
              <w:rPr>
                <w:rFonts w:ascii="宋体" w:hAnsi="宋体" w:cs="宋体"/>
                <w:szCs w:val="21"/>
              </w:rPr>
            </w:pPr>
          </w:p>
        </w:tc>
        <w:tc>
          <w:tcPr>
            <w:tcW w:w="2895" w:type="dxa"/>
            <w:tcBorders>
              <w:top w:val="single" w:color="auto" w:sz="4" w:space="0"/>
              <w:left w:val="single" w:color="auto" w:sz="4" w:space="0"/>
              <w:bottom w:val="single" w:color="auto" w:sz="4" w:space="0"/>
              <w:right w:val="single" w:color="auto" w:sz="4" w:space="0"/>
            </w:tcBorders>
          </w:tcPr>
          <w:p w14:paraId="0D52EF7A">
            <w:pPr>
              <w:spacing w:before="156" w:line="360" w:lineRule="auto"/>
              <w:rPr>
                <w:rFonts w:ascii="宋体" w:hAnsi="宋体" w:cs="宋体"/>
                <w:szCs w:val="21"/>
              </w:rPr>
            </w:pPr>
          </w:p>
        </w:tc>
        <w:tc>
          <w:tcPr>
            <w:tcW w:w="1628" w:type="dxa"/>
            <w:tcBorders>
              <w:top w:val="single" w:color="auto" w:sz="4" w:space="0"/>
              <w:left w:val="single" w:color="auto" w:sz="4" w:space="0"/>
              <w:bottom w:val="single" w:color="auto" w:sz="4" w:space="0"/>
              <w:right w:val="single" w:color="auto" w:sz="4" w:space="0"/>
            </w:tcBorders>
          </w:tcPr>
          <w:p w14:paraId="41B9C744">
            <w:pPr>
              <w:spacing w:before="156" w:line="360" w:lineRule="auto"/>
              <w:rPr>
                <w:rFonts w:ascii="宋体" w:hAnsi="宋体" w:cs="宋体"/>
                <w:szCs w:val="21"/>
              </w:rPr>
            </w:pPr>
          </w:p>
        </w:tc>
        <w:tc>
          <w:tcPr>
            <w:tcW w:w="2815" w:type="dxa"/>
            <w:tcBorders>
              <w:top w:val="single" w:color="auto" w:sz="4" w:space="0"/>
              <w:left w:val="single" w:color="auto" w:sz="4" w:space="0"/>
              <w:bottom w:val="single" w:color="auto" w:sz="4" w:space="0"/>
              <w:right w:val="single" w:color="auto" w:sz="4" w:space="0"/>
            </w:tcBorders>
          </w:tcPr>
          <w:p w14:paraId="0F1E56C8">
            <w:pPr>
              <w:spacing w:before="156" w:line="360" w:lineRule="auto"/>
              <w:rPr>
                <w:rFonts w:ascii="宋体" w:hAnsi="宋体" w:cs="宋体"/>
                <w:szCs w:val="21"/>
              </w:rPr>
            </w:pPr>
          </w:p>
        </w:tc>
      </w:tr>
      <w:tr w14:paraId="554B5B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9" w:hRule="atLeast"/>
          <w:jc w:val="center"/>
        </w:trPr>
        <w:tc>
          <w:tcPr>
            <w:tcW w:w="694" w:type="dxa"/>
            <w:tcBorders>
              <w:top w:val="single" w:color="auto" w:sz="4" w:space="0"/>
              <w:left w:val="single" w:color="auto" w:sz="4" w:space="0"/>
              <w:bottom w:val="single" w:color="auto" w:sz="4" w:space="0"/>
              <w:right w:val="single" w:color="auto" w:sz="4" w:space="0"/>
            </w:tcBorders>
          </w:tcPr>
          <w:p w14:paraId="3F0AB946">
            <w:pPr>
              <w:spacing w:before="156" w:line="360" w:lineRule="auto"/>
              <w:rPr>
                <w:rFonts w:ascii="宋体" w:hAnsi="宋体" w:cs="宋体"/>
                <w:szCs w:val="21"/>
              </w:rPr>
            </w:pPr>
          </w:p>
        </w:tc>
        <w:tc>
          <w:tcPr>
            <w:tcW w:w="1734" w:type="dxa"/>
            <w:tcBorders>
              <w:top w:val="single" w:color="auto" w:sz="4" w:space="0"/>
              <w:left w:val="single" w:color="auto" w:sz="4" w:space="0"/>
              <w:bottom w:val="single" w:color="auto" w:sz="4" w:space="0"/>
              <w:right w:val="single" w:color="auto" w:sz="4" w:space="0"/>
            </w:tcBorders>
          </w:tcPr>
          <w:p w14:paraId="197275B8">
            <w:pPr>
              <w:spacing w:before="156" w:line="360" w:lineRule="auto"/>
              <w:rPr>
                <w:rFonts w:ascii="宋体" w:hAnsi="宋体" w:cs="宋体"/>
                <w:szCs w:val="21"/>
              </w:rPr>
            </w:pPr>
          </w:p>
        </w:tc>
        <w:tc>
          <w:tcPr>
            <w:tcW w:w="2895" w:type="dxa"/>
            <w:tcBorders>
              <w:top w:val="single" w:color="auto" w:sz="4" w:space="0"/>
              <w:left w:val="single" w:color="auto" w:sz="4" w:space="0"/>
              <w:bottom w:val="single" w:color="auto" w:sz="4" w:space="0"/>
              <w:right w:val="single" w:color="auto" w:sz="4" w:space="0"/>
            </w:tcBorders>
          </w:tcPr>
          <w:p w14:paraId="571ACBAA">
            <w:pPr>
              <w:spacing w:before="156" w:line="360" w:lineRule="auto"/>
              <w:rPr>
                <w:rFonts w:ascii="宋体" w:hAnsi="宋体" w:cs="宋体"/>
                <w:szCs w:val="21"/>
              </w:rPr>
            </w:pPr>
          </w:p>
        </w:tc>
        <w:tc>
          <w:tcPr>
            <w:tcW w:w="1628" w:type="dxa"/>
            <w:tcBorders>
              <w:top w:val="single" w:color="auto" w:sz="4" w:space="0"/>
              <w:left w:val="single" w:color="auto" w:sz="4" w:space="0"/>
              <w:bottom w:val="single" w:color="auto" w:sz="4" w:space="0"/>
              <w:right w:val="single" w:color="auto" w:sz="4" w:space="0"/>
            </w:tcBorders>
          </w:tcPr>
          <w:p w14:paraId="3A041EF6">
            <w:pPr>
              <w:spacing w:before="156" w:line="360" w:lineRule="auto"/>
              <w:rPr>
                <w:rFonts w:ascii="宋体" w:hAnsi="宋体" w:cs="宋体"/>
                <w:szCs w:val="21"/>
              </w:rPr>
            </w:pPr>
          </w:p>
        </w:tc>
        <w:tc>
          <w:tcPr>
            <w:tcW w:w="2815" w:type="dxa"/>
            <w:tcBorders>
              <w:top w:val="single" w:color="auto" w:sz="4" w:space="0"/>
              <w:left w:val="single" w:color="auto" w:sz="4" w:space="0"/>
              <w:bottom w:val="single" w:color="auto" w:sz="4" w:space="0"/>
              <w:right w:val="single" w:color="auto" w:sz="4" w:space="0"/>
            </w:tcBorders>
          </w:tcPr>
          <w:p w14:paraId="4B2493EA">
            <w:pPr>
              <w:spacing w:before="156" w:line="360" w:lineRule="auto"/>
              <w:rPr>
                <w:rFonts w:ascii="宋体" w:hAnsi="宋体" w:cs="宋体"/>
                <w:szCs w:val="21"/>
              </w:rPr>
            </w:pPr>
          </w:p>
        </w:tc>
      </w:tr>
      <w:tr w14:paraId="0C5CAB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94" w:type="dxa"/>
            <w:tcBorders>
              <w:top w:val="single" w:color="auto" w:sz="4" w:space="0"/>
              <w:left w:val="single" w:color="auto" w:sz="4" w:space="0"/>
              <w:bottom w:val="single" w:color="auto" w:sz="4" w:space="0"/>
              <w:right w:val="single" w:color="auto" w:sz="4" w:space="0"/>
            </w:tcBorders>
          </w:tcPr>
          <w:p w14:paraId="4713D20B">
            <w:pPr>
              <w:spacing w:before="156" w:line="360" w:lineRule="auto"/>
              <w:rPr>
                <w:rFonts w:ascii="宋体" w:hAnsi="宋体" w:cs="宋体"/>
                <w:szCs w:val="21"/>
              </w:rPr>
            </w:pPr>
          </w:p>
        </w:tc>
        <w:tc>
          <w:tcPr>
            <w:tcW w:w="1734" w:type="dxa"/>
            <w:tcBorders>
              <w:top w:val="single" w:color="auto" w:sz="4" w:space="0"/>
              <w:left w:val="single" w:color="auto" w:sz="4" w:space="0"/>
              <w:bottom w:val="single" w:color="auto" w:sz="4" w:space="0"/>
              <w:right w:val="single" w:color="auto" w:sz="4" w:space="0"/>
            </w:tcBorders>
          </w:tcPr>
          <w:p w14:paraId="5E6DDC7E">
            <w:pPr>
              <w:spacing w:before="156" w:line="360" w:lineRule="auto"/>
              <w:rPr>
                <w:rFonts w:ascii="宋体" w:hAnsi="宋体" w:cs="宋体"/>
                <w:szCs w:val="21"/>
              </w:rPr>
            </w:pPr>
          </w:p>
        </w:tc>
        <w:tc>
          <w:tcPr>
            <w:tcW w:w="2895" w:type="dxa"/>
            <w:tcBorders>
              <w:top w:val="single" w:color="auto" w:sz="4" w:space="0"/>
              <w:left w:val="single" w:color="auto" w:sz="4" w:space="0"/>
              <w:bottom w:val="single" w:color="auto" w:sz="4" w:space="0"/>
              <w:right w:val="single" w:color="auto" w:sz="4" w:space="0"/>
            </w:tcBorders>
          </w:tcPr>
          <w:p w14:paraId="37B0A836">
            <w:pPr>
              <w:spacing w:before="156" w:line="360" w:lineRule="auto"/>
              <w:rPr>
                <w:rFonts w:ascii="宋体" w:hAnsi="宋体" w:cs="宋体"/>
                <w:szCs w:val="21"/>
              </w:rPr>
            </w:pPr>
          </w:p>
        </w:tc>
        <w:tc>
          <w:tcPr>
            <w:tcW w:w="1628" w:type="dxa"/>
            <w:tcBorders>
              <w:top w:val="single" w:color="auto" w:sz="4" w:space="0"/>
              <w:left w:val="single" w:color="auto" w:sz="4" w:space="0"/>
              <w:bottom w:val="single" w:color="auto" w:sz="4" w:space="0"/>
              <w:right w:val="single" w:color="auto" w:sz="4" w:space="0"/>
            </w:tcBorders>
          </w:tcPr>
          <w:p w14:paraId="0F3202AD">
            <w:pPr>
              <w:spacing w:before="156" w:line="360" w:lineRule="auto"/>
              <w:ind w:left="43"/>
              <w:rPr>
                <w:rFonts w:ascii="宋体" w:hAnsi="宋体" w:cs="宋体"/>
                <w:szCs w:val="21"/>
              </w:rPr>
            </w:pPr>
          </w:p>
        </w:tc>
        <w:tc>
          <w:tcPr>
            <w:tcW w:w="2815" w:type="dxa"/>
            <w:tcBorders>
              <w:top w:val="single" w:color="auto" w:sz="4" w:space="0"/>
              <w:left w:val="single" w:color="auto" w:sz="4" w:space="0"/>
              <w:bottom w:val="single" w:color="auto" w:sz="4" w:space="0"/>
              <w:right w:val="single" w:color="auto" w:sz="4" w:space="0"/>
            </w:tcBorders>
          </w:tcPr>
          <w:p w14:paraId="0C9D5F46">
            <w:pPr>
              <w:spacing w:before="156" w:line="360" w:lineRule="auto"/>
              <w:ind w:left="43"/>
              <w:rPr>
                <w:rFonts w:ascii="宋体" w:hAnsi="宋体" w:cs="宋体"/>
                <w:szCs w:val="21"/>
              </w:rPr>
            </w:pPr>
          </w:p>
        </w:tc>
      </w:tr>
      <w:tr w14:paraId="4042C8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94" w:type="dxa"/>
            <w:tcBorders>
              <w:top w:val="single" w:color="auto" w:sz="4" w:space="0"/>
              <w:left w:val="single" w:color="auto" w:sz="4" w:space="0"/>
              <w:bottom w:val="single" w:color="auto" w:sz="4" w:space="0"/>
              <w:right w:val="single" w:color="auto" w:sz="4" w:space="0"/>
            </w:tcBorders>
          </w:tcPr>
          <w:p w14:paraId="5A240BD3">
            <w:pPr>
              <w:spacing w:before="156" w:line="360" w:lineRule="auto"/>
              <w:rPr>
                <w:rFonts w:ascii="宋体" w:hAnsi="宋体" w:cs="宋体"/>
                <w:szCs w:val="21"/>
              </w:rPr>
            </w:pPr>
          </w:p>
        </w:tc>
        <w:tc>
          <w:tcPr>
            <w:tcW w:w="1734" w:type="dxa"/>
            <w:tcBorders>
              <w:top w:val="single" w:color="auto" w:sz="4" w:space="0"/>
              <w:left w:val="single" w:color="auto" w:sz="4" w:space="0"/>
              <w:bottom w:val="single" w:color="auto" w:sz="4" w:space="0"/>
              <w:right w:val="single" w:color="auto" w:sz="4" w:space="0"/>
            </w:tcBorders>
          </w:tcPr>
          <w:p w14:paraId="33E6849B">
            <w:pPr>
              <w:spacing w:before="156" w:line="360" w:lineRule="auto"/>
              <w:rPr>
                <w:rFonts w:ascii="宋体" w:hAnsi="宋体" w:cs="宋体"/>
                <w:szCs w:val="21"/>
              </w:rPr>
            </w:pPr>
          </w:p>
        </w:tc>
        <w:tc>
          <w:tcPr>
            <w:tcW w:w="2895" w:type="dxa"/>
            <w:tcBorders>
              <w:top w:val="single" w:color="auto" w:sz="4" w:space="0"/>
              <w:left w:val="single" w:color="auto" w:sz="4" w:space="0"/>
              <w:bottom w:val="single" w:color="auto" w:sz="4" w:space="0"/>
              <w:right w:val="single" w:color="auto" w:sz="4" w:space="0"/>
            </w:tcBorders>
          </w:tcPr>
          <w:p w14:paraId="2D79F7D1">
            <w:pPr>
              <w:spacing w:before="156" w:line="360" w:lineRule="auto"/>
              <w:rPr>
                <w:rFonts w:ascii="宋体" w:hAnsi="宋体" w:cs="宋体"/>
                <w:szCs w:val="21"/>
              </w:rPr>
            </w:pPr>
          </w:p>
        </w:tc>
        <w:tc>
          <w:tcPr>
            <w:tcW w:w="1628" w:type="dxa"/>
            <w:tcBorders>
              <w:top w:val="single" w:color="auto" w:sz="4" w:space="0"/>
              <w:left w:val="single" w:color="auto" w:sz="4" w:space="0"/>
              <w:bottom w:val="single" w:color="auto" w:sz="4" w:space="0"/>
              <w:right w:val="single" w:color="auto" w:sz="4" w:space="0"/>
            </w:tcBorders>
          </w:tcPr>
          <w:p w14:paraId="3B24C7AC">
            <w:pPr>
              <w:spacing w:before="156" w:line="360" w:lineRule="auto"/>
              <w:ind w:left="43"/>
              <w:rPr>
                <w:rFonts w:ascii="宋体" w:hAnsi="宋体" w:cs="宋体"/>
                <w:szCs w:val="21"/>
              </w:rPr>
            </w:pPr>
          </w:p>
        </w:tc>
        <w:tc>
          <w:tcPr>
            <w:tcW w:w="2815" w:type="dxa"/>
            <w:tcBorders>
              <w:top w:val="single" w:color="auto" w:sz="4" w:space="0"/>
              <w:left w:val="single" w:color="auto" w:sz="4" w:space="0"/>
              <w:bottom w:val="single" w:color="auto" w:sz="4" w:space="0"/>
              <w:right w:val="single" w:color="auto" w:sz="4" w:space="0"/>
            </w:tcBorders>
          </w:tcPr>
          <w:p w14:paraId="0D0CD48C">
            <w:pPr>
              <w:spacing w:before="156" w:line="360" w:lineRule="auto"/>
              <w:ind w:left="43"/>
              <w:rPr>
                <w:rFonts w:ascii="宋体" w:hAnsi="宋体" w:cs="宋体"/>
                <w:szCs w:val="21"/>
              </w:rPr>
            </w:pPr>
          </w:p>
        </w:tc>
      </w:tr>
      <w:tr w14:paraId="3A867F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694" w:type="dxa"/>
            <w:tcBorders>
              <w:top w:val="single" w:color="auto" w:sz="4" w:space="0"/>
              <w:left w:val="single" w:color="auto" w:sz="4" w:space="0"/>
              <w:bottom w:val="single" w:color="auto" w:sz="4" w:space="0"/>
              <w:right w:val="single" w:color="auto" w:sz="4" w:space="0"/>
            </w:tcBorders>
          </w:tcPr>
          <w:p w14:paraId="5D04D947">
            <w:pPr>
              <w:spacing w:before="156" w:line="360" w:lineRule="auto"/>
              <w:rPr>
                <w:rFonts w:ascii="宋体" w:hAnsi="宋体" w:cs="宋体"/>
                <w:szCs w:val="21"/>
              </w:rPr>
            </w:pPr>
          </w:p>
        </w:tc>
        <w:tc>
          <w:tcPr>
            <w:tcW w:w="1734" w:type="dxa"/>
            <w:tcBorders>
              <w:top w:val="single" w:color="auto" w:sz="4" w:space="0"/>
              <w:left w:val="single" w:color="auto" w:sz="4" w:space="0"/>
              <w:bottom w:val="single" w:color="auto" w:sz="4" w:space="0"/>
              <w:right w:val="single" w:color="auto" w:sz="4" w:space="0"/>
            </w:tcBorders>
          </w:tcPr>
          <w:p w14:paraId="1E106E95">
            <w:pPr>
              <w:spacing w:before="156" w:line="360" w:lineRule="auto"/>
              <w:rPr>
                <w:rFonts w:ascii="宋体" w:hAnsi="宋体" w:cs="宋体"/>
                <w:szCs w:val="21"/>
              </w:rPr>
            </w:pPr>
          </w:p>
        </w:tc>
        <w:tc>
          <w:tcPr>
            <w:tcW w:w="2895" w:type="dxa"/>
            <w:tcBorders>
              <w:top w:val="single" w:color="auto" w:sz="4" w:space="0"/>
              <w:left w:val="single" w:color="auto" w:sz="4" w:space="0"/>
              <w:bottom w:val="single" w:color="auto" w:sz="4" w:space="0"/>
              <w:right w:val="single" w:color="auto" w:sz="4" w:space="0"/>
            </w:tcBorders>
          </w:tcPr>
          <w:p w14:paraId="776F1248">
            <w:pPr>
              <w:spacing w:before="156" w:line="360" w:lineRule="auto"/>
              <w:rPr>
                <w:rFonts w:ascii="宋体" w:hAnsi="宋体" w:cs="宋体"/>
                <w:szCs w:val="21"/>
              </w:rPr>
            </w:pPr>
          </w:p>
        </w:tc>
        <w:tc>
          <w:tcPr>
            <w:tcW w:w="1628" w:type="dxa"/>
            <w:tcBorders>
              <w:top w:val="single" w:color="auto" w:sz="4" w:space="0"/>
              <w:left w:val="single" w:color="auto" w:sz="4" w:space="0"/>
              <w:bottom w:val="single" w:color="auto" w:sz="4" w:space="0"/>
              <w:right w:val="single" w:color="auto" w:sz="4" w:space="0"/>
            </w:tcBorders>
          </w:tcPr>
          <w:p w14:paraId="7B1D5149">
            <w:pPr>
              <w:spacing w:before="156" w:line="360" w:lineRule="auto"/>
              <w:ind w:left="43"/>
              <w:rPr>
                <w:rFonts w:ascii="宋体" w:hAnsi="宋体" w:cs="宋体"/>
                <w:szCs w:val="21"/>
              </w:rPr>
            </w:pPr>
          </w:p>
        </w:tc>
        <w:tc>
          <w:tcPr>
            <w:tcW w:w="2815" w:type="dxa"/>
            <w:tcBorders>
              <w:top w:val="single" w:color="auto" w:sz="4" w:space="0"/>
              <w:left w:val="single" w:color="auto" w:sz="4" w:space="0"/>
              <w:bottom w:val="single" w:color="auto" w:sz="4" w:space="0"/>
              <w:right w:val="single" w:color="auto" w:sz="4" w:space="0"/>
            </w:tcBorders>
          </w:tcPr>
          <w:p w14:paraId="2EC4448C">
            <w:pPr>
              <w:spacing w:before="156" w:line="360" w:lineRule="auto"/>
              <w:ind w:left="43"/>
              <w:rPr>
                <w:rFonts w:ascii="宋体" w:hAnsi="宋体" w:cs="宋体"/>
                <w:szCs w:val="21"/>
              </w:rPr>
            </w:pPr>
          </w:p>
        </w:tc>
      </w:tr>
      <w:tr w14:paraId="3CF9BE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0" w:hRule="atLeast"/>
          <w:jc w:val="center"/>
        </w:trPr>
        <w:tc>
          <w:tcPr>
            <w:tcW w:w="694" w:type="dxa"/>
            <w:tcBorders>
              <w:top w:val="single" w:color="auto" w:sz="4" w:space="0"/>
              <w:left w:val="single" w:color="auto" w:sz="4" w:space="0"/>
              <w:bottom w:val="single" w:color="auto" w:sz="4" w:space="0"/>
              <w:right w:val="single" w:color="auto" w:sz="4" w:space="0"/>
            </w:tcBorders>
          </w:tcPr>
          <w:p w14:paraId="54D29CBC">
            <w:pPr>
              <w:spacing w:before="156" w:line="360" w:lineRule="auto"/>
              <w:rPr>
                <w:rFonts w:ascii="宋体" w:hAnsi="宋体" w:cs="宋体"/>
                <w:szCs w:val="21"/>
              </w:rPr>
            </w:pPr>
          </w:p>
        </w:tc>
        <w:tc>
          <w:tcPr>
            <w:tcW w:w="1734" w:type="dxa"/>
            <w:tcBorders>
              <w:top w:val="single" w:color="auto" w:sz="4" w:space="0"/>
              <w:left w:val="single" w:color="auto" w:sz="4" w:space="0"/>
              <w:bottom w:val="single" w:color="auto" w:sz="4" w:space="0"/>
              <w:right w:val="single" w:color="auto" w:sz="4" w:space="0"/>
            </w:tcBorders>
          </w:tcPr>
          <w:p w14:paraId="2ED3BDFA">
            <w:pPr>
              <w:spacing w:before="156" w:line="360" w:lineRule="auto"/>
              <w:rPr>
                <w:rFonts w:ascii="宋体" w:hAnsi="宋体" w:cs="宋体"/>
                <w:szCs w:val="21"/>
              </w:rPr>
            </w:pPr>
          </w:p>
        </w:tc>
        <w:tc>
          <w:tcPr>
            <w:tcW w:w="2895" w:type="dxa"/>
            <w:tcBorders>
              <w:top w:val="single" w:color="auto" w:sz="4" w:space="0"/>
              <w:left w:val="single" w:color="auto" w:sz="4" w:space="0"/>
              <w:bottom w:val="single" w:color="auto" w:sz="4" w:space="0"/>
              <w:right w:val="single" w:color="auto" w:sz="4" w:space="0"/>
            </w:tcBorders>
          </w:tcPr>
          <w:p w14:paraId="0C2BE5F5">
            <w:pPr>
              <w:spacing w:before="156" w:line="360" w:lineRule="auto"/>
              <w:rPr>
                <w:rFonts w:ascii="宋体" w:hAnsi="宋体" w:cs="宋体"/>
                <w:szCs w:val="21"/>
              </w:rPr>
            </w:pPr>
          </w:p>
        </w:tc>
        <w:tc>
          <w:tcPr>
            <w:tcW w:w="1628" w:type="dxa"/>
            <w:tcBorders>
              <w:top w:val="single" w:color="auto" w:sz="4" w:space="0"/>
              <w:left w:val="single" w:color="auto" w:sz="4" w:space="0"/>
              <w:bottom w:val="single" w:color="auto" w:sz="4" w:space="0"/>
              <w:right w:val="single" w:color="auto" w:sz="4" w:space="0"/>
            </w:tcBorders>
          </w:tcPr>
          <w:p w14:paraId="0B219C15">
            <w:pPr>
              <w:spacing w:before="156" w:line="360" w:lineRule="auto"/>
              <w:rPr>
                <w:rFonts w:ascii="宋体" w:hAnsi="宋体" w:cs="宋体"/>
                <w:szCs w:val="21"/>
              </w:rPr>
            </w:pPr>
          </w:p>
        </w:tc>
        <w:tc>
          <w:tcPr>
            <w:tcW w:w="2815" w:type="dxa"/>
            <w:tcBorders>
              <w:top w:val="single" w:color="auto" w:sz="4" w:space="0"/>
              <w:left w:val="single" w:color="auto" w:sz="4" w:space="0"/>
              <w:bottom w:val="single" w:color="auto" w:sz="4" w:space="0"/>
              <w:right w:val="single" w:color="auto" w:sz="4" w:space="0"/>
            </w:tcBorders>
          </w:tcPr>
          <w:p w14:paraId="236D8E53">
            <w:pPr>
              <w:spacing w:before="156" w:line="360" w:lineRule="auto"/>
              <w:rPr>
                <w:rFonts w:ascii="宋体" w:hAnsi="宋体" w:cs="宋体"/>
                <w:szCs w:val="21"/>
              </w:rPr>
            </w:pPr>
          </w:p>
        </w:tc>
      </w:tr>
      <w:tr w14:paraId="7F0783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694" w:type="dxa"/>
            <w:tcBorders>
              <w:top w:val="single" w:color="auto" w:sz="4" w:space="0"/>
              <w:left w:val="single" w:color="auto" w:sz="4" w:space="0"/>
              <w:bottom w:val="single" w:color="auto" w:sz="4" w:space="0"/>
              <w:right w:val="single" w:color="auto" w:sz="4" w:space="0"/>
            </w:tcBorders>
          </w:tcPr>
          <w:p w14:paraId="5410DEA0">
            <w:pPr>
              <w:spacing w:before="156" w:line="360" w:lineRule="auto"/>
              <w:rPr>
                <w:rFonts w:ascii="宋体" w:hAnsi="宋体" w:cs="宋体"/>
                <w:szCs w:val="21"/>
              </w:rPr>
            </w:pPr>
          </w:p>
        </w:tc>
        <w:tc>
          <w:tcPr>
            <w:tcW w:w="1734" w:type="dxa"/>
            <w:tcBorders>
              <w:top w:val="single" w:color="auto" w:sz="4" w:space="0"/>
              <w:left w:val="single" w:color="auto" w:sz="4" w:space="0"/>
              <w:bottom w:val="single" w:color="auto" w:sz="4" w:space="0"/>
              <w:right w:val="single" w:color="auto" w:sz="4" w:space="0"/>
            </w:tcBorders>
          </w:tcPr>
          <w:p w14:paraId="26397612">
            <w:pPr>
              <w:spacing w:before="156" w:line="360" w:lineRule="auto"/>
              <w:rPr>
                <w:rFonts w:ascii="宋体" w:hAnsi="宋体" w:cs="宋体"/>
                <w:szCs w:val="21"/>
              </w:rPr>
            </w:pPr>
          </w:p>
        </w:tc>
        <w:tc>
          <w:tcPr>
            <w:tcW w:w="2895" w:type="dxa"/>
            <w:tcBorders>
              <w:top w:val="single" w:color="auto" w:sz="4" w:space="0"/>
              <w:left w:val="single" w:color="auto" w:sz="4" w:space="0"/>
              <w:bottom w:val="single" w:color="auto" w:sz="4" w:space="0"/>
              <w:right w:val="single" w:color="auto" w:sz="4" w:space="0"/>
            </w:tcBorders>
          </w:tcPr>
          <w:p w14:paraId="05735122">
            <w:pPr>
              <w:spacing w:before="156" w:line="360" w:lineRule="auto"/>
              <w:rPr>
                <w:rFonts w:ascii="宋体" w:hAnsi="宋体" w:cs="宋体"/>
                <w:szCs w:val="21"/>
              </w:rPr>
            </w:pPr>
          </w:p>
        </w:tc>
        <w:tc>
          <w:tcPr>
            <w:tcW w:w="1628" w:type="dxa"/>
            <w:tcBorders>
              <w:top w:val="single" w:color="auto" w:sz="4" w:space="0"/>
              <w:left w:val="single" w:color="auto" w:sz="4" w:space="0"/>
              <w:bottom w:val="single" w:color="auto" w:sz="4" w:space="0"/>
              <w:right w:val="single" w:color="auto" w:sz="4" w:space="0"/>
            </w:tcBorders>
          </w:tcPr>
          <w:p w14:paraId="33FC287E">
            <w:pPr>
              <w:spacing w:before="156" w:line="360" w:lineRule="auto"/>
              <w:rPr>
                <w:rFonts w:ascii="宋体" w:hAnsi="宋体" w:cs="宋体"/>
                <w:szCs w:val="21"/>
              </w:rPr>
            </w:pPr>
          </w:p>
        </w:tc>
        <w:tc>
          <w:tcPr>
            <w:tcW w:w="2815" w:type="dxa"/>
            <w:tcBorders>
              <w:top w:val="single" w:color="auto" w:sz="4" w:space="0"/>
              <w:left w:val="single" w:color="auto" w:sz="4" w:space="0"/>
              <w:bottom w:val="single" w:color="auto" w:sz="4" w:space="0"/>
              <w:right w:val="single" w:color="auto" w:sz="4" w:space="0"/>
            </w:tcBorders>
          </w:tcPr>
          <w:p w14:paraId="6BAA4AE1">
            <w:pPr>
              <w:spacing w:before="156" w:line="360" w:lineRule="auto"/>
              <w:rPr>
                <w:rFonts w:ascii="宋体" w:hAnsi="宋体" w:cs="宋体"/>
                <w:szCs w:val="21"/>
              </w:rPr>
            </w:pPr>
          </w:p>
        </w:tc>
      </w:tr>
    </w:tbl>
    <w:p w14:paraId="5E3FAB9C">
      <w:pPr>
        <w:spacing w:line="360" w:lineRule="auto"/>
        <w:rPr>
          <w:rFonts w:ascii="宋体" w:hAnsi="宋体" w:cs="宋体"/>
          <w:sz w:val="24"/>
        </w:rPr>
      </w:pPr>
    </w:p>
    <w:p w14:paraId="4BA77948">
      <w:pPr>
        <w:spacing w:line="360" w:lineRule="auto"/>
        <w:rPr>
          <w:rFonts w:ascii="宋体" w:hAnsi="宋体" w:cs="宋体"/>
          <w:szCs w:val="21"/>
        </w:rPr>
      </w:pPr>
      <w:r>
        <w:rPr>
          <w:rFonts w:hint="eastAsia" w:ascii="宋体" w:hAnsi="宋体" w:cs="宋体"/>
          <w:szCs w:val="21"/>
        </w:rPr>
        <w:t>供应商名称（公章）：</w:t>
      </w:r>
    </w:p>
    <w:p w14:paraId="72E4916D">
      <w:pPr>
        <w:spacing w:line="360" w:lineRule="auto"/>
        <w:rPr>
          <w:rFonts w:ascii="宋体" w:hAnsi="宋体" w:cs="宋体"/>
          <w:szCs w:val="21"/>
        </w:rPr>
      </w:pPr>
      <w:r>
        <w:rPr>
          <w:rFonts w:hint="eastAsia" w:ascii="宋体" w:hAnsi="宋体" w:cs="宋体"/>
          <w:szCs w:val="21"/>
        </w:rPr>
        <w:t>授权代表（签字）：</w:t>
      </w:r>
    </w:p>
    <w:p w14:paraId="45ABED5F">
      <w:pPr>
        <w:spacing w:line="360" w:lineRule="auto"/>
        <w:rPr>
          <w:rFonts w:ascii="宋体" w:hAnsi="宋体" w:cs="宋体"/>
          <w:szCs w:val="21"/>
        </w:rPr>
      </w:pPr>
      <w:r>
        <w:rPr>
          <w:rFonts w:hint="eastAsia" w:ascii="宋体" w:hAnsi="宋体" w:cs="宋体"/>
          <w:szCs w:val="21"/>
        </w:rPr>
        <w:t>日期：</w:t>
      </w:r>
    </w:p>
    <w:p w14:paraId="6FBE2934">
      <w:pPr>
        <w:spacing w:line="360" w:lineRule="auto"/>
        <w:rPr>
          <w:rFonts w:ascii="宋体" w:hAnsi="宋体" w:cs="宋体"/>
          <w:szCs w:val="21"/>
        </w:rPr>
      </w:pPr>
    </w:p>
    <w:p w14:paraId="6D3FABF8">
      <w:pPr>
        <w:spacing w:line="360" w:lineRule="auto"/>
        <w:rPr>
          <w:rFonts w:ascii="宋体" w:hAnsi="宋体" w:cs="宋体"/>
          <w:szCs w:val="21"/>
        </w:rPr>
      </w:pPr>
      <w:r>
        <w:rPr>
          <w:rFonts w:hint="eastAsia" w:ascii="宋体" w:hAnsi="宋体" w:cs="宋体"/>
          <w:szCs w:val="21"/>
        </w:rPr>
        <w:t>注：1、供应商如对包括</w:t>
      </w:r>
      <w:r>
        <w:rPr>
          <w:rFonts w:hint="eastAsia" w:ascii="宋体" w:hAnsi="宋体" w:cs="宋体"/>
          <w:b/>
          <w:bCs/>
          <w:szCs w:val="21"/>
        </w:rPr>
        <w:t>合同履行期限、售后服务要求、付款方式等</w:t>
      </w:r>
      <w:r>
        <w:rPr>
          <w:rFonts w:hint="eastAsia" w:ascii="宋体" w:hAnsi="宋体" w:cs="宋体"/>
          <w:szCs w:val="21"/>
        </w:rPr>
        <w:t>商务条款的响应有任何偏离，请在本表中详细填写；如不列出，则视为供应商完全同意采购文件的商务条款。</w:t>
      </w:r>
    </w:p>
    <w:p w14:paraId="3EB54181">
      <w:pPr>
        <w:spacing w:line="360" w:lineRule="auto"/>
        <w:ind w:left="420"/>
        <w:rPr>
          <w:rFonts w:ascii="宋体" w:hAnsi="宋体" w:cs="宋体"/>
          <w:szCs w:val="21"/>
        </w:rPr>
      </w:pPr>
      <w:r>
        <w:rPr>
          <w:rFonts w:hint="eastAsia" w:ascii="宋体" w:hAnsi="宋体" w:cs="宋体"/>
          <w:szCs w:val="21"/>
        </w:rPr>
        <w:t>2、“供应商的承诺或说明”栏请注明“响应/正偏离/负偏离”，正偏离指供应商的响应高于采购文件要求，负偏离指供应商的响应低于采购文件要求。</w:t>
      </w:r>
    </w:p>
    <w:p w14:paraId="4A9EC7CE">
      <w:pPr>
        <w:spacing w:line="360" w:lineRule="auto"/>
        <w:ind w:firstLine="420"/>
        <w:rPr>
          <w:rFonts w:ascii="宋体" w:hAnsi="宋体" w:cs="宋体"/>
          <w:szCs w:val="21"/>
        </w:rPr>
      </w:pPr>
      <w:r>
        <w:rPr>
          <w:rFonts w:hint="eastAsia" w:ascii="宋体" w:hAnsi="宋体" w:cs="宋体"/>
          <w:szCs w:val="21"/>
        </w:rPr>
        <w:t>3、如果行数不够，请自行增加。</w:t>
      </w:r>
    </w:p>
    <w:p w14:paraId="486410CA">
      <w:pPr>
        <w:spacing w:line="360" w:lineRule="auto"/>
        <w:ind w:firstLine="5494"/>
        <w:rPr>
          <w:rFonts w:ascii="宋体" w:hAnsi="宋体" w:cs="宋体"/>
          <w:sz w:val="24"/>
        </w:rPr>
      </w:pPr>
    </w:p>
    <w:p w14:paraId="41E4DEE3">
      <w:pPr>
        <w:spacing w:line="360" w:lineRule="auto"/>
        <w:rPr>
          <w:rFonts w:ascii="宋体" w:hAnsi="宋体" w:cs="宋体"/>
          <w:sz w:val="24"/>
        </w:rPr>
      </w:pPr>
    </w:p>
    <w:p w14:paraId="04478B93">
      <w:pPr>
        <w:spacing w:line="360" w:lineRule="auto"/>
        <w:ind w:right="-334"/>
        <w:rPr>
          <w:rFonts w:ascii="宋体" w:hAnsi="宋体" w:cs="宋体"/>
          <w:sz w:val="24"/>
        </w:rPr>
      </w:pPr>
    </w:p>
    <w:p w14:paraId="47C24977">
      <w:pPr>
        <w:spacing w:line="360" w:lineRule="auto"/>
        <w:ind w:right="-334"/>
        <w:rPr>
          <w:rFonts w:ascii="宋体" w:hAnsi="宋体" w:cs="宋体"/>
          <w:sz w:val="24"/>
        </w:rPr>
      </w:pPr>
    </w:p>
    <w:p w14:paraId="03892384">
      <w:pPr>
        <w:spacing w:line="360" w:lineRule="auto"/>
        <w:ind w:right="-334"/>
        <w:rPr>
          <w:rFonts w:ascii="宋体" w:hAnsi="宋体" w:cs="宋体"/>
          <w:sz w:val="24"/>
        </w:rPr>
      </w:pPr>
    </w:p>
    <w:p w14:paraId="3F2424CB">
      <w:pPr>
        <w:spacing w:line="360" w:lineRule="auto"/>
        <w:ind w:right="-334"/>
        <w:rPr>
          <w:rFonts w:ascii="宋体" w:hAnsi="宋体" w:cs="宋体"/>
          <w:sz w:val="24"/>
        </w:rPr>
        <w:sectPr>
          <w:pgSz w:w="11906" w:h="16838"/>
          <w:pgMar w:top="1134" w:right="1134" w:bottom="1134" w:left="1134" w:header="851" w:footer="992" w:gutter="0"/>
          <w:cols w:space="720" w:num="1"/>
          <w:titlePg/>
          <w:docGrid w:linePitch="360" w:charSpace="0"/>
        </w:sectPr>
      </w:pPr>
    </w:p>
    <w:p w14:paraId="68A44F2B">
      <w:pPr>
        <w:spacing w:after="156" w:line="360" w:lineRule="auto"/>
        <w:outlineLvl w:val="1"/>
        <w:rPr>
          <w:rFonts w:ascii="宋体" w:hAnsi="宋体" w:cs="宋体"/>
          <w:b/>
          <w:bCs/>
          <w:sz w:val="24"/>
          <w:szCs w:val="22"/>
        </w:rPr>
      </w:pPr>
      <w:bookmarkStart w:id="295" w:name="_Toc10318"/>
      <w:bookmarkStart w:id="296" w:name="_Toc8901"/>
      <w:r>
        <w:rPr>
          <w:rFonts w:hint="eastAsia" w:ascii="宋体" w:hAnsi="宋体" w:cs="宋体"/>
          <w:b/>
          <w:bCs/>
          <w:sz w:val="24"/>
          <w:szCs w:val="22"/>
        </w:rPr>
        <w:t>附件五 技术条款偏离表</w:t>
      </w:r>
      <w:bookmarkEnd w:id="295"/>
      <w:bookmarkEnd w:id="296"/>
    </w:p>
    <w:tbl>
      <w:tblPr>
        <w:tblStyle w:val="49"/>
        <w:tblW w:w="959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70"/>
        <w:gridCol w:w="1575"/>
        <w:gridCol w:w="1740"/>
        <w:gridCol w:w="1950"/>
        <w:gridCol w:w="1370"/>
        <w:gridCol w:w="2192"/>
      </w:tblGrid>
      <w:tr w14:paraId="69C44E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770" w:type="dxa"/>
            <w:vMerge w:val="restart"/>
            <w:tcBorders>
              <w:top w:val="single" w:color="auto" w:sz="4" w:space="0"/>
              <w:left w:val="single" w:color="auto" w:sz="4" w:space="0"/>
              <w:bottom w:val="single" w:color="auto" w:sz="4" w:space="0"/>
              <w:right w:val="single" w:color="auto" w:sz="4" w:space="0"/>
            </w:tcBorders>
          </w:tcPr>
          <w:p w14:paraId="027E1325">
            <w:pPr>
              <w:spacing w:line="440" w:lineRule="exact"/>
              <w:jc w:val="center"/>
              <w:rPr>
                <w:rFonts w:ascii="宋体" w:hAnsi="宋体" w:cs="宋体"/>
                <w:szCs w:val="21"/>
              </w:rPr>
            </w:pPr>
            <w:r>
              <w:rPr>
                <w:rFonts w:hint="eastAsia" w:ascii="宋体" w:hAnsi="宋体" w:cs="宋体"/>
                <w:szCs w:val="21"/>
              </w:rPr>
              <w:t>序号</w:t>
            </w:r>
          </w:p>
        </w:tc>
        <w:tc>
          <w:tcPr>
            <w:tcW w:w="3315" w:type="dxa"/>
            <w:gridSpan w:val="2"/>
            <w:tcBorders>
              <w:top w:val="single" w:color="auto" w:sz="4" w:space="0"/>
              <w:left w:val="single" w:color="auto" w:sz="4" w:space="0"/>
              <w:bottom w:val="single" w:color="auto" w:sz="4" w:space="0"/>
              <w:right w:val="single" w:color="auto" w:sz="4" w:space="0"/>
            </w:tcBorders>
          </w:tcPr>
          <w:p w14:paraId="39B122D9">
            <w:pPr>
              <w:spacing w:line="440" w:lineRule="exact"/>
              <w:jc w:val="center"/>
              <w:rPr>
                <w:rFonts w:ascii="宋体" w:hAnsi="宋体" w:cs="宋体"/>
                <w:szCs w:val="21"/>
              </w:rPr>
            </w:pPr>
            <w:r>
              <w:rPr>
                <w:rFonts w:hint="eastAsia" w:ascii="宋体" w:hAnsi="宋体" w:cs="宋体"/>
                <w:szCs w:val="21"/>
              </w:rPr>
              <w:t>磋商文件</w:t>
            </w:r>
          </w:p>
        </w:tc>
        <w:tc>
          <w:tcPr>
            <w:tcW w:w="1950" w:type="dxa"/>
            <w:tcBorders>
              <w:top w:val="single" w:color="auto" w:sz="4" w:space="0"/>
              <w:left w:val="single" w:color="auto" w:sz="4" w:space="0"/>
              <w:bottom w:val="single" w:color="auto" w:sz="4" w:space="0"/>
              <w:right w:val="single" w:color="auto" w:sz="4" w:space="0"/>
            </w:tcBorders>
          </w:tcPr>
          <w:p w14:paraId="5B929F59">
            <w:pPr>
              <w:spacing w:line="440" w:lineRule="exact"/>
              <w:jc w:val="center"/>
              <w:rPr>
                <w:rFonts w:ascii="宋体" w:hAnsi="宋体" w:cs="宋体"/>
                <w:szCs w:val="21"/>
              </w:rPr>
            </w:pPr>
            <w:r>
              <w:rPr>
                <w:rFonts w:hint="eastAsia" w:ascii="宋体" w:hAnsi="宋体" w:cs="宋体"/>
                <w:szCs w:val="21"/>
              </w:rPr>
              <w:t>响应文件</w:t>
            </w:r>
          </w:p>
        </w:tc>
        <w:tc>
          <w:tcPr>
            <w:tcW w:w="1370" w:type="dxa"/>
            <w:vMerge w:val="restart"/>
            <w:tcBorders>
              <w:top w:val="single" w:color="auto" w:sz="4" w:space="0"/>
              <w:left w:val="single" w:color="auto" w:sz="4" w:space="0"/>
              <w:right w:val="single" w:color="auto" w:sz="4" w:space="0"/>
            </w:tcBorders>
            <w:vAlign w:val="center"/>
          </w:tcPr>
          <w:p w14:paraId="22F7F2E0">
            <w:pPr>
              <w:spacing w:line="440" w:lineRule="exact"/>
              <w:jc w:val="center"/>
              <w:rPr>
                <w:rFonts w:ascii="宋体" w:hAnsi="宋体" w:cs="宋体"/>
                <w:szCs w:val="21"/>
              </w:rPr>
            </w:pPr>
            <w:r>
              <w:rPr>
                <w:rFonts w:hint="eastAsia" w:ascii="宋体" w:hAnsi="宋体" w:cs="宋体"/>
                <w:szCs w:val="21"/>
              </w:rPr>
              <w:t>说明</w:t>
            </w:r>
          </w:p>
        </w:tc>
        <w:tc>
          <w:tcPr>
            <w:tcW w:w="2192" w:type="dxa"/>
            <w:vMerge w:val="restart"/>
            <w:tcBorders>
              <w:top w:val="single" w:color="auto" w:sz="4" w:space="0"/>
              <w:left w:val="single" w:color="auto" w:sz="4" w:space="0"/>
              <w:right w:val="single" w:color="auto" w:sz="4" w:space="0"/>
            </w:tcBorders>
            <w:vAlign w:val="center"/>
          </w:tcPr>
          <w:p w14:paraId="1D2D312D">
            <w:pPr>
              <w:spacing w:line="440" w:lineRule="exact"/>
              <w:jc w:val="center"/>
              <w:rPr>
                <w:rFonts w:ascii="宋体" w:hAnsi="宋体" w:cs="宋体"/>
                <w:szCs w:val="21"/>
              </w:rPr>
            </w:pPr>
            <w:r>
              <w:rPr>
                <w:rFonts w:hint="eastAsia"/>
                <w:szCs w:val="21"/>
              </w:rPr>
              <w:t>标注“★”“▲”技术内容的技术支持资料对应页码（如有）</w:t>
            </w:r>
          </w:p>
        </w:tc>
      </w:tr>
      <w:tr w14:paraId="109F9F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770" w:type="dxa"/>
            <w:vMerge w:val="continue"/>
            <w:tcBorders>
              <w:top w:val="single" w:color="auto" w:sz="4" w:space="0"/>
              <w:left w:val="single" w:color="auto" w:sz="4" w:space="0"/>
              <w:bottom w:val="single" w:color="auto" w:sz="4" w:space="0"/>
              <w:right w:val="single" w:color="auto" w:sz="4" w:space="0"/>
            </w:tcBorders>
            <w:vAlign w:val="center"/>
          </w:tcPr>
          <w:p w14:paraId="2B121AA6">
            <w:pPr>
              <w:widowControl/>
              <w:spacing w:line="440" w:lineRule="exact"/>
              <w:jc w:val="left"/>
              <w:rPr>
                <w:rFonts w:ascii="宋体" w:hAnsi="宋体" w:cs="宋体"/>
                <w:szCs w:val="21"/>
              </w:rPr>
            </w:pPr>
          </w:p>
        </w:tc>
        <w:tc>
          <w:tcPr>
            <w:tcW w:w="1575" w:type="dxa"/>
            <w:tcBorders>
              <w:top w:val="single" w:color="auto" w:sz="4" w:space="0"/>
              <w:left w:val="single" w:color="auto" w:sz="4" w:space="0"/>
              <w:bottom w:val="single" w:color="auto" w:sz="4" w:space="0"/>
              <w:right w:val="single" w:color="auto" w:sz="4" w:space="0"/>
            </w:tcBorders>
          </w:tcPr>
          <w:p w14:paraId="70952C24">
            <w:pPr>
              <w:spacing w:line="440" w:lineRule="exact"/>
              <w:jc w:val="center"/>
              <w:rPr>
                <w:rFonts w:ascii="宋体" w:hAnsi="宋体" w:cs="宋体"/>
                <w:szCs w:val="21"/>
              </w:rPr>
            </w:pPr>
            <w:r>
              <w:rPr>
                <w:rFonts w:hint="eastAsia" w:ascii="宋体" w:hAnsi="宋体" w:cs="宋体"/>
                <w:szCs w:val="21"/>
              </w:rPr>
              <w:t>条目号</w:t>
            </w:r>
          </w:p>
        </w:tc>
        <w:tc>
          <w:tcPr>
            <w:tcW w:w="1740" w:type="dxa"/>
            <w:tcBorders>
              <w:top w:val="single" w:color="auto" w:sz="4" w:space="0"/>
              <w:left w:val="single" w:color="auto" w:sz="4" w:space="0"/>
              <w:bottom w:val="single" w:color="auto" w:sz="4" w:space="0"/>
              <w:right w:val="single" w:color="auto" w:sz="4" w:space="0"/>
            </w:tcBorders>
          </w:tcPr>
          <w:p w14:paraId="25CB591D">
            <w:pPr>
              <w:spacing w:line="440" w:lineRule="exact"/>
              <w:jc w:val="center"/>
              <w:rPr>
                <w:rFonts w:ascii="宋体" w:hAnsi="宋体" w:cs="宋体"/>
                <w:szCs w:val="21"/>
              </w:rPr>
            </w:pPr>
            <w:r>
              <w:rPr>
                <w:rFonts w:hint="eastAsia" w:ascii="宋体" w:hAnsi="宋体" w:cs="宋体"/>
                <w:szCs w:val="21"/>
              </w:rPr>
              <w:t>采购要求规格</w:t>
            </w:r>
          </w:p>
        </w:tc>
        <w:tc>
          <w:tcPr>
            <w:tcW w:w="1950" w:type="dxa"/>
            <w:tcBorders>
              <w:top w:val="single" w:color="auto" w:sz="4" w:space="0"/>
              <w:left w:val="single" w:color="auto" w:sz="4" w:space="0"/>
              <w:bottom w:val="single" w:color="auto" w:sz="4" w:space="0"/>
              <w:right w:val="single" w:color="auto" w:sz="4" w:space="0"/>
            </w:tcBorders>
          </w:tcPr>
          <w:p w14:paraId="05268714">
            <w:pPr>
              <w:spacing w:line="440" w:lineRule="exact"/>
              <w:jc w:val="center"/>
              <w:rPr>
                <w:rFonts w:ascii="宋体" w:hAnsi="宋体" w:cs="宋体"/>
                <w:szCs w:val="21"/>
              </w:rPr>
            </w:pPr>
            <w:r>
              <w:rPr>
                <w:rFonts w:hint="eastAsia" w:ascii="宋体" w:hAnsi="宋体" w:cs="宋体"/>
                <w:szCs w:val="21"/>
              </w:rPr>
              <w:t>响应具体情况</w:t>
            </w:r>
          </w:p>
        </w:tc>
        <w:tc>
          <w:tcPr>
            <w:tcW w:w="1370" w:type="dxa"/>
            <w:vMerge w:val="continue"/>
            <w:tcBorders>
              <w:left w:val="single" w:color="auto" w:sz="4" w:space="0"/>
              <w:bottom w:val="single" w:color="auto" w:sz="4" w:space="0"/>
              <w:right w:val="single" w:color="auto" w:sz="4" w:space="0"/>
            </w:tcBorders>
          </w:tcPr>
          <w:p w14:paraId="3218C011">
            <w:pPr>
              <w:spacing w:line="440" w:lineRule="exact"/>
              <w:jc w:val="center"/>
              <w:rPr>
                <w:rFonts w:ascii="宋体" w:hAnsi="宋体" w:cs="宋体"/>
                <w:szCs w:val="21"/>
              </w:rPr>
            </w:pPr>
          </w:p>
        </w:tc>
        <w:tc>
          <w:tcPr>
            <w:tcW w:w="2192" w:type="dxa"/>
            <w:vMerge w:val="continue"/>
            <w:tcBorders>
              <w:left w:val="single" w:color="auto" w:sz="4" w:space="0"/>
              <w:bottom w:val="single" w:color="auto" w:sz="4" w:space="0"/>
              <w:right w:val="single" w:color="auto" w:sz="4" w:space="0"/>
            </w:tcBorders>
            <w:vAlign w:val="center"/>
          </w:tcPr>
          <w:p w14:paraId="7A8D0FAF">
            <w:pPr>
              <w:spacing w:line="440" w:lineRule="exact"/>
              <w:rPr>
                <w:rFonts w:ascii="宋体" w:hAnsi="宋体" w:cs="宋体"/>
                <w:szCs w:val="21"/>
              </w:rPr>
            </w:pPr>
          </w:p>
        </w:tc>
      </w:tr>
      <w:tr w14:paraId="70238D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70" w:type="dxa"/>
            <w:tcBorders>
              <w:top w:val="single" w:color="auto" w:sz="4" w:space="0"/>
              <w:left w:val="single" w:color="auto" w:sz="4" w:space="0"/>
              <w:bottom w:val="single" w:color="auto" w:sz="4" w:space="0"/>
              <w:right w:val="single" w:color="auto" w:sz="4" w:space="0"/>
            </w:tcBorders>
          </w:tcPr>
          <w:p w14:paraId="56BD1699">
            <w:pPr>
              <w:spacing w:line="440" w:lineRule="exact"/>
              <w:rPr>
                <w:rFonts w:ascii="宋体" w:hAnsi="宋体" w:cs="宋体"/>
                <w:szCs w:val="21"/>
              </w:rPr>
            </w:pPr>
          </w:p>
        </w:tc>
        <w:tc>
          <w:tcPr>
            <w:tcW w:w="1575" w:type="dxa"/>
            <w:tcBorders>
              <w:top w:val="single" w:color="auto" w:sz="4" w:space="0"/>
              <w:left w:val="single" w:color="auto" w:sz="4" w:space="0"/>
              <w:bottom w:val="single" w:color="auto" w:sz="4" w:space="0"/>
              <w:right w:val="single" w:color="auto" w:sz="4" w:space="0"/>
            </w:tcBorders>
          </w:tcPr>
          <w:p w14:paraId="2F18BD41">
            <w:pPr>
              <w:spacing w:line="440" w:lineRule="exact"/>
              <w:rPr>
                <w:rFonts w:ascii="宋体" w:hAnsi="宋体" w:cs="宋体"/>
                <w:szCs w:val="21"/>
              </w:rPr>
            </w:pPr>
          </w:p>
        </w:tc>
        <w:tc>
          <w:tcPr>
            <w:tcW w:w="1740" w:type="dxa"/>
            <w:tcBorders>
              <w:top w:val="single" w:color="auto" w:sz="4" w:space="0"/>
              <w:left w:val="single" w:color="auto" w:sz="4" w:space="0"/>
              <w:bottom w:val="single" w:color="auto" w:sz="4" w:space="0"/>
              <w:right w:val="single" w:color="auto" w:sz="4" w:space="0"/>
            </w:tcBorders>
          </w:tcPr>
          <w:p w14:paraId="63214000">
            <w:pPr>
              <w:spacing w:line="440" w:lineRule="exact"/>
              <w:rPr>
                <w:rFonts w:ascii="宋体" w:hAnsi="宋体" w:cs="宋体"/>
                <w:szCs w:val="21"/>
              </w:rPr>
            </w:pPr>
          </w:p>
        </w:tc>
        <w:tc>
          <w:tcPr>
            <w:tcW w:w="1950" w:type="dxa"/>
            <w:tcBorders>
              <w:top w:val="single" w:color="auto" w:sz="4" w:space="0"/>
              <w:left w:val="single" w:color="auto" w:sz="4" w:space="0"/>
              <w:bottom w:val="single" w:color="auto" w:sz="4" w:space="0"/>
              <w:right w:val="single" w:color="auto" w:sz="4" w:space="0"/>
            </w:tcBorders>
          </w:tcPr>
          <w:p w14:paraId="0DA13498">
            <w:pPr>
              <w:spacing w:line="440" w:lineRule="exact"/>
              <w:rPr>
                <w:rFonts w:ascii="宋体" w:hAnsi="宋体" w:cs="宋体"/>
                <w:szCs w:val="21"/>
              </w:rPr>
            </w:pPr>
          </w:p>
        </w:tc>
        <w:tc>
          <w:tcPr>
            <w:tcW w:w="1370" w:type="dxa"/>
            <w:tcBorders>
              <w:top w:val="single" w:color="auto" w:sz="4" w:space="0"/>
              <w:left w:val="single" w:color="auto" w:sz="4" w:space="0"/>
              <w:bottom w:val="single" w:color="auto" w:sz="4" w:space="0"/>
              <w:right w:val="single" w:color="auto" w:sz="4" w:space="0"/>
            </w:tcBorders>
          </w:tcPr>
          <w:p w14:paraId="7C6B509B">
            <w:pPr>
              <w:spacing w:line="440" w:lineRule="exact"/>
              <w:rPr>
                <w:rFonts w:ascii="宋体" w:hAnsi="宋体" w:cs="宋体"/>
                <w:szCs w:val="21"/>
              </w:rPr>
            </w:pPr>
          </w:p>
        </w:tc>
        <w:tc>
          <w:tcPr>
            <w:tcW w:w="2192" w:type="dxa"/>
            <w:tcBorders>
              <w:top w:val="single" w:color="auto" w:sz="4" w:space="0"/>
              <w:left w:val="single" w:color="auto" w:sz="4" w:space="0"/>
              <w:bottom w:val="single" w:color="auto" w:sz="4" w:space="0"/>
              <w:right w:val="single" w:color="auto" w:sz="4" w:space="0"/>
            </w:tcBorders>
          </w:tcPr>
          <w:p w14:paraId="3C003CA6">
            <w:pPr>
              <w:spacing w:line="440" w:lineRule="exact"/>
              <w:rPr>
                <w:rFonts w:ascii="宋体" w:hAnsi="宋体" w:cs="宋体"/>
                <w:szCs w:val="21"/>
              </w:rPr>
            </w:pPr>
          </w:p>
        </w:tc>
      </w:tr>
      <w:tr w14:paraId="396CF7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70" w:type="dxa"/>
            <w:tcBorders>
              <w:top w:val="single" w:color="auto" w:sz="4" w:space="0"/>
              <w:left w:val="single" w:color="auto" w:sz="4" w:space="0"/>
              <w:bottom w:val="single" w:color="auto" w:sz="4" w:space="0"/>
              <w:right w:val="single" w:color="auto" w:sz="4" w:space="0"/>
            </w:tcBorders>
          </w:tcPr>
          <w:p w14:paraId="1EF1FEB3">
            <w:pPr>
              <w:spacing w:line="440" w:lineRule="exact"/>
              <w:rPr>
                <w:rFonts w:ascii="宋体" w:hAnsi="宋体" w:cs="宋体"/>
                <w:szCs w:val="21"/>
              </w:rPr>
            </w:pPr>
          </w:p>
        </w:tc>
        <w:tc>
          <w:tcPr>
            <w:tcW w:w="1575" w:type="dxa"/>
            <w:tcBorders>
              <w:top w:val="single" w:color="auto" w:sz="4" w:space="0"/>
              <w:left w:val="single" w:color="auto" w:sz="4" w:space="0"/>
              <w:bottom w:val="single" w:color="auto" w:sz="4" w:space="0"/>
              <w:right w:val="single" w:color="auto" w:sz="4" w:space="0"/>
            </w:tcBorders>
          </w:tcPr>
          <w:p w14:paraId="44C4E694">
            <w:pPr>
              <w:spacing w:line="440" w:lineRule="exact"/>
              <w:rPr>
                <w:rFonts w:ascii="宋体" w:hAnsi="宋体" w:cs="宋体"/>
                <w:szCs w:val="21"/>
              </w:rPr>
            </w:pPr>
          </w:p>
        </w:tc>
        <w:tc>
          <w:tcPr>
            <w:tcW w:w="1740" w:type="dxa"/>
            <w:tcBorders>
              <w:top w:val="single" w:color="auto" w:sz="4" w:space="0"/>
              <w:left w:val="single" w:color="auto" w:sz="4" w:space="0"/>
              <w:bottom w:val="single" w:color="auto" w:sz="4" w:space="0"/>
              <w:right w:val="single" w:color="auto" w:sz="4" w:space="0"/>
            </w:tcBorders>
          </w:tcPr>
          <w:p w14:paraId="50CE9587">
            <w:pPr>
              <w:spacing w:line="440" w:lineRule="exact"/>
              <w:rPr>
                <w:rFonts w:ascii="宋体" w:hAnsi="宋体" w:cs="宋体"/>
                <w:szCs w:val="21"/>
              </w:rPr>
            </w:pPr>
          </w:p>
        </w:tc>
        <w:tc>
          <w:tcPr>
            <w:tcW w:w="1950" w:type="dxa"/>
            <w:tcBorders>
              <w:top w:val="single" w:color="auto" w:sz="4" w:space="0"/>
              <w:left w:val="single" w:color="auto" w:sz="4" w:space="0"/>
              <w:bottom w:val="single" w:color="auto" w:sz="4" w:space="0"/>
              <w:right w:val="single" w:color="auto" w:sz="4" w:space="0"/>
            </w:tcBorders>
          </w:tcPr>
          <w:p w14:paraId="204B4D1D">
            <w:pPr>
              <w:spacing w:line="440" w:lineRule="exact"/>
              <w:rPr>
                <w:rFonts w:ascii="宋体" w:hAnsi="宋体" w:cs="宋体"/>
                <w:szCs w:val="21"/>
              </w:rPr>
            </w:pPr>
          </w:p>
        </w:tc>
        <w:tc>
          <w:tcPr>
            <w:tcW w:w="1370" w:type="dxa"/>
            <w:tcBorders>
              <w:top w:val="single" w:color="auto" w:sz="4" w:space="0"/>
              <w:left w:val="single" w:color="auto" w:sz="4" w:space="0"/>
              <w:bottom w:val="single" w:color="auto" w:sz="4" w:space="0"/>
              <w:right w:val="single" w:color="auto" w:sz="4" w:space="0"/>
            </w:tcBorders>
          </w:tcPr>
          <w:p w14:paraId="03DA08B0">
            <w:pPr>
              <w:spacing w:line="440" w:lineRule="exact"/>
              <w:rPr>
                <w:rFonts w:ascii="宋体" w:hAnsi="宋体" w:cs="宋体"/>
                <w:szCs w:val="21"/>
              </w:rPr>
            </w:pPr>
          </w:p>
        </w:tc>
        <w:tc>
          <w:tcPr>
            <w:tcW w:w="2192" w:type="dxa"/>
            <w:tcBorders>
              <w:top w:val="single" w:color="auto" w:sz="4" w:space="0"/>
              <w:left w:val="single" w:color="auto" w:sz="4" w:space="0"/>
              <w:bottom w:val="single" w:color="auto" w:sz="4" w:space="0"/>
              <w:right w:val="single" w:color="auto" w:sz="4" w:space="0"/>
            </w:tcBorders>
          </w:tcPr>
          <w:p w14:paraId="5E8BEF6C">
            <w:pPr>
              <w:spacing w:line="440" w:lineRule="exact"/>
              <w:rPr>
                <w:rFonts w:ascii="宋体" w:hAnsi="宋体" w:cs="宋体"/>
                <w:szCs w:val="21"/>
              </w:rPr>
            </w:pPr>
          </w:p>
        </w:tc>
      </w:tr>
      <w:tr w14:paraId="03FFB2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70" w:type="dxa"/>
            <w:tcBorders>
              <w:top w:val="single" w:color="auto" w:sz="4" w:space="0"/>
              <w:left w:val="single" w:color="auto" w:sz="4" w:space="0"/>
              <w:bottom w:val="single" w:color="auto" w:sz="4" w:space="0"/>
              <w:right w:val="single" w:color="auto" w:sz="4" w:space="0"/>
            </w:tcBorders>
          </w:tcPr>
          <w:p w14:paraId="246E0699">
            <w:pPr>
              <w:spacing w:line="440" w:lineRule="exact"/>
              <w:rPr>
                <w:rFonts w:ascii="宋体" w:hAnsi="宋体" w:cs="宋体"/>
                <w:szCs w:val="21"/>
              </w:rPr>
            </w:pPr>
          </w:p>
        </w:tc>
        <w:tc>
          <w:tcPr>
            <w:tcW w:w="1575" w:type="dxa"/>
            <w:tcBorders>
              <w:top w:val="single" w:color="auto" w:sz="4" w:space="0"/>
              <w:left w:val="single" w:color="auto" w:sz="4" w:space="0"/>
              <w:bottom w:val="single" w:color="auto" w:sz="4" w:space="0"/>
              <w:right w:val="single" w:color="auto" w:sz="4" w:space="0"/>
            </w:tcBorders>
          </w:tcPr>
          <w:p w14:paraId="2BFFD43B">
            <w:pPr>
              <w:spacing w:line="440" w:lineRule="exact"/>
              <w:rPr>
                <w:rFonts w:ascii="宋体" w:hAnsi="宋体" w:cs="宋体"/>
                <w:szCs w:val="21"/>
              </w:rPr>
            </w:pPr>
          </w:p>
        </w:tc>
        <w:tc>
          <w:tcPr>
            <w:tcW w:w="1740" w:type="dxa"/>
            <w:tcBorders>
              <w:top w:val="single" w:color="auto" w:sz="4" w:space="0"/>
              <w:left w:val="single" w:color="auto" w:sz="4" w:space="0"/>
              <w:bottom w:val="single" w:color="auto" w:sz="4" w:space="0"/>
              <w:right w:val="single" w:color="auto" w:sz="4" w:space="0"/>
            </w:tcBorders>
          </w:tcPr>
          <w:p w14:paraId="107D9B33">
            <w:pPr>
              <w:spacing w:line="440" w:lineRule="exact"/>
              <w:rPr>
                <w:rFonts w:ascii="宋体" w:hAnsi="宋体" w:cs="宋体"/>
                <w:szCs w:val="21"/>
              </w:rPr>
            </w:pPr>
          </w:p>
        </w:tc>
        <w:tc>
          <w:tcPr>
            <w:tcW w:w="1950" w:type="dxa"/>
            <w:tcBorders>
              <w:top w:val="single" w:color="auto" w:sz="4" w:space="0"/>
              <w:left w:val="single" w:color="auto" w:sz="4" w:space="0"/>
              <w:bottom w:val="single" w:color="auto" w:sz="4" w:space="0"/>
              <w:right w:val="single" w:color="auto" w:sz="4" w:space="0"/>
            </w:tcBorders>
          </w:tcPr>
          <w:p w14:paraId="3DB7BD1B">
            <w:pPr>
              <w:spacing w:line="440" w:lineRule="exact"/>
              <w:rPr>
                <w:rFonts w:ascii="宋体" w:hAnsi="宋体" w:cs="宋体"/>
                <w:szCs w:val="21"/>
              </w:rPr>
            </w:pPr>
          </w:p>
        </w:tc>
        <w:tc>
          <w:tcPr>
            <w:tcW w:w="1370" w:type="dxa"/>
            <w:tcBorders>
              <w:top w:val="single" w:color="auto" w:sz="4" w:space="0"/>
              <w:left w:val="single" w:color="auto" w:sz="4" w:space="0"/>
              <w:bottom w:val="single" w:color="auto" w:sz="4" w:space="0"/>
              <w:right w:val="single" w:color="auto" w:sz="4" w:space="0"/>
            </w:tcBorders>
          </w:tcPr>
          <w:p w14:paraId="4CDE9CE2">
            <w:pPr>
              <w:spacing w:line="440" w:lineRule="exact"/>
              <w:rPr>
                <w:rFonts w:ascii="宋体" w:hAnsi="宋体" w:cs="宋体"/>
                <w:szCs w:val="21"/>
              </w:rPr>
            </w:pPr>
          </w:p>
        </w:tc>
        <w:tc>
          <w:tcPr>
            <w:tcW w:w="2192" w:type="dxa"/>
            <w:tcBorders>
              <w:top w:val="single" w:color="auto" w:sz="4" w:space="0"/>
              <w:left w:val="single" w:color="auto" w:sz="4" w:space="0"/>
              <w:bottom w:val="single" w:color="auto" w:sz="4" w:space="0"/>
              <w:right w:val="single" w:color="auto" w:sz="4" w:space="0"/>
            </w:tcBorders>
          </w:tcPr>
          <w:p w14:paraId="13356F68">
            <w:pPr>
              <w:spacing w:line="440" w:lineRule="exact"/>
              <w:rPr>
                <w:rFonts w:ascii="宋体" w:hAnsi="宋体" w:cs="宋体"/>
                <w:szCs w:val="21"/>
              </w:rPr>
            </w:pPr>
          </w:p>
        </w:tc>
      </w:tr>
      <w:tr w14:paraId="0C404E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70" w:type="dxa"/>
            <w:tcBorders>
              <w:top w:val="single" w:color="auto" w:sz="4" w:space="0"/>
              <w:left w:val="single" w:color="auto" w:sz="4" w:space="0"/>
              <w:bottom w:val="single" w:color="auto" w:sz="4" w:space="0"/>
              <w:right w:val="single" w:color="auto" w:sz="4" w:space="0"/>
            </w:tcBorders>
          </w:tcPr>
          <w:p w14:paraId="036D3B5F">
            <w:pPr>
              <w:spacing w:line="440" w:lineRule="exact"/>
              <w:rPr>
                <w:rFonts w:ascii="宋体" w:hAnsi="宋体" w:cs="宋体"/>
                <w:szCs w:val="21"/>
              </w:rPr>
            </w:pPr>
          </w:p>
        </w:tc>
        <w:tc>
          <w:tcPr>
            <w:tcW w:w="1575" w:type="dxa"/>
            <w:tcBorders>
              <w:top w:val="single" w:color="auto" w:sz="4" w:space="0"/>
              <w:left w:val="single" w:color="auto" w:sz="4" w:space="0"/>
              <w:bottom w:val="single" w:color="auto" w:sz="4" w:space="0"/>
              <w:right w:val="single" w:color="auto" w:sz="4" w:space="0"/>
            </w:tcBorders>
          </w:tcPr>
          <w:p w14:paraId="108B6655">
            <w:pPr>
              <w:spacing w:line="440" w:lineRule="exact"/>
              <w:rPr>
                <w:rFonts w:ascii="宋体" w:hAnsi="宋体" w:cs="宋体"/>
                <w:szCs w:val="21"/>
              </w:rPr>
            </w:pPr>
          </w:p>
        </w:tc>
        <w:tc>
          <w:tcPr>
            <w:tcW w:w="1740" w:type="dxa"/>
            <w:tcBorders>
              <w:top w:val="single" w:color="auto" w:sz="4" w:space="0"/>
              <w:left w:val="single" w:color="auto" w:sz="4" w:space="0"/>
              <w:bottom w:val="single" w:color="auto" w:sz="4" w:space="0"/>
              <w:right w:val="single" w:color="auto" w:sz="4" w:space="0"/>
            </w:tcBorders>
          </w:tcPr>
          <w:p w14:paraId="4EE194E8">
            <w:pPr>
              <w:spacing w:line="440" w:lineRule="exact"/>
              <w:rPr>
                <w:rFonts w:ascii="宋体" w:hAnsi="宋体" w:cs="宋体"/>
                <w:szCs w:val="21"/>
              </w:rPr>
            </w:pPr>
          </w:p>
        </w:tc>
        <w:tc>
          <w:tcPr>
            <w:tcW w:w="1950" w:type="dxa"/>
            <w:tcBorders>
              <w:top w:val="single" w:color="auto" w:sz="4" w:space="0"/>
              <w:left w:val="single" w:color="auto" w:sz="4" w:space="0"/>
              <w:bottom w:val="single" w:color="auto" w:sz="4" w:space="0"/>
              <w:right w:val="single" w:color="auto" w:sz="4" w:space="0"/>
            </w:tcBorders>
          </w:tcPr>
          <w:p w14:paraId="3F1A73CE">
            <w:pPr>
              <w:spacing w:line="440" w:lineRule="exact"/>
              <w:rPr>
                <w:rFonts w:ascii="宋体" w:hAnsi="宋体" w:cs="宋体"/>
                <w:szCs w:val="21"/>
              </w:rPr>
            </w:pPr>
          </w:p>
        </w:tc>
        <w:tc>
          <w:tcPr>
            <w:tcW w:w="1370" w:type="dxa"/>
            <w:tcBorders>
              <w:top w:val="single" w:color="auto" w:sz="4" w:space="0"/>
              <w:left w:val="single" w:color="auto" w:sz="4" w:space="0"/>
              <w:bottom w:val="single" w:color="auto" w:sz="4" w:space="0"/>
              <w:right w:val="single" w:color="auto" w:sz="4" w:space="0"/>
            </w:tcBorders>
          </w:tcPr>
          <w:p w14:paraId="74D97269">
            <w:pPr>
              <w:spacing w:line="440" w:lineRule="exact"/>
              <w:rPr>
                <w:rFonts w:ascii="宋体" w:hAnsi="宋体" w:cs="宋体"/>
                <w:szCs w:val="21"/>
              </w:rPr>
            </w:pPr>
          </w:p>
        </w:tc>
        <w:tc>
          <w:tcPr>
            <w:tcW w:w="2192" w:type="dxa"/>
            <w:tcBorders>
              <w:top w:val="single" w:color="auto" w:sz="4" w:space="0"/>
              <w:left w:val="single" w:color="auto" w:sz="4" w:space="0"/>
              <w:bottom w:val="single" w:color="auto" w:sz="4" w:space="0"/>
              <w:right w:val="single" w:color="auto" w:sz="4" w:space="0"/>
            </w:tcBorders>
          </w:tcPr>
          <w:p w14:paraId="55071869">
            <w:pPr>
              <w:spacing w:line="440" w:lineRule="exact"/>
              <w:rPr>
                <w:rFonts w:ascii="宋体" w:hAnsi="宋体" w:cs="宋体"/>
                <w:szCs w:val="21"/>
              </w:rPr>
            </w:pPr>
          </w:p>
        </w:tc>
      </w:tr>
      <w:tr w14:paraId="11AFFA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70" w:type="dxa"/>
            <w:tcBorders>
              <w:top w:val="single" w:color="auto" w:sz="4" w:space="0"/>
              <w:left w:val="single" w:color="auto" w:sz="4" w:space="0"/>
              <w:bottom w:val="single" w:color="auto" w:sz="4" w:space="0"/>
              <w:right w:val="single" w:color="auto" w:sz="4" w:space="0"/>
            </w:tcBorders>
          </w:tcPr>
          <w:p w14:paraId="1A024DF6">
            <w:pPr>
              <w:spacing w:line="440" w:lineRule="exact"/>
              <w:rPr>
                <w:rFonts w:ascii="宋体" w:hAnsi="宋体" w:cs="宋体"/>
                <w:szCs w:val="21"/>
              </w:rPr>
            </w:pPr>
          </w:p>
        </w:tc>
        <w:tc>
          <w:tcPr>
            <w:tcW w:w="1575" w:type="dxa"/>
            <w:tcBorders>
              <w:top w:val="single" w:color="auto" w:sz="4" w:space="0"/>
              <w:left w:val="single" w:color="auto" w:sz="4" w:space="0"/>
              <w:bottom w:val="single" w:color="auto" w:sz="4" w:space="0"/>
              <w:right w:val="single" w:color="auto" w:sz="4" w:space="0"/>
            </w:tcBorders>
          </w:tcPr>
          <w:p w14:paraId="6575A783">
            <w:pPr>
              <w:spacing w:line="440" w:lineRule="exact"/>
              <w:rPr>
                <w:rFonts w:ascii="宋体" w:hAnsi="宋体" w:cs="宋体"/>
                <w:szCs w:val="21"/>
              </w:rPr>
            </w:pPr>
          </w:p>
        </w:tc>
        <w:tc>
          <w:tcPr>
            <w:tcW w:w="1740" w:type="dxa"/>
            <w:tcBorders>
              <w:top w:val="single" w:color="auto" w:sz="4" w:space="0"/>
              <w:left w:val="single" w:color="auto" w:sz="4" w:space="0"/>
              <w:bottom w:val="single" w:color="auto" w:sz="4" w:space="0"/>
              <w:right w:val="single" w:color="auto" w:sz="4" w:space="0"/>
            </w:tcBorders>
          </w:tcPr>
          <w:p w14:paraId="6DA841ED">
            <w:pPr>
              <w:spacing w:line="440" w:lineRule="exact"/>
              <w:rPr>
                <w:rFonts w:ascii="宋体" w:hAnsi="宋体" w:cs="宋体"/>
                <w:szCs w:val="21"/>
              </w:rPr>
            </w:pPr>
          </w:p>
        </w:tc>
        <w:tc>
          <w:tcPr>
            <w:tcW w:w="1950" w:type="dxa"/>
            <w:tcBorders>
              <w:top w:val="single" w:color="auto" w:sz="4" w:space="0"/>
              <w:left w:val="single" w:color="auto" w:sz="4" w:space="0"/>
              <w:bottom w:val="single" w:color="auto" w:sz="4" w:space="0"/>
              <w:right w:val="single" w:color="auto" w:sz="4" w:space="0"/>
            </w:tcBorders>
          </w:tcPr>
          <w:p w14:paraId="6AF60C2B">
            <w:pPr>
              <w:spacing w:line="440" w:lineRule="exact"/>
              <w:rPr>
                <w:rFonts w:ascii="宋体" w:hAnsi="宋体" w:cs="宋体"/>
                <w:szCs w:val="21"/>
              </w:rPr>
            </w:pPr>
          </w:p>
        </w:tc>
        <w:tc>
          <w:tcPr>
            <w:tcW w:w="1370" w:type="dxa"/>
            <w:tcBorders>
              <w:top w:val="single" w:color="auto" w:sz="4" w:space="0"/>
              <w:left w:val="single" w:color="auto" w:sz="4" w:space="0"/>
              <w:bottom w:val="single" w:color="auto" w:sz="4" w:space="0"/>
              <w:right w:val="single" w:color="auto" w:sz="4" w:space="0"/>
            </w:tcBorders>
          </w:tcPr>
          <w:p w14:paraId="7C3DBD30">
            <w:pPr>
              <w:spacing w:line="440" w:lineRule="exact"/>
              <w:rPr>
                <w:rFonts w:ascii="宋体" w:hAnsi="宋体" w:cs="宋体"/>
                <w:szCs w:val="21"/>
              </w:rPr>
            </w:pPr>
          </w:p>
        </w:tc>
        <w:tc>
          <w:tcPr>
            <w:tcW w:w="2192" w:type="dxa"/>
            <w:tcBorders>
              <w:top w:val="single" w:color="auto" w:sz="4" w:space="0"/>
              <w:left w:val="single" w:color="auto" w:sz="4" w:space="0"/>
              <w:bottom w:val="single" w:color="auto" w:sz="4" w:space="0"/>
              <w:right w:val="single" w:color="auto" w:sz="4" w:space="0"/>
            </w:tcBorders>
          </w:tcPr>
          <w:p w14:paraId="678FC61B">
            <w:pPr>
              <w:spacing w:line="440" w:lineRule="exact"/>
              <w:rPr>
                <w:rFonts w:ascii="宋体" w:hAnsi="宋体" w:cs="宋体"/>
                <w:szCs w:val="21"/>
              </w:rPr>
            </w:pPr>
          </w:p>
        </w:tc>
      </w:tr>
      <w:tr w14:paraId="74E9C7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70" w:type="dxa"/>
            <w:tcBorders>
              <w:top w:val="single" w:color="auto" w:sz="4" w:space="0"/>
              <w:left w:val="single" w:color="auto" w:sz="4" w:space="0"/>
              <w:bottom w:val="single" w:color="auto" w:sz="4" w:space="0"/>
              <w:right w:val="single" w:color="auto" w:sz="4" w:space="0"/>
            </w:tcBorders>
          </w:tcPr>
          <w:p w14:paraId="2733D578">
            <w:pPr>
              <w:spacing w:line="440" w:lineRule="exact"/>
              <w:rPr>
                <w:rFonts w:ascii="宋体" w:hAnsi="宋体" w:cs="宋体"/>
                <w:szCs w:val="21"/>
              </w:rPr>
            </w:pPr>
          </w:p>
        </w:tc>
        <w:tc>
          <w:tcPr>
            <w:tcW w:w="1575" w:type="dxa"/>
            <w:tcBorders>
              <w:top w:val="single" w:color="auto" w:sz="4" w:space="0"/>
              <w:left w:val="single" w:color="auto" w:sz="4" w:space="0"/>
              <w:bottom w:val="single" w:color="auto" w:sz="4" w:space="0"/>
              <w:right w:val="single" w:color="auto" w:sz="4" w:space="0"/>
            </w:tcBorders>
          </w:tcPr>
          <w:p w14:paraId="0A913324">
            <w:pPr>
              <w:spacing w:line="440" w:lineRule="exact"/>
              <w:rPr>
                <w:rFonts w:ascii="宋体" w:hAnsi="宋体" w:cs="宋体"/>
                <w:szCs w:val="21"/>
              </w:rPr>
            </w:pPr>
          </w:p>
        </w:tc>
        <w:tc>
          <w:tcPr>
            <w:tcW w:w="1740" w:type="dxa"/>
            <w:tcBorders>
              <w:top w:val="single" w:color="auto" w:sz="4" w:space="0"/>
              <w:left w:val="single" w:color="auto" w:sz="4" w:space="0"/>
              <w:bottom w:val="single" w:color="auto" w:sz="4" w:space="0"/>
              <w:right w:val="single" w:color="auto" w:sz="4" w:space="0"/>
            </w:tcBorders>
          </w:tcPr>
          <w:p w14:paraId="7F6397AF">
            <w:pPr>
              <w:spacing w:line="440" w:lineRule="exact"/>
              <w:rPr>
                <w:rFonts w:ascii="宋体" w:hAnsi="宋体" w:cs="宋体"/>
                <w:szCs w:val="21"/>
              </w:rPr>
            </w:pPr>
          </w:p>
        </w:tc>
        <w:tc>
          <w:tcPr>
            <w:tcW w:w="1950" w:type="dxa"/>
            <w:tcBorders>
              <w:top w:val="single" w:color="auto" w:sz="4" w:space="0"/>
              <w:left w:val="single" w:color="auto" w:sz="4" w:space="0"/>
              <w:bottom w:val="single" w:color="auto" w:sz="4" w:space="0"/>
              <w:right w:val="single" w:color="auto" w:sz="4" w:space="0"/>
            </w:tcBorders>
          </w:tcPr>
          <w:p w14:paraId="2ABF09D7">
            <w:pPr>
              <w:spacing w:line="440" w:lineRule="exact"/>
              <w:rPr>
                <w:rFonts w:ascii="宋体" w:hAnsi="宋体" w:cs="宋体"/>
                <w:szCs w:val="21"/>
              </w:rPr>
            </w:pPr>
          </w:p>
        </w:tc>
        <w:tc>
          <w:tcPr>
            <w:tcW w:w="1370" w:type="dxa"/>
            <w:tcBorders>
              <w:top w:val="single" w:color="auto" w:sz="4" w:space="0"/>
              <w:left w:val="single" w:color="auto" w:sz="4" w:space="0"/>
              <w:bottom w:val="single" w:color="auto" w:sz="4" w:space="0"/>
              <w:right w:val="single" w:color="auto" w:sz="4" w:space="0"/>
            </w:tcBorders>
          </w:tcPr>
          <w:p w14:paraId="7DE93AEB">
            <w:pPr>
              <w:spacing w:line="440" w:lineRule="exact"/>
              <w:rPr>
                <w:rFonts w:ascii="宋体" w:hAnsi="宋体" w:cs="宋体"/>
                <w:szCs w:val="21"/>
              </w:rPr>
            </w:pPr>
          </w:p>
        </w:tc>
        <w:tc>
          <w:tcPr>
            <w:tcW w:w="2192" w:type="dxa"/>
            <w:tcBorders>
              <w:top w:val="single" w:color="auto" w:sz="4" w:space="0"/>
              <w:left w:val="single" w:color="auto" w:sz="4" w:space="0"/>
              <w:bottom w:val="single" w:color="auto" w:sz="4" w:space="0"/>
              <w:right w:val="single" w:color="auto" w:sz="4" w:space="0"/>
            </w:tcBorders>
          </w:tcPr>
          <w:p w14:paraId="778643F3">
            <w:pPr>
              <w:spacing w:line="440" w:lineRule="exact"/>
              <w:rPr>
                <w:rFonts w:ascii="宋体" w:hAnsi="宋体" w:cs="宋体"/>
                <w:szCs w:val="21"/>
              </w:rPr>
            </w:pPr>
          </w:p>
        </w:tc>
      </w:tr>
      <w:tr w14:paraId="57382B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70" w:type="dxa"/>
            <w:tcBorders>
              <w:top w:val="single" w:color="auto" w:sz="4" w:space="0"/>
              <w:left w:val="single" w:color="auto" w:sz="4" w:space="0"/>
              <w:bottom w:val="single" w:color="auto" w:sz="4" w:space="0"/>
              <w:right w:val="single" w:color="auto" w:sz="4" w:space="0"/>
            </w:tcBorders>
          </w:tcPr>
          <w:p w14:paraId="47A1D291">
            <w:pPr>
              <w:spacing w:line="440" w:lineRule="exact"/>
              <w:rPr>
                <w:rFonts w:ascii="宋体" w:hAnsi="宋体" w:cs="宋体"/>
                <w:szCs w:val="21"/>
              </w:rPr>
            </w:pPr>
          </w:p>
        </w:tc>
        <w:tc>
          <w:tcPr>
            <w:tcW w:w="1575" w:type="dxa"/>
            <w:tcBorders>
              <w:top w:val="single" w:color="auto" w:sz="4" w:space="0"/>
              <w:left w:val="single" w:color="auto" w:sz="4" w:space="0"/>
              <w:bottom w:val="single" w:color="auto" w:sz="4" w:space="0"/>
              <w:right w:val="single" w:color="auto" w:sz="4" w:space="0"/>
            </w:tcBorders>
          </w:tcPr>
          <w:p w14:paraId="2617E436">
            <w:pPr>
              <w:spacing w:line="440" w:lineRule="exact"/>
              <w:rPr>
                <w:rFonts w:ascii="宋体" w:hAnsi="宋体" w:cs="宋体"/>
                <w:szCs w:val="21"/>
              </w:rPr>
            </w:pPr>
          </w:p>
        </w:tc>
        <w:tc>
          <w:tcPr>
            <w:tcW w:w="1740" w:type="dxa"/>
            <w:tcBorders>
              <w:top w:val="single" w:color="auto" w:sz="4" w:space="0"/>
              <w:left w:val="single" w:color="auto" w:sz="4" w:space="0"/>
              <w:bottom w:val="single" w:color="auto" w:sz="4" w:space="0"/>
              <w:right w:val="single" w:color="auto" w:sz="4" w:space="0"/>
            </w:tcBorders>
          </w:tcPr>
          <w:p w14:paraId="7D9AB5CB">
            <w:pPr>
              <w:spacing w:line="440" w:lineRule="exact"/>
              <w:rPr>
                <w:rFonts w:ascii="宋体" w:hAnsi="宋体" w:cs="宋体"/>
                <w:szCs w:val="21"/>
              </w:rPr>
            </w:pPr>
          </w:p>
        </w:tc>
        <w:tc>
          <w:tcPr>
            <w:tcW w:w="1950" w:type="dxa"/>
            <w:tcBorders>
              <w:top w:val="single" w:color="auto" w:sz="4" w:space="0"/>
              <w:left w:val="single" w:color="auto" w:sz="4" w:space="0"/>
              <w:bottom w:val="single" w:color="auto" w:sz="4" w:space="0"/>
              <w:right w:val="single" w:color="auto" w:sz="4" w:space="0"/>
            </w:tcBorders>
          </w:tcPr>
          <w:p w14:paraId="333D2635">
            <w:pPr>
              <w:spacing w:line="440" w:lineRule="exact"/>
              <w:rPr>
                <w:rFonts w:ascii="宋体" w:hAnsi="宋体" w:cs="宋体"/>
                <w:szCs w:val="21"/>
              </w:rPr>
            </w:pPr>
          </w:p>
        </w:tc>
        <w:tc>
          <w:tcPr>
            <w:tcW w:w="1370" w:type="dxa"/>
            <w:tcBorders>
              <w:top w:val="single" w:color="auto" w:sz="4" w:space="0"/>
              <w:left w:val="single" w:color="auto" w:sz="4" w:space="0"/>
              <w:bottom w:val="single" w:color="auto" w:sz="4" w:space="0"/>
              <w:right w:val="single" w:color="auto" w:sz="4" w:space="0"/>
            </w:tcBorders>
          </w:tcPr>
          <w:p w14:paraId="4BEF83AA">
            <w:pPr>
              <w:spacing w:line="440" w:lineRule="exact"/>
              <w:rPr>
                <w:rFonts w:ascii="宋体" w:hAnsi="宋体" w:cs="宋体"/>
                <w:szCs w:val="21"/>
              </w:rPr>
            </w:pPr>
          </w:p>
        </w:tc>
        <w:tc>
          <w:tcPr>
            <w:tcW w:w="2192" w:type="dxa"/>
            <w:tcBorders>
              <w:top w:val="single" w:color="auto" w:sz="4" w:space="0"/>
              <w:left w:val="single" w:color="auto" w:sz="4" w:space="0"/>
              <w:bottom w:val="single" w:color="auto" w:sz="4" w:space="0"/>
              <w:right w:val="single" w:color="auto" w:sz="4" w:space="0"/>
            </w:tcBorders>
          </w:tcPr>
          <w:p w14:paraId="3E9AE461">
            <w:pPr>
              <w:spacing w:line="440" w:lineRule="exact"/>
              <w:rPr>
                <w:rFonts w:ascii="宋体" w:hAnsi="宋体" w:cs="宋体"/>
                <w:szCs w:val="21"/>
              </w:rPr>
            </w:pPr>
          </w:p>
        </w:tc>
      </w:tr>
      <w:tr w14:paraId="3381A5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70" w:type="dxa"/>
            <w:tcBorders>
              <w:top w:val="single" w:color="auto" w:sz="4" w:space="0"/>
              <w:left w:val="single" w:color="auto" w:sz="4" w:space="0"/>
              <w:bottom w:val="single" w:color="auto" w:sz="4" w:space="0"/>
              <w:right w:val="single" w:color="auto" w:sz="4" w:space="0"/>
            </w:tcBorders>
          </w:tcPr>
          <w:p w14:paraId="20FC5F14">
            <w:pPr>
              <w:spacing w:line="440" w:lineRule="exact"/>
              <w:rPr>
                <w:rFonts w:ascii="宋体" w:hAnsi="宋体" w:cs="宋体"/>
                <w:szCs w:val="21"/>
              </w:rPr>
            </w:pPr>
          </w:p>
        </w:tc>
        <w:tc>
          <w:tcPr>
            <w:tcW w:w="1575" w:type="dxa"/>
            <w:tcBorders>
              <w:top w:val="single" w:color="auto" w:sz="4" w:space="0"/>
              <w:left w:val="single" w:color="auto" w:sz="4" w:space="0"/>
              <w:bottom w:val="single" w:color="auto" w:sz="4" w:space="0"/>
              <w:right w:val="single" w:color="auto" w:sz="4" w:space="0"/>
            </w:tcBorders>
          </w:tcPr>
          <w:p w14:paraId="0CD857C3">
            <w:pPr>
              <w:spacing w:line="440" w:lineRule="exact"/>
              <w:rPr>
                <w:rFonts w:ascii="宋体" w:hAnsi="宋体" w:cs="宋体"/>
                <w:szCs w:val="21"/>
              </w:rPr>
            </w:pPr>
          </w:p>
        </w:tc>
        <w:tc>
          <w:tcPr>
            <w:tcW w:w="1740" w:type="dxa"/>
            <w:tcBorders>
              <w:top w:val="single" w:color="auto" w:sz="4" w:space="0"/>
              <w:left w:val="single" w:color="auto" w:sz="4" w:space="0"/>
              <w:bottom w:val="single" w:color="auto" w:sz="4" w:space="0"/>
              <w:right w:val="single" w:color="auto" w:sz="4" w:space="0"/>
            </w:tcBorders>
          </w:tcPr>
          <w:p w14:paraId="62AB90FB">
            <w:pPr>
              <w:spacing w:line="440" w:lineRule="exact"/>
              <w:rPr>
                <w:rFonts w:ascii="宋体" w:hAnsi="宋体" w:cs="宋体"/>
                <w:szCs w:val="21"/>
              </w:rPr>
            </w:pPr>
          </w:p>
        </w:tc>
        <w:tc>
          <w:tcPr>
            <w:tcW w:w="1950" w:type="dxa"/>
            <w:tcBorders>
              <w:top w:val="single" w:color="auto" w:sz="4" w:space="0"/>
              <w:left w:val="single" w:color="auto" w:sz="4" w:space="0"/>
              <w:bottom w:val="single" w:color="auto" w:sz="4" w:space="0"/>
              <w:right w:val="single" w:color="auto" w:sz="4" w:space="0"/>
            </w:tcBorders>
          </w:tcPr>
          <w:p w14:paraId="6AE5CF6A">
            <w:pPr>
              <w:spacing w:line="440" w:lineRule="exact"/>
              <w:rPr>
                <w:rFonts w:ascii="宋体" w:hAnsi="宋体" w:cs="宋体"/>
                <w:szCs w:val="21"/>
              </w:rPr>
            </w:pPr>
          </w:p>
        </w:tc>
        <w:tc>
          <w:tcPr>
            <w:tcW w:w="1370" w:type="dxa"/>
            <w:tcBorders>
              <w:top w:val="single" w:color="auto" w:sz="4" w:space="0"/>
              <w:left w:val="single" w:color="auto" w:sz="4" w:space="0"/>
              <w:bottom w:val="single" w:color="auto" w:sz="4" w:space="0"/>
              <w:right w:val="single" w:color="auto" w:sz="4" w:space="0"/>
            </w:tcBorders>
          </w:tcPr>
          <w:p w14:paraId="0D52F45F">
            <w:pPr>
              <w:spacing w:line="440" w:lineRule="exact"/>
              <w:rPr>
                <w:rFonts w:ascii="宋体" w:hAnsi="宋体" w:cs="宋体"/>
                <w:szCs w:val="21"/>
              </w:rPr>
            </w:pPr>
          </w:p>
        </w:tc>
        <w:tc>
          <w:tcPr>
            <w:tcW w:w="2192" w:type="dxa"/>
            <w:tcBorders>
              <w:top w:val="single" w:color="auto" w:sz="4" w:space="0"/>
              <w:left w:val="single" w:color="auto" w:sz="4" w:space="0"/>
              <w:bottom w:val="single" w:color="auto" w:sz="4" w:space="0"/>
              <w:right w:val="single" w:color="auto" w:sz="4" w:space="0"/>
            </w:tcBorders>
          </w:tcPr>
          <w:p w14:paraId="4275927D">
            <w:pPr>
              <w:spacing w:line="440" w:lineRule="exact"/>
              <w:rPr>
                <w:rFonts w:ascii="宋体" w:hAnsi="宋体" w:cs="宋体"/>
                <w:szCs w:val="21"/>
              </w:rPr>
            </w:pPr>
          </w:p>
        </w:tc>
      </w:tr>
      <w:tr w14:paraId="1D8D5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70" w:type="dxa"/>
            <w:tcBorders>
              <w:top w:val="single" w:color="auto" w:sz="4" w:space="0"/>
              <w:left w:val="single" w:color="auto" w:sz="4" w:space="0"/>
              <w:bottom w:val="single" w:color="auto" w:sz="4" w:space="0"/>
              <w:right w:val="single" w:color="auto" w:sz="4" w:space="0"/>
            </w:tcBorders>
          </w:tcPr>
          <w:p w14:paraId="0FAA41B5">
            <w:pPr>
              <w:spacing w:line="440" w:lineRule="exact"/>
              <w:rPr>
                <w:rFonts w:ascii="宋体" w:hAnsi="宋体" w:cs="宋体"/>
                <w:szCs w:val="21"/>
              </w:rPr>
            </w:pPr>
          </w:p>
        </w:tc>
        <w:tc>
          <w:tcPr>
            <w:tcW w:w="1575" w:type="dxa"/>
            <w:tcBorders>
              <w:top w:val="single" w:color="auto" w:sz="4" w:space="0"/>
              <w:left w:val="single" w:color="auto" w:sz="4" w:space="0"/>
              <w:bottom w:val="single" w:color="auto" w:sz="4" w:space="0"/>
              <w:right w:val="single" w:color="auto" w:sz="4" w:space="0"/>
            </w:tcBorders>
          </w:tcPr>
          <w:p w14:paraId="11A7837D">
            <w:pPr>
              <w:spacing w:line="440" w:lineRule="exact"/>
              <w:rPr>
                <w:rFonts w:ascii="宋体" w:hAnsi="宋体" w:cs="宋体"/>
                <w:szCs w:val="21"/>
              </w:rPr>
            </w:pPr>
          </w:p>
        </w:tc>
        <w:tc>
          <w:tcPr>
            <w:tcW w:w="1740" w:type="dxa"/>
            <w:tcBorders>
              <w:top w:val="single" w:color="auto" w:sz="4" w:space="0"/>
              <w:left w:val="single" w:color="auto" w:sz="4" w:space="0"/>
              <w:bottom w:val="single" w:color="auto" w:sz="4" w:space="0"/>
              <w:right w:val="single" w:color="auto" w:sz="4" w:space="0"/>
            </w:tcBorders>
          </w:tcPr>
          <w:p w14:paraId="626C17DE">
            <w:pPr>
              <w:spacing w:line="440" w:lineRule="exact"/>
              <w:rPr>
                <w:rFonts w:ascii="宋体" w:hAnsi="宋体" w:cs="宋体"/>
                <w:szCs w:val="21"/>
              </w:rPr>
            </w:pPr>
          </w:p>
        </w:tc>
        <w:tc>
          <w:tcPr>
            <w:tcW w:w="1950" w:type="dxa"/>
            <w:tcBorders>
              <w:top w:val="single" w:color="auto" w:sz="4" w:space="0"/>
              <w:left w:val="single" w:color="auto" w:sz="4" w:space="0"/>
              <w:bottom w:val="single" w:color="auto" w:sz="4" w:space="0"/>
              <w:right w:val="single" w:color="auto" w:sz="4" w:space="0"/>
            </w:tcBorders>
          </w:tcPr>
          <w:p w14:paraId="67DC8819">
            <w:pPr>
              <w:spacing w:line="440" w:lineRule="exact"/>
              <w:rPr>
                <w:rFonts w:ascii="宋体" w:hAnsi="宋体" w:cs="宋体"/>
                <w:szCs w:val="21"/>
              </w:rPr>
            </w:pPr>
          </w:p>
        </w:tc>
        <w:tc>
          <w:tcPr>
            <w:tcW w:w="1370" w:type="dxa"/>
            <w:tcBorders>
              <w:top w:val="single" w:color="auto" w:sz="4" w:space="0"/>
              <w:left w:val="single" w:color="auto" w:sz="4" w:space="0"/>
              <w:bottom w:val="single" w:color="auto" w:sz="4" w:space="0"/>
              <w:right w:val="single" w:color="auto" w:sz="4" w:space="0"/>
            </w:tcBorders>
          </w:tcPr>
          <w:p w14:paraId="125E08DE">
            <w:pPr>
              <w:spacing w:line="440" w:lineRule="exact"/>
              <w:rPr>
                <w:rFonts w:ascii="宋体" w:hAnsi="宋体" w:cs="宋体"/>
                <w:szCs w:val="21"/>
              </w:rPr>
            </w:pPr>
          </w:p>
        </w:tc>
        <w:tc>
          <w:tcPr>
            <w:tcW w:w="2192" w:type="dxa"/>
            <w:tcBorders>
              <w:top w:val="single" w:color="auto" w:sz="4" w:space="0"/>
              <w:left w:val="single" w:color="auto" w:sz="4" w:space="0"/>
              <w:bottom w:val="single" w:color="auto" w:sz="4" w:space="0"/>
              <w:right w:val="single" w:color="auto" w:sz="4" w:space="0"/>
            </w:tcBorders>
          </w:tcPr>
          <w:p w14:paraId="3C86E1B3">
            <w:pPr>
              <w:spacing w:line="440" w:lineRule="exact"/>
              <w:rPr>
                <w:rFonts w:ascii="宋体" w:hAnsi="宋体" w:cs="宋体"/>
                <w:szCs w:val="21"/>
              </w:rPr>
            </w:pPr>
          </w:p>
        </w:tc>
      </w:tr>
      <w:tr w14:paraId="04FDFC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70" w:type="dxa"/>
            <w:tcBorders>
              <w:top w:val="single" w:color="auto" w:sz="4" w:space="0"/>
              <w:left w:val="single" w:color="auto" w:sz="4" w:space="0"/>
              <w:bottom w:val="single" w:color="auto" w:sz="4" w:space="0"/>
              <w:right w:val="single" w:color="auto" w:sz="4" w:space="0"/>
            </w:tcBorders>
          </w:tcPr>
          <w:p w14:paraId="52D8D5B4">
            <w:pPr>
              <w:spacing w:line="440" w:lineRule="exact"/>
              <w:rPr>
                <w:rFonts w:ascii="宋体" w:hAnsi="宋体" w:cs="宋体"/>
                <w:szCs w:val="21"/>
              </w:rPr>
            </w:pPr>
          </w:p>
        </w:tc>
        <w:tc>
          <w:tcPr>
            <w:tcW w:w="1575" w:type="dxa"/>
            <w:tcBorders>
              <w:top w:val="single" w:color="auto" w:sz="4" w:space="0"/>
              <w:left w:val="single" w:color="auto" w:sz="4" w:space="0"/>
              <w:bottom w:val="single" w:color="auto" w:sz="4" w:space="0"/>
              <w:right w:val="single" w:color="auto" w:sz="4" w:space="0"/>
            </w:tcBorders>
          </w:tcPr>
          <w:p w14:paraId="638B307B">
            <w:pPr>
              <w:spacing w:line="440" w:lineRule="exact"/>
              <w:rPr>
                <w:rFonts w:ascii="宋体" w:hAnsi="宋体" w:cs="宋体"/>
                <w:szCs w:val="21"/>
              </w:rPr>
            </w:pPr>
          </w:p>
        </w:tc>
        <w:tc>
          <w:tcPr>
            <w:tcW w:w="1740" w:type="dxa"/>
            <w:tcBorders>
              <w:top w:val="single" w:color="auto" w:sz="4" w:space="0"/>
              <w:left w:val="single" w:color="auto" w:sz="4" w:space="0"/>
              <w:bottom w:val="single" w:color="auto" w:sz="4" w:space="0"/>
              <w:right w:val="single" w:color="auto" w:sz="4" w:space="0"/>
            </w:tcBorders>
          </w:tcPr>
          <w:p w14:paraId="6DCFD392">
            <w:pPr>
              <w:spacing w:line="440" w:lineRule="exact"/>
              <w:rPr>
                <w:rFonts w:ascii="宋体" w:hAnsi="宋体" w:cs="宋体"/>
                <w:szCs w:val="21"/>
              </w:rPr>
            </w:pPr>
          </w:p>
        </w:tc>
        <w:tc>
          <w:tcPr>
            <w:tcW w:w="1950" w:type="dxa"/>
            <w:tcBorders>
              <w:top w:val="single" w:color="auto" w:sz="4" w:space="0"/>
              <w:left w:val="single" w:color="auto" w:sz="4" w:space="0"/>
              <w:bottom w:val="single" w:color="auto" w:sz="4" w:space="0"/>
              <w:right w:val="single" w:color="auto" w:sz="4" w:space="0"/>
            </w:tcBorders>
          </w:tcPr>
          <w:p w14:paraId="58F46FAA">
            <w:pPr>
              <w:spacing w:line="440" w:lineRule="exact"/>
              <w:rPr>
                <w:rFonts w:ascii="宋体" w:hAnsi="宋体" w:cs="宋体"/>
                <w:szCs w:val="21"/>
              </w:rPr>
            </w:pPr>
          </w:p>
        </w:tc>
        <w:tc>
          <w:tcPr>
            <w:tcW w:w="1370" w:type="dxa"/>
            <w:tcBorders>
              <w:top w:val="single" w:color="auto" w:sz="4" w:space="0"/>
              <w:left w:val="single" w:color="auto" w:sz="4" w:space="0"/>
              <w:bottom w:val="single" w:color="auto" w:sz="4" w:space="0"/>
              <w:right w:val="single" w:color="auto" w:sz="4" w:space="0"/>
            </w:tcBorders>
          </w:tcPr>
          <w:p w14:paraId="346CAEB1">
            <w:pPr>
              <w:spacing w:line="440" w:lineRule="exact"/>
              <w:rPr>
                <w:rFonts w:ascii="宋体" w:hAnsi="宋体" w:cs="宋体"/>
                <w:szCs w:val="21"/>
              </w:rPr>
            </w:pPr>
          </w:p>
        </w:tc>
        <w:tc>
          <w:tcPr>
            <w:tcW w:w="2192" w:type="dxa"/>
            <w:tcBorders>
              <w:top w:val="single" w:color="auto" w:sz="4" w:space="0"/>
              <w:left w:val="single" w:color="auto" w:sz="4" w:space="0"/>
              <w:bottom w:val="single" w:color="auto" w:sz="4" w:space="0"/>
              <w:right w:val="single" w:color="auto" w:sz="4" w:space="0"/>
            </w:tcBorders>
          </w:tcPr>
          <w:p w14:paraId="48767F49">
            <w:pPr>
              <w:spacing w:line="440" w:lineRule="exact"/>
              <w:rPr>
                <w:rFonts w:ascii="宋体" w:hAnsi="宋体" w:cs="宋体"/>
                <w:szCs w:val="21"/>
              </w:rPr>
            </w:pPr>
          </w:p>
        </w:tc>
      </w:tr>
      <w:tr w14:paraId="1723C8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70" w:type="dxa"/>
            <w:tcBorders>
              <w:top w:val="single" w:color="auto" w:sz="4" w:space="0"/>
              <w:left w:val="single" w:color="auto" w:sz="4" w:space="0"/>
              <w:bottom w:val="single" w:color="auto" w:sz="4" w:space="0"/>
              <w:right w:val="single" w:color="auto" w:sz="4" w:space="0"/>
            </w:tcBorders>
          </w:tcPr>
          <w:p w14:paraId="1EC0DA7D">
            <w:pPr>
              <w:spacing w:line="440" w:lineRule="exact"/>
              <w:rPr>
                <w:rFonts w:ascii="宋体" w:hAnsi="宋体" w:cs="宋体"/>
                <w:szCs w:val="21"/>
              </w:rPr>
            </w:pPr>
          </w:p>
        </w:tc>
        <w:tc>
          <w:tcPr>
            <w:tcW w:w="1575" w:type="dxa"/>
            <w:tcBorders>
              <w:top w:val="single" w:color="auto" w:sz="4" w:space="0"/>
              <w:left w:val="single" w:color="auto" w:sz="4" w:space="0"/>
              <w:bottom w:val="single" w:color="auto" w:sz="4" w:space="0"/>
              <w:right w:val="single" w:color="auto" w:sz="4" w:space="0"/>
            </w:tcBorders>
          </w:tcPr>
          <w:p w14:paraId="678ABC75">
            <w:pPr>
              <w:spacing w:line="440" w:lineRule="exact"/>
              <w:rPr>
                <w:rFonts w:ascii="宋体" w:hAnsi="宋体" w:cs="宋体"/>
                <w:szCs w:val="21"/>
              </w:rPr>
            </w:pPr>
          </w:p>
        </w:tc>
        <w:tc>
          <w:tcPr>
            <w:tcW w:w="1740" w:type="dxa"/>
            <w:tcBorders>
              <w:top w:val="single" w:color="auto" w:sz="4" w:space="0"/>
              <w:left w:val="single" w:color="auto" w:sz="4" w:space="0"/>
              <w:bottom w:val="single" w:color="auto" w:sz="4" w:space="0"/>
              <w:right w:val="single" w:color="auto" w:sz="4" w:space="0"/>
            </w:tcBorders>
          </w:tcPr>
          <w:p w14:paraId="506CC68B">
            <w:pPr>
              <w:spacing w:line="440" w:lineRule="exact"/>
              <w:rPr>
                <w:rFonts w:ascii="宋体" w:hAnsi="宋体" w:cs="宋体"/>
                <w:szCs w:val="21"/>
              </w:rPr>
            </w:pPr>
          </w:p>
        </w:tc>
        <w:tc>
          <w:tcPr>
            <w:tcW w:w="1950" w:type="dxa"/>
            <w:tcBorders>
              <w:top w:val="single" w:color="auto" w:sz="4" w:space="0"/>
              <w:left w:val="single" w:color="auto" w:sz="4" w:space="0"/>
              <w:bottom w:val="single" w:color="auto" w:sz="4" w:space="0"/>
              <w:right w:val="single" w:color="auto" w:sz="4" w:space="0"/>
            </w:tcBorders>
          </w:tcPr>
          <w:p w14:paraId="7809ADDE">
            <w:pPr>
              <w:spacing w:line="440" w:lineRule="exact"/>
              <w:rPr>
                <w:rFonts w:ascii="宋体" w:hAnsi="宋体" w:cs="宋体"/>
                <w:szCs w:val="21"/>
              </w:rPr>
            </w:pPr>
          </w:p>
        </w:tc>
        <w:tc>
          <w:tcPr>
            <w:tcW w:w="1370" w:type="dxa"/>
            <w:tcBorders>
              <w:top w:val="single" w:color="auto" w:sz="4" w:space="0"/>
              <w:left w:val="single" w:color="auto" w:sz="4" w:space="0"/>
              <w:bottom w:val="single" w:color="auto" w:sz="4" w:space="0"/>
              <w:right w:val="single" w:color="auto" w:sz="4" w:space="0"/>
            </w:tcBorders>
          </w:tcPr>
          <w:p w14:paraId="266002A7">
            <w:pPr>
              <w:spacing w:line="440" w:lineRule="exact"/>
              <w:rPr>
                <w:rFonts w:ascii="宋体" w:hAnsi="宋体" w:cs="宋体"/>
                <w:szCs w:val="21"/>
              </w:rPr>
            </w:pPr>
          </w:p>
        </w:tc>
        <w:tc>
          <w:tcPr>
            <w:tcW w:w="2192" w:type="dxa"/>
            <w:tcBorders>
              <w:top w:val="single" w:color="auto" w:sz="4" w:space="0"/>
              <w:left w:val="single" w:color="auto" w:sz="4" w:space="0"/>
              <w:bottom w:val="single" w:color="auto" w:sz="4" w:space="0"/>
              <w:right w:val="single" w:color="auto" w:sz="4" w:space="0"/>
            </w:tcBorders>
          </w:tcPr>
          <w:p w14:paraId="4C5294D0">
            <w:pPr>
              <w:spacing w:line="440" w:lineRule="exact"/>
              <w:rPr>
                <w:rFonts w:ascii="宋体" w:hAnsi="宋体" w:cs="宋体"/>
                <w:szCs w:val="21"/>
              </w:rPr>
            </w:pPr>
          </w:p>
        </w:tc>
      </w:tr>
    </w:tbl>
    <w:p w14:paraId="52D86741">
      <w:pPr>
        <w:pStyle w:val="210"/>
      </w:pPr>
    </w:p>
    <w:p w14:paraId="52FE00BA">
      <w:pPr>
        <w:spacing w:line="360" w:lineRule="auto"/>
        <w:rPr>
          <w:rFonts w:ascii="宋体" w:hAnsi="宋体" w:cs="宋体"/>
          <w:szCs w:val="21"/>
        </w:rPr>
      </w:pPr>
      <w:r>
        <w:rPr>
          <w:rFonts w:hint="eastAsia" w:ascii="宋体" w:hAnsi="宋体" w:cs="宋体"/>
          <w:szCs w:val="21"/>
        </w:rPr>
        <w:t>供应商名称（公章）：</w:t>
      </w:r>
    </w:p>
    <w:p w14:paraId="756ED0C9">
      <w:pPr>
        <w:spacing w:line="360" w:lineRule="auto"/>
        <w:rPr>
          <w:rFonts w:ascii="宋体" w:hAnsi="宋体" w:cs="宋体"/>
          <w:szCs w:val="21"/>
        </w:rPr>
      </w:pPr>
      <w:r>
        <w:rPr>
          <w:rFonts w:hint="eastAsia" w:ascii="宋体" w:hAnsi="宋体" w:cs="宋体"/>
          <w:szCs w:val="21"/>
        </w:rPr>
        <w:t>授权代表（签字）：</w:t>
      </w:r>
    </w:p>
    <w:p w14:paraId="374C9A78">
      <w:pPr>
        <w:spacing w:line="360" w:lineRule="auto"/>
        <w:rPr>
          <w:rFonts w:ascii="宋体" w:hAnsi="宋体" w:cs="宋体"/>
          <w:szCs w:val="21"/>
        </w:rPr>
      </w:pPr>
      <w:r>
        <w:rPr>
          <w:rFonts w:hint="eastAsia" w:ascii="宋体" w:hAnsi="宋体" w:cs="宋体"/>
          <w:szCs w:val="21"/>
        </w:rPr>
        <w:t>日期：</w:t>
      </w:r>
    </w:p>
    <w:p w14:paraId="10CEB35B">
      <w:pPr>
        <w:pStyle w:val="17"/>
        <w:spacing w:line="360" w:lineRule="auto"/>
        <w:rPr>
          <w:szCs w:val="21"/>
        </w:rPr>
      </w:pPr>
      <w:bookmarkStart w:id="297" w:name="_Toc18373"/>
      <w:r>
        <w:rPr>
          <w:szCs w:val="21"/>
        </w:rPr>
        <w:t>注：1、供应商应对</w:t>
      </w:r>
      <w:r>
        <w:rPr>
          <w:rFonts w:hint="eastAsia"/>
          <w:szCs w:val="21"/>
        </w:rPr>
        <w:t>采购</w:t>
      </w:r>
      <w:r>
        <w:rPr>
          <w:szCs w:val="21"/>
        </w:rPr>
        <w:t>文件第四章</w:t>
      </w:r>
      <w:r>
        <w:rPr>
          <w:rFonts w:hint="eastAsia"/>
          <w:szCs w:val="21"/>
        </w:rPr>
        <w:t>采购</w:t>
      </w:r>
      <w:r>
        <w:rPr>
          <w:szCs w:val="21"/>
        </w:rPr>
        <w:t>技术规格及要求的内容给予</w:t>
      </w:r>
      <w:r>
        <w:rPr>
          <w:b/>
          <w:bCs/>
          <w:szCs w:val="21"/>
        </w:rPr>
        <w:t>逐条响应</w:t>
      </w:r>
      <w:r>
        <w:rPr>
          <w:szCs w:val="21"/>
        </w:rPr>
        <w:t>，</w:t>
      </w:r>
      <w:r>
        <w:rPr>
          <w:b/>
          <w:bCs/>
        </w:rPr>
        <w:t>若漏项或不逐条应答视为负偏离。</w:t>
      </w:r>
      <w:r>
        <w:rPr>
          <w:szCs w:val="21"/>
        </w:rPr>
        <w:t>以服务所能达到的内容予以填写，而</w:t>
      </w:r>
      <w:r>
        <w:rPr>
          <w:b/>
          <w:bCs/>
          <w:szCs w:val="21"/>
        </w:rPr>
        <w:t>不应通过简单拷贝</w:t>
      </w:r>
      <w:r>
        <w:rPr>
          <w:rFonts w:hint="eastAsia"/>
          <w:b/>
          <w:bCs/>
          <w:szCs w:val="21"/>
        </w:rPr>
        <w:t>采购</w:t>
      </w:r>
      <w:r>
        <w:rPr>
          <w:b/>
          <w:bCs/>
          <w:szCs w:val="21"/>
        </w:rPr>
        <w:t>文件技术要求作为响应内容</w:t>
      </w:r>
      <w:r>
        <w:rPr>
          <w:szCs w:val="21"/>
        </w:rPr>
        <w:t>。</w:t>
      </w:r>
    </w:p>
    <w:p w14:paraId="64C361A7">
      <w:pPr>
        <w:spacing w:line="440" w:lineRule="exact"/>
        <w:ind w:firstLine="420"/>
        <w:rPr>
          <w:rFonts w:ascii="Arial" w:hAnsi="Arial" w:cs="Arial"/>
          <w:b/>
          <w:bCs/>
          <w:szCs w:val="21"/>
        </w:rPr>
      </w:pPr>
      <w:r>
        <w:rPr>
          <w:rFonts w:ascii="Arial" w:hAnsi="Arial" w:cs="Arial"/>
          <w:szCs w:val="21"/>
        </w:rPr>
        <w:t>2、响应文件“响应具体情况",指所投产品和服务的技术应答情况。“说明”栏请注明“响应/正偏离/负偏离”，并且标注针对“★”和“▲”技术规格响应的证明文件在响应文件中的页码及具体位置。</w:t>
      </w:r>
    </w:p>
    <w:p w14:paraId="36863B54">
      <w:pPr>
        <w:spacing w:line="440" w:lineRule="exact"/>
        <w:ind w:firstLine="420"/>
        <w:rPr>
          <w:rFonts w:ascii="Arial" w:hAnsi="Arial" w:cs="Arial"/>
          <w:b/>
          <w:bCs/>
          <w:szCs w:val="21"/>
        </w:rPr>
      </w:pPr>
      <w:r>
        <w:rPr>
          <w:rFonts w:ascii="Arial" w:hAnsi="Arial" w:cs="Arial"/>
          <w:szCs w:val="21"/>
        </w:rPr>
        <w:t>3、</w:t>
      </w:r>
      <w:r>
        <w:rPr>
          <w:rFonts w:ascii="Arial" w:hAnsi="Arial" w:cs="Arial"/>
          <w:b/>
          <w:bCs/>
          <w:szCs w:val="21"/>
        </w:rPr>
        <w:t>供应商投标规格和采购规格不一致，而供应商却在此表应答为响应或正偏离时，必须提供充分理由说明（不提供或理由不充分将视为负偏离）；因此种情况在验收时产生争议，采购人有权按照采购文件的原始标准进行验收。</w:t>
      </w:r>
    </w:p>
    <w:p w14:paraId="569EE26D">
      <w:pPr>
        <w:spacing w:line="440" w:lineRule="exact"/>
        <w:ind w:firstLine="420"/>
        <w:rPr>
          <w:rFonts w:ascii="Arial" w:hAnsi="Arial" w:cs="Arial"/>
          <w:b/>
          <w:bCs/>
          <w:sz w:val="24"/>
          <w:szCs w:val="22"/>
        </w:rPr>
      </w:pPr>
      <w:r>
        <w:rPr>
          <w:rFonts w:ascii="Arial" w:hAnsi="Arial" w:cs="Arial"/>
          <w:szCs w:val="21"/>
        </w:rPr>
        <w:t>4、如果行数不够，请自行增加。</w:t>
      </w:r>
      <w:r>
        <w:rPr>
          <w:rFonts w:ascii="Arial" w:hAnsi="Arial" w:cs="Arial"/>
          <w:b/>
          <w:bCs/>
          <w:sz w:val="24"/>
          <w:szCs w:val="22"/>
        </w:rPr>
        <w:br w:type="page" w:clear="all"/>
      </w:r>
      <w:bookmarkEnd w:id="297"/>
    </w:p>
    <w:p w14:paraId="2861526E">
      <w:pPr>
        <w:rPr>
          <w:b/>
          <w:bCs/>
          <w:sz w:val="24"/>
          <w:szCs w:val="22"/>
        </w:rPr>
      </w:pPr>
      <w:bookmarkStart w:id="298" w:name="_Toc27879"/>
    </w:p>
    <w:p w14:paraId="38A40FD7">
      <w:pPr>
        <w:spacing w:line="360" w:lineRule="auto"/>
        <w:outlineLvl w:val="1"/>
        <w:rPr>
          <w:b/>
          <w:bCs/>
          <w:sz w:val="24"/>
          <w:szCs w:val="22"/>
        </w:rPr>
      </w:pPr>
      <w:bookmarkStart w:id="299" w:name="_Toc31568"/>
      <w:r>
        <w:rPr>
          <w:b/>
          <w:bCs/>
          <w:sz w:val="24"/>
          <w:szCs w:val="22"/>
        </w:rPr>
        <w:t>附件六 政府采购政策</w:t>
      </w:r>
      <w:bookmarkEnd w:id="298"/>
      <w:bookmarkEnd w:id="299"/>
    </w:p>
    <w:p w14:paraId="090088B2">
      <w:pPr>
        <w:spacing w:before="193" w:line="360" w:lineRule="auto"/>
        <w:ind w:left="36" w:right="158" w:firstLine="640"/>
        <w:jc w:val="center"/>
        <w:rPr>
          <w:b/>
          <w:bCs/>
          <w:spacing w:val="-2"/>
          <w:szCs w:val="21"/>
        </w:rPr>
      </w:pPr>
      <w:bookmarkStart w:id="300" w:name="_Toc3219"/>
      <w:bookmarkStart w:id="301" w:name="_Toc11811"/>
      <w:bookmarkStart w:id="302" w:name="_Toc28798"/>
      <w:bookmarkStart w:id="303" w:name="_Toc17453"/>
      <w:bookmarkStart w:id="304" w:name="_Toc19381"/>
      <w:bookmarkStart w:id="305" w:name="_Toc21802"/>
      <w:bookmarkStart w:id="306" w:name="_Toc17125"/>
      <w:bookmarkStart w:id="307" w:name="_Toc337"/>
      <w:r>
        <w:rPr>
          <w:b/>
          <w:bCs/>
          <w:spacing w:val="-2"/>
          <w:szCs w:val="21"/>
        </w:rPr>
        <w:t>（一）《中小企业声明函》</w:t>
      </w:r>
      <w:bookmarkEnd w:id="300"/>
      <w:bookmarkEnd w:id="301"/>
      <w:bookmarkEnd w:id="302"/>
      <w:bookmarkEnd w:id="303"/>
      <w:bookmarkEnd w:id="304"/>
      <w:bookmarkEnd w:id="305"/>
      <w:bookmarkEnd w:id="306"/>
    </w:p>
    <w:p w14:paraId="7488C31E">
      <w:pPr>
        <w:pStyle w:val="48"/>
        <w:ind w:firstLine="0"/>
        <w:jc w:val="center"/>
        <w:rPr>
          <w:rFonts w:ascii="Arial" w:hAnsi="Arial" w:cs="Arial"/>
          <w:spacing w:val="6"/>
        </w:rPr>
      </w:pPr>
      <w:r>
        <w:rPr>
          <w:rFonts w:ascii="Arial" w:hAnsi="Arial" w:cs="Arial"/>
          <w:b/>
          <w:sz w:val="30"/>
          <w:szCs w:val="30"/>
          <w:lang w:bidi="ar"/>
        </w:rPr>
        <w:t>【不属于小微企业的无需填写、递交】</w:t>
      </w:r>
    </w:p>
    <w:p w14:paraId="3DB2476A">
      <w:pPr>
        <w:widowControl/>
        <w:ind w:left="425"/>
        <w:jc w:val="center"/>
        <w:rPr>
          <w:b/>
          <w:bCs/>
          <w:sz w:val="24"/>
          <w:szCs w:val="24"/>
        </w:rPr>
      </w:pPr>
      <w:r>
        <w:rPr>
          <w:b/>
          <w:bCs/>
          <w:sz w:val="24"/>
          <w:szCs w:val="24"/>
        </w:rPr>
        <w:t>中小企业声明函（服务）</w:t>
      </w:r>
    </w:p>
    <w:p w14:paraId="7B6A8E89">
      <w:pPr>
        <w:spacing w:before="193" w:line="360" w:lineRule="auto"/>
        <w:ind w:left="36" w:right="158" w:firstLine="640"/>
        <w:rPr>
          <w:szCs w:val="21"/>
        </w:rPr>
      </w:pPr>
      <w:r>
        <w:rPr>
          <w:spacing w:val="-4"/>
          <w:szCs w:val="21"/>
        </w:rPr>
        <w:t>本公司（联合体）郑重声明</w:t>
      </w:r>
      <w:r>
        <w:rPr>
          <w:spacing w:val="-99"/>
          <w:szCs w:val="21"/>
        </w:rPr>
        <w:t xml:space="preserve"> </w:t>
      </w:r>
      <w:r>
        <w:rPr>
          <w:spacing w:val="-4"/>
          <w:szCs w:val="21"/>
        </w:rPr>
        <w:t>，根据《政府采购促进中小</w:t>
      </w:r>
      <w:r>
        <w:rPr>
          <w:spacing w:val="-140"/>
          <w:szCs w:val="21"/>
        </w:rPr>
        <w:t xml:space="preserve"> </w:t>
      </w:r>
      <w:r>
        <w:rPr>
          <w:spacing w:val="-17"/>
          <w:szCs w:val="21"/>
        </w:rPr>
        <w:t>企业发展管理办法》（财库</w:t>
      </w:r>
      <w:r>
        <w:rPr>
          <w:spacing w:val="-32"/>
          <w:szCs w:val="21"/>
        </w:rPr>
        <w:t xml:space="preserve"> </w:t>
      </w:r>
      <w:r>
        <w:rPr>
          <w:spacing w:val="-17"/>
          <w:szCs w:val="21"/>
        </w:rPr>
        <w:t>﹝2020 ﹞46</w:t>
      </w:r>
      <w:r>
        <w:rPr>
          <w:spacing w:val="-48"/>
          <w:szCs w:val="21"/>
        </w:rPr>
        <w:t xml:space="preserve"> </w:t>
      </w:r>
      <w:r>
        <w:rPr>
          <w:spacing w:val="-17"/>
          <w:szCs w:val="21"/>
        </w:rPr>
        <w:t>号）的规定</w:t>
      </w:r>
      <w:r>
        <w:rPr>
          <w:spacing w:val="-114"/>
          <w:szCs w:val="21"/>
        </w:rPr>
        <w:t xml:space="preserve"> </w:t>
      </w:r>
      <w:r>
        <w:rPr>
          <w:spacing w:val="-17"/>
          <w:szCs w:val="21"/>
        </w:rPr>
        <w:t>，</w:t>
      </w:r>
      <w:r>
        <w:rPr>
          <w:spacing w:val="-133"/>
          <w:szCs w:val="21"/>
        </w:rPr>
        <w:t xml:space="preserve"> </w:t>
      </w:r>
      <w:r>
        <w:rPr>
          <w:spacing w:val="-17"/>
          <w:szCs w:val="21"/>
        </w:rPr>
        <w:t>本公司</w:t>
      </w:r>
      <w:r>
        <w:rPr>
          <w:spacing w:val="-137"/>
          <w:szCs w:val="21"/>
        </w:rPr>
        <w:t xml:space="preserve"> </w:t>
      </w:r>
      <w:r>
        <w:rPr>
          <w:spacing w:val="-15"/>
          <w:szCs w:val="21"/>
        </w:rPr>
        <w:t>（联合体）参加</w:t>
      </w:r>
      <w:r>
        <w:rPr>
          <w:spacing w:val="-74"/>
          <w:szCs w:val="21"/>
          <w:u w:val="single"/>
        </w:rPr>
        <w:t xml:space="preserve"> </w:t>
      </w:r>
      <w:r>
        <w:rPr>
          <w:iCs/>
          <w:spacing w:val="-15"/>
          <w:szCs w:val="21"/>
          <w:u w:val="single"/>
        </w:rPr>
        <w:t>（单位名称）</w:t>
      </w:r>
      <w:r>
        <w:rPr>
          <w:spacing w:val="-15"/>
          <w:szCs w:val="21"/>
        </w:rPr>
        <w:t>的</w:t>
      </w:r>
      <w:r>
        <w:rPr>
          <w:spacing w:val="-83"/>
          <w:szCs w:val="21"/>
          <w:u w:val="single"/>
        </w:rPr>
        <w:t xml:space="preserve"> </w:t>
      </w:r>
      <w:r>
        <w:rPr>
          <w:iCs/>
          <w:spacing w:val="-15"/>
          <w:szCs w:val="21"/>
          <w:u w:val="single"/>
        </w:rPr>
        <w:t>（项目名称）</w:t>
      </w:r>
      <w:r>
        <w:rPr>
          <w:spacing w:val="-15"/>
          <w:szCs w:val="21"/>
        </w:rPr>
        <w:t>采购活动</w:t>
      </w:r>
      <w:r>
        <w:rPr>
          <w:spacing w:val="-114"/>
          <w:szCs w:val="21"/>
        </w:rPr>
        <w:t xml:space="preserve"> </w:t>
      </w:r>
      <w:r>
        <w:rPr>
          <w:spacing w:val="-15"/>
          <w:szCs w:val="21"/>
        </w:rPr>
        <w:t>，</w:t>
      </w:r>
      <w:r>
        <w:rPr>
          <w:spacing w:val="-133"/>
          <w:szCs w:val="21"/>
        </w:rPr>
        <w:t xml:space="preserve"> </w:t>
      </w:r>
      <w:r>
        <w:rPr>
          <w:spacing w:val="-15"/>
          <w:szCs w:val="21"/>
        </w:rPr>
        <w:t>工</w:t>
      </w:r>
      <w:r>
        <w:rPr>
          <w:spacing w:val="-140"/>
          <w:szCs w:val="21"/>
        </w:rPr>
        <w:t xml:space="preserve"> </w:t>
      </w:r>
      <w:r>
        <w:rPr>
          <w:spacing w:val="-4"/>
          <w:szCs w:val="21"/>
        </w:rPr>
        <w:t>程的施工单位</w:t>
      </w:r>
      <w:r>
        <w:rPr>
          <w:b/>
          <w:bCs/>
          <w:spacing w:val="-4"/>
          <w:szCs w:val="21"/>
        </w:rPr>
        <w:t>全部</w:t>
      </w:r>
      <w:r>
        <w:rPr>
          <w:spacing w:val="-4"/>
          <w:szCs w:val="21"/>
        </w:rPr>
        <w:t>为符合政策要求的中小企业（或者</w:t>
      </w:r>
      <w:r>
        <w:rPr>
          <w:spacing w:val="-95"/>
          <w:szCs w:val="21"/>
        </w:rPr>
        <w:t xml:space="preserve"> </w:t>
      </w:r>
      <w:r>
        <w:rPr>
          <w:spacing w:val="-4"/>
          <w:szCs w:val="21"/>
        </w:rPr>
        <w:t>：服务</w:t>
      </w:r>
      <w:r>
        <w:rPr>
          <w:b/>
          <w:bCs/>
          <w:spacing w:val="-135"/>
          <w:szCs w:val="21"/>
        </w:rPr>
        <w:t xml:space="preserve"> </w:t>
      </w:r>
      <w:r>
        <w:rPr>
          <w:b/>
          <w:bCs/>
          <w:spacing w:val="-2"/>
          <w:szCs w:val="21"/>
        </w:rPr>
        <w:t>全部</w:t>
      </w:r>
      <w:r>
        <w:rPr>
          <w:spacing w:val="-2"/>
          <w:szCs w:val="21"/>
        </w:rPr>
        <w:t>由符合政策要求的中小企业承接）。相关企业</w:t>
      </w:r>
      <w:r>
        <w:rPr>
          <w:spacing w:val="-147"/>
          <w:szCs w:val="21"/>
        </w:rPr>
        <w:t xml:space="preserve"> </w:t>
      </w:r>
      <w:r>
        <w:rPr>
          <w:spacing w:val="-2"/>
          <w:szCs w:val="21"/>
        </w:rPr>
        <w:t>（含联合</w:t>
      </w:r>
      <w:r>
        <w:rPr>
          <w:spacing w:val="-135"/>
          <w:szCs w:val="21"/>
        </w:rPr>
        <w:t xml:space="preserve"> </w:t>
      </w:r>
      <w:r>
        <w:rPr>
          <w:spacing w:val="-5"/>
          <w:szCs w:val="21"/>
        </w:rPr>
        <w:t>体中的中小企业</w:t>
      </w:r>
      <w:r>
        <w:rPr>
          <w:spacing w:val="-91"/>
          <w:szCs w:val="21"/>
        </w:rPr>
        <w:t xml:space="preserve"> </w:t>
      </w:r>
      <w:r>
        <w:rPr>
          <w:spacing w:val="-5"/>
          <w:szCs w:val="21"/>
        </w:rPr>
        <w:t>、</w:t>
      </w:r>
      <w:r>
        <w:rPr>
          <w:spacing w:val="-136"/>
          <w:szCs w:val="21"/>
        </w:rPr>
        <w:t xml:space="preserve"> </w:t>
      </w:r>
      <w:r>
        <w:rPr>
          <w:spacing w:val="-5"/>
          <w:szCs w:val="21"/>
        </w:rPr>
        <w:t>签订分包意向协议的中小企业）的具体情</w:t>
      </w:r>
      <w:r>
        <w:rPr>
          <w:spacing w:val="-137"/>
          <w:szCs w:val="21"/>
        </w:rPr>
        <w:t xml:space="preserve"> </w:t>
      </w:r>
      <w:r>
        <w:rPr>
          <w:spacing w:val="-6"/>
          <w:szCs w:val="21"/>
        </w:rPr>
        <w:t>况如下</w:t>
      </w:r>
      <w:r>
        <w:rPr>
          <w:spacing w:val="-114"/>
          <w:szCs w:val="21"/>
        </w:rPr>
        <w:t xml:space="preserve"> </w:t>
      </w:r>
      <w:r>
        <w:rPr>
          <w:spacing w:val="-6"/>
          <w:szCs w:val="21"/>
        </w:rPr>
        <w:t>：</w:t>
      </w:r>
    </w:p>
    <w:p w14:paraId="41EB2697">
      <w:pPr>
        <w:spacing w:before="191" w:line="360" w:lineRule="auto"/>
        <w:ind w:firstLine="689"/>
        <w:rPr>
          <w:rFonts w:ascii="宋体" w:hAnsi="宋体" w:cs="宋体"/>
          <w:szCs w:val="21"/>
        </w:rPr>
      </w:pPr>
      <w:r>
        <w:rPr>
          <w:spacing w:val="-4"/>
          <w:szCs w:val="21"/>
        </w:rPr>
        <w:t>1、</w:t>
      </w:r>
      <w:r>
        <w:rPr>
          <w:spacing w:val="-4"/>
          <w:szCs w:val="21"/>
          <w:u w:val="single"/>
        </w:rPr>
        <w:t>（标的名称）</w:t>
      </w:r>
      <w:r>
        <w:rPr>
          <w:spacing w:val="-4"/>
          <w:szCs w:val="21"/>
        </w:rPr>
        <w:t>，属于</w:t>
      </w:r>
      <w:r>
        <w:rPr>
          <w:spacing w:val="-4"/>
          <w:szCs w:val="21"/>
          <w:u w:val="single"/>
        </w:rPr>
        <w:t>（采购文件中明确的所属行业）</w:t>
      </w:r>
      <w:r>
        <w:rPr>
          <w:spacing w:val="-4"/>
          <w:szCs w:val="21"/>
        </w:rPr>
        <w:t>行业</w:t>
      </w:r>
      <w:r>
        <w:rPr>
          <w:rFonts w:hint="eastAsia" w:ascii="宋体" w:hAnsi="宋体" w:cs="宋体"/>
          <w:spacing w:val="-19"/>
          <w:szCs w:val="21"/>
        </w:rPr>
        <w:t>；</w:t>
      </w:r>
      <w:r>
        <w:rPr>
          <w:rFonts w:hint="eastAsia" w:ascii="宋体" w:hAnsi="宋体" w:cs="宋体"/>
          <w:spacing w:val="-5"/>
          <w:szCs w:val="21"/>
        </w:rPr>
        <w:t>承建</w:t>
      </w:r>
      <w:r>
        <w:rPr>
          <w:rFonts w:hint="eastAsia" w:ascii="宋体" w:hAnsi="宋体" w:cs="宋体"/>
          <w:spacing w:val="-155"/>
          <w:szCs w:val="21"/>
        </w:rPr>
        <w:t xml:space="preserve"> </w:t>
      </w:r>
      <w:r>
        <w:rPr>
          <w:rFonts w:hint="eastAsia" w:ascii="宋体" w:hAnsi="宋体" w:cs="宋体"/>
          <w:spacing w:val="-5"/>
          <w:szCs w:val="21"/>
        </w:rPr>
        <w:t>（承接）企业为</w:t>
      </w:r>
      <w:r>
        <w:rPr>
          <w:rFonts w:hint="eastAsia" w:ascii="宋体" w:hAnsi="宋体" w:cs="宋体"/>
          <w:spacing w:val="-78"/>
          <w:szCs w:val="21"/>
          <w:u w:val="single"/>
        </w:rPr>
        <w:t xml:space="preserve"> </w:t>
      </w:r>
      <w:r>
        <w:rPr>
          <w:rFonts w:hint="eastAsia" w:ascii="宋体" w:hAnsi="宋体" w:cs="宋体"/>
          <w:iCs/>
          <w:spacing w:val="-5"/>
          <w:szCs w:val="21"/>
          <w:u w:val="single"/>
        </w:rPr>
        <w:t xml:space="preserve">（企业名称）  </w:t>
      </w:r>
      <w:r>
        <w:rPr>
          <w:spacing w:val="-4"/>
          <w:szCs w:val="21"/>
        </w:rPr>
        <w:t>从业人员</w:t>
      </w:r>
      <w:r>
        <w:rPr>
          <w:spacing w:val="-4"/>
          <w:szCs w:val="21"/>
          <w:u w:val="single"/>
        </w:rPr>
        <w:t xml:space="preserve">   </w:t>
      </w:r>
      <w:r>
        <w:rPr>
          <w:spacing w:val="-4"/>
          <w:szCs w:val="21"/>
        </w:rPr>
        <w:t>人， 营业收入为</w:t>
      </w:r>
      <w:r>
        <w:rPr>
          <w:spacing w:val="-4"/>
          <w:szCs w:val="21"/>
          <w:u w:val="single"/>
        </w:rPr>
        <w:t xml:space="preserve">    </w:t>
      </w:r>
      <w:r>
        <w:rPr>
          <w:spacing w:val="-4"/>
          <w:szCs w:val="21"/>
        </w:rPr>
        <w:t>万元，资产总额为</w:t>
      </w:r>
      <w:r>
        <w:rPr>
          <w:spacing w:val="-4"/>
          <w:szCs w:val="21"/>
          <w:u w:val="single"/>
        </w:rPr>
        <w:t xml:space="preserve">    </w:t>
      </w:r>
      <w:r>
        <w:rPr>
          <w:spacing w:val="-4"/>
          <w:szCs w:val="21"/>
        </w:rPr>
        <w:t>万元</w:t>
      </w:r>
      <w:r>
        <w:rPr>
          <w:rFonts w:hint="eastAsia" w:ascii="宋体" w:hAnsi="宋体" w:cs="宋体"/>
          <w:spacing w:val="-7"/>
          <w:szCs w:val="21"/>
        </w:rPr>
        <w:t>，</w:t>
      </w:r>
      <w:r>
        <w:rPr>
          <w:spacing w:val="-4"/>
          <w:szCs w:val="21"/>
        </w:rPr>
        <w:t>属于</w:t>
      </w:r>
      <w:r>
        <w:rPr>
          <w:rFonts w:hint="eastAsia" w:ascii="宋体" w:hAnsi="宋体"/>
          <w:sz w:val="24"/>
          <w:szCs w:val="24"/>
          <w:u w:val="single"/>
        </w:rPr>
        <w:t>（□</w:t>
      </w:r>
      <w:r>
        <w:rPr>
          <w:rFonts w:hint="eastAsia" w:ascii="宋体" w:hAnsi="宋体"/>
          <w:sz w:val="22"/>
          <w:szCs w:val="22"/>
          <w:u w:val="single"/>
        </w:rPr>
        <w:t>中型企业</w:t>
      </w:r>
      <w:r>
        <w:rPr>
          <w:rFonts w:hint="eastAsia" w:ascii="宋体" w:hAnsi="宋体"/>
          <w:sz w:val="24"/>
          <w:szCs w:val="24"/>
          <w:u w:val="single"/>
        </w:rPr>
        <w:t xml:space="preserve"> □</w:t>
      </w:r>
      <w:r>
        <w:rPr>
          <w:rFonts w:hint="eastAsia" w:ascii="宋体" w:hAnsi="宋体"/>
          <w:sz w:val="22"/>
          <w:szCs w:val="22"/>
          <w:u w:val="single"/>
        </w:rPr>
        <w:t>小型企业</w:t>
      </w:r>
      <w:r>
        <w:rPr>
          <w:rFonts w:hint="eastAsia" w:ascii="宋体" w:hAnsi="宋体"/>
          <w:sz w:val="24"/>
          <w:szCs w:val="24"/>
          <w:u w:val="single"/>
        </w:rPr>
        <w:t xml:space="preserve"> □</w:t>
      </w:r>
      <w:r>
        <w:rPr>
          <w:rFonts w:hint="eastAsia" w:ascii="宋体" w:hAnsi="宋体"/>
          <w:sz w:val="22"/>
          <w:szCs w:val="22"/>
          <w:u w:val="single"/>
        </w:rPr>
        <w:t>微型企业</w:t>
      </w:r>
      <w:r>
        <w:rPr>
          <w:rFonts w:hint="eastAsia" w:ascii="宋体" w:hAnsi="宋体"/>
          <w:sz w:val="24"/>
          <w:szCs w:val="24"/>
          <w:u w:val="single"/>
        </w:rPr>
        <w:t>）</w:t>
      </w:r>
      <w:r>
        <w:rPr>
          <w:rFonts w:hint="eastAsia" w:ascii="宋体" w:hAnsi="宋体" w:cs="宋体"/>
          <w:spacing w:val="-5"/>
          <w:szCs w:val="21"/>
        </w:rPr>
        <w:t>；</w:t>
      </w:r>
    </w:p>
    <w:p w14:paraId="75343C67">
      <w:pPr>
        <w:spacing w:line="360" w:lineRule="auto"/>
        <w:ind w:left="18" w:firstLine="651"/>
        <w:rPr>
          <w:rFonts w:ascii="宋体" w:hAnsi="宋体" w:cs="宋体"/>
          <w:szCs w:val="21"/>
        </w:rPr>
      </w:pPr>
      <w:r>
        <w:rPr>
          <w:rFonts w:hint="eastAsia" w:ascii="宋体" w:hAnsi="宋体" w:cs="宋体"/>
          <w:spacing w:val="-15"/>
          <w:szCs w:val="21"/>
        </w:rPr>
        <w:t>2</w:t>
      </w:r>
      <w:r>
        <w:rPr>
          <w:rFonts w:hint="eastAsia" w:ascii="宋体" w:hAnsi="宋体" w:cs="宋体"/>
          <w:spacing w:val="-138"/>
          <w:szCs w:val="21"/>
        </w:rPr>
        <w:t xml:space="preserve"> </w:t>
      </w:r>
      <w:r>
        <w:rPr>
          <w:rFonts w:hint="eastAsia" w:ascii="宋体" w:hAnsi="宋体" w:cs="宋体"/>
          <w:spacing w:val="-15"/>
          <w:szCs w:val="21"/>
        </w:rPr>
        <w:t>.</w:t>
      </w:r>
      <w:r>
        <w:rPr>
          <w:spacing w:val="-4"/>
          <w:szCs w:val="21"/>
          <w:u w:val="single"/>
        </w:rPr>
        <w:t>（标的名称）</w:t>
      </w:r>
      <w:r>
        <w:rPr>
          <w:spacing w:val="-4"/>
          <w:szCs w:val="21"/>
        </w:rPr>
        <w:t>，属于</w:t>
      </w:r>
      <w:r>
        <w:rPr>
          <w:spacing w:val="-4"/>
          <w:szCs w:val="21"/>
          <w:u w:val="single"/>
        </w:rPr>
        <w:t>（采购文件中明确的所属行业）</w:t>
      </w:r>
      <w:r>
        <w:rPr>
          <w:spacing w:val="-4"/>
          <w:szCs w:val="21"/>
        </w:rPr>
        <w:t>行业</w:t>
      </w:r>
      <w:r>
        <w:rPr>
          <w:rFonts w:hint="eastAsia" w:ascii="宋体" w:hAnsi="宋体" w:cs="宋体"/>
          <w:spacing w:val="-19"/>
          <w:szCs w:val="21"/>
        </w:rPr>
        <w:t>；</w:t>
      </w:r>
      <w:r>
        <w:rPr>
          <w:rFonts w:hint="eastAsia" w:ascii="宋体" w:hAnsi="宋体" w:cs="宋体"/>
          <w:spacing w:val="-5"/>
          <w:szCs w:val="21"/>
        </w:rPr>
        <w:t>承建</w:t>
      </w:r>
      <w:r>
        <w:rPr>
          <w:rFonts w:hint="eastAsia" w:ascii="宋体" w:hAnsi="宋体" w:cs="宋体"/>
          <w:spacing w:val="-155"/>
          <w:szCs w:val="21"/>
        </w:rPr>
        <w:t xml:space="preserve"> </w:t>
      </w:r>
      <w:r>
        <w:rPr>
          <w:rFonts w:hint="eastAsia" w:ascii="宋体" w:hAnsi="宋体" w:cs="宋体"/>
          <w:spacing w:val="-5"/>
          <w:szCs w:val="21"/>
        </w:rPr>
        <w:t>（承接）企业为</w:t>
      </w:r>
      <w:r>
        <w:rPr>
          <w:rFonts w:hint="eastAsia" w:ascii="宋体" w:hAnsi="宋体" w:cs="宋体"/>
          <w:spacing w:val="-78"/>
          <w:szCs w:val="21"/>
          <w:u w:val="single"/>
        </w:rPr>
        <w:t xml:space="preserve"> </w:t>
      </w:r>
      <w:r>
        <w:rPr>
          <w:rFonts w:hint="eastAsia" w:ascii="宋体" w:hAnsi="宋体" w:cs="宋体"/>
          <w:iCs/>
          <w:spacing w:val="-5"/>
          <w:szCs w:val="21"/>
          <w:u w:val="single"/>
        </w:rPr>
        <w:t xml:space="preserve">（企业名称）  </w:t>
      </w:r>
      <w:r>
        <w:rPr>
          <w:spacing w:val="-4"/>
          <w:szCs w:val="21"/>
        </w:rPr>
        <w:t>从业人员</w:t>
      </w:r>
      <w:r>
        <w:rPr>
          <w:spacing w:val="-4"/>
          <w:szCs w:val="21"/>
          <w:u w:val="single"/>
        </w:rPr>
        <w:t xml:space="preserve">   </w:t>
      </w:r>
      <w:r>
        <w:rPr>
          <w:spacing w:val="-4"/>
          <w:szCs w:val="21"/>
        </w:rPr>
        <w:t>人， 营业收入为</w:t>
      </w:r>
      <w:r>
        <w:rPr>
          <w:spacing w:val="-4"/>
          <w:szCs w:val="21"/>
          <w:u w:val="single"/>
        </w:rPr>
        <w:t xml:space="preserve">    </w:t>
      </w:r>
      <w:r>
        <w:rPr>
          <w:spacing w:val="-4"/>
          <w:szCs w:val="21"/>
        </w:rPr>
        <w:t>万元，资产总额为</w:t>
      </w:r>
      <w:r>
        <w:rPr>
          <w:spacing w:val="-4"/>
          <w:szCs w:val="21"/>
          <w:u w:val="single"/>
        </w:rPr>
        <w:t xml:space="preserve">    </w:t>
      </w:r>
      <w:r>
        <w:rPr>
          <w:spacing w:val="-4"/>
          <w:szCs w:val="21"/>
        </w:rPr>
        <w:t>万元</w:t>
      </w:r>
      <w:r>
        <w:rPr>
          <w:rFonts w:hint="eastAsia" w:ascii="宋体" w:hAnsi="宋体" w:cs="宋体"/>
          <w:spacing w:val="-7"/>
          <w:szCs w:val="21"/>
        </w:rPr>
        <w:t>，</w:t>
      </w:r>
      <w:r>
        <w:rPr>
          <w:spacing w:val="-4"/>
          <w:szCs w:val="21"/>
        </w:rPr>
        <w:t>属于</w:t>
      </w:r>
      <w:r>
        <w:rPr>
          <w:rFonts w:hint="eastAsia" w:ascii="宋体" w:hAnsi="宋体"/>
          <w:sz w:val="24"/>
          <w:szCs w:val="24"/>
          <w:u w:val="single"/>
        </w:rPr>
        <w:t>（□</w:t>
      </w:r>
      <w:r>
        <w:rPr>
          <w:rFonts w:hint="eastAsia" w:ascii="宋体" w:hAnsi="宋体"/>
          <w:sz w:val="22"/>
          <w:szCs w:val="22"/>
          <w:u w:val="single"/>
        </w:rPr>
        <w:t>中型企业</w:t>
      </w:r>
      <w:r>
        <w:rPr>
          <w:rFonts w:hint="eastAsia" w:ascii="宋体" w:hAnsi="宋体"/>
          <w:sz w:val="24"/>
          <w:szCs w:val="24"/>
          <w:u w:val="single"/>
        </w:rPr>
        <w:t xml:space="preserve"> □</w:t>
      </w:r>
      <w:r>
        <w:rPr>
          <w:rFonts w:hint="eastAsia" w:ascii="宋体" w:hAnsi="宋体"/>
          <w:sz w:val="22"/>
          <w:szCs w:val="22"/>
          <w:u w:val="single"/>
        </w:rPr>
        <w:t>小型企业</w:t>
      </w:r>
      <w:r>
        <w:rPr>
          <w:rFonts w:hint="eastAsia" w:ascii="宋体" w:hAnsi="宋体"/>
          <w:sz w:val="24"/>
          <w:szCs w:val="24"/>
          <w:u w:val="single"/>
        </w:rPr>
        <w:t xml:space="preserve"> □</w:t>
      </w:r>
      <w:r>
        <w:rPr>
          <w:rFonts w:hint="eastAsia" w:ascii="宋体" w:hAnsi="宋体"/>
          <w:sz w:val="22"/>
          <w:szCs w:val="22"/>
          <w:u w:val="single"/>
        </w:rPr>
        <w:t>微型企业</w:t>
      </w:r>
      <w:r>
        <w:rPr>
          <w:rFonts w:hint="eastAsia" w:ascii="宋体" w:hAnsi="宋体"/>
          <w:sz w:val="24"/>
          <w:szCs w:val="24"/>
          <w:u w:val="single"/>
        </w:rPr>
        <w:t>）</w:t>
      </w:r>
      <w:r>
        <w:rPr>
          <w:rFonts w:hint="eastAsia" w:ascii="宋体" w:hAnsi="宋体" w:cs="宋体"/>
          <w:spacing w:val="-5"/>
          <w:szCs w:val="21"/>
        </w:rPr>
        <w:t>；</w:t>
      </w:r>
    </w:p>
    <w:p w14:paraId="6FFE3B8B">
      <w:pPr>
        <w:spacing w:before="132" w:line="360" w:lineRule="auto"/>
        <w:ind w:firstLine="688"/>
        <w:rPr>
          <w:rFonts w:ascii="宋体" w:hAnsi="宋体" w:cs="宋体"/>
          <w:szCs w:val="21"/>
        </w:rPr>
      </w:pPr>
      <w:r>
        <w:rPr>
          <w:rFonts w:hint="eastAsia" w:ascii="宋体" w:hAnsi="宋体" w:cs="宋体"/>
          <w:spacing w:val="-18"/>
          <w:position w:val="-7"/>
          <w:szCs w:val="21"/>
        </w:rPr>
        <w:t>……</w:t>
      </w:r>
    </w:p>
    <w:p w14:paraId="073F34B7">
      <w:pPr>
        <w:spacing w:before="244" w:line="360" w:lineRule="auto"/>
        <w:ind w:left="35" w:right="160" w:firstLine="678"/>
        <w:rPr>
          <w:spacing w:val="-12"/>
          <w:szCs w:val="21"/>
        </w:rPr>
      </w:pPr>
      <w:r>
        <w:rPr>
          <w:spacing w:val="-7"/>
          <w:szCs w:val="21"/>
        </w:rPr>
        <w:t>以上企业</w:t>
      </w:r>
      <w:r>
        <w:rPr>
          <w:spacing w:val="-112"/>
          <w:szCs w:val="21"/>
        </w:rPr>
        <w:t xml:space="preserve"> </w:t>
      </w:r>
      <w:r>
        <w:rPr>
          <w:spacing w:val="-7"/>
          <w:szCs w:val="21"/>
        </w:rPr>
        <w:t>，不属于大企业的分支机构</w:t>
      </w:r>
      <w:r>
        <w:rPr>
          <w:spacing w:val="-116"/>
          <w:szCs w:val="21"/>
        </w:rPr>
        <w:t xml:space="preserve"> </w:t>
      </w:r>
      <w:r>
        <w:rPr>
          <w:spacing w:val="-7"/>
          <w:szCs w:val="21"/>
        </w:rPr>
        <w:t>，不存在控股股东</w:t>
      </w:r>
      <w:r>
        <w:rPr>
          <w:spacing w:val="-138"/>
          <w:szCs w:val="21"/>
        </w:rPr>
        <w:t xml:space="preserve"> </w:t>
      </w:r>
      <w:r>
        <w:rPr>
          <w:spacing w:val="-4"/>
          <w:szCs w:val="21"/>
        </w:rPr>
        <w:t>为大企业的情形</w:t>
      </w:r>
      <w:r>
        <w:rPr>
          <w:spacing w:val="-92"/>
          <w:szCs w:val="21"/>
        </w:rPr>
        <w:t xml:space="preserve"> </w:t>
      </w:r>
      <w:r>
        <w:rPr>
          <w:spacing w:val="-4"/>
          <w:szCs w:val="21"/>
        </w:rPr>
        <w:t>，也不存在与大企业的负责人为同一人的情</w:t>
      </w:r>
      <w:r>
        <w:rPr>
          <w:spacing w:val="-140"/>
          <w:szCs w:val="21"/>
        </w:rPr>
        <w:t xml:space="preserve"> </w:t>
      </w:r>
      <w:r>
        <w:rPr>
          <w:spacing w:val="-12"/>
          <w:szCs w:val="21"/>
        </w:rPr>
        <w:t>形</w:t>
      </w:r>
      <w:r>
        <w:rPr>
          <w:spacing w:val="-113"/>
          <w:szCs w:val="21"/>
        </w:rPr>
        <w:t xml:space="preserve"> </w:t>
      </w:r>
      <w:r>
        <w:rPr>
          <w:spacing w:val="-12"/>
          <w:szCs w:val="21"/>
        </w:rPr>
        <w:t>。</w:t>
      </w:r>
    </w:p>
    <w:p w14:paraId="1ED615A4">
      <w:pPr>
        <w:spacing w:before="244" w:line="360" w:lineRule="auto"/>
        <w:ind w:left="35" w:right="160" w:firstLine="678"/>
        <w:rPr>
          <w:spacing w:val="6"/>
          <w:szCs w:val="21"/>
        </w:rPr>
      </w:pPr>
      <w:r>
        <w:rPr>
          <w:spacing w:val="-6"/>
          <w:szCs w:val="21"/>
        </w:rPr>
        <w:t>本企业对上述声明内容的真实性负责</w:t>
      </w:r>
      <w:r>
        <w:rPr>
          <w:spacing w:val="-102"/>
          <w:szCs w:val="21"/>
        </w:rPr>
        <w:t xml:space="preserve"> </w:t>
      </w:r>
      <w:r>
        <w:rPr>
          <w:spacing w:val="-6"/>
          <w:szCs w:val="21"/>
        </w:rPr>
        <w:t>。如有虚假</w:t>
      </w:r>
      <w:r>
        <w:rPr>
          <w:spacing w:val="-114"/>
          <w:szCs w:val="21"/>
        </w:rPr>
        <w:t xml:space="preserve"> </w:t>
      </w:r>
      <w:r>
        <w:rPr>
          <w:spacing w:val="-6"/>
          <w:szCs w:val="21"/>
        </w:rPr>
        <w:t>，将依</w:t>
      </w:r>
      <w:r>
        <w:rPr>
          <w:spacing w:val="-140"/>
          <w:szCs w:val="21"/>
        </w:rPr>
        <w:t xml:space="preserve"> </w:t>
      </w:r>
      <w:r>
        <w:rPr>
          <w:spacing w:val="-5"/>
          <w:szCs w:val="21"/>
        </w:rPr>
        <w:t>法承担相应责任</w:t>
      </w:r>
      <w:r>
        <w:rPr>
          <w:szCs w:val="21"/>
        </w:rPr>
        <w:t>。</w:t>
      </w:r>
      <w:r>
        <w:rPr>
          <w:spacing w:val="6"/>
          <w:szCs w:val="21"/>
        </w:rPr>
        <w:t xml:space="preserve">       </w:t>
      </w:r>
    </w:p>
    <w:p w14:paraId="16090128">
      <w:pPr>
        <w:tabs>
          <w:tab w:val="left" w:pos="4860"/>
        </w:tabs>
        <w:spacing w:line="360" w:lineRule="auto"/>
        <w:ind w:right="1560" w:firstLine="444"/>
        <w:jc w:val="right"/>
        <w:rPr>
          <w:spacing w:val="6"/>
          <w:szCs w:val="21"/>
        </w:rPr>
      </w:pPr>
      <w:r>
        <w:rPr>
          <w:spacing w:val="6"/>
          <w:szCs w:val="21"/>
        </w:rPr>
        <w:t>企业名称（盖章）：</w:t>
      </w:r>
    </w:p>
    <w:p w14:paraId="727E276E">
      <w:pPr>
        <w:tabs>
          <w:tab w:val="left" w:pos="4860"/>
        </w:tabs>
        <w:spacing w:line="360" w:lineRule="auto"/>
        <w:ind w:right="1560" w:firstLine="444"/>
        <w:jc w:val="right"/>
        <w:rPr>
          <w:spacing w:val="6"/>
          <w:szCs w:val="21"/>
        </w:rPr>
      </w:pPr>
      <w:r>
        <w:rPr>
          <w:spacing w:val="6"/>
          <w:szCs w:val="21"/>
        </w:rPr>
        <w:t xml:space="preserve">         日  期：</w:t>
      </w:r>
    </w:p>
    <w:p w14:paraId="6CBBA73C">
      <w:pPr>
        <w:spacing w:line="360" w:lineRule="auto"/>
        <w:rPr>
          <w:b/>
          <w:bCs/>
          <w:szCs w:val="21"/>
        </w:rPr>
      </w:pPr>
      <w:r>
        <w:rPr>
          <w:b/>
          <w:bCs/>
          <w:szCs w:val="21"/>
        </w:rPr>
        <w:t>备注：</w:t>
      </w:r>
    </w:p>
    <w:p w14:paraId="760BA7CC">
      <w:pPr>
        <w:spacing w:line="360" w:lineRule="auto"/>
        <w:ind w:firstLine="422"/>
        <w:rPr>
          <w:b/>
          <w:bCs/>
          <w:szCs w:val="21"/>
        </w:rPr>
      </w:pPr>
      <w:r>
        <w:rPr>
          <w:b/>
          <w:bCs/>
          <w:szCs w:val="21"/>
        </w:rPr>
        <w:t>1</w:t>
      </w:r>
      <w:r>
        <w:rPr>
          <w:rFonts w:hint="eastAsia"/>
          <w:b/>
          <w:bCs/>
          <w:szCs w:val="21"/>
        </w:rPr>
        <w:t>、</w:t>
      </w:r>
      <w:r>
        <w:rPr>
          <w:b/>
          <w:bCs/>
          <w:szCs w:val="21"/>
        </w:rPr>
        <w:t>从业人员、营业收入、资产总额填报上一年度数据，无上一年度数据的新成立企业可不填报。</w:t>
      </w:r>
    </w:p>
    <w:p w14:paraId="383138D1">
      <w:pPr>
        <w:spacing w:line="360" w:lineRule="auto"/>
        <w:ind w:firstLine="422"/>
        <w:rPr>
          <w:b/>
          <w:bCs/>
          <w:szCs w:val="21"/>
        </w:rPr>
      </w:pPr>
      <w:r>
        <w:rPr>
          <w:rFonts w:hint="eastAsia"/>
          <w:b/>
          <w:bCs/>
          <w:szCs w:val="21"/>
        </w:rPr>
        <w:t>2</w:t>
      </w:r>
      <w:r>
        <w:rPr>
          <w:b/>
          <w:bCs/>
          <w:szCs w:val="21"/>
        </w:rPr>
        <w:t>、</w:t>
      </w:r>
      <w:r>
        <w:rPr>
          <w:b/>
          <w:bCs/>
          <w:spacing w:val="-15"/>
          <w:szCs w:val="21"/>
        </w:rPr>
        <w:t>工</w:t>
      </w:r>
      <w:r>
        <w:rPr>
          <w:b/>
          <w:bCs/>
          <w:spacing w:val="-140"/>
          <w:szCs w:val="21"/>
        </w:rPr>
        <w:t xml:space="preserve"> </w:t>
      </w:r>
      <w:r>
        <w:rPr>
          <w:b/>
          <w:bCs/>
          <w:spacing w:val="-4"/>
          <w:szCs w:val="21"/>
        </w:rPr>
        <w:t>程的施工单位全部为符合政策要求的中小企业（或者</w:t>
      </w:r>
      <w:r>
        <w:rPr>
          <w:b/>
          <w:bCs/>
          <w:spacing w:val="-95"/>
          <w:szCs w:val="21"/>
        </w:rPr>
        <w:t xml:space="preserve"> </w:t>
      </w:r>
      <w:r>
        <w:rPr>
          <w:b/>
          <w:bCs/>
          <w:spacing w:val="-4"/>
          <w:szCs w:val="21"/>
        </w:rPr>
        <w:t>：服务</w:t>
      </w:r>
      <w:r>
        <w:rPr>
          <w:b/>
          <w:bCs/>
          <w:spacing w:val="-135"/>
          <w:szCs w:val="21"/>
        </w:rPr>
        <w:t xml:space="preserve"> </w:t>
      </w:r>
      <w:r>
        <w:rPr>
          <w:b/>
          <w:bCs/>
          <w:spacing w:val="-2"/>
          <w:szCs w:val="21"/>
        </w:rPr>
        <w:t>全部由符合政策要求的中小企业承接）</w:t>
      </w:r>
      <w:r>
        <w:rPr>
          <w:b/>
          <w:bCs/>
          <w:szCs w:val="21"/>
        </w:rPr>
        <w:t>参加本次政府采购项目需提供此声明函</w:t>
      </w:r>
      <w:r>
        <w:rPr>
          <w:lang w:val="zh-CN"/>
        </w:rPr>
        <w:t>（中小企业划型标准详见《关于印发中小企业划型标准规定的通知》工信部联企业〔2011〕300号）</w:t>
      </w:r>
      <w:r>
        <w:rPr>
          <w:b/>
          <w:bCs/>
          <w:szCs w:val="21"/>
        </w:rPr>
        <w:t>。</w:t>
      </w:r>
    </w:p>
    <w:p w14:paraId="535D7F91">
      <w:pPr>
        <w:spacing w:line="360" w:lineRule="auto"/>
        <w:ind w:firstLine="422"/>
        <w:rPr>
          <w:b/>
          <w:bCs/>
          <w:szCs w:val="21"/>
        </w:rPr>
      </w:pPr>
      <w:r>
        <w:rPr>
          <w:rFonts w:hint="eastAsia"/>
          <w:b/>
          <w:bCs/>
          <w:szCs w:val="21"/>
        </w:rPr>
        <w:t>3</w:t>
      </w:r>
      <w:r>
        <w:rPr>
          <w:b/>
          <w:bCs/>
          <w:szCs w:val="21"/>
        </w:rPr>
        <w:t>、专门面向中小微型企业采购的项目，供应商如不提供此声明函，则不能通过资格审查；</w:t>
      </w:r>
    </w:p>
    <w:p w14:paraId="44F3CF1E">
      <w:pPr>
        <w:tabs>
          <w:tab w:val="left" w:pos="312"/>
        </w:tabs>
        <w:spacing w:line="360" w:lineRule="auto"/>
        <w:ind w:firstLine="422"/>
        <w:jc w:val="left"/>
        <w:rPr>
          <w:b/>
          <w:bCs/>
          <w:szCs w:val="21"/>
        </w:rPr>
      </w:pPr>
      <w:r>
        <w:rPr>
          <w:rFonts w:hint="eastAsia"/>
          <w:b/>
          <w:bCs/>
          <w:szCs w:val="21"/>
        </w:rPr>
        <w:t>4</w:t>
      </w:r>
      <w:r>
        <w:rPr>
          <w:b/>
          <w:bCs/>
          <w:szCs w:val="21"/>
        </w:rPr>
        <w:t>、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p>
    <w:p w14:paraId="585D8BE3">
      <w:pPr>
        <w:spacing w:line="360" w:lineRule="auto"/>
        <w:rPr>
          <w:spacing w:val="6"/>
          <w:szCs w:val="21"/>
        </w:rPr>
      </w:pPr>
      <w:r>
        <w:rPr>
          <w:spacing w:val="6"/>
          <w:szCs w:val="21"/>
        </w:rPr>
        <w:t xml:space="preserve">             </w:t>
      </w:r>
    </w:p>
    <w:p w14:paraId="17CC6313">
      <w:pPr>
        <w:rPr>
          <w:b/>
          <w:bCs/>
          <w:szCs w:val="21"/>
        </w:rPr>
      </w:pPr>
      <w:bookmarkStart w:id="308" w:name="_Toc28021"/>
      <w:bookmarkStart w:id="309" w:name="_Toc23395"/>
      <w:bookmarkStart w:id="310" w:name="_Toc16761"/>
      <w:r>
        <w:rPr>
          <w:b/>
          <w:bCs/>
          <w:szCs w:val="21"/>
        </w:rPr>
        <w:br w:type="page"/>
      </w:r>
    </w:p>
    <w:p w14:paraId="1701A10D">
      <w:pPr>
        <w:jc w:val="center"/>
        <w:rPr>
          <w:b/>
          <w:bCs/>
          <w:szCs w:val="21"/>
        </w:rPr>
      </w:pPr>
      <w:r>
        <w:rPr>
          <w:b/>
          <w:bCs/>
          <w:szCs w:val="21"/>
        </w:rPr>
        <w:t>（二）残疾人福利性单位声明函</w:t>
      </w:r>
      <w:bookmarkEnd w:id="307"/>
      <w:bookmarkEnd w:id="308"/>
      <w:bookmarkEnd w:id="309"/>
      <w:bookmarkEnd w:id="310"/>
    </w:p>
    <w:p w14:paraId="348C3EB3">
      <w:pPr>
        <w:pStyle w:val="20"/>
      </w:pPr>
    </w:p>
    <w:p w14:paraId="034E1DBE">
      <w:pPr>
        <w:tabs>
          <w:tab w:val="left" w:pos="4860"/>
        </w:tabs>
        <w:spacing w:line="360" w:lineRule="auto"/>
        <w:ind w:right="178" w:firstLine="444"/>
        <w:jc w:val="left"/>
        <w:rPr>
          <w:spacing w:val="6"/>
          <w:szCs w:val="21"/>
        </w:rPr>
      </w:pPr>
      <w:r>
        <w:rPr>
          <w:spacing w:val="6"/>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6D7A4CA">
      <w:pPr>
        <w:tabs>
          <w:tab w:val="left" w:pos="4860"/>
        </w:tabs>
        <w:spacing w:line="360" w:lineRule="auto"/>
        <w:ind w:right="1560" w:firstLine="444"/>
        <w:jc w:val="left"/>
        <w:rPr>
          <w:spacing w:val="6"/>
          <w:szCs w:val="21"/>
        </w:rPr>
      </w:pPr>
      <w:r>
        <w:rPr>
          <w:spacing w:val="6"/>
          <w:szCs w:val="21"/>
        </w:rPr>
        <w:t>本单位对上述声明的真实性负责。如有虚假，将依法承担相应责任。</w:t>
      </w:r>
    </w:p>
    <w:p w14:paraId="79D9BE03">
      <w:pPr>
        <w:tabs>
          <w:tab w:val="left" w:pos="4860"/>
        </w:tabs>
        <w:spacing w:line="360" w:lineRule="auto"/>
        <w:ind w:right="1560" w:firstLine="444"/>
        <w:jc w:val="center"/>
        <w:rPr>
          <w:spacing w:val="6"/>
          <w:szCs w:val="21"/>
        </w:rPr>
      </w:pPr>
    </w:p>
    <w:p w14:paraId="315B67C3">
      <w:pPr>
        <w:tabs>
          <w:tab w:val="left" w:pos="4860"/>
        </w:tabs>
        <w:spacing w:line="360" w:lineRule="auto"/>
        <w:ind w:right="1560" w:firstLine="444"/>
        <w:jc w:val="right"/>
        <w:rPr>
          <w:spacing w:val="6"/>
          <w:szCs w:val="21"/>
        </w:rPr>
      </w:pPr>
      <w:r>
        <w:rPr>
          <w:rFonts w:hint="eastAsia"/>
          <w:spacing w:val="6"/>
          <w:szCs w:val="21"/>
        </w:rPr>
        <w:t xml:space="preserve">    </w:t>
      </w:r>
      <w:r>
        <w:rPr>
          <w:spacing w:val="6"/>
          <w:szCs w:val="21"/>
        </w:rPr>
        <w:t>单位名称（盖章）：</w:t>
      </w:r>
    </w:p>
    <w:p w14:paraId="1AA86242">
      <w:pPr>
        <w:tabs>
          <w:tab w:val="left" w:pos="4860"/>
        </w:tabs>
        <w:spacing w:line="360" w:lineRule="auto"/>
        <w:ind w:right="1560" w:firstLine="444"/>
        <w:jc w:val="right"/>
        <w:rPr>
          <w:spacing w:val="6"/>
          <w:sz w:val="24"/>
          <w:szCs w:val="24"/>
        </w:rPr>
      </w:pPr>
      <w:r>
        <w:rPr>
          <w:spacing w:val="6"/>
          <w:szCs w:val="21"/>
        </w:rPr>
        <w:t xml:space="preserve">日 期： </w:t>
      </w:r>
      <w:r>
        <w:rPr>
          <w:spacing w:val="6"/>
          <w:sz w:val="24"/>
          <w:szCs w:val="24"/>
        </w:rPr>
        <w:t xml:space="preserve">   </w:t>
      </w:r>
    </w:p>
    <w:p w14:paraId="48CE3D37">
      <w:pPr>
        <w:rPr>
          <w:rFonts w:ascii="宋体" w:hAnsi="宋体" w:cs="宋体"/>
          <w:b/>
          <w:bCs/>
          <w:sz w:val="24"/>
          <w:szCs w:val="22"/>
          <w:lang w:val="zh-CN"/>
        </w:rPr>
      </w:pPr>
      <w:r>
        <w:rPr>
          <w:rFonts w:hint="eastAsia" w:ascii="宋体" w:hAnsi="宋体" w:cs="宋体"/>
          <w:b/>
          <w:bCs/>
          <w:sz w:val="24"/>
          <w:szCs w:val="22"/>
          <w:lang w:val="zh-CN"/>
        </w:rPr>
        <w:br w:type="page" w:clear="all"/>
      </w:r>
    </w:p>
    <w:p w14:paraId="2B0F4C83">
      <w:pPr>
        <w:jc w:val="center"/>
        <w:rPr>
          <w:b/>
          <w:bCs/>
          <w:szCs w:val="21"/>
        </w:rPr>
      </w:pPr>
      <w:bookmarkStart w:id="311" w:name="_Toc16464"/>
      <w:bookmarkStart w:id="312" w:name="_Toc5685"/>
      <w:bookmarkStart w:id="313" w:name="_Toc24515"/>
      <w:bookmarkStart w:id="314" w:name="_Toc18965"/>
      <w:bookmarkStart w:id="315" w:name="_Toc26426"/>
      <w:bookmarkStart w:id="316" w:name="_Toc15691"/>
      <w:bookmarkStart w:id="317" w:name="_Toc30259"/>
      <w:bookmarkStart w:id="318" w:name="_Toc20257"/>
      <w:r>
        <w:rPr>
          <w:rFonts w:hint="eastAsia"/>
          <w:b/>
          <w:bCs/>
          <w:szCs w:val="21"/>
        </w:rPr>
        <w:t>（三）采购本国产品的支持政策</w:t>
      </w:r>
      <w:bookmarkEnd w:id="311"/>
      <w:bookmarkEnd w:id="312"/>
      <w:bookmarkEnd w:id="313"/>
      <w:bookmarkEnd w:id="314"/>
      <w:bookmarkEnd w:id="315"/>
    </w:p>
    <w:p w14:paraId="04F6F5CA">
      <w:pPr>
        <w:keepNext/>
        <w:keepLines/>
        <w:spacing w:line="360" w:lineRule="auto"/>
        <w:jc w:val="center"/>
        <w:rPr>
          <w:rFonts w:ascii="宋体" w:hAnsi="宋体" w:cs="宋体"/>
          <w:b/>
          <w:color w:val="FF0000"/>
          <w:sz w:val="24"/>
        </w:rPr>
      </w:pPr>
    </w:p>
    <w:p w14:paraId="114002B4">
      <w:pPr>
        <w:keepNext/>
        <w:keepLines/>
        <w:spacing w:line="360" w:lineRule="auto"/>
        <w:jc w:val="center"/>
        <w:rPr>
          <w:rFonts w:ascii="宋体" w:hAnsi="宋体" w:cs="宋体"/>
          <w:b/>
          <w:sz w:val="24"/>
        </w:rPr>
      </w:pPr>
      <w:bookmarkStart w:id="319" w:name="_Toc26786"/>
      <w:bookmarkStart w:id="320" w:name="_Toc24678"/>
      <w:bookmarkStart w:id="321" w:name="_Toc3682"/>
      <w:bookmarkStart w:id="322" w:name="_Toc30239"/>
      <w:r>
        <w:rPr>
          <w:rFonts w:hint="eastAsia" w:ascii="宋体" w:hAnsi="宋体" w:cs="宋体"/>
          <w:b/>
          <w:sz w:val="24"/>
        </w:rPr>
        <w:t>关于符合本国产品标准的声明函</w:t>
      </w:r>
      <w:bookmarkEnd w:id="319"/>
      <w:bookmarkEnd w:id="320"/>
      <w:bookmarkEnd w:id="321"/>
      <w:bookmarkEnd w:id="322"/>
    </w:p>
    <w:p w14:paraId="5FB46F55">
      <w:pPr>
        <w:widowControl/>
        <w:spacing w:line="360" w:lineRule="auto"/>
        <w:ind w:firstLine="420"/>
        <w:jc w:val="left"/>
        <w:rPr>
          <w:rFonts w:ascii="宋体" w:hAnsi="宋体" w:cs="宋体"/>
          <w:szCs w:val="21"/>
        </w:rPr>
      </w:pPr>
      <w:r>
        <w:rPr>
          <w:rFonts w:hint="eastAsia" w:ascii="宋体" w:hAnsi="宋体" w:cs="宋体"/>
          <w:szCs w:val="21"/>
        </w:rPr>
        <w:t>本公司（单位）郑重声明，根据《国务院办公厅关于在政府采购中实施本国产品标准及相关政策的通知》（国办发〔2025〕34号）的规定，本公司（单位）提供的以下产品属于本国产品。具体情况如下：</w:t>
      </w:r>
    </w:p>
    <w:p w14:paraId="281FF5B5">
      <w:pPr>
        <w:widowControl/>
        <w:spacing w:before="30" w:after="30" w:line="360" w:lineRule="auto"/>
        <w:ind w:firstLine="420"/>
        <w:jc w:val="left"/>
        <w:rPr>
          <w:rFonts w:ascii="宋体" w:hAnsi="宋体" w:cs="宋体"/>
          <w:szCs w:val="21"/>
        </w:rPr>
      </w:pPr>
      <w:r>
        <w:rPr>
          <w:rFonts w:hint="eastAsia" w:ascii="宋体" w:hAnsi="宋体" w:cs="宋体"/>
          <w:szCs w:val="21"/>
        </w:rPr>
        <mc:AlternateContent>
          <mc:Choice Requires="wps">
            <w:drawing>
              <wp:anchor distT="0" distB="0" distL="114300" distR="114300" simplePos="0" relativeHeight="251677696" behindDoc="0" locked="0" layoutInCell="1" allowOverlap="1">
                <wp:simplePos x="0" y="0"/>
                <wp:positionH relativeFrom="column">
                  <wp:posOffset>-23495</wp:posOffset>
                </wp:positionH>
                <wp:positionV relativeFrom="paragraph">
                  <wp:posOffset>588010</wp:posOffset>
                </wp:positionV>
                <wp:extent cx="444500" cy="81280"/>
                <wp:effectExtent l="635" t="4445" r="12065" b="15875"/>
                <wp:wrapNone/>
                <wp:docPr id="1" name="直接箭头连接符 21"/>
                <wp:cNvGraphicFramePr/>
                <a:graphic xmlns:a="http://schemas.openxmlformats.org/drawingml/2006/main">
                  <a:graphicData uri="http://schemas.microsoft.com/office/word/2010/wordprocessingShape">
                    <wps:wsp>
                      <wps:cNvCnPr/>
                      <wps:spPr bwMode="auto">
                        <a:xfrm flipV="1">
                          <a:off x="0" y="0"/>
                          <a:ext cx="444500" cy="8128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直接箭头连接符 21" o:spid="_x0000_s1026" o:spt="32" type="#_x0000_t32" style="position:absolute;left:0pt;flip:y;margin-left:-1.85pt;margin-top:46.3pt;height:6.4pt;width:35pt;z-index:251677696;mso-width-relative:page;mso-height-relative:page;" filled="f" stroked="t" coordsize="21600,21600" o:gfxdata="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K3uYwfXAAAACAEAAA8A&#10;AAAAAAAAAQAgAAAAIgAAAGRycy9kb3ducmV2LnhtbFBLAQIUABQAAAAIAIdO4kAEVkqXGAIAABYE&#10;AAAOAAAAAAAAAAEAIAAAACYBAABkcnMvZTJvRG9jLnhtbFBLBQYAAAAABgAGAFkBAACwBQAAAAA=&#10;">
                <v:fill on="f" focussize="0,0"/>
                <v:stroke color="#000000" joinstyle="round"/>
                <v:imagedata o:title=""/>
                <o:lock v:ext="edit" aspectratio="f"/>
              </v:shape>
            </w:pict>
          </mc:Fallback>
        </mc:AlternateContent>
      </w:r>
      <w:r>
        <w:rPr>
          <w:rFonts w:hint="eastAsia" w:ascii="宋体" w:hAnsi="宋体" w:cs="宋体"/>
          <w:szCs w:val="21"/>
        </w:rPr>
        <mc:AlternateContent>
          <mc:Choice Requires="wps">
            <w:drawing>
              <wp:anchor distT="0" distB="0" distL="114300" distR="114300" simplePos="0" relativeHeight="251667456" behindDoc="0" locked="0" layoutInCell="1" allowOverlap="1">
                <wp:simplePos x="0" y="0"/>
                <wp:positionH relativeFrom="column">
                  <wp:posOffset>5642610</wp:posOffset>
                </wp:positionH>
                <wp:positionV relativeFrom="paragraph">
                  <wp:posOffset>316865</wp:posOffset>
                </wp:positionV>
                <wp:extent cx="444500" cy="81280"/>
                <wp:effectExtent l="635" t="4445" r="12065" b="15875"/>
                <wp:wrapNone/>
                <wp:docPr id="13" name="直接箭头连接符 21"/>
                <wp:cNvGraphicFramePr/>
                <a:graphic xmlns:a="http://schemas.openxmlformats.org/drawingml/2006/main">
                  <a:graphicData uri="http://schemas.microsoft.com/office/word/2010/wordprocessingShape">
                    <wps:wsp>
                      <wps:cNvCnPr/>
                      <wps:spPr bwMode="auto">
                        <a:xfrm flipV="1">
                          <a:off x="0" y="0"/>
                          <a:ext cx="444500" cy="8128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直接箭头连接符 21" o:spid="_x0000_s1026" o:spt="32" type="#_x0000_t32" style="position:absolute;left:0pt;flip:y;margin-left:444.3pt;margin-top:24.95pt;height:6.4pt;width:35pt;z-index:251667456;mso-width-relative:page;mso-height-relative:page;" filled="f" stroked="t" coordsize="21600,21600" o:gfxdata="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6zi+u1wAAAAkBAAAP&#10;AAAAAAAAAAEAIAAAACIAAABkcnMvZG93bnJldi54bWxQSwECFAAUAAAACACHTuJA0LdhZRkCAAAX&#10;BAAADgAAAAAAAAABACAAAAAmAQAAZHJzL2Uyb0RvYy54bWxQSwUGAAAAAAYABgBZAQAAsQUAAAAA&#10;">
                <v:fill on="f" focussize="0,0"/>
                <v:stroke color="#000000" joinstyle="round"/>
                <v:imagedata o:title=""/>
                <o:lock v:ext="edit" aspectratio="f"/>
              </v:shape>
            </w:pict>
          </mc:Fallback>
        </mc:AlternateContent>
      </w:r>
      <w:r>
        <w:rPr>
          <w:rFonts w:hint="eastAsia" w:ascii="宋体" w:hAnsi="宋体" w:cs="宋体"/>
          <w:szCs w:val="21"/>
        </w:rPr>
        <mc:AlternateContent>
          <mc:Choice Requires="wps">
            <w:drawing>
              <wp:anchor distT="0" distB="0" distL="114300" distR="114300" simplePos="0" relativeHeight="251666432" behindDoc="0" locked="0" layoutInCell="1" allowOverlap="1">
                <wp:simplePos x="0" y="0"/>
                <wp:positionH relativeFrom="column">
                  <wp:posOffset>4636770</wp:posOffset>
                </wp:positionH>
                <wp:positionV relativeFrom="paragraph">
                  <wp:posOffset>327025</wp:posOffset>
                </wp:positionV>
                <wp:extent cx="735965" cy="71755"/>
                <wp:effectExtent l="635" t="4445" r="0" b="12700"/>
                <wp:wrapNone/>
                <wp:docPr id="14" name="直接箭头连接符 22"/>
                <wp:cNvGraphicFramePr/>
                <a:graphic xmlns:a="http://schemas.openxmlformats.org/drawingml/2006/main">
                  <a:graphicData uri="http://schemas.microsoft.com/office/word/2010/wordprocessingShape">
                    <wps:wsp>
                      <wps:cNvCnPr/>
                      <wps:spPr bwMode="auto">
                        <a:xfrm flipV="1">
                          <a:off x="0" y="0"/>
                          <a:ext cx="735965" cy="7175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直接箭头连接符 22" o:spid="_x0000_s1026" o:spt="32" type="#_x0000_t32" style="position:absolute;left:0pt;flip:y;margin-left:365.1pt;margin-top:25.75pt;height:5.65pt;width:57.95pt;z-index:251666432;mso-width-relative:page;mso-height-relative:page;" filled="f" stroked="t" coordsize="21600,21600" o:gfxdata="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DdZJNdcAAAAJAQAADwAA&#10;AAAAAAABACAAAAAiAAAAZHJzL2Rvd25yZXYueG1sUEsBAhQAFAAAAAgAh07iQB36s/MXAgAAFwQA&#10;AA4AAAAAAAAAAQAgAAAAJgEAAGRycy9lMm9Eb2MueG1sUEsFBgAAAAAGAAYAWQEAAK8FAAAAAA==&#10;">
                <v:fill on="f" focussize="0,0"/>
                <v:stroke color="#000000" joinstyle="round"/>
                <v:imagedata o:title=""/>
                <o:lock v:ext="edit" aspectratio="f"/>
              </v:shape>
            </w:pict>
          </mc:Fallback>
        </mc:AlternateContent>
      </w:r>
      <w:r>
        <w:rPr>
          <w:rFonts w:hint="eastAsia" w:ascii="宋体" w:hAnsi="宋体" w:cs="宋体"/>
          <w:szCs w:val="21"/>
        </w:rPr>
        <mc:AlternateContent>
          <mc:Choice Requires="wps">
            <w:drawing>
              <wp:anchor distT="0" distB="0" distL="114300" distR="114300" simplePos="0" relativeHeight="251673600" behindDoc="0" locked="0" layoutInCell="1" allowOverlap="1">
                <wp:simplePos x="0" y="0"/>
                <wp:positionH relativeFrom="column">
                  <wp:posOffset>2658745</wp:posOffset>
                </wp:positionH>
                <wp:positionV relativeFrom="paragraph">
                  <wp:posOffset>307975</wp:posOffset>
                </wp:positionV>
                <wp:extent cx="739140" cy="134620"/>
                <wp:effectExtent l="635" t="4445" r="9525" b="13335"/>
                <wp:wrapNone/>
                <wp:docPr id="15" name="直接箭头连接符 23"/>
                <wp:cNvGraphicFramePr/>
                <a:graphic xmlns:a="http://schemas.openxmlformats.org/drawingml/2006/main">
                  <a:graphicData uri="http://schemas.microsoft.com/office/word/2010/wordprocessingShape">
                    <wps:wsp>
                      <wps:cNvCnPr/>
                      <wps:spPr bwMode="auto">
                        <a:xfrm flipV="1">
                          <a:off x="0" y="0"/>
                          <a:ext cx="739140" cy="13462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直接箭头连接符 23" o:spid="_x0000_s1026" o:spt="32" type="#_x0000_t32" style="position:absolute;left:0pt;flip:y;margin-left:209.35pt;margin-top:24.25pt;height:10.6pt;width:58.2pt;z-index:251673600;mso-width-relative:page;mso-height-relative:page;" filled="f" stroked="t" coordsize="21600,21600" o:gfxdata="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BPQSFK2AAAAAkB&#10;AAAPAAAAAAAAAAEAIAAAACIAAABkcnMvZG93bnJldi54bWxQSwECFAAUAAAACACHTuJAxnZgdhsC&#10;AAAYBAAADgAAAAAAAAABACAAAAAnAQAAZHJzL2Uyb0RvYy54bWxQSwUGAAAAAAYABgBZAQAAtAUA&#10;AAAA&#10;">
                <v:fill on="f" focussize="0,0"/>
                <v:stroke color="#000000" joinstyle="round"/>
                <v:imagedata o:title=""/>
                <o:lock v:ext="edit" aspectratio="f"/>
              </v:shape>
            </w:pict>
          </mc:Fallback>
        </mc:AlternateContent>
      </w:r>
      <w:r>
        <w:rPr>
          <w:rFonts w:hint="eastAsia" w:ascii="宋体" w:hAnsi="宋体" w:cs="宋体"/>
          <w:szCs w:val="21"/>
        </w:rPr>
        <mc:AlternateContent>
          <mc:Choice Requires="wps">
            <w:drawing>
              <wp:anchor distT="0" distB="0" distL="114300" distR="114300" simplePos="0" relativeHeight="251672576" behindDoc="0" locked="0" layoutInCell="1" allowOverlap="1">
                <wp:simplePos x="0" y="0"/>
                <wp:positionH relativeFrom="column">
                  <wp:posOffset>1661795</wp:posOffset>
                </wp:positionH>
                <wp:positionV relativeFrom="paragraph">
                  <wp:posOffset>342900</wp:posOffset>
                </wp:positionV>
                <wp:extent cx="686435" cy="62230"/>
                <wp:effectExtent l="635" t="4445" r="11430" b="9525"/>
                <wp:wrapNone/>
                <wp:docPr id="16" name="直接箭头连接符 14"/>
                <wp:cNvGraphicFramePr/>
                <a:graphic xmlns:a="http://schemas.openxmlformats.org/drawingml/2006/main">
                  <a:graphicData uri="http://schemas.microsoft.com/office/word/2010/wordprocessingShape">
                    <wps:wsp>
                      <wps:cNvCnPr/>
                      <wps:spPr bwMode="auto">
                        <a:xfrm flipV="1">
                          <a:off x="0" y="0"/>
                          <a:ext cx="686435" cy="6223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直接箭头连接符 14" o:spid="_x0000_s1026" o:spt="32" type="#_x0000_t32" style="position:absolute;left:0pt;flip:y;margin-left:130.85pt;margin-top:27pt;height:4.9pt;width:54.05pt;z-index:251672576;mso-width-relative:page;mso-height-relative:page;" filled="f" stroked="t" coordsize="21600,21600" o:gfxdata="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AXbFh1wAAAAkBAAAP&#10;AAAAAAAAAAEAIAAAACIAAABkcnMvZG93bnJldi54bWxQSwECFAAUAAAACACHTuJAhxMg5RkCAAAX&#10;BAAADgAAAAAAAAABACAAAAAmAQAAZHJzL2Uyb0RvYy54bWxQSwUGAAAAAAYABgBZAQAAsQUAAAAA&#10;">
                <v:fill on="f" focussize="0,0"/>
                <v:stroke color="#000000" joinstyle="round"/>
                <v:imagedata o:title=""/>
                <o:lock v:ext="edit" aspectratio="f"/>
              </v:shape>
            </w:pict>
          </mc:Fallback>
        </mc:AlternateContent>
      </w:r>
      <w:r>
        <w:rPr>
          <w:rFonts w:hint="eastAsia" w:ascii="宋体" w:hAnsi="宋体" w:cs="宋体"/>
          <w:szCs w:val="21"/>
        </w:rPr>
        <mc:AlternateContent>
          <mc:Choice Requires="wps">
            <w:drawing>
              <wp:anchor distT="0" distB="0" distL="114300" distR="114300" simplePos="0" relativeHeight="251674624" behindDoc="0" locked="0" layoutInCell="1" allowOverlap="1">
                <wp:simplePos x="0" y="0"/>
                <wp:positionH relativeFrom="column">
                  <wp:posOffset>786765</wp:posOffset>
                </wp:positionH>
                <wp:positionV relativeFrom="paragraph">
                  <wp:posOffset>290195</wp:posOffset>
                </wp:positionV>
                <wp:extent cx="565785" cy="130810"/>
                <wp:effectExtent l="1270" t="4445" r="4445" b="17145"/>
                <wp:wrapNone/>
                <wp:docPr id="17" name="直接箭头连接符 24"/>
                <wp:cNvGraphicFramePr/>
                <a:graphic xmlns:a="http://schemas.openxmlformats.org/drawingml/2006/main">
                  <a:graphicData uri="http://schemas.microsoft.com/office/word/2010/wordprocessingShape">
                    <wps:wsp>
                      <wps:cNvCn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直接箭头连接符 24" o:spid="_x0000_s1026" o:spt="32" type="#_x0000_t32" style="position:absolute;left:0pt;flip:y;margin-left:61.95pt;margin-top:22.85pt;height:10.3pt;width:44.55pt;z-index:251674624;mso-width-relative:page;mso-height-relative:page;" filled="f" stroked="t" coordsize="21600,21600" o:gfxdata="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IYFxtcAAAAJAQAA&#10;DwAAAAAAAAABACAAAAAiAAAAZHJzL2Rvd25yZXYueG1sUEsBAhQAFAAAAAgAh07iQK4nJckaAgAA&#10;GAQAAA4AAAAAAAAAAQAgAAAAJgEAAGRycy9lMm9Eb2MueG1sUEsFBgAAAAAGAAYAWQEAALIFAAAA&#10;AA==&#10;">
                <v:fill on="f" focussize="0,0"/>
                <v:stroke color="#000000" joinstyle="round"/>
                <v:imagedata o:title=""/>
                <o:lock v:ext="edit" aspectratio="f"/>
              </v:shape>
            </w:pict>
          </mc:Fallback>
        </mc:AlternateContent>
      </w:r>
      <w:r>
        <w:rPr>
          <w:rFonts w:hint="eastAsia" w:ascii="宋体" w:hAnsi="宋体" w:cs="宋体"/>
          <w:szCs w:val="21"/>
        </w:rPr>
        <mc:AlternateContent>
          <mc:Choice Requires="wps">
            <w:drawing>
              <wp:anchor distT="0" distB="0" distL="114300" distR="114300" simplePos="0" relativeHeight="251671552" behindDoc="0" locked="0" layoutInCell="1" allowOverlap="1">
                <wp:simplePos x="0" y="0"/>
                <wp:positionH relativeFrom="column">
                  <wp:posOffset>3792220</wp:posOffset>
                </wp:positionH>
                <wp:positionV relativeFrom="paragraph">
                  <wp:posOffset>49530</wp:posOffset>
                </wp:positionV>
                <wp:extent cx="882015" cy="74295"/>
                <wp:effectExtent l="635" t="4445" r="6350" b="10160"/>
                <wp:wrapNone/>
                <wp:docPr id="18" name="直接箭头连接符 18"/>
                <wp:cNvGraphicFramePr/>
                <a:graphic xmlns:a="http://schemas.openxmlformats.org/drawingml/2006/main">
                  <a:graphicData uri="http://schemas.microsoft.com/office/word/2010/wordprocessingShape">
                    <wps:wsp>
                      <wps:cNvCnPr/>
                      <wps:spPr bwMode="auto">
                        <a:xfrm flipV="1">
                          <a:off x="0" y="0"/>
                          <a:ext cx="882015" cy="7429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298.6pt;margin-top:3.9pt;height:5.85pt;width:69.45pt;z-index:251671552;mso-width-relative:page;mso-height-relative:page;" filled="f" stroked="t" coordsize="21600,21600" o:gfxdata="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poUBO9cAAAAIAQAADwAAAAAA&#10;AAABACAAAAAiAAAAZHJzL2Rvd25yZXYueG1sUEsBAhQAFAAAAAgAh07iQJt6/WMUAgAAFwQAAA4A&#10;AAAAAAAAAQAgAAAAJgEAAGRycy9lMm9Eb2MueG1sUEsFBgAAAAAGAAYAWQEAAKwFAAAAAA==&#10;">
                <v:fill on="f" focussize="0,0"/>
                <v:stroke color="#000000" joinstyle="round"/>
                <v:imagedata o:title=""/>
                <o:lock v:ext="edit" aspectratio="f"/>
              </v:shape>
            </w:pict>
          </mc:Fallback>
        </mc:AlternateContent>
      </w:r>
      <w:r>
        <w:rPr>
          <w:rFonts w:hint="eastAsia" w:ascii="宋体" w:hAnsi="宋体" w:cs="宋体"/>
          <w:szCs w:val="21"/>
          <w:shd w:val="clear" w:color="auto" w:fill="FFFFFF"/>
        </w:rPr>
        <w:t>1.</w:t>
      </w:r>
      <w:r>
        <w:rPr>
          <w:rStyle w:val="56"/>
          <w:rFonts w:hint="eastAsia" w:ascii="宋体" w:hAnsi="宋体" w:cs="宋体"/>
          <w:i w:val="0"/>
          <w:szCs w:val="21"/>
          <w:u w:val="single"/>
          <w:shd w:val="clear" w:color="auto" w:fill="FFFFFF"/>
        </w:rPr>
        <w:t>（    ）</w:t>
      </w:r>
      <w:r>
        <w:rPr>
          <w:rStyle w:val="56"/>
          <w:rFonts w:hint="eastAsia" w:ascii="宋体" w:hAnsi="宋体" w:cs="宋体"/>
          <w:i w:val="0"/>
          <w:szCs w:val="21"/>
          <w:shd w:val="clear" w:color="auto" w:fill="FFFFFF"/>
          <w:vertAlign w:val="superscript"/>
        </w:rPr>
        <w:t>1</w:t>
      </w:r>
      <w:r>
        <w:rPr>
          <w:rFonts w:hint="eastAsia" w:ascii="宋体" w:hAnsi="宋体" w:cs="宋体"/>
          <w:szCs w:val="21"/>
          <w:shd w:val="clear" w:color="auto" w:fill="FFFFFF"/>
        </w:rPr>
        <w:t>，生产厂为</w:t>
      </w:r>
      <w:r>
        <w:rPr>
          <w:rStyle w:val="56"/>
          <w:rFonts w:hint="eastAsia" w:ascii="宋体" w:hAnsi="宋体" w:cs="宋体"/>
          <w:i w:val="0"/>
          <w:szCs w:val="21"/>
          <w:u w:val="single"/>
          <w:shd w:val="clear" w:color="auto" w:fill="FFFFFF"/>
        </w:rPr>
        <w:t>（厂名）</w:t>
      </w:r>
      <w:r>
        <w:rPr>
          <w:rStyle w:val="56"/>
          <w:rFonts w:hint="eastAsia" w:ascii="宋体" w:hAnsi="宋体" w:cs="宋体"/>
          <w:i w:val="0"/>
          <w:szCs w:val="21"/>
          <w:shd w:val="clear" w:color="auto" w:fill="FFFFFF"/>
          <w:vertAlign w:val="superscript"/>
        </w:rPr>
        <w:t>2</w:t>
      </w:r>
      <w:r>
        <w:rPr>
          <w:rFonts w:hint="eastAsia" w:ascii="宋体" w:hAnsi="宋体" w:cs="宋体"/>
          <w:szCs w:val="21"/>
          <w:shd w:val="clear" w:color="auto" w:fill="FFFFFF"/>
        </w:rPr>
        <w:t>，厂址为</w:t>
      </w:r>
      <w:r>
        <w:rPr>
          <w:rStyle w:val="56"/>
          <w:rFonts w:hint="eastAsia" w:ascii="宋体" w:hAnsi="宋体" w:cs="宋体"/>
          <w:i w:val="0"/>
          <w:szCs w:val="21"/>
          <w:u w:val="single"/>
          <w:shd w:val="clear" w:color="auto" w:fill="FFFFFF"/>
        </w:rPr>
        <w:t>（生产厂址）</w:t>
      </w:r>
      <w:r>
        <w:rPr>
          <w:rFonts w:hint="eastAsia" w:ascii="宋体" w:hAnsi="宋体" w:cs="宋体"/>
          <w:szCs w:val="21"/>
          <w:shd w:val="clear" w:color="auto" w:fill="FFFFFF"/>
        </w:rPr>
        <w:t>。</w:t>
      </w:r>
      <w:r>
        <w:rPr>
          <w:rFonts w:hint="eastAsia" w:ascii="宋体" w:hAnsi="宋体" w:cs="宋体"/>
          <w:szCs w:val="21"/>
          <w:u w:val="single"/>
          <w:shd w:val="clear" w:color="auto" w:fill="FFFFFF"/>
        </w:rPr>
        <w:t xml:space="preserve"> </w:t>
      </w:r>
      <w:r>
        <w:rPr>
          <w:rStyle w:val="56"/>
          <w:rFonts w:hint="eastAsia" w:ascii="宋体" w:hAnsi="宋体" w:cs="宋体"/>
          <w:i w:val="0"/>
          <w:szCs w:val="21"/>
          <w:u w:val="single"/>
          <w:shd w:val="clear" w:color="auto" w:fill="FFFFFF"/>
        </w:rPr>
        <w:t xml:space="preserve">（产品名称1） </w:t>
      </w:r>
      <w:r>
        <w:rPr>
          <w:rFonts w:hint="eastAsia" w:ascii="宋体" w:hAnsi="宋体" w:cs="宋体"/>
          <w:szCs w:val="21"/>
          <w:shd w:val="clear" w:color="auto" w:fill="FFFFFF"/>
        </w:rPr>
        <w:t>的中国境内生产的组件成本占比≥</w:t>
      </w:r>
      <w:r>
        <w:rPr>
          <w:rStyle w:val="56"/>
          <w:rFonts w:hint="eastAsia" w:ascii="宋体" w:hAnsi="宋体" w:cs="宋体"/>
          <w:i w:val="0"/>
          <w:szCs w:val="21"/>
          <w:u w:val="single"/>
          <w:shd w:val="clear" w:color="auto" w:fill="FFFFFF"/>
        </w:rPr>
        <w:t>（规定比例）</w:t>
      </w:r>
      <w:r>
        <w:rPr>
          <w:rStyle w:val="56"/>
          <w:rFonts w:hint="eastAsia" w:ascii="宋体" w:hAnsi="宋体" w:cs="宋体"/>
          <w:i w:val="0"/>
          <w:szCs w:val="21"/>
          <w:shd w:val="clear" w:color="auto" w:fill="FFFFFF"/>
          <w:vertAlign w:val="superscript"/>
        </w:rPr>
        <w:t>3</w:t>
      </w:r>
      <w:r>
        <w:rPr>
          <w:rFonts w:hint="eastAsia" w:ascii="宋体" w:hAnsi="宋体" w:cs="宋体"/>
          <w:szCs w:val="21"/>
          <w:shd w:val="clear" w:color="auto" w:fill="FFFFFF"/>
        </w:rPr>
        <w:t>。</w:t>
      </w:r>
      <w:r>
        <w:rPr>
          <w:rStyle w:val="56"/>
          <w:rFonts w:hint="eastAsia" w:ascii="宋体" w:hAnsi="宋体" w:cs="宋体"/>
          <w:i w:val="0"/>
          <w:szCs w:val="21"/>
          <w:u w:val="single"/>
          <w:shd w:val="clear" w:color="auto" w:fill="FFFFFF"/>
        </w:rPr>
        <w:t>（产品名称1）</w:t>
      </w:r>
      <w:r>
        <w:rPr>
          <w:rFonts w:hint="eastAsia" w:ascii="宋体" w:hAnsi="宋体" w:cs="宋体"/>
          <w:szCs w:val="21"/>
          <w:shd w:val="clear" w:color="auto" w:fill="FFFFFF"/>
        </w:rPr>
        <w:t>的</w:t>
      </w:r>
      <w:r>
        <w:rPr>
          <w:rStyle w:val="56"/>
          <w:rFonts w:hint="eastAsia" w:ascii="宋体" w:hAnsi="宋体" w:cs="宋体"/>
          <w:i w:val="0"/>
          <w:szCs w:val="21"/>
          <w:u w:val="single"/>
          <w:shd w:val="clear" w:color="auto" w:fill="FFFFFF"/>
        </w:rPr>
        <w:t>（关键组件）</w:t>
      </w:r>
      <w:r>
        <w:rPr>
          <w:rStyle w:val="56"/>
          <w:rFonts w:hint="eastAsia" w:ascii="宋体" w:hAnsi="宋体" w:cs="宋体"/>
          <w:i w:val="0"/>
          <w:szCs w:val="21"/>
          <w:shd w:val="clear" w:color="auto" w:fill="FFFFFF"/>
          <w:vertAlign w:val="superscript"/>
        </w:rPr>
        <w:t>4</w:t>
      </w:r>
      <w:r>
        <w:rPr>
          <w:rFonts w:hint="eastAsia" w:ascii="宋体" w:hAnsi="宋体" w:cs="宋体"/>
          <w:szCs w:val="21"/>
          <w:shd w:val="clear" w:color="auto" w:fill="FFFFFF"/>
        </w:rPr>
        <w:t>在中国境内生产。</w:t>
      </w:r>
      <w:r>
        <w:rPr>
          <w:rStyle w:val="56"/>
          <w:rFonts w:hint="eastAsia" w:ascii="宋体" w:hAnsi="宋体" w:cs="宋体"/>
          <w:i w:val="0"/>
          <w:szCs w:val="21"/>
          <w:u w:val="single"/>
          <w:shd w:val="clear" w:color="auto" w:fill="FFFFFF"/>
        </w:rPr>
        <w:t>（产品名称1）</w:t>
      </w:r>
      <w:r>
        <w:rPr>
          <w:rFonts w:hint="eastAsia" w:ascii="宋体" w:hAnsi="宋体" w:cs="宋体"/>
          <w:szCs w:val="21"/>
          <w:shd w:val="clear" w:color="auto" w:fill="FFFFFF"/>
        </w:rPr>
        <w:t>的</w:t>
      </w:r>
      <w:r>
        <w:rPr>
          <w:rStyle w:val="56"/>
          <w:rFonts w:hint="eastAsia" w:ascii="宋体" w:hAnsi="宋体" w:cs="宋体"/>
          <w:i w:val="0"/>
          <w:szCs w:val="21"/>
          <w:u w:val="single"/>
          <w:shd w:val="clear" w:color="auto" w:fill="FFFFFF"/>
        </w:rPr>
        <w:t>（关键工序）</w:t>
      </w:r>
      <w:r>
        <w:rPr>
          <w:rStyle w:val="56"/>
          <w:rFonts w:hint="eastAsia" w:ascii="宋体" w:hAnsi="宋体" w:cs="宋体"/>
          <w:i w:val="0"/>
          <w:szCs w:val="21"/>
          <w:shd w:val="clear" w:color="auto" w:fill="FFFFFF"/>
          <w:vertAlign w:val="superscript"/>
        </w:rPr>
        <w:t>5</w:t>
      </w:r>
      <w:r>
        <w:rPr>
          <w:rFonts w:hint="eastAsia" w:ascii="宋体" w:hAnsi="宋体" w:cs="宋体"/>
          <w:szCs w:val="21"/>
          <w:shd w:val="clear" w:color="auto" w:fill="FFFFFF"/>
        </w:rPr>
        <w:t>在中国境内完成。</w:t>
      </w:r>
    </w:p>
    <w:p w14:paraId="6D21F4D2">
      <w:pPr>
        <w:widowControl/>
        <w:spacing w:before="30" w:after="30" w:line="360" w:lineRule="auto"/>
        <w:ind w:firstLine="420"/>
        <w:jc w:val="left"/>
        <w:rPr>
          <w:rFonts w:ascii="宋体" w:hAnsi="宋体" w:cs="宋体"/>
          <w:szCs w:val="21"/>
        </w:rPr>
      </w:pPr>
      <w:r>
        <w:rPr>
          <w:rFonts w:hint="eastAsia" w:ascii="宋体" w:hAnsi="宋体" w:cs="宋体"/>
          <w:szCs w:val="21"/>
        </w:rPr>
        <mc:AlternateContent>
          <mc:Choice Requires="wps">
            <w:drawing>
              <wp:anchor distT="0" distB="0" distL="114300" distR="114300" simplePos="0" relativeHeight="251665408" behindDoc="0" locked="0" layoutInCell="1" allowOverlap="1">
                <wp:simplePos x="0" y="0"/>
                <wp:positionH relativeFrom="column">
                  <wp:posOffset>5324475</wp:posOffset>
                </wp:positionH>
                <wp:positionV relativeFrom="paragraph">
                  <wp:posOffset>257175</wp:posOffset>
                </wp:positionV>
                <wp:extent cx="603885" cy="157480"/>
                <wp:effectExtent l="1270" t="4445" r="4445" b="15875"/>
                <wp:wrapNone/>
                <wp:docPr id="19" name="直接箭头连接符 25"/>
                <wp:cNvGraphicFramePr/>
                <a:graphic xmlns:a="http://schemas.openxmlformats.org/drawingml/2006/main">
                  <a:graphicData uri="http://schemas.microsoft.com/office/word/2010/wordprocessingShape">
                    <wps:wsp>
                      <wps:cNvCnPr/>
                      <wps:spPr bwMode="auto">
                        <a:xfrm flipV="1">
                          <a:off x="0" y="0"/>
                          <a:ext cx="603885" cy="15748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直接箭头连接符 25" o:spid="_x0000_s1026" o:spt="32" type="#_x0000_t32" style="position:absolute;left:0pt;flip:y;margin-left:419.25pt;margin-top:20.25pt;height:12.4pt;width:47.55pt;z-index:251665408;mso-width-relative:page;mso-height-relative:page;" filled="f" stroked="t" coordsize="21600,21600" o:gfxdata="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MPTma2AAAAAkBAAAPAAAA&#10;AAAAAAEAIAAAACIAAABkcnMvZG93bnJldi54bWxQSwECFAAUAAAACACHTuJARJfnuBUCAAAKBAAA&#10;DgAAAAAAAAABACAAAAAnAQAAZHJzL2Uyb0RvYy54bWxQSwUGAAAAAAYABgBZAQAArgUAAAAA&#10;">
                <v:fill on="f" focussize="0,0"/>
                <v:stroke color="#000000" joinstyle="round"/>
                <v:imagedata o:title=""/>
                <o:lock v:ext="edit" aspectratio="f"/>
              </v:shape>
            </w:pict>
          </mc:Fallback>
        </mc:AlternateContent>
      </w:r>
      <w:r>
        <w:rPr>
          <w:rFonts w:hint="eastAsia" w:ascii="宋体" w:hAnsi="宋体" w:cs="宋体"/>
          <w:szCs w:val="21"/>
        </w:rPr>
        <mc:AlternateContent>
          <mc:Choice Requires="wps">
            <w:drawing>
              <wp:anchor distT="0" distB="0" distL="114300" distR="114300" simplePos="0" relativeHeight="251668480" behindDoc="0" locked="0" layoutInCell="1" allowOverlap="1">
                <wp:simplePos x="0" y="0"/>
                <wp:positionH relativeFrom="column">
                  <wp:posOffset>4216400</wp:posOffset>
                </wp:positionH>
                <wp:positionV relativeFrom="paragraph">
                  <wp:posOffset>288925</wp:posOffset>
                </wp:positionV>
                <wp:extent cx="759460" cy="105410"/>
                <wp:effectExtent l="635" t="4445" r="1905" b="17145"/>
                <wp:wrapNone/>
                <wp:docPr id="20" name="直接箭头连接符 11"/>
                <wp:cNvGraphicFramePr/>
                <a:graphic xmlns:a="http://schemas.openxmlformats.org/drawingml/2006/main">
                  <a:graphicData uri="http://schemas.microsoft.com/office/word/2010/wordprocessingShape">
                    <wps:wsp>
                      <wps:cNvCnPr/>
                      <wps:spPr bwMode="auto">
                        <a:xfrm flipV="1">
                          <a:off x="0" y="0"/>
                          <a:ext cx="759460" cy="10541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直接箭头连接符 11" o:spid="_x0000_s1026" o:spt="32" type="#_x0000_t32" style="position:absolute;left:0pt;flip:y;margin-left:332pt;margin-top:22.75pt;height:8.3pt;width:59.8pt;z-index:251668480;mso-width-relative:page;mso-height-relative:page;" filled="f" stroked="t" coordsize="21600,21600" o:gfxdata="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OSc/CzXAAAACQEA&#10;AA8AAAAAAAAAAQAgAAAAIgAAAGRycy9kb3ducmV2LnhtbFBLAQIUABQAAAAIAIdO4kACJcS0GwIA&#10;ABgEAAAOAAAAAAAAAAEAIAAAACYBAABkcnMvZTJvRG9jLnhtbFBLBQYAAAAABgAGAFkBAACzBQAA&#10;AAA=&#10;">
                <v:fill on="f" focussize="0,0"/>
                <v:stroke color="#000000" joinstyle="round"/>
                <v:imagedata o:title=""/>
                <o:lock v:ext="edit" aspectratio="f"/>
              </v:shape>
            </w:pict>
          </mc:Fallback>
        </mc:AlternateContent>
      </w:r>
      <w:r>
        <w:rPr>
          <w:rFonts w:hint="eastAsia" w:ascii="宋体" w:hAnsi="宋体" w:cs="宋体"/>
          <w:szCs w:val="21"/>
        </w:rPr>
        <mc:AlternateContent>
          <mc:Choice Requires="wps">
            <w:drawing>
              <wp:anchor distT="0" distB="0" distL="114300" distR="114300" simplePos="0" relativeHeight="251670528" behindDoc="0" locked="0" layoutInCell="1" allowOverlap="1">
                <wp:simplePos x="0" y="0"/>
                <wp:positionH relativeFrom="column">
                  <wp:posOffset>2453640</wp:posOffset>
                </wp:positionH>
                <wp:positionV relativeFrom="paragraph">
                  <wp:posOffset>281305</wp:posOffset>
                </wp:positionV>
                <wp:extent cx="608965" cy="104775"/>
                <wp:effectExtent l="635" t="4445" r="12700" b="5080"/>
                <wp:wrapNone/>
                <wp:docPr id="21" name="直接箭头连接符 13"/>
                <wp:cNvGraphicFramePr/>
                <a:graphic xmlns:a="http://schemas.openxmlformats.org/drawingml/2006/main">
                  <a:graphicData uri="http://schemas.microsoft.com/office/word/2010/wordprocessingShape">
                    <wps:wsp>
                      <wps:cNvCnPr/>
                      <wps:spPr bwMode="auto">
                        <a:xfrm flipV="1">
                          <a:off x="0" y="0"/>
                          <a:ext cx="608965" cy="10477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直接箭头连接符 13" o:spid="_x0000_s1026" o:spt="32" type="#_x0000_t32" style="position:absolute;left:0pt;flip:y;margin-left:193.2pt;margin-top:22.15pt;height:8.25pt;width:47.95pt;z-index:251670528;mso-width-relative:page;mso-height-relative:page;" filled="f" stroked="t" coordsize="21600,21600" o:gfxdata="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HJ+OL1wAAAAkBAAAP&#10;AAAAAAAAAAEAIAAAACIAAABkcnMvZG93bnJldi54bWxQSwECFAAUAAAACACHTuJAXiYyMBkCAAAY&#10;BAAADgAAAAAAAAABACAAAAAmAQAAZHJzL2Uyb0RvYy54bWxQSwUGAAAAAAYABgBZAQAAsQUAAAAA&#10;">
                <v:fill on="f" focussize="0,0"/>
                <v:stroke color="#000000" joinstyle="round"/>
                <v:imagedata o:title=""/>
                <o:lock v:ext="edit" aspectratio="f"/>
              </v:shape>
            </w:pict>
          </mc:Fallback>
        </mc:AlternateContent>
      </w:r>
      <w:r>
        <w:rPr>
          <w:rFonts w:hint="eastAsia" w:ascii="宋体" w:hAnsi="宋体" w:cs="宋体"/>
          <w:szCs w:val="21"/>
        </w:rPr>
        <mc:AlternateContent>
          <mc:Choice Requires="wps">
            <w:drawing>
              <wp:anchor distT="0" distB="0" distL="114300" distR="114300" simplePos="0" relativeHeight="251669504" behindDoc="0" locked="0" layoutInCell="1" allowOverlap="1">
                <wp:simplePos x="0" y="0"/>
                <wp:positionH relativeFrom="column">
                  <wp:posOffset>1379220</wp:posOffset>
                </wp:positionH>
                <wp:positionV relativeFrom="paragraph">
                  <wp:posOffset>297815</wp:posOffset>
                </wp:positionV>
                <wp:extent cx="678180" cy="105410"/>
                <wp:effectExtent l="635" t="4445" r="6985" b="17145"/>
                <wp:wrapNone/>
                <wp:docPr id="22" name="直接箭头连接符 15"/>
                <wp:cNvGraphicFramePr/>
                <a:graphic xmlns:a="http://schemas.openxmlformats.org/drawingml/2006/main">
                  <a:graphicData uri="http://schemas.microsoft.com/office/word/2010/wordprocessingShape">
                    <wps:wsp>
                      <wps:cNvCnPr/>
                      <wps:spPr bwMode="auto">
                        <a:xfrm flipV="1">
                          <a:off x="0" y="0"/>
                          <a:ext cx="678180" cy="10541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直接箭头连接符 15" o:spid="_x0000_s1026" o:spt="32" type="#_x0000_t32" style="position:absolute;left:0pt;flip:y;margin-left:108.6pt;margin-top:23.45pt;height:8.3pt;width:53.4pt;z-index:251669504;mso-width-relative:page;mso-height-relative:page;" filled="f" stroked="t" coordsize="21600,21600" o:gfxdata="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D7yGEi2AAAAAkB&#10;AAAPAAAAAAAAAAEAIAAAACIAAABkcnMvZG93bnJldi54bWxQSwECFAAUAAAACACHTuJAUNW9ExsC&#10;AAAYBAAADgAAAAAAAAABACAAAAAnAQAAZHJzL2Uyb0RvYy54bWxQSwUGAAAAAAYABgBZAQAAtAUA&#10;AAAA&#10;">
                <v:fill on="f" focussize="0,0"/>
                <v:stroke color="#000000" joinstyle="round"/>
                <v:imagedata o:title=""/>
                <o:lock v:ext="edit" aspectratio="f"/>
              </v:shape>
            </w:pict>
          </mc:Fallback>
        </mc:AlternateContent>
      </w:r>
      <w:r>
        <w:rPr>
          <w:rFonts w:hint="eastAsia" w:ascii="宋体" w:hAnsi="宋体" w:cs="宋体"/>
          <w:szCs w:val="21"/>
        </w:rPr>
        <mc:AlternateContent>
          <mc:Choice Requires="wps">
            <w:drawing>
              <wp:anchor distT="0" distB="0" distL="114300" distR="114300" simplePos="0" relativeHeight="251676672" behindDoc="0" locked="0" layoutInCell="1" allowOverlap="1">
                <wp:simplePos x="0" y="0"/>
                <wp:positionH relativeFrom="column">
                  <wp:posOffset>474980</wp:posOffset>
                </wp:positionH>
                <wp:positionV relativeFrom="paragraph">
                  <wp:posOffset>261620</wp:posOffset>
                </wp:positionV>
                <wp:extent cx="606425" cy="146685"/>
                <wp:effectExtent l="1270" t="4445" r="1905" b="13970"/>
                <wp:wrapNone/>
                <wp:docPr id="23" name="直接箭头连接符 19"/>
                <wp:cNvGraphicFramePr/>
                <a:graphic xmlns:a="http://schemas.openxmlformats.org/drawingml/2006/main">
                  <a:graphicData uri="http://schemas.microsoft.com/office/word/2010/wordprocessingShape">
                    <wps:wsp>
                      <wps:cNvCnPr/>
                      <wps:spPr bwMode="auto">
                        <a:xfrm flipV="1">
                          <a:off x="0" y="0"/>
                          <a:ext cx="606425" cy="14668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直接箭头连接符 19" o:spid="_x0000_s1026" o:spt="32" type="#_x0000_t32" style="position:absolute;left:0pt;flip:y;margin-left:37.4pt;margin-top:20.6pt;height:11.55pt;width:47.75pt;z-index:251676672;mso-width-relative:page;mso-height-relative:page;" filled="f" stroked="t" coordsize="21600,21600" o:gfxdata="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3z26/NYAAAAIAQAADwAA&#10;AAAAAAABACAAAAAiAAAAZHJzL2Rvd25yZXYueG1sUEsBAhQAFAAAAAgAh07iQAuBpEsYAgAAGAQA&#10;AA4AAAAAAAAAAQAgAAAAJQEAAGRycy9lMm9Eb2MueG1sUEsFBgAAAAAGAAYAWQEAAK8FAAAAAA==&#10;">
                <v:fill on="f" focussize="0,0"/>
                <v:stroke color="#000000" joinstyle="round"/>
                <v:imagedata o:title=""/>
                <o:lock v:ext="edit" aspectratio="f"/>
              </v:shape>
            </w:pict>
          </mc:Fallback>
        </mc:AlternateContent>
      </w:r>
      <w:r>
        <w:rPr>
          <w:rFonts w:hint="eastAsia" w:ascii="宋体" w:hAnsi="宋体" w:cs="宋体"/>
          <w:szCs w:val="21"/>
        </w:rPr>
        <mc:AlternateContent>
          <mc:Choice Requires="wps">
            <w:drawing>
              <wp:anchor distT="0" distB="0" distL="114300" distR="114300" simplePos="0" relativeHeight="251675648" behindDoc="0" locked="0" layoutInCell="1" allowOverlap="1">
                <wp:simplePos x="0" y="0"/>
                <wp:positionH relativeFrom="column">
                  <wp:posOffset>3677285</wp:posOffset>
                </wp:positionH>
                <wp:positionV relativeFrom="paragraph">
                  <wp:posOffset>44450</wp:posOffset>
                </wp:positionV>
                <wp:extent cx="718185" cy="97790"/>
                <wp:effectExtent l="635" t="4445" r="5080" b="12065"/>
                <wp:wrapNone/>
                <wp:docPr id="24" name="直接箭头连接符 20"/>
                <wp:cNvGraphicFramePr/>
                <a:graphic xmlns:a="http://schemas.openxmlformats.org/drawingml/2006/main">
                  <a:graphicData uri="http://schemas.microsoft.com/office/word/2010/wordprocessingShape">
                    <wps:wsp>
                      <wps:cNvCnPr/>
                      <wps:spPr bwMode="auto">
                        <a:xfrm flipV="1">
                          <a:off x="0" y="0"/>
                          <a:ext cx="718185" cy="97790"/>
                        </a:xfrm>
                        <a:prstGeom prst="straightConnector1">
                          <a:avLst/>
                        </a:prstGeom>
                        <a:ln w="9525" cap="flat" cmpd="sng">
                          <a:solidFill>
                            <a:srgbClr val="000000"/>
                          </a:solidFill>
                          <a:prstDash val="solid"/>
                          <a:miter/>
                          <a:headEnd type="none" w="med" len="med"/>
                          <a:tailEnd type="none" w="med" len="med"/>
                        </a:ln>
                        <a:effectLst/>
                      </wps:spPr>
                      <wps:bodyPr/>
                    </wps:wsp>
                  </a:graphicData>
                </a:graphic>
              </wp:anchor>
            </w:drawing>
          </mc:Choice>
          <mc:Fallback>
            <w:pict>
              <v:shape id="直接箭头连接符 20" o:spid="_x0000_s1026" o:spt="32" type="#_x0000_t32" style="position:absolute;left:0pt;flip:y;margin-left:289.55pt;margin-top:3.5pt;height:7.7pt;width:56.55pt;z-index:251675648;mso-width-relative:page;mso-height-relative:page;" filled="f" stroked="t" coordsize="21600,21600" o:gfxdata="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DJN8GXYAAAA&#10;CAEAAA8AAAAAAAAAAQAgAAAAIgAAAGRycy9kb3ducmV2LnhtbFBLAQIUABQAAAAIAIdO4kDN1RTv&#10;HQIAACEEAAAOAAAAAAAAAAEAIAAAACcBAABkcnMvZTJvRG9jLnhtbFBLBQYAAAAABgAGAFkBAAC2&#10;BQAAAAA=&#10;">
                <v:fill on="f" focussize="0,0"/>
                <v:stroke color="#000000" joinstyle="miter"/>
                <v:imagedata o:title=""/>
                <o:lock v:ext="edit" aspectratio="f"/>
              </v:shape>
            </w:pict>
          </mc:Fallback>
        </mc:AlternateContent>
      </w:r>
      <w:r>
        <w:rPr>
          <w:rFonts w:hint="eastAsia" w:ascii="宋体" w:hAnsi="宋体" w:cs="宋体"/>
          <w:szCs w:val="21"/>
          <w:shd w:val="clear" w:color="auto" w:fill="FFFFFF"/>
        </w:rPr>
        <w:t>2.</w:t>
      </w:r>
      <w:r>
        <w:rPr>
          <w:rStyle w:val="56"/>
          <w:rFonts w:hint="eastAsia" w:ascii="宋体" w:hAnsi="宋体" w:cs="宋体"/>
          <w:i w:val="0"/>
          <w:szCs w:val="21"/>
          <w:u w:val="single"/>
          <w:shd w:val="clear" w:color="auto" w:fill="FFFFFF"/>
        </w:rPr>
        <w:t>（    ）</w:t>
      </w:r>
      <w:r>
        <w:rPr>
          <w:rFonts w:hint="eastAsia" w:ascii="宋体" w:hAnsi="宋体" w:cs="宋体"/>
          <w:szCs w:val="21"/>
          <w:shd w:val="clear" w:color="auto" w:fill="FFFFFF"/>
        </w:rPr>
        <w:t>，生产厂为</w:t>
      </w:r>
      <w:r>
        <w:rPr>
          <w:rStyle w:val="56"/>
          <w:rFonts w:hint="eastAsia" w:ascii="宋体" w:hAnsi="宋体" w:cs="宋体"/>
          <w:i w:val="0"/>
          <w:szCs w:val="21"/>
          <w:u w:val="single"/>
          <w:shd w:val="clear" w:color="auto" w:fill="FFFFFF"/>
        </w:rPr>
        <w:t>（厂名）</w:t>
      </w:r>
      <w:r>
        <w:rPr>
          <w:rFonts w:hint="eastAsia" w:ascii="宋体" w:hAnsi="宋体" w:cs="宋体"/>
          <w:szCs w:val="21"/>
          <w:shd w:val="clear" w:color="auto" w:fill="FFFFFF"/>
        </w:rPr>
        <w:t>，厂址为</w:t>
      </w:r>
      <w:r>
        <w:rPr>
          <w:rStyle w:val="56"/>
          <w:rFonts w:hint="eastAsia" w:ascii="宋体" w:hAnsi="宋体" w:cs="宋体"/>
          <w:i w:val="0"/>
          <w:szCs w:val="21"/>
          <w:u w:val="single"/>
          <w:shd w:val="clear" w:color="auto" w:fill="FFFFFF"/>
        </w:rPr>
        <w:t>（生产厂址）</w:t>
      </w:r>
      <w:r>
        <w:rPr>
          <w:rFonts w:hint="eastAsia" w:ascii="宋体" w:hAnsi="宋体" w:cs="宋体"/>
          <w:szCs w:val="21"/>
          <w:shd w:val="clear" w:color="auto" w:fill="FFFFFF"/>
        </w:rPr>
        <w:t>。</w:t>
      </w:r>
      <w:r>
        <w:rPr>
          <w:rStyle w:val="56"/>
          <w:rFonts w:hint="eastAsia" w:ascii="宋体" w:hAnsi="宋体" w:cs="宋体"/>
          <w:i w:val="0"/>
          <w:szCs w:val="21"/>
          <w:u w:val="single"/>
          <w:shd w:val="clear" w:color="auto" w:fill="FFFFFF"/>
        </w:rPr>
        <w:t>（产品名称2）</w:t>
      </w:r>
      <w:r>
        <w:rPr>
          <w:rFonts w:hint="eastAsia" w:ascii="宋体" w:hAnsi="宋体" w:cs="宋体"/>
          <w:szCs w:val="21"/>
          <w:shd w:val="clear" w:color="auto" w:fill="FFFFFF"/>
        </w:rPr>
        <w:t>的中国境内生产的组件成本占比≥</w:t>
      </w:r>
      <w:r>
        <w:rPr>
          <w:rStyle w:val="56"/>
          <w:rFonts w:hint="eastAsia" w:ascii="宋体" w:hAnsi="宋体" w:cs="宋体"/>
          <w:i w:val="0"/>
          <w:szCs w:val="21"/>
          <w:u w:val="single"/>
          <w:shd w:val="clear" w:color="auto" w:fill="FFFFFF"/>
        </w:rPr>
        <w:t>（规定比例）</w:t>
      </w:r>
      <w:r>
        <w:rPr>
          <w:rFonts w:hint="eastAsia" w:ascii="宋体" w:hAnsi="宋体" w:cs="宋体"/>
          <w:szCs w:val="21"/>
          <w:shd w:val="clear" w:color="auto" w:fill="FFFFFF"/>
        </w:rPr>
        <w:t>。</w:t>
      </w:r>
      <w:r>
        <w:rPr>
          <w:rStyle w:val="56"/>
          <w:rFonts w:hint="eastAsia" w:ascii="宋体" w:hAnsi="宋体" w:cs="宋体"/>
          <w:i w:val="0"/>
          <w:szCs w:val="21"/>
          <w:u w:val="single"/>
          <w:shd w:val="clear" w:color="auto" w:fill="FFFFFF"/>
        </w:rPr>
        <w:t>（产品名称2）</w:t>
      </w:r>
      <w:r>
        <w:rPr>
          <w:rFonts w:hint="eastAsia" w:ascii="宋体" w:hAnsi="宋体" w:cs="宋体"/>
          <w:szCs w:val="21"/>
          <w:shd w:val="clear" w:color="auto" w:fill="FFFFFF"/>
        </w:rPr>
        <w:t>的</w:t>
      </w:r>
      <w:r>
        <w:rPr>
          <w:rStyle w:val="56"/>
          <w:rFonts w:hint="eastAsia" w:ascii="宋体" w:hAnsi="宋体" w:cs="宋体"/>
          <w:i w:val="0"/>
          <w:szCs w:val="21"/>
          <w:u w:val="single"/>
          <w:shd w:val="clear" w:color="auto" w:fill="FFFFFF"/>
        </w:rPr>
        <w:t>（关键组件）</w:t>
      </w:r>
      <w:r>
        <w:rPr>
          <w:rFonts w:hint="eastAsia" w:ascii="宋体" w:hAnsi="宋体" w:cs="宋体"/>
          <w:szCs w:val="21"/>
          <w:shd w:val="clear" w:color="auto" w:fill="FFFFFF"/>
        </w:rPr>
        <w:t>在中国境内生产。</w:t>
      </w:r>
      <w:r>
        <w:rPr>
          <w:rStyle w:val="56"/>
          <w:rFonts w:hint="eastAsia" w:ascii="宋体" w:hAnsi="宋体" w:cs="宋体"/>
          <w:i w:val="0"/>
          <w:szCs w:val="21"/>
          <w:u w:val="single"/>
          <w:shd w:val="clear" w:color="auto" w:fill="FFFFFF"/>
        </w:rPr>
        <w:t>（产品名称1）</w:t>
      </w:r>
      <w:r>
        <w:rPr>
          <w:rFonts w:hint="eastAsia" w:ascii="宋体" w:hAnsi="宋体" w:cs="宋体"/>
          <w:szCs w:val="21"/>
          <w:shd w:val="clear" w:color="auto" w:fill="FFFFFF"/>
        </w:rPr>
        <w:t>的</w:t>
      </w:r>
      <w:r>
        <w:rPr>
          <w:rStyle w:val="56"/>
          <w:rFonts w:hint="eastAsia" w:ascii="宋体" w:hAnsi="宋体" w:cs="宋体"/>
          <w:i w:val="0"/>
          <w:szCs w:val="21"/>
          <w:u w:val="single"/>
          <w:shd w:val="clear" w:color="auto" w:fill="FFFFFF"/>
        </w:rPr>
        <w:t>（关键工序）</w:t>
      </w:r>
      <w:r>
        <w:rPr>
          <w:rFonts w:hint="eastAsia" w:ascii="宋体" w:hAnsi="宋体" w:cs="宋体"/>
          <w:szCs w:val="21"/>
          <w:shd w:val="clear" w:color="auto" w:fill="FFFFFF"/>
        </w:rPr>
        <w:t>在中国境内完成。</w:t>
      </w:r>
    </w:p>
    <w:p w14:paraId="4ABA14D9">
      <w:pPr>
        <w:widowControl/>
        <w:spacing w:before="30" w:after="30" w:line="360" w:lineRule="auto"/>
        <w:ind w:firstLine="420"/>
        <w:jc w:val="left"/>
        <w:rPr>
          <w:rFonts w:ascii="宋体" w:hAnsi="宋体" w:cs="宋体"/>
          <w:szCs w:val="21"/>
        </w:rPr>
      </w:pPr>
      <w:r>
        <w:rPr>
          <w:rFonts w:hint="eastAsia" w:ascii="宋体" w:hAnsi="宋体" w:cs="宋体"/>
          <w:szCs w:val="21"/>
          <w:shd w:val="clear" w:color="auto" w:fill="FFFFFF"/>
        </w:rPr>
        <w:t>……</w:t>
      </w:r>
    </w:p>
    <w:p w14:paraId="5FBEACB6">
      <w:pPr>
        <w:widowControl/>
        <w:spacing w:before="30" w:after="30" w:line="360" w:lineRule="auto"/>
        <w:ind w:firstLine="420"/>
        <w:jc w:val="left"/>
        <w:rPr>
          <w:rFonts w:ascii="宋体" w:hAnsi="宋体" w:cs="宋体"/>
          <w:szCs w:val="21"/>
        </w:rPr>
      </w:pPr>
      <w:r>
        <w:rPr>
          <w:rFonts w:hint="eastAsia" w:ascii="宋体" w:hAnsi="宋体" w:cs="宋体"/>
          <w:szCs w:val="21"/>
          <w:shd w:val="clear" w:color="auto" w:fill="FFFFFF"/>
        </w:rPr>
        <w:t>本公司（单位）对上述声明内容的真实性负责。如有虚假，愿承担相应法律责任。</w:t>
      </w:r>
    </w:p>
    <w:p w14:paraId="30F4A0D4">
      <w:pPr>
        <w:widowControl/>
        <w:spacing w:before="30" w:after="30" w:line="360" w:lineRule="auto"/>
        <w:jc w:val="left"/>
        <w:rPr>
          <w:rFonts w:ascii="宋体" w:hAnsi="宋体" w:cs="宋体"/>
          <w:szCs w:val="21"/>
        </w:rPr>
      </w:pPr>
    </w:p>
    <w:p w14:paraId="33CAAF45">
      <w:pPr>
        <w:widowControl/>
        <w:spacing w:before="30" w:after="30" w:line="360" w:lineRule="auto"/>
        <w:ind w:right="480" w:firstLine="3255"/>
        <w:jc w:val="left"/>
        <w:rPr>
          <w:rFonts w:ascii="宋体" w:hAnsi="宋体" w:cs="宋体"/>
          <w:szCs w:val="21"/>
        </w:rPr>
      </w:pPr>
      <w:r>
        <w:rPr>
          <w:rFonts w:hint="eastAsia" w:ascii="宋体" w:hAnsi="宋体" w:cs="宋体"/>
          <w:szCs w:val="21"/>
          <w:shd w:val="clear" w:color="auto" w:fill="FFFFFF"/>
        </w:rPr>
        <w:t>公司（单位）名称（盖章）：　        </w:t>
      </w:r>
    </w:p>
    <w:p w14:paraId="01B2C422">
      <w:pPr>
        <w:widowControl/>
        <w:spacing w:before="30" w:after="30" w:line="360" w:lineRule="auto"/>
        <w:jc w:val="center"/>
        <w:rPr>
          <w:rFonts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w:t>
      </w:r>
    </w:p>
    <w:p w14:paraId="421B0C91">
      <w:pPr>
        <w:widowControl/>
        <w:spacing w:before="30" w:after="30" w:line="360" w:lineRule="auto"/>
        <w:jc w:val="left"/>
        <w:rPr>
          <w:sz w:val="24"/>
          <w:szCs w:val="24"/>
        </w:rPr>
      </w:pPr>
      <w:r>
        <w:rPr>
          <w:sz w:val="24"/>
          <w:szCs w:val="24"/>
          <w:shd w:val="clear" w:color="auto" w:fill="FFFFFF"/>
        </w:rPr>
        <w:t>__________________</w:t>
      </w:r>
    </w:p>
    <w:p w14:paraId="22BDE3B5">
      <w:pPr>
        <w:widowControl/>
        <w:spacing w:line="360" w:lineRule="auto"/>
        <w:jc w:val="left"/>
        <w:rPr>
          <w:szCs w:val="21"/>
        </w:rPr>
      </w:pPr>
      <w:r>
        <w:rPr>
          <w:szCs w:val="21"/>
          <w:shd w:val="clear" w:color="auto" w:fill="FFFFFF"/>
        </w:rPr>
        <w:t>1.产品如有型号，请在“产品名称”栏一并填写。</w:t>
      </w:r>
    </w:p>
    <w:p w14:paraId="69D556BE">
      <w:pPr>
        <w:widowControl/>
        <w:spacing w:line="360" w:lineRule="auto"/>
        <w:jc w:val="left"/>
        <w:rPr>
          <w:szCs w:val="21"/>
        </w:rPr>
      </w:pPr>
      <w:r>
        <w:rPr>
          <w:szCs w:val="21"/>
          <w:shd w:val="clear" w:color="auto" w:fill="FFFFFF"/>
        </w:rPr>
        <w:t>2.生产厂名与厂址应与生产厂营业执照载明的相关信息保持一致。</w:t>
      </w:r>
    </w:p>
    <w:p w14:paraId="386D9582">
      <w:pPr>
        <w:widowControl/>
        <w:spacing w:line="360" w:lineRule="auto"/>
        <w:jc w:val="left"/>
        <w:rPr>
          <w:szCs w:val="21"/>
        </w:rPr>
      </w:pPr>
      <w:r>
        <w:rPr>
          <w:szCs w:val="21"/>
          <w:shd w:val="clear" w:color="auto" w:fill="FFFFFF"/>
        </w:rPr>
        <w:t>3.该产品的中国境内生产的组件成本占比相关要求实施前，“规定比例”栏可不填，下同。</w:t>
      </w:r>
    </w:p>
    <w:p w14:paraId="5F0D77F0">
      <w:pPr>
        <w:widowControl/>
        <w:spacing w:line="360" w:lineRule="auto"/>
        <w:jc w:val="left"/>
        <w:rPr>
          <w:szCs w:val="21"/>
        </w:rPr>
      </w:pPr>
      <w:r>
        <w:rPr>
          <w:szCs w:val="21"/>
          <w:shd w:val="clear" w:color="auto" w:fill="FFFFFF"/>
        </w:rPr>
        <w:t>4.该产品的关键组件要求实施前，“关键组件”栏可不填，下同。</w:t>
      </w:r>
    </w:p>
    <w:p w14:paraId="22BF189E">
      <w:pPr>
        <w:widowControl/>
        <w:spacing w:line="360" w:lineRule="auto"/>
        <w:jc w:val="left"/>
        <w:rPr>
          <w:szCs w:val="21"/>
          <w:shd w:val="clear" w:color="auto" w:fill="FFFFFF"/>
        </w:rPr>
      </w:pPr>
      <w:r>
        <w:rPr>
          <w:szCs w:val="21"/>
          <w:shd w:val="clear" w:color="auto" w:fill="FFFFFF"/>
        </w:rPr>
        <w:t>5.该产品的关键工序要求实施前，“关键工序”栏可不填，下同。</w:t>
      </w:r>
    </w:p>
    <w:p w14:paraId="1820247E">
      <w:pPr>
        <w:widowControl/>
        <w:spacing w:line="360" w:lineRule="auto"/>
        <w:jc w:val="left"/>
        <w:rPr>
          <w:szCs w:val="21"/>
          <w:shd w:val="clear" w:color="auto" w:fill="FFFFFF"/>
        </w:rPr>
      </w:pPr>
      <w:r>
        <w:rPr>
          <w:szCs w:val="21"/>
          <w:shd w:val="clear" w:color="auto" w:fill="FFFFFF"/>
        </w:rPr>
        <w:t>6.用斜线划除的地方无需填写。</w:t>
      </w:r>
    </w:p>
    <w:p w14:paraId="2424A701">
      <w:pPr>
        <w:widowControl/>
        <w:spacing w:line="360" w:lineRule="auto"/>
        <w:jc w:val="left"/>
        <w:rPr>
          <w:b/>
          <w:bCs/>
          <w:szCs w:val="21"/>
          <w:shd w:val="clear" w:color="auto" w:fill="FFFFFF"/>
        </w:rPr>
      </w:pPr>
      <w:r>
        <w:rPr>
          <w:b/>
          <w:bCs/>
          <w:szCs w:val="21"/>
          <w:shd w:val="clear" w:color="auto" w:fill="FFFFFF"/>
        </w:rPr>
        <w:t>7.供应商提供虚假《声明函》、虚假证明文件谋取中标、成交的，依照《中华人民共和国政府采购法》等法律法规规定追究相应责任。</w:t>
      </w:r>
    </w:p>
    <w:p w14:paraId="2D2791CE">
      <w:pPr>
        <w:pStyle w:val="61"/>
        <w:ind w:firstLine="0"/>
        <w:rPr>
          <w:b/>
          <w:bCs/>
          <w:color w:val="FF0000"/>
          <w:szCs w:val="21"/>
          <w:shd w:val="clear" w:color="auto" w:fill="FFFFFF"/>
        </w:rPr>
      </w:pPr>
      <w:r>
        <w:rPr>
          <w:szCs w:val="21"/>
          <w:shd w:val="clear" w:color="auto" w:fill="FFFFFF"/>
        </w:rPr>
        <w:t>8.中标、成交供应商提供的《声明函》或有关证明文件将随中标、成交结果同时公告。</w:t>
      </w:r>
    </w:p>
    <w:p w14:paraId="62114767">
      <w:pPr>
        <w:rPr>
          <w:b/>
          <w:bCs/>
          <w:color w:val="FF0000"/>
          <w:szCs w:val="21"/>
          <w:shd w:val="clear" w:color="auto" w:fill="FFFFFF"/>
        </w:rPr>
      </w:pPr>
    </w:p>
    <w:p w14:paraId="4BED23C4">
      <w:pPr>
        <w:pStyle w:val="61"/>
        <w:rPr>
          <w:b/>
          <w:bCs/>
          <w:color w:val="FF0000"/>
          <w:szCs w:val="21"/>
          <w:shd w:val="clear" w:color="auto" w:fill="FFFFFF"/>
        </w:rPr>
      </w:pPr>
    </w:p>
    <w:p w14:paraId="6381FEE0">
      <w:pPr>
        <w:rPr>
          <w:b/>
          <w:bCs/>
          <w:color w:val="FF0000"/>
          <w:szCs w:val="21"/>
          <w:shd w:val="clear" w:color="auto" w:fill="FFFFFF"/>
        </w:rPr>
      </w:pPr>
    </w:p>
    <w:p w14:paraId="0D1BCE11">
      <w:pPr>
        <w:pStyle w:val="61"/>
        <w:rPr>
          <w:b/>
          <w:bCs/>
          <w:color w:val="FF0000"/>
          <w:szCs w:val="21"/>
          <w:shd w:val="clear" w:color="auto" w:fill="FFFFFF"/>
        </w:rPr>
      </w:pPr>
    </w:p>
    <w:p w14:paraId="7EBD0ADC">
      <w:pPr>
        <w:rPr>
          <w:b/>
          <w:bCs/>
          <w:color w:val="FF0000"/>
          <w:szCs w:val="21"/>
          <w:shd w:val="clear" w:color="auto" w:fill="FFFFFF"/>
        </w:rPr>
      </w:pPr>
    </w:p>
    <w:p w14:paraId="35568BF7">
      <w:pPr>
        <w:pStyle w:val="61"/>
      </w:pPr>
    </w:p>
    <w:p w14:paraId="544447E3">
      <w:pPr>
        <w:rPr>
          <w:b/>
          <w:bCs/>
          <w:color w:val="FF0000"/>
          <w:sz w:val="24"/>
          <w:szCs w:val="22"/>
        </w:rPr>
      </w:pPr>
      <w:bookmarkStart w:id="323" w:name="_Toc2842"/>
      <w:bookmarkStart w:id="324" w:name="_Toc6893"/>
      <w:r>
        <w:rPr>
          <w:rFonts w:hint="eastAsia"/>
          <w:b/>
          <w:bCs/>
          <w:color w:val="FF0000"/>
          <w:sz w:val="24"/>
          <w:szCs w:val="22"/>
        </w:rPr>
        <w:br w:type="page"/>
      </w:r>
    </w:p>
    <w:p w14:paraId="5A86C267">
      <w:pPr>
        <w:spacing w:after="156" w:line="440" w:lineRule="exact"/>
        <w:rPr>
          <w:b/>
          <w:bCs/>
          <w:sz w:val="24"/>
          <w:szCs w:val="22"/>
          <w:lang w:val="zh-TW"/>
        </w:rPr>
      </w:pPr>
      <w:r>
        <w:rPr>
          <w:rFonts w:hint="eastAsia"/>
          <w:b/>
          <w:bCs/>
          <w:sz w:val="24"/>
          <w:szCs w:val="22"/>
        </w:rPr>
        <w:t>附：</w:t>
      </w:r>
      <w:r>
        <w:rPr>
          <w:b/>
          <w:bCs/>
          <w:sz w:val="24"/>
          <w:szCs w:val="22"/>
          <w:lang w:val="zh-TW"/>
        </w:rPr>
        <w:t>成本比例声明函（如适用）</w:t>
      </w:r>
      <w:bookmarkEnd w:id="323"/>
      <w:bookmarkEnd w:id="324"/>
      <w:r>
        <w:rPr>
          <w:b/>
          <w:bCs/>
          <w:sz w:val="24"/>
          <w:szCs w:val="22"/>
          <w:lang w:val="zh-TW"/>
        </w:rPr>
        <w:t xml:space="preserve"> </w:t>
      </w:r>
    </w:p>
    <w:p w14:paraId="7EDCDBAE">
      <w:pPr>
        <w:spacing w:line="360" w:lineRule="auto"/>
        <w:jc w:val="left"/>
        <w:rPr>
          <w:szCs w:val="21"/>
        </w:rPr>
      </w:pPr>
      <w:r>
        <w:rPr>
          <w:rFonts w:ascii="宋体" w:hAnsi="宋体" w:cs="宋体"/>
          <w:szCs w:val="21"/>
        </w:rPr>
        <w:t>（适用于</w:t>
      </w:r>
      <w:r>
        <w:rPr>
          <w:szCs w:val="21"/>
        </w:rPr>
        <w:t xml:space="preserve">采购项目或者采购包中含有多种产品时，不提供或者提供声明的比例达不到要求时，不享受价格扣除） </w:t>
      </w:r>
    </w:p>
    <w:p w14:paraId="79E4A27C">
      <w:pPr>
        <w:spacing w:line="360" w:lineRule="auto"/>
        <w:jc w:val="center"/>
        <w:rPr>
          <w:sz w:val="24"/>
          <w:szCs w:val="24"/>
        </w:rPr>
      </w:pPr>
      <w:r>
        <w:rPr>
          <w:b/>
          <w:bCs/>
          <w:sz w:val="24"/>
          <w:szCs w:val="24"/>
        </w:rPr>
        <w:t>成本比例声明函</w:t>
      </w:r>
    </w:p>
    <w:p w14:paraId="533A6E0D">
      <w:pPr>
        <w:spacing w:line="360" w:lineRule="auto"/>
        <w:ind w:firstLine="420"/>
        <w:jc w:val="left"/>
        <w:rPr>
          <w:szCs w:val="21"/>
        </w:rPr>
      </w:pPr>
    </w:p>
    <w:p w14:paraId="039CBE12">
      <w:pPr>
        <w:widowControl/>
        <w:spacing w:line="360" w:lineRule="auto"/>
        <w:ind w:firstLine="420"/>
        <w:jc w:val="left"/>
        <w:rPr>
          <w:szCs w:val="21"/>
        </w:rPr>
      </w:pPr>
      <w:r>
        <w:rPr>
          <w:szCs w:val="21"/>
        </w:rPr>
        <w:t>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szCs w:val="21"/>
          <w:u w:val="single"/>
        </w:rPr>
        <w:t xml:space="preserve">       </w:t>
      </w:r>
      <w:r>
        <w:rPr>
          <w:szCs w:val="21"/>
        </w:rPr>
        <w:t xml:space="preserve">（填写具体百分比）。 </w:t>
      </w:r>
    </w:p>
    <w:p w14:paraId="2F3467BF">
      <w:pPr>
        <w:widowControl/>
        <w:spacing w:line="360" w:lineRule="auto"/>
        <w:ind w:firstLine="420"/>
        <w:jc w:val="left"/>
        <w:rPr>
          <w:szCs w:val="21"/>
        </w:rPr>
      </w:pPr>
      <w:r>
        <w:rPr>
          <w:szCs w:val="21"/>
        </w:rPr>
        <w:t xml:space="preserve">本公司（单位）对上述声明内容的真实性负责。如有虚假，愿承担相应法律责任。 </w:t>
      </w:r>
    </w:p>
    <w:p w14:paraId="087CCE80">
      <w:pPr>
        <w:widowControl/>
        <w:spacing w:line="360" w:lineRule="auto"/>
        <w:ind w:left="562" w:firstLine="420"/>
        <w:jc w:val="center"/>
        <w:rPr>
          <w:szCs w:val="21"/>
        </w:rPr>
      </w:pPr>
    </w:p>
    <w:p w14:paraId="370ABC3F">
      <w:pPr>
        <w:widowControl/>
        <w:spacing w:line="360" w:lineRule="auto"/>
        <w:ind w:left="562" w:firstLine="420"/>
        <w:jc w:val="center"/>
        <w:rPr>
          <w:szCs w:val="21"/>
        </w:rPr>
      </w:pPr>
      <w:r>
        <w:rPr>
          <w:szCs w:val="21"/>
        </w:rPr>
        <w:t>公司（单位）名称（盖章）：</w:t>
      </w:r>
    </w:p>
    <w:p w14:paraId="31E49C1F">
      <w:pPr>
        <w:widowControl/>
        <w:spacing w:line="360" w:lineRule="auto"/>
        <w:ind w:left="562" w:firstLine="420"/>
        <w:jc w:val="center"/>
        <w:rPr>
          <w:szCs w:val="21"/>
        </w:rPr>
      </w:pPr>
      <w:r>
        <w:rPr>
          <w:szCs w:val="21"/>
        </w:rPr>
        <w:t>日期： 年 月 日</w:t>
      </w:r>
    </w:p>
    <w:p w14:paraId="2A4625EF">
      <w:pPr>
        <w:spacing w:line="360" w:lineRule="auto"/>
        <w:ind w:left="562" w:firstLine="420"/>
        <w:jc w:val="left"/>
        <w:rPr>
          <w:szCs w:val="21"/>
        </w:rPr>
      </w:pPr>
    </w:p>
    <w:p w14:paraId="6029FF0A">
      <w:pPr>
        <w:spacing w:line="360" w:lineRule="auto"/>
        <w:ind w:left="562" w:firstLine="420"/>
        <w:jc w:val="left"/>
        <w:rPr>
          <w:szCs w:val="21"/>
        </w:rPr>
      </w:pPr>
    </w:p>
    <w:p w14:paraId="462A0BD5">
      <w:pPr>
        <w:pStyle w:val="18"/>
        <w:spacing w:before="229" w:line="360" w:lineRule="auto"/>
        <w:ind w:firstLine="420"/>
        <w:jc w:val="left"/>
        <w:rPr>
          <w:rFonts w:ascii="Times New Roman"/>
          <w:sz w:val="21"/>
          <w:szCs w:val="21"/>
          <w:lang w:val="zh-TW"/>
        </w:rPr>
      </w:pPr>
      <w:r>
        <w:rPr>
          <w:rFonts w:ascii="Times New Roman"/>
          <w:sz w:val="21"/>
          <w:szCs w:val="21"/>
        </w:rPr>
        <w:t>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p>
    <w:p w14:paraId="5614C51E"/>
    <w:p w14:paraId="75DAE876">
      <w:pPr>
        <w:spacing w:after="156" w:line="440" w:lineRule="exact"/>
        <w:outlineLvl w:val="1"/>
        <w:rPr>
          <w:b/>
          <w:bCs/>
          <w:sz w:val="24"/>
          <w:szCs w:val="22"/>
          <w:lang w:val="zh-CN"/>
        </w:rPr>
        <w:sectPr>
          <w:footerReference r:id="rId14" w:type="first"/>
          <w:pgSz w:w="11906" w:h="16838"/>
          <w:pgMar w:top="1134" w:right="1134" w:bottom="1134" w:left="1134" w:header="851" w:footer="992" w:gutter="0"/>
          <w:cols w:space="720" w:num="1"/>
          <w:titlePg/>
          <w:docGrid w:linePitch="360" w:charSpace="0"/>
        </w:sectPr>
      </w:pPr>
    </w:p>
    <w:p w14:paraId="6A14EB87">
      <w:pPr>
        <w:spacing w:after="156" w:line="440" w:lineRule="exact"/>
        <w:outlineLvl w:val="1"/>
        <w:rPr>
          <w:b/>
          <w:bCs/>
          <w:sz w:val="24"/>
          <w:szCs w:val="22"/>
          <w:lang w:val="zh-CN"/>
        </w:rPr>
      </w:pPr>
      <w:bookmarkStart w:id="325" w:name="_Toc28538"/>
      <w:r>
        <w:rPr>
          <w:b/>
          <w:bCs/>
          <w:sz w:val="24"/>
          <w:szCs w:val="22"/>
          <w:lang w:val="zh-CN"/>
        </w:rPr>
        <w:t>附件</w:t>
      </w:r>
      <w:r>
        <w:rPr>
          <w:b/>
          <w:bCs/>
          <w:sz w:val="24"/>
          <w:szCs w:val="22"/>
        </w:rPr>
        <w:t xml:space="preserve">七 </w:t>
      </w:r>
      <w:r>
        <w:rPr>
          <w:b/>
          <w:bCs/>
          <w:sz w:val="24"/>
          <w:szCs w:val="22"/>
          <w:lang w:val="zh-CN"/>
        </w:rPr>
        <w:t>供应商基本情况表</w:t>
      </w:r>
      <w:bookmarkEnd w:id="316"/>
      <w:bookmarkEnd w:id="317"/>
      <w:bookmarkEnd w:id="318"/>
      <w:bookmarkEnd w:id="325"/>
    </w:p>
    <w:tbl>
      <w:tblPr>
        <w:tblStyle w:val="49"/>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7513"/>
      </w:tblGrid>
      <w:tr w14:paraId="37D04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1809" w:type="dxa"/>
            <w:vAlign w:val="center"/>
          </w:tcPr>
          <w:p w14:paraId="3F9C9334">
            <w:pPr>
              <w:spacing w:line="312" w:lineRule="atLeast"/>
              <w:jc w:val="center"/>
              <w:rPr>
                <w:b/>
                <w:bCs/>
                <w:szCs w:val="21"/>
              </w:rPr>
            </w:pPr>
            <w:r>
              <w:rPr>
                <w:b/>
                <w:bCs/>
                <w:szCs w:val="21"/>
              </w:rPr>
              <w:t>供应商名称</w:t>
            </w:r>
          </w:p>
        </w:tc>
        <w:tc>
          <w:tcPr>
            <w:tcW w:w="7513" w:type="dxa"/>
            <w:vAlign w:val="center"/>
          </w:tcPr>
          <w:p w14:paraId="74C800B6">
            <w:pPr>
              <w:spacing w:line="312" w:lineRule="atLeast"/>
              <w:rPr>
                <w:b/>
                <w:bCs/>
                <w:szCs w:val="21"/>
              </w:rPr>
            </w:pPr>
          </w:p>
        </w:tc>
      </w:tr>
      <w:tr w14:paraId="7128D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trPr>
        <w:tc>
          <w:tcPr>
            <w:tcW w:w="1809" w:type="dxa"/>
            <w:vAlign w:val="center"/>
          </w:tcPr>
          <w:p w14:paraId="4CA503D8">
            <w:pPr>
              <w:spacing w:line="312" w:lineRule="atLeast"/>
              <w:jc w:val="center"/>
              <w:rPr>
                <w:b/>
                <w:bCs/>
                <w:szCs w:val="21"/>
              </w:rPr>
            </w:pPr>
            <w:r>
              <w:rPr>
                <w:b/>
                <w:bCs/>
                <w:szCs w:val="21"/>
              </w:rPr>
              <w:t>社会机构统一信用代码</w:t>
            </w:r>
          </w:p>
        </w:tc>
        <w:tc>
          <w:tcPr>
            <w:tcW w:w="7513" w:type="dxa"/>
            <w:vAlign w:val="center"/>
          </w:tcPr>
          <w:p w14:paraId="71916050">
            <w:pPr>
              <w:spacing w:line="312" w:lineRule="atLeast"/>
              <w:rPr>
                <w:b/>
                <w:bCs/>
                <w:szCs w:val="21"/>
              </w:rPr>
            </w:pPr>
          </w:p>
        </w:tc>
      </w:tr>
      <w:tr w14:paraId="17271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 w:hRule="atLeast"/>
        </w:trPr>
        <w:tc>
          <w:tcPr>
            <w:tcW w:w="1809" w:type="dxa"/>
            <w:vAlign w:val="center"/>
          </w:tcPr>
          <w:p w14:paraId="47DA0A28">
            <w:pPr>
              <w:spacing w:line="312" w:lineRule="atLeast"/>
              <w:jc w:val="center"/>
              <w:rPr>
                <w:b/>
                <w:bCs/>
                <w:szCs w:val="21"/>
              </w:rPr>
            </w:pPr>
            <w:r>
              <w:rPr>
                <w:b/>
                <w:bCs/>
                <w:lang w:val="zh-CN"/>
              </w:rPr>
              <w:t>供应商规模</w:t>
            </w:r>
          </w:p>
        </w:tc>
        <w:tc>
          <w:tcPr>
            <w:tcW w:w="7513" w:type="dxa"/>
            <w:vAlign w:val="center"/>
          </w:tcPr>
          <w:p w14:paraId="12C47E1F">
            <w:pPr>
              <w:spacing w:line="312" w:lineRule="atLeast"/>
              <w:rPr>
                <w:b/>
                <w:bCs/>
                <w:szCs w:val="21"/>
              </w:rPr>
            </w:pPr>
            <w:r>
              <w:rPr>
                <w:b/>
                <w:bCs/>
                <w:szCs w:val="21"/>
              </w:rPr>
              <w:t xml:space="preserve">     </w:t>
            </w:r>
            <w:r>
              <w:rPr>
                <w:rFonts w:eastAsia="仿宋"/>
                <w:color w:val="000000"/>
                <w:sz w:val="24"/>
                <w:szCs w:val="24"/>
              </w:rPr>
              <w:t>□</w:t>
            </w:r>
            <w:r>
              <w:rPr>
                <w:b/>
                <w:bCs/>
                <w:szCs w:val="21"/>
              </w:rPr>
              <w:t xml:space="preserve">大型           </w:t>
            </w:r>
            <w:r>
              <w:rPr>
                <w:rFonts w:eastAsia="仿宋"/>
                <w:color w:val="000000"/>
                <w:sz w:val="24"/>
                <w:szCs w:val="24"/>
              </w:rPr>
              <w:t>□</w:t>
            </w:r>
            <w:r>
              <w:rPr>
                <w:b/>
                <w:bCs/>
                <w:szCs w:val="21"/>
              </w:rPr>
              <w:t xml:space="preserve">中型          </w:t>
            </w:r>
            <w:r>
              <w:rPr>
                <w:rFonts w:eastAsia="仿宋"/>
                <w:color w:val="000000"/>
                <w:sz w:val="24"/>
                <w:szCs w:val="24"/>
              </w:rPr>
              <w:t>□</w:t>
            </w:r>
            <w:r>
              <w:rPr>
                <w:b/>
                <w:bCs/>
                <w:szCs w:val="21"/>
              </w:rPr>
              <w:t xml:space="preserve">小微型      </w:t>
            </w:r>
          </w:p>
        </w:tc>
      </w:tr>
      <w:tr w14:paraId="76AA1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1809" w:type="dxa"/>
            <w:vAlign w:val="center"/>
          </w:tcPr>
          <w:p w14:paraId="521272FF">
            <w:pPr>
              <w:jc w:val="center"/>
              <w:rPr>
                <w:b/>
                <w:bCs/>
                <w:lang w:val="zh-CN"/>
              </w:rPr>
            </w:pPr>
            <w:r>
              <w:rPr>
                <w:b/>
                <w:bCs/>
                <w:lang w:val="zh-CN"/>
              </w:rPr>
              <w:t>供应商所在区域</w:t>
            </w:r>
          </w:p>
          <w:p w14:paraId="28D28198">
            <w:pPr>
              <w:spacing w:line="312" w:lineRule="atLeast"/>
              <w:jc w:val="center"/>
              <w:rPr>
                <w:b/>
                <w:bCs/>
                <w:lang w:val="zh-CN"/>
              </w:rPr>
            </w:pPr>
            <w:r>
              <w:rPr>
                <w:b/>
                <w:bCs/>
                <w:lang w:val="zh-CN"/>
              </w:rPr>
              <w:t>（细化到省份）</w:t>
            </w:r>
          </w:p>
        </w:tc>
        <w:tc>
          <w:tcPr>
            <w:tcW w:w="7513" w:type="dxa"/>
            <w:vAlign w:val="center"/>
          </w:tcPr>
          <w:p w14:paraId="2EC27FB5">
            <w:pPr>
              <w:spacing w:line="312" w:lineRule="atLeast"/>
              <w:rPr>
                <w:b/>
                <w:bCs/>
                <w:szCs w:val="21"/>
              </w:rPr>
            </w:pPr>
          </w:p>
        </w:tc>
      </w:tr>
      <w:tr w14:paraId="510AA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1809" w:type="dxa"/>
            <w:vAlign w:val="center"/>
          </w:tcPr>
          <w:p w14:paraId="75D8B33E">
            <w:pPr>
              <w:jc w:val="center"/>
              <w:rPr>
                <w:b/>
                <w:bCs/>
                <w:lang w:val="zh-CN"/>
              </w:rPr>
            </w:pPr>
            <w:r>
              <w:rPr>
                <w:b/>
                <w:bCs/>
                <w:lang w:val="zh-CN"/>
              </w:rPr>
              <w:t>是否特殊性质</w:t>
            </w:r>
          </w:p>
        </w:tc>
        <w:tc>
          <w:tcPr>
            <w:tcW w:w="7513" w:type="dxa"/>
            <w:vAlign w:val="center"/>
          </w:tcPr>
          <w:p w14:paraId="15614E6F">
            <w:pPr>
              <w:spacing w:line="312" w:lineRule="atLeast"/>
              <w:rPr>
                <w:b/>
                <w:bCs/>
                <w:szCs w:val="21"/>
              </w:rPr>
            </w:pPr>
            <w:r>
              <w:rPr>
                <w:b/>
                <w:bCs/>
                <w:lang w:val="zh-CN"/>
              </w:rPr>
              <w:t xml:space="preserve">   </w:t>
            </w:r>
            <w:r>
              <w:rPr>
                <w:rFonts w:eastAsia="仿宋"/>
                <w:color w:val="000000"/>
                <w:sz w:val="24"/>
                <w:szCs w:val="24"/>
              </w:rPr>
              <w:t>□</w:t>
            </w:r>
            <w:r>
              <w:rPr>
                <w:b/>
                <w:bCs/>
                <w:lang w:val="zh-CN"/>
              </w:rPr>
              <w:t xml:space="preserve">监狱企业残疾人     </w:t>
            </w:r>
            <w:r>
              <w:rPr>
                <w:rFonts w:eastAsia="仿宋"/>
                <w:color w:val="000000"/>
                <w:sz w:val="24"/>
                <w:szCs w:val="24"/>
              </w:rPr>
              <w:t>□</w:t>
            </w:r>
            <w:r>
              <w:rPr>
                <w:b/>
                <w:bCs/>
                <w:lang w:val="zh-CN"/>
              </w:rPr>
              <w:t xml:space="preserve">福利性单位     </w:t>
            </w:r>
            <w:r>
              <w:rPr>
                <w:rFonts w:eastAsia="仿宋"/>
                <w:color w:val="000000"/>
                <w:sz w:val="24"/>
                <w:szCs w:val="24"/>
              </w:rPr>
              <w:t>□</w:t>
            </w:r>
            <w:r>
              <w:rPr>
                <w:b/>
                <w:bCs/>
                <w:lang w:val="zh-CN"/>
              </w:rPr>
              <w:t>其他</w:t>
            </w:r>
          </w:p>
        </w:tc>
      </w:tr>
    </w:tbl>
    <w:p w14:paraId="2042B699">
      <w:pPr>
        <w:rPr>
          <w:lang w:val="zh-CN"/>
        </w:rPr>
      </w:pPr>
      <w:r>
        <w:rPr>
          <w:lang w:val="zh-CN"/>
        </w:rPr>
        <w:t>注：</w:t>
      </w:r>
    </w:p>
    <w:p w14:paraId="3A63C534">
      <w:pPr>
        <w:spacing w:line="360" w:lineRule="auto"/>
        <w:ind w:firstLine="218"/>
        <w:rPr>
          <w:lang w:val="zh-CN"/>
        </w:rPr>
      </w:pPr>
      <w:r>
        <w:t>1、供应商规模：供应商应对照工业和信息化部、国家统计局、国家发展改革委、财政部《关于印发中小企业划型标准规定的通知》（工信部联企业〔2011〕300 号）中的规模划分勾选自身规模；</w:t>
      </w:r>
    </w:p>
    <w:p w14:paraId="20912985">
      <w:pPr>
        <w:spacing w:line="360" w:lineRule="auto"/>
        <w:ind w:firstLine="218"/>
      </w:pPr>
      <w:r>
        <w:t>2、供应商所在区域：指供应商注册地所在地区，具体细化到省份；</w:t>
      </w:r>
    </w:p>
    <w:p w14:paraId="7BF28DAF">
      <w:pPr>
        <w:spacing w:line="360" w:lineRule="auto"/>
        <w:ind w:firstLine="218"/>
        <w:rPr>
          <w:lang w:val="zh-CN"/>
        </w:rPr>
      </w:pPr>
      <w:r>
        <w:t>3、</w:t>
      </w:r>
      <w:r>
        <w:rPr>
          <w:lang w:val="zh-CN"/>
        </w:rPr>
        <w:t>是否特殊性质：</w:t>
      </w:r>
      <w:r>
        <w:t>供应商应对照《财政部司法部关于政府采购支持监狱企业发展有关问题的通知》（财库〔2014〕68号） 和《财政部民政部中国残疾人联合会关于促进残疾人就业政府采购政策的通知》（财库〔2017〕141号）的规定勾选自身性质。</w:t>
      </w:r>
    </w:p>
    <w:p w14:paraId="23325F86">
      <w:pPr>
        <w:spacing w:after="156" w:line="360" w:lineRule="auto"/>
        <w:rPr>
          <w:b/>
          <w:bCs/>
          <w:sz w:val="24"/>
          <w:szCs w:val="22"/>
          <w:lang w:val="zh-CN"/>
        </w:rPr>
      </w:pPr>
    </w:p>
    <w:p w14:paraId="5E874F5A">
      <w:pPr>
        <w:spacing w:line="360" w:lineRule="auto"/>
        <w:outlineLvl w:val="0"/>
        <w:rPr>
          <w:b/>
          <w:bCs/>
          <w:sz w:val="24"/>
          <w:szCs w:val="22"/>
          <w:lang w:val="zh-CN"/>
        </w:rPr>
        <w:sectPr>
          <w:pgSz w:w="11906" w:h="16838"/>
          <w:pgMar w:top="1134" w:right="1134" w:bottom="1134" w:left="1134" w:header="851" w:footer="992" w:gutter="0"/>
          <w:cols w:space="720" w:num="1"/>
          <w:titlePg/>
          <w:docGrid w:linePitch="360" w:charSpace="0"/>
        </w:sectPr>
      </w:pPr>
    </w:p>
    <w:p w14:paraId="07FC07F7">
      <w:pPr>
        <w:spacing w:after="156" w:line="440" w:lineRule="exact"/>
        <w:outlineLvl w:val="1"/>
        <w:rPr>
          <w:rFonts w:ascii="宋体" w:hAnsi="宋体" w:cs="宋体"/>
          <w:b/>
          <w:bCs/>
          <w:color w:val="000000"/>
          <w:sz w:val="24"/>
          <w:szCs w:val="22"/>
        </w:rPr>
      </w:pPr>
      <w:bookmarkStart w:id="326" w:name="_Toc15801"/>
      <w:bookmarkStart w:id="327" w:name="_Toc4907"/>
      <w:bookmarkStart w:id="328" w:name="_Toc20168"/>
      <w:r>
        <w:rPr>
          <w:rFonts w:hint="eastAsia" w:ascii="宋体" w:hAnsi="宋体" w:cs="宋体"/>
          <w:b/>
          <w:bCs/>
          <w:color w:val="000000"/>
          <w:sz w:val="24"/>
          <w:szCs w:val="22"/>
          <w:lang w:val="zh-CN"/>
        </w:rPr>
        <w:t>附件</w:t>
      </w:r>
      <w:r>
        <w:rPr>
          <w:rFonts w:hint="eastAsia" w:ascii="宋体" w:hAnsi="宋体" w:cs="宋体"/>
          <w:b/>
          <w:bCs/>
          <w:color w:val="000000"/>
          <w:sz w:val="24"/>
          <w:szCs w:val="22"/>
        </w:rPr>
        <w:t xml:space="preserve">七 </w:t>
      </w:r>
      <w:r>
        <w:rPr>
          <w:rFonts w:hint="eastAsia" w:ascii="宋体" w:hAnsi="宋体" w:cs="宋体"/>
          <w:b/>
          <w:bCs/>
          <w:color w:val="000000"/>
          <w:sz w:val="24"/>
          <w:szCs w:val="22"/>
          <w:lang w:val="zh-CN"/>
        </w:rPr>
        <w:t>供应商情况告知表</w:t>
      </w:r>
      <w:r>
        <w:rPr>
          <w:rFonts w:hint="eastAsia" w:ascii="宋体" w:hAnsi="宋体" w:cs="宋体"/>
          <w:b/>
          <w:bCs/>
          <w:color w:val="000000"/>
          <w:sz w:val="24"/>
          <w:szCs w:val="22"/>
        </w:rPr>
        <w:t>—附表</w:t>
      </w:r>
      <w:bookmarkEnd w:id="326"/>
      <w:bookmarkEnd w:id="327"/>
      <w:bookmarkEnd w:id="328"/>
    </w:p>
    <w:p w14:paraId="6ACA4128">
      <w:pPr>
        <w:spacing w:line="360" w:lineRule="auto"/>
        <w:ind w:firstLine="422"/>
        <w:jc w:val="center"/>
        <w:rPr>
          <w:rFonts w:ascii="宋体" w:hAnsi="宋体" w:cs="宋体"/>
          <w:b/>
          <w:bCs/>
          <w:szCs w:val="21"/>
        </w:rPr>
      </w:pPr>
      <w:r>
        <w:rPr>
          <w:rFonts w:hint="eastAsia" w:ascii="宋体" w:hAnsi="宋体" w:cs="宋体"/>
          <w:b/>
          <w:bCs/>
          <w:szCs w:val="21"/>
        </w:rPr>
        <w:t>中小企业划型标准规定</w:t>
      </w:r>
    </w:p>
    <w:p w14:paraId="6C327EBC">
      <w:pPr>
        <w:spacing w:line="360" w:lineRule="auto"/>
        <w:ind w:firstLine="420"/>
        <w:jc w:val="left"/>
        <w:rPr>
          <w:rFonts w:ascii="宋体" w:hAnsi="宋体" w:cs="宋体"/>
          <w:szCs w:val="21"/>
        </w:rPr>
      </w:pPr>
      <w:r>
        <w:rPr>
          <w:rFonts w:hint="eastAsia" w:ascii="宋体" w:hAnsi="宋体" w:cs="宋体"/>
          <w:szCs w:val="21"/>
        </w:rPr>
        <w:t>一、根据《中华人民共和国中小企业促进法》和《国务院关于进一步促进中小企业发展的若干意见》(国发〔2009〕36号)，制定本规定。</w:t>
      </w:r>
    </w:p>
    <w:p w14:paraId="6834DF04">
      <w:pPr>
        <w:spacing w:line="360" w:lineRule="auto"/>
        <w:ind w:firstLine="420"/>
        <w:jc w:val="left"/>
        <w:rPr>
          <w:rFonts w:ascii="宋体" w:hAnsi="宋体" w:cs="宋体"/>
          <w:szCs w:val="21"/>
        </w:rPr>
      </w:pPr>
      <w:r>
        <w:rPr>
          <w:rFonts w:hint="eastAsia" w:ascii="宋体" w:hAnsi="宋体" w:cs="宋体"/>
          <w:szCs w:val="21"/>
        </w:rPr>
        <w:t>二、中小企业划分为中型、小型、微型三种类型，具体标准根据企业从业人员、营业收入、资产总额等指标，结合行业特点制定。</w:t>
      </w:r>
    </w:p>
    <w:p w14:paraId="4F5C8BDF">
      <w:pPr>
        <w:spacing w:line="360" w:lineRule="auto"/>
        <w:ind w:firstLine="420"/>
        <w:jc w:val="left"/>
        <w:rPr>
          <w:rFonts w:ascii="宋体" w:hAnsi="宋体" w:cs="宋体"/>
          <w:szCs w:val="21"/>
        </w:rPr>
      </w:pPr>
      <w:r>
        <w:rPr>
          <w:rFonts w:hint="eastAsia" w:ascii="宋体" w:hAnsi="宋体" w:cs="宋体"/>
          <w:szCs w:val="21"/>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C6EC7AC">
      <w:pPr>
        <w:spacing w:line="360" w:lineRule="auto"/>
        <w:ind w:firstLine="420"/>
        <w:jc w:val="left"/>
        <w:rPr>
          <w:rFonts w:ascii="宋体" w:hAnsi="宋体" w:cs="宋体"/>
          <w:szCs w:val="21"/>
        </w:rPr>
      </w:pPr>
      <w:r>
        <w:rPr>
          <w:rFonts w:hint="eastAsia" w:ascii="宋体" w:hAnsi="宋体" w:cs="宋体"/>
          <w:szCs w:val="21"/>
        </w:rPr>
        <w:t>四、各行业划型标准为：</w:t>
      </w:r>
    </w:p>
    <w:p w14:paraId="30EEED46">
      <w:pPr>
        <w:spacing w:line="360" w:lineRule="auto"/>
        <w:ind w:firstLine="420"/>
        <w:jc w:val="left"/>
        <w:rPr>
          <w:rFonts w:ascii="宋体" w:hAnsi="宋体" w:cs="宋体"/>
          <w:szCs w:val="21"/>
        </w:rPr>
      </w:pPr>
      <w:r>
        <w:rPr>
          <w:rFonts w:hint="eastAsia" w:ascii="宋体" w:hAnsi="宋体" w:cs="宋体"/>
          <w:szCs w:val="21"/>
        </w:rPr>
        <w:t>（一）农、林、牧、渔业。营业收入20000万元以下的为中小微型企业。其中，营业收入500万元及以上的为中型企业，营业收入50万元及以上的为小型企业，营业收入50万元以下的为微型企业。</w:t>
      </w:r>
    </w:p>
    <w:p w14:paraId="59115D76">
      <w:pPr>
        <w:spacing w:line="360" w:lineRule="auto"/>
        <w:ind w:firstLine="420"/>
        <w:jc w:val="left"/>
        <w:rPr>
          <w:rFonts w:ascii="宋体" w:hAnsi="宋体" w:cs="宋体"/>
          <w:szCs w:val="21"/>
        </w:rPr>
      </w:pPr>
      <w:r>
        <w:rPr>
          <w:rFonts w:hint="eastAsia" w:ascii="宋体" w:hAnsi="宋体" w:cs="宋体"/>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A3B5934">
      <w:pPr>
        <w:spacing w:line="360" w:lineRule="auto"/>
        <w:ind w:firstLine="420"/>
        <w:jc w:val="left"/>
        <w:rPr>
          <w:rFonts w:ascii="宋体" w:hAnsi="宋体" w:cs="宋体"/>
          <w:szCs w:val="21"/>
        </w:rPr>
      </w:pPr>
      <w:r>
        <w:rPr>
          <w:rFonts w:hint="eastAsia" w:ascii="宋体" w:hAnsi="宋体" w:cs="宋体"/>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1D9D17F">
      <w:pPr>
        <w:spacing w:line="360" w:lineRule="auto"/>
        <w:ind w:firstLine="420"/>
        <w:jc w:val="left"/>
        <w:rPr>
          <w:rFonts w:ascii="宋体" w:hAnsi="宋体" w:cs="宋体"/>
          <w:szCs w:val="21"/>
        </w:rPr>
      </w:pPr>
      <w:r>
        <w:rPr>
          <w:rFonts w:hint="eastAsia" w:ascii="宋体" w:hAnsi="宋体" w:cs="宋体"/>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C46B20E">
      <w:pPr>
        <w:spacing w:line="360" w:lineRule="auto"/>
        <w:ind w:firstLine="420"/>
        <w:jc w:val="left"/>
        <w:rPr>
          <w:rFonts w:ascii="宋体" w:hAnsi="宋体" w:cs="宋体"/>
          <w:szCs w:val="21"/>
        </w:rPr>
      </w:pPr>
      <w:r>
        <w:rPr>
          <w:rFonts w:hint="eastAsia" w:ascii="宋体" w:hAnsi="宋体" w:cs="宋体"/>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F299069">
      <w:pPr>
        <w:spacing w:line="360" w:lineRule="auto"/>
        <w:ind w:firstLine="420"/>
        <w:jc w:val="left"/>
        <w:rPr>
          <w:rFonts w:ascii="宋体" w:hAnsi="宋体" w:cs="宋体"/>
          <w:szCs w:val="21"/>
        </w:rPr>
      </w:pPr>
      <w:r>
        <w:rPr>
          <w:rFonts w:hint="eastAsia" w:ascii="宋体" w:hAnsi="宋体" w:cs="宋体"/>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895F75D">
      <w:pPr>
        <w:spacing w:line="360" w:lineRule="auto"/>
        <w:ind w:firstLine="420"/>
        <w:jc w:val="left"/>
        <w:rPr>
          <w:rFonts w:ascii="宋体" w:hAnsi="宋体" w:cs="宋体"/>
          <w:szCs w:val="21"/>
        </w:rPr>
      </w:pPr>
      <w:r>
        <w:rPr>
          <w:rFonts w:hint="eastAsia" w:ascii="宋体" w:hAnsi="宋体" w:cs="宋体"/>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C3FA84B">
      <w:pPr>
        <w:spacing w:line="360" w:lineRule="auto"/>
        <w:ind w:firstLine="420"/>
        <w:jc w:val="left"/>
        <w:rPr>
          <w:rFonts w:ascii="宋体" w:hAnsi="宋体" w:cs="宋体"/>
          <w:szCs w:val="21"/>
        </w:rPr>
      </w:pPr>
      <w:r>
        <w:rPr>
          <w:rFonts w:hint="eastAsia" w:ascii="宋体" w:hAnsi="宋体" w:cs="宋体"/>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1280251">
      <w:pPr>
        <w:spacing w:line="360" w:lineRule="auto"/>
        <w:ind w:firstLine="420"/>
        <w:jc w:val="left"/>
        <w:rPr>
          <w:rFonts w:ascii="宋体" w:hAnsi="宋体" w:cs="宋体"/>
          <w:szCs w:val="21"/>
        </w:rPr>
      </w:pPr>
      <w:r>
        <w:rPr>
          <w:rFonts w:hint="eastAsia" w:ascii="宋体" w:hAnsi="宋体" w:cs="宋体"/>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6ED9254">
      <w:pPr>
        <w:spacing w:line="360" w:lineRule="auto"/>
        <w:ind w:firstLine="420"/>
        <w:jc w:val="left"/>
        <w:rPr>
          <w:rFonts w:ascii="宋体" w:hAnsi="宋体" w:cs="宋体"/>
          <w:szCs w:val="21"/>
        </w:rPr>
      </w:pPr>
      <w:r>
        <w:rPr>
          <w:rFonts w:hint="eastAsia" w:ascii="宋体" w:hAnsi="宋体" w:cs="宋体"/>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3135D22">
      <w:pPr>
        <w:spacing w:line="360" w:lineRule="auto"/>
        <w:ind w:firstLine="420"/>
        <w:jc w:val="left"/>
        <w:rPr>
          <w:rFonts w:ascii="宋体" w:hAnsi="宋体" w:cs="宋体"/>
          <w:szCs w:val="21"/>
        </w:rPr>
      </w:pPr>
      <w:r>
        <w:rPr>
          <w:rFonts w:hint="eastAsia" w:ascii="宋体" w:hAnsi="宋体" w:cs="宋体"/>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8E8B92C">
      <w:pPr>
        <w:spacing w:line="360" w:lineRule="auto"/>
        <w:ind w:firstLine="420"/>
        <w:jc w:val="left"/>
        <w:rPr>
          <w:rFonts w:ascii="宋体" w:hAnsi="宋体" w:cs="宋体"/>
          <w:szCs w:val="21"/>
        </w:rPr>
      </w:pPr>
      <w:r>
        <w:rPr>
          <w:rFonts w:hint="eastAsia" w:ascii="宋体" w:hAnsi="宋体" w:cs="宋体"/>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3147BF6">
      <w:pPr>
        <w:spacing w:line="360" w:lineRule="auto"/>
        <w:ind w:firstLine="420"/>
        <w:jc w:val="left"/>
        <w:rPr>
          <w:rFonts w:ascii="宋体" w:hAnsi="宋体" w:cs="宋体"/>
          <w:szCs w:val="21"/>
        </w:rPr>
      </w:pPr>
      <w:r>
        <w:rPr>
          <w:rFonts w:hint="eastAsia" w:ascii="宋体" w:hAnsi="宋体" w:cs="宋体"/>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3E4884D">
      <w:pPr>
        <w:spacing w:line="360" w:lineRule="auto"/>
        <w:ind w:firstLine="420"/>
        <w:jc w:val="left"/>
        <w:rPr>
          <w:rFonts w:ascii="宋体" w:hAnsi="宋体" w:cs="宋体"/>
          <w:szCs w:val="21"/>
        </w:rPr>
      </w:pPr>
      <w:r>
        <w:rPr>
          <w:rFonts w:hint="eastAsia" w:ascii="宋体" w:hAnsi="宋体" w:cs="宋体"/>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14DB616">
      <w:pPr>
        <w:spacing w:line="360" w:lineRule="auto"/>
        <w:ind w:firstLine="420"/>
        <w:jc w:val="left"/>
        <w:rPr>
          <w:rFonts w:ascii="宋体" w:hAnsi="宋体" w:cs="宋体"/>
          <w:szCs w:val="21"/>
        </w:rPr>
      </w:pPr>
      <w:r>
        <w:rPr>
          <w:rFonts w:hint="eastAsia" w:ascii="宋体" w:hAnsi="宋体" w:cs="宋体"/>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D4F21BD">
      <w:pPr>
        <w:spacing w:line="360" w:lineRule="auto"/>
        <w:ind w:firstLine="420"/>
        <w:jc w:val="left"/>
        <w:rPr>
          <w:rFonts w:ascii="宋体" w:hAnsi="宋体" w:cs="宋体"/>
          <w:szCs w:val="21"/>
        </w:rPr>
      </w:pPr>
      <w:r>
        <w:rPr>
          <w:rFonts w:hint="eastAsia" w:ascii="宋体" w:hAnsi="宋体" w:cs="宋体"/>
          <w:szCs w:val="21"/>
        </w:rPr>
        <w:t>（十六）其他未列明行业。从业人员300人以下的为中小微型企业。其中，从业人员100人及以上的为中型企业；从业人员10人及以上的为小型企业；从业人员10人以下的为微型企业。</w:t>
      </w:r>
    </w:p>
    <w:p w14:paraId="0FCE2EE6">
      <w:pPr>
        <w:spacing w:line="360" w:lineRule="auto"/>
        <w:ind w:firstLine="420"/>
        <w:jc w:val="left"/>
        <w:rPr>
          <w:rFonts w:ascii="宋体" w:hAnsi="宋体" w:cs="宋体"/>
          <w:szCs w:val="21"/>
        </w:rPr>
      </w:pPr>
      <w:r>
        <w:rPr>
          <w:rFonts w:hint="eastAsia" w:ascii="宋体" w:hAnsi="宋体" w:cs="宋体"/>
          <w:szCs w:val="21"/>
        </w:rPr>
        <w:t>五、企业类型的划分以统计部门的统计数据为依据。</w:t>
      </w:r>
    </w:p>
    <w:p w14:paraId="73E9DBEF">
      <w:pPr>
        <w:spacing w:line="360" w:lineRule="auto"/>
        <w:ind w:firstLine="420"/>
        <w:jc w:val="left"/>
        <w:rPr>
          <w:rFonts w:ascii="宋体" w:hAnsi="宋体" w:cs="宋体"/>
          <w:szCs w:val="21"/>
        </w:rPr>
      </w:pPr>
      <w:r>
        <w:rPr>
          <w:rFonts w:hint="eastAsia" w:ascii="宋体" w:hAnsi="宋体" w:cs="宋体"/>
          <w:szCs w:val="21"/>
        </w:rPr>
        <w:t>六、本规定适用于在中华人民共和国境内依法设立的各类所有制和各种组织形式的企业。个体工商户和本规定以外的行业，参照本规定进行划型。</w:t>
      </w:r>
    </w:p>
    <w:p w14:paraId="6DA74A5F">
      <w:pPr>
        <w:spacing w:line="360" w:lineRule="auto"/>
        <w:ind w:firstLine="420"/>
        <w:jc w:val="left"/>
        <w:rPr>
          <w:rFonts w:ascii="宋体" w:hAnsi="宋体" w:cs="宋体"/>
          <w:szCs w:val="21"/>
        </w:rPr>
      </w:pPr>
      <w:r>
        <w:rPr>
          <w:rFonts w:hint="eastAsia" w:ascii="宋体" w:hAnsi="宋体" w:cs="宋体"/>
          <w:szCs w:val="21"/>
        </w:rPr>
        <w:t>七、本规定的中型企业标准上限即为大型企业标准的下限，国家统计部门据此制定大中小微型企业的统计分类。国务院有关部门据此进行相关数据分析，不得制定与本规定不一致的企业划型标准。</w:t>
      </w:r>
    </w:p>
    <w:p w14:paraId="45DD03BD">
      <w:pPr>
        <w:spacing w:line="360" w:lineRule="auto"/>
        <w:ind w:firstLine="420"/>
        <w:jc w:val="left"/>
        <w:rPr>
          <w:rFonts w:ascii="宋体" w:hAnsi="宋体" w:cs="宋体"/>
          <w:szCs w:val="21"/>
        </w:rPr>
      </w:pPr>
      <w:r>
        <w:rPr>
          <w:rFonts w:hint="eastAsia" w:ascii="宋体" w:hAnsi="宋体" w:cs="宋体"/>
          <w:szCs w:val="21"/>
        </w:rPr>
        <w:t>八、本规定由工业和信息化部、国家统计局会同有关部门根据《国民经济行业分类》修订情况和企业发展变化情况适时修订。</w:t>
      </w:r>
    </w:p>
    <w:p w14:paraId="4AE552C9">
      <w:pPr>
        <w:spacing w:line="360" w:lineRule="auto"/>
        <w:ind w:firstLine="420"/>
        <w:jc w:val="left"/>
        <w:rPr>
          <w:rFonts w:ascii="宋体" w:hAnsi="宋体" w:cs="宋体"/>
          <w:szCs w:val="21"/>
        </w:rPr>
      </w:pPr>
      <w:r>
        <w:rPr>
          <w:rFonts w:hint="eastAsia" w:ascii="宋体" w:hAnsi="宋体" w:cs="宋体"/>
          <w:szCs w:val="21"/>
        </w:rPr>
        <w:t>九、本规定由工业和信息化部、国家统计局会同有关部门负责解释。</w:t>
      </w:r>
    </w:p>
    <w:p w14:paraId="5AA5BCCA">
      <w:pPr>
        <w:spacing w:line="360" w:lineRule="auto"/>
        <w:ind w:firstLine="420"/>
        <w:jc w:val="left"/>
        <w:rPr>
          <w:rFonts w:ascii="宋体" w:hAnsi="宋体" w:cs="宋体"/>
          <w:szCs w:val="21"/>
        </w:rPr>
      </w:pPr>
      <w:r>
        <w:rPr>
          <w:rFonts w:hint="eastAsia" w:ascii="宋体" w:hAnsi="宋体" w:cs="宋体"/>
          <w:szCs w:val="21"/>
        </w:rPr>
        <w:t>十、本规定自发布之日起执行，原国家经贸委、原国家计委、财政部和国家统计局2003年颁布的《中小企业标准暂行规定》同时废止。</w:t>
      </w:r>
    </w:p>
    <w:p w14:paraId="23486E12">
      <w:pPr>
        <w:spacing w:line="440" w:lineRule="exact"/>
        <w:rPr>
          <w:rFonts w:ascii="宋体" w:hAnsi="宋体" w:cs="宋体"/>
          <w:szCs w:val="21"/>
        </w:rPr>
      </w:pPr>
      <w:r>
        <w:rPr>
          <w:rFonts w:hint="eastAsia" w:ascii="宋体" w:hAnsi="宋体" w:cs="宋体"/>
          <w:b/>
          <w:bCs/>
          <w:sz w:val="24"/>
          <w:szCs w:val="22"/>
          <w:lang w:val="zh-CN"/>
        </w:rPr>
        <w:br w:type="page" w:clear="all"/>
      </w:r>
    </w:p>
    <w:p w14:paraId="2CB37677">
      <w:pPr>
        <w:spacing w:after="156" w:line="440" w:lineRule="exact"/>
        <w:outlineLvl w:val="1"/>
        <w:rPr>
          <w:rFonts w:ascii="宋体" w:hAnsi="宋体" w:cs="宋体"/>
          <w:b/>
          <w:bCs/>
          <w:sz w:val="24"/>
          <w:szCs w:val="22"/>
          <w:lang w:val="zh-CN"/>
        </w:rPr>
      </w:pPr>
      <w:bookmarkStart w:id="329" w:name="_Toc7655"/>
      <w:r>
        <w:rPr>
          <w:rFonts w:hint="eastAsia" w:ascii="宋体" w:hAnsi="宋体" w:cs="宋体"/>
          <w:b/>
          <w:bCs/>
          <w:sz w:val="24"/>
          <w:szCs w:val="22"/>
          <w:lang w:val="zh-CN"/>
        </w:rPr>
        <w:t>附件</w:t>
      </w:r>
      <w:r>
        <w:rPr>
          <w:rFonts w:hint="eastAsia" w:ascii="宋体" w:hAnsi="宋体" w:cs="宋体"/>
          <w:b/>
          <w:bCs/>
          <w:sz w:val="24"/>
          <w:szCs w:val="22"/>
        </w:rPr>
        <w:t>八</w:t>
      </w:r>
      <w:r>
        <w:rPr>
          <w:rFonts w:hint="eastAsia" w:ascii="宋体" w:hAnsi="宋体" w:cs="宋体"/>
          <w:b/>
          <w:bCs/>
          <w:sz w:val="24"/>
          <w:szCs w:val="22"/>
          <w:lang w:val="zh-CN"/>
        </w:rPr>
        <w:t xml:space="preserve"> 资格证明文件</w:t>
      </w:r>
      <w:bookmarkEnd w:id="329"/>
    </w:p>
    <w:p w14:paraId="7BD48978">
      <w:pPr>
        <w:jc w:val="left"/>
        <w:rPr>
          <w:rFonts w:hAnsi="宋体" w:cs="宋体"/>
          <w:b/>
          <w:bCs/>
          <w:szCs w:val="21"/>
          <w:lang w:val="zh-CN"/>
        </w:rPr>
      </w:pPr>
      <w:r>
        <w:rPr>
          <w:rFonts w:hint="eastAsia"/>
          <w:b/>
          <w:bCs/>
          <w:szCs w:val="21"/>
          <w:lang w:val="zh-CN"/>
        </w:rPr>
        <w:t>1、法人或其他组织的营业执照等证明文件（复印件加盖公章）</w:t>
      </w:r>
    </w:p>
    <w:p w14:paraId="23AAC36C">
      <w:pPr>
        <w:spacing w:line="360" w:lineRule="auto"/>
        <w:rPr>
          <w:rFonts w:ascii="宋体" w:hAnsi="宋体" w:cs="宋体"/>
          <w:sz w:val="24"/>
          <w:szCs w:val="24"/>
        </w:rPr>
      </w:pPr>
    </w:p>
    <w:p w14:paraId="6917BF67">
      <w:pPr>
        <w:spacing w:line="440" w:lineRule="exact"/>
        <w:rPr>
          <w:color w:val="000000"/>
          <w:sz w:val="24"/>
          <w:szCs w:val="24"/>
        </w:rPr>
      </w:pPr>
      <w:r>
        <w:rPr>
          <w:szCs w:val="21"/>
        </w:rPr>
        <w:t>注：供应商为法人单位的需提交有效的营业执照并加盖公章，供应商为其他组织的需提供有效的证明文件并加盖有效印章。</w:t>
      </w:r>
    </w:p>
    <w:p w14:paraId="4F16C2F6">
      <w:pPr>
        <w:spacing w:line="360" w:lineRule="auto"/>
        <w:rPr>
          <w:rFonts w:ascii="宋体" w:hAnsi="宋体" w:cs="宋体"/>
          <w:sz w:val="24"/>
          <w:szCs w:val="24"/>
        </w:rPr>
      </w:pPr>
    </w:p>
    <w:p w14:paraId="37422A77">
      <w:pPr>
        <w:spacing w:line="360" w:lineRule="auto"/>
        <w:rPr>
          <w:rFonts w:ascii="宋体" w:hAnsi="宋体" w:cs="宋体"/>
          <w:sz w:val="24"/>
          <w:szCs w:val="24"/>
        </w:rPr>
      </w:pPr>
    </w:p>
    <w:p w14:paraId="0063DB92">
      <w:pPr>
        <w:spacing w:line="360" w:lineRule="auto"/>
        <w:rPr>
          <w:rFonts w:ascii="宋体" w:hAnsi="宋体" w:cs="宋体"/>
          <w:sz w:val="24"/>
          <w:szCs w:val="24"/>
        </w:rPr>
      </w:pPr>
    </w:p>
    <w:p w14:paraId="11EB1655">
      <w:pPr>
        <w:spacing w:line="360" w:lineRule="auto"/>
        <w:rPr>
          <w:rFonts w:ascii="宋体" w:hAnsi="宋体" w:cs="宋体"/>
          <w:szCs w:val="21"/>
        </w:rPr>
      </w:pPr>
      <w:r>
        <w:rPr>
          <w:rFonts w:hint="eastAsia" w:ascii="宋体" w:hAnsi="宋体" w:cs="宋体"/>
          <w:szCs w:val="21"/>
        </w:rPr>
        <w:t>供应商名称（公章）：</w:t>
      </w:r>
    </w:p>
    <w:p w14:paraId="02C46764">
      <w:pPr>
        <w:spacing w:line="360" w:lineRule="auto"/>
        <w:rPr>
          <w:rFonts w:ascii="宋体" w:hAnsi="宋体" w:cs="宋体"/>
          <w:szCs w:val="21"/>
        </w:rPr>
      </w:pPr>
      <w:r>
        <w:rPr>
          <w:rFonts w:hint="eastAsia" w:ascii="宋体" w:hAnsi="宋体" w:cs="宋体"/>
          <w:szCs w:val="21"/>
        </w:rPr>
        <w:t>授权代表（签字）：</w:t>
      </w:r>
    </w:p>
    <w:p w14:paraId="43BF2520">
      <w:pPr>
        <w:spacing w:line="360" w:lineRule="auto"/>
        <w:rPr>
          <w:rFonts w:ascii="宋体" w:hAnsi="宋体" w:cs="宋体"/>
          <w:szCs w:val="21"/>
        </w:rPr>
      </w:pPr>
      <w:r>
        <w:rPr>
          <w:rFonts w:hint="eastAsia" w:ascii="宋体" w:hAnsi="宋体" w:cs="宋体"/>
          <w:szCs w:val="21"/>
        </w:rPr>
        <w:t>日期：</w:t>
      </w:r>
    </w:p>
    <w:p w14:paraId="170018B3">
      <w:pPr>
        <w:spacing w:line="360" w:lineRule="auto"/>
        <w:rPr>
          <w:rFonts w:ascii="宋体" w:hAnsi="宋体" w:cs="宋体"/>
          <w:sz w:val="24"/>
          <w:szCs w:val="24"/>
        </w:rPr>
      </w:pPr>
    </w:p>
    <w:p w14:paraId="79C04013">
      <w:pPr>
        <w:spacing w:line="360" w:lineRule="auto"/>
        <w:rPr>
          <w:rFonts w:ascii="宋体" w:hAnsi="宋体" w:cs="宋体"/>
          <w:sz w:val="24"/>
          <w:szCs w:val="24"/>
        </w:rPr>
      </w:pPr>
    </w:p>
    <w:p w14:paraId="5F6709D1">
      <w:pPr>
        <w:spacing w:line="360" w:lineRule="auto"/>
        <w:rPr>
          <w:rFonts w:ascii="宋体" w:hAnsi="宋体" w:cs="宋体"/>
          <w:sz w:val="24"/>
          <w:szCs w:val="24"/>
        </w:rPr>
      </w:pPr>
    </w:p>
    <w:p w14:paraId="0EF08CF1">
      <w:pPr>
        <w:spacing w:line="360" w:lineRule="auto"/>
        <w:rPr>
          <w:rFonts w:ascii="宋体" w:hAnsi="宋体" w:cs="宋体"/>
          <w:sz w:val="24"/>
          <w:szCs w:val="24"/>
        </w:rPr>
      </w:pPr>
    </w:p>
    <w:p w14:paraId="3D5BB040">
      <w:pPr>
        <w:spacing w:line="360" w:lineRule="auto"/>
        <w:rPr>
          <w:rFonts w:ascii="宋体" w:hAnsi="宋体" w:cs="宋体"/>
          <w:sz w:val="24"/>
          <w:szCs w:val="24"/>
        </w:rPr>
      </w:pPr>
    </w:p>
    <w:p w14:paraId="018551A8">
      <w:pPr>
        <w:spacing w:line="360" w:lineRule="auto"/>
        <w:jc w:val="left"/>
        <w:rPr>
          <w:rFonts w:ascii="宋体" w:hAnsi="宋体" w:cs="宋体"/>
          <w:b/>
          <w:bCs/>
          <w:szCs w:val="21"/>
          <w:lang w:val="zh-CN"/>
        </w:rPr>
        <w:sectPr>
          <w:footerReference r:id="rId15" w:type="first"/>
          <w:pgSz w:w="11906" w:h="16838"/>
          <w:pgMar w:top="1134" w:right="1134" w:bottom="1134" w:left="1134" w:header="851" w:footer="992" w:gutter="0"/>
          <w:cols w:space="720" w:num="1"/>
          <w:titlePg/>
          <w:docGrid w:linePitch="360" w:charSpace="0"/>
        </w:sectPr>
      </w:pPr>
    </w:p>
    <w:p w14:paraId="729A5BAA">
      <w:pPr>
        <w:jc w:val="left"/>
        <w:rPr>
          <w:b/>
          <w:bCs/>
          <w:szCs w:val="21"/>
          <w:lang w:val="zh-CN"/>
        </w:rPr>
      </w:pPr>
      <w:r>
        <w:rPr>
          <w:rFonts w:hint="eastAsia"/>
          <w:b/>
          <w:bCs/>
          <w:szCs w:val="21"/>
          <w:lang w:val="zh-CN"/>
        </w:rPr>
        <w:t>2、法人代表授权书</w:t>
      </w:r>
    </w:p>
    <w:p w14:paraId="26BB8D75">
      <w:pPr>
        <w:spacing w:line="360" w:lineRule="auto"/>
        <w:rPr>
          <w:rFonts w:ascii="宋体" w:hAnsi="宋体" w:cs="宋体"/>
          <w:b/>
        </w:rPr>
      </w:pPr>
      <w:r>
        <w:rPr>
          <w:rFonts w:hint="eastAsia" w:ascii="宋体" w:hAnsi="宋体" w:cs="宋体"/>
          <w:b/>
        </w:rPr>
        <w:t>致苏美达国际技术贸易有限公司：</w:t>
      </w:r>
    </w:p>
    <w:p w14:paraId="042E9AE6">
      <w:pPr>
        <w:spacing w:line="360" w:lineRule="auto"/>
        <w:rPr>
          <w:rFonts w:ascii="宋体" w:hAnsi="宋体" w:cs="宋体"/>
          <w:szCs w:val="21"/>
        </w:rPr>
      </w:pPr>
      <w:r>
        <w:rPr>
          <w:rFonts w:hint="eastAsia" w:ascii="宋体" w:hAnsi="宋体" w:cs="宋体"/>
          <w:b/>
        </w:rPr>
        <w:t xml:space="preserve">   </w:t>
      </w:r>
      <w:r>
        <w:rPr>
          <w:rFonts w:hint="eastAsia" w:ascii="宋体" w:hAnsi="宋体" w:cs="宋体"/>
          <w:szCs w:val="21"/>
        </w:rPr>
        <w:t>本授权委托书声明：注册于</w:t>
      </w:r>
      <w:r>
        <w:rPr>
          <w:rFonts w:hint="eastAsia" w:ascii="宋体" w:hAnsi="宋体" w:cs="宋体"/>
          <w:szCs w:val="21"/>
          <w:u w:val="single"/>
        </w:rPr>
        <w:t xml:space="preserve">                </w:t>
      </w:r>
      <w:r>
        <w:rPr>
          <w:rFonts w:hint="eastAsia" w:ascii="宋体" w:hAnsi="宋体" w:cs="宋体"/>
          <w:szCs w:val="21"/>
        </w:rPr>
        <w:t>（供应商住址）的</w:t>
      </w:r>
      <w:r>
        <w:rPr>
          <w:rFonts w:hint="eastAsia" w:ascii="宋体" w:hAnsi="宋体" w:cs="宋体"/>
          <w:b/>
          <w:szCs w:val="21"/>
          <w:u w:val="single"/>
        </w:rPr>
        <w:t xml:space="preserve">              </w:t>
      </w:r>
      <w:r>
        <w:rPr>
          <w:rFonts w:hint="eastAsia" w:ascii="宋体" w:hAnsi="宋体" w:cs="宋体"/>
          <w:szCs w:val="21"/>
        </w:rPr>
        <w:t>（供应商名称）法定代表人</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rPr>
        <w:t>（法定代表人姓名、职务）代表本公司授权在下面签字的</w:t>
      </w:r>
      <w:r>
        <w:rPr>
          <w:rFonts w:hint="eastAsia" w:ascii="宋体" w:hAnsi="宋体" w:cs="宋体"/>
          <w:szCs w:val="21"/>
          <w:u w:val="single"/>
        </w:rPr>
        <w:t xml:space="preserve">         </w:t>
      </w:r>
      <w:r>
        <w:rPr>
          <w:rFonts w:hint="eastAsia" w:ascii="宋体" w:hAnsi="宋体" w:cs="宋体"/>
          <w:szCs w:val="21"/>
        </w:rPr>
        <w:t>（供应商代表姓名、职务）为本公司的合法代理人，就贵方组织的</w:t>
      </w:r>
      <w:r>
        <w:rPr>
          <w:rFonts w:hint="eastAsia" w:ascii="宋体" w:hAnsi="宋体" w:cs="宋体"/>
          <w:szCs w:val="21"/>
          <w:u w:val="single"/>
        </w:rPr>
        <w:t xml:space="preserve">         </w:t>
      </w:r>
      <w:r>
        <w:rPr>
          <w:rFonts w:hint="eastAsia" w:ascii="宋体" w:hAnsi="宋体" w:cs="宋体"/>
          <w:szCs w:val="21"/>
        </w:rPr>
        <w:t>（项目名称）</w:t>
      </w:r>
      <w:r>
        <w:rPr>
          <w:rFonts w:hint="eastAsia" w:ascii="宋体" w:hAnsi="宋体" w:cs="宋体"/>
          <w:szCs w:val="21"/>
          <w:u w:val="single"/>
        </w:rPr>
        <w:t xml:space="preserve">            </w:t>
      </w:r>
      <w:r>
        <w:rPr>
          <w:rFonts w:hint="eastAsia" w:ascii="宋体" w:hAnsi="宋体" w:cs="宋体"/>
          <w:szCs w:val="21"/>
        </w:rPr>
        <w:t>（采购编号）投标，以本公司名义处理一切与之有关的事务。</w:t>
      </w:r>
    </w:p>
    <w:p w14:paraId="0AF9116C">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本授权书于</w:t>
      </w:r>
      <w:r>
        <w:rPr>
          <w:rFonts w:hint="eastAsia" w:ascii="宋体" w:hAnsi="宋体" w:cs="宋体"/>
          <w:szCs w:val="21"/>
          <w:u w:val="single"/>
        </w:rPr>
        <w:t>    </w:t>
      </w:r>
      <w:r>
        <w:rPr>
          <w:rFonts w:hint="eastAsia" w:ascii="宋体" w:hAnsi="宋体" w:cs="宋体"/>
          <w:szCs w:val="21"/>
        </w:rPr>
        <w:t>年</w:t>
      </w:r>
      <w:r>
        <w:rPr>
          <w:rFonts w:hint="eastAsia" w:ascii="宋体" w:hAnsi="宋体" w:cs="宋体"/>
          <w:szCs w:val="21"/>
          <w:u w:val="single"/>
        </w:rPr>
        <w:t>  </w:t>
      </w:r>
      <w:r>
        <w:rPr>
          <w:rFonts w:hint="eastAsia" w:ascii="宋体" w:hAnsi="宋体" w:cs="宋体"/>
          <w:szCs w:val="21"/>
        </w:rPr>
        <w:t>月</w:t>
      </w:r>
      <w:r>
        <w:rPr>
          <w:rFonts w:hint="eastAsia" w:ascii="宋体" w:hAnsi="宋体" w:cs="宋体"/>
          <w:szCs w:val="21"/>
          <w:u w:val="single"/>
        </w:rPr>
        <w:t>  </w:t>
      </w:r>
      <w:r>
        <w:rPr>
          <w:rFonts w:hint="eastAsia" w:ascii="宋体" w:hAnsi="宋体" w:cs="宋体"/>
          <w:szCs w:val="21"/>
        </w:rPr>
        <w:t>日签字生效，特此声明。</w:t>
      </w:r>
    </w:p>
    <w:p w14:paraId="101E01A0">
      <w:pPr>
        <w:spacing w:line="360" w:lineRule="auto"/>
        <w:rPr>
          <w:rFonts w:ascii="宋体" w:hAnsi="宋体" w:cs="宋体"/>
          <w:szCs w:val="21"/>
        </w:rPr>
      </w:pPr>
    </w:p>
    <w:p w14:paraId="6A31231A">
      <w:pPr>
        <w:spacing w:line="360" w:lineRule="auto"/>
        <w:rPr>
          <w:rFonts w:ascii="宋体" w:hAnsi="宋体" w:cs="宋体"/>
          <w:szCs w:val="21"/>
        </w:rPr>
      </w:pPr>
      <w:r>
        <w:rPr>
          <w:rFonts w:hint="eastAsia" w:ascii="宋体" w:hAnsi="宋体" w:cs="宋体"/>
          <w:szCs w:val="21"/>
        </w:rPr>
        <w:t xml:space="preserve">法定代表人签字： </w:t>
      </w:r>
    </w:p>
    <w:p w14:paraId="7A1C7D53">
      <w:pPr>
        <w:spacing w:line="360" w:lineRule="auto"/>
        <w:rPr>
          <w:rFonts w:ascii="宋体" w:hAnsi="宋体" w:cs="宋体"/>
          <w:szCs w:val="21"/>
        </w:rPr>
      </w:pPr>
      <w:r>
        <w:rPr>
          <w:rFonts w:hint="eastAsia" w:ascii="宋体" w:hAnsi="宋体" w:cs="宋体"/>
          <w:szCs w:val="21"/>
        </w:rPr>
        <w:t xml:space="preserve">授权代表签字： </w:t>
      </w:r>
    </w:p>
    <w:p w14:paraId="3200D409">
      <w:pPr>
        <w:spacing w:line="360" w:lineRule="auto"/>
        <w:rPr>
          <w:rFonts w:ascii="宋体" w:hAnsi="宋体" w:cs="宋体"/>
          <w:sz w:val="23"/>
        </w:rPr>
      </w:pPr>
      <w:r>
        <w:rPr>
          <w:rFonts w:hint="eastAsia" w:ascii="宋体" w:hAnsi="宋体" w:cs="宋体"/>
          <w:szCs w:val="21"/>
        </w:rPr>
        <w:t>供应商名称（公章）：</w:t>
      </w:r>
      <w:r>
        <w:rPr>
          <w:rFonts w:hint="eastAsia" w:ascii="宋体" w:hAnsi="宋体" w:cs="宋体"/>
          <w:sz w:val="23"/>
        </w:rPr>
        <w:t xml:space="preserve"> </w:t>
      </w:r>
    </w:p>
    <w:p w14:paraId="64D332E9">
      <w:pPr>
        <w:spacing w:line="360" w:lineRule="auto"/>
        <w:rPr>
          <w:rFonts w:ascii="宋体" w:hAnsi="宋体" w:cs="宋体"/>
          <w:szCs w:val="21"/>
        </w:rPr>
      </w:pPr>
      <w:r>
        <w:rPr>
          <w:rFonts w:hint="eastAsia" w:ascii="宋体" w:hAnsi="宋体" w:cs="宋体"/>
          <w:szCs w:val="21"/>
        </w:rPr>
        <w:t>日期：</w:t>
      </w:r>
    </w:p>
    <w:p w14:paraId="15550617">
      <w:pPr>
        <w:spacing w:line="360" w:lineRule="auto"/>
        <w:rPr>
          <w:rFonts w:ascii="宋体" w:hAnsi="宋体" w:cs="宋体"/>
          <w:b/>
          <w:szCs w:val="21"/>
        </w:rPr>
      </w:pPr>
      <w:r>
        <w:rPr>
          <w:rFonts w:hint="eastAsia" w:ascii="宋体" w:hAnsi="宋体" w:cs="宋体"/>
          <w:sz w:val="23"/>
        </w:rPr>
        <w:t xml:space="preserve"> </w:t>
      </w:r>
    </w:p>
    <w:p w14:paraId="79D753FA">
      <w:pPr>
        <w:spacing w:line="360" w:lineRule="auto"/>
        <w:rPr>
          <w:rFonts w:ascii="宋体" w:hAnsi="宋体" w:cs="宋体"/>
          <w:b/>
          <w:bCs/>
          <w:szCs w:val="21"/>
        </w:rPr>
      </w:pPr>
      <w:r>
        <w:rPr>
          <w:rFonts w:hint="eastAsia" w:ascii="宋体" w:hAnsi="宋体" w:cs="宋体"/>
          <w:b/>
          <w:bCs/>
          <w:szCs w:val="21"/>
        </w:rPr>
        <w:t>附：法定代表人、供应商授权代表的身份证复印件</w:t>
      </w:r>
    </w:p>
    <w:tbl>
      <w:tblPr>
        <w:tblStyle w:val="49"/>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14:paraId="0A417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0" w:hRule="atLeast"/>
        </w:trPr>
        <w:tc>
          <w:tcPr>
            <w:tcW w:w="9854" w:type="dxa"/>
          </w:tcPr>
          <w:p w14:paraId="54BDA3CB">
            <w:pPr>
              <w:spacing w:line="360" w:lineRule="auto"/>
              <w:rPr>
                <w:rFonts w:ascii="宋体" w:hAnsi="宋体" w:cs="宋体"/>
                <w:b/>
              </w:rPr>
            </w:pPr>
          </w:p>
        </w:tc>
      </w:tr>
    </w:tbl>
    <w:p w14:paraId="0C07E72B">
      <w:pPr>
        <w:spacing w:line="360" w:lineRule="auto"/>
        <w:rPr>
          <w:rFonts w:ascii="宋体" w:hAnsi="宋体" w:cs="宋体"/>
          <w:sz w:val="24"/>
          <w:szCs w:val="24"/>
        </w:rPr>
      </w:pPr>
    </w:p>
    <w:p w14:paraId="263C2155">
      <w:pPr>
        <w:spacing w:line="360" w:lineRule="auto"/>
        <w:rPr>
          <w:rFonts w:ascii="宋体" w:hAnsi="宋体" w:cs="宋体"/>
          <w:sz w:val="24"/>
          <w:szCs w:val="24"/>
        </w:rPr>
        <w:sectPr>
          <w:pgSz w:w="11906" w:h="16838"/>
          <w:pgMar w:top="1134" w:right="1134" w:bottom="1134" w:left="1134" w:header="851" w:footer="992" w:gutter="0"/>
          <w:cols w:space="720" w:num="1"/>
          <w:titlePg/>
          <w:docGrid w:linePitch="360" w:charSpace="0"/>
        </w:sectPr>
      </w:pPr>
    </w:p>
    <w:p w14:paraId="6BD78302">
      <w:pPr>
        <w:spacing w:line="360" w:lineRule="auto"/>
        <w:jc w:val="left"/>
        <w:rPr>
          <w:rFonts w:hAnsi="宋体" w:cs="宋体"/>
          <w:b/>
          <w:bCs/>
          <w:szCs w:val="21"/>
          <w:lang w:val="zh-CN"/>
        </w:rPr>
      </w:pPr>
      <w:r>
        <w:rPr>
          <w:rFonts w:hint="eastAsia" w:ascii="宋体" w:hAnsi="宋体" w:cs="宋体"/>
          <w:b/>
          <w:bCs/>
          <w:color w:val="000000"/>
          <w:szCs w:val="21"/>
          <w:lang w:val="zh-CN"/>
        </w:rPr>
        <w:t>3、</w:t>
      </w:r>
      <w:r>
        <w:rPr>
          <w:rFonts w:hint="eastAsia"/>
          <w:b/>
          <w:bCs/>
          <w:szCs w:val="21"/>
          <w:lang w:val="zh-CN"/>
        </w:rPr>
        <w:t>具有良好的商业信誉和健全的财务会计制度</w:t>
      </w:r>
    </w:p>
    <w:p w14:paraId="45C9C85B">
      <w:pPr>
        <w:spacing w:line="360" w:lineRule="auto"/>
        <w:ind w:left="-2" w:right="-5"/>
        <w:rPr>
          <w:rFonts w:ascii="宋体" w:hAnsi="宋体" w:cs="宋体"/>
          <w:sz w:val="24"/>
        </w:rPr>
      </w:pPr>
    </w:p>
    <w:p w14:paraId="691822CC">
      <w:pPr>
        <w:spacing w:line="360" w:lineRule="auto"/>
        <w:rPr>
          <w:szCs w:val="21"/>
        </w:rPr>
      </w:pPr>
      <w:r>
        <w:rPr>
          <w:szCs w:val="21"/>
        </w:rPr>
        <w:t>具有良好的商业信誉和健全的财务会计制度，提供距</w:t>
      </w:r>
      <w:r>
        <w:rPr>
          <w:rFonts w:hint="eastAsia"/>
          <w:szCs w:val="21"/>
        </w:rPr>
        <w:t>磋商时间</w:t>
      </w:r>
      <w:r>
        <w:rPr>
          <w:szCs w:val="21"/>
        </w:rPr>
        <w:t>六个月内任意一月份的财务状况报告（</w:t>
      </w:r>
      <w:r>
        <w:rPr>
          <w:b/>
          <w:bCs/>
          <w:szCs w:val="21"/>
        </w:rPr>
        <w:t>至少包括资产负债表和利润表</w:t>
      </w:r>
      <w:r>
        <w:rPr>
          <w:szCs w:val="21"/>
        </w:rPr>
        <w:t>）（法人或者其他组织成立未满三个月的可以不提供），或其银行出具的资信证书（复印件）（开标前六个月内），或其</w:t>
      </w:r>
      <w:r>
        <w:rPr>
          <w:rFonts w:hint="eastAsia"/>
          <w:szCs w:val="21"/>
        </w:rPr>
        <w:t>2024或者2025</w:t>
      </w:r>
      <w:r>
        <w:rPr>
          <w:szCs w:val="21"/>
        </w:rPr>
        <w:t>年度经审计的财务报告复印件加盖公章；</w:t>
      </w:r>
    </w:p>
    <w:p w14:paraId="5DFBE0D9">
      <w:pPr>
        <w:spacing w:line="440" w:lineRule="exact"/>
        <w:ind w:left="-2" w:right="-5"/>
        <w:rPr>
          <w:rFonts w:ascii="Arial" w:hAnsi="Arial" w:cs="Arial"/>
          <w:sz w:val="24"/>
        </w:rPr>
      </w:pPr>
    </w:p>
    <w:p w14:paraId="22EDBE86">
      <w:pPr>
        <w:spacing w:line="360" w:lineRule="auto"/>
        <w:jc w:val="left"/>
        <w:rPr>
          <w:rFonts w:ascii="宋体" w:hAnsi="宋体" w:cs="宋体"/>
          <w:szCs w:val="21"/>
          <w:lang w:val="zh-CN"/>
        </w:rPr>
      </w:pPr>
    </w:p>
    <w:p w14:paraId="15B2DE6B">
      <w:pPr>
        <w:spacing w:line="360" w:lineRule="auto"/>
        <w:ind w:left="-2" w:right="-5"/>
        <w:rPr>
          <w:rFonts w:ascii="宋体" w:hAnsi="宋体" w:cs="宋体"/>
          <w:sz w:val="24"/>
        </w:rPr>
      </w:pPr>
    </w:p>
    <w:p w14:paraId="0A0B6A25">
      <w:pPr>
        <w:spacing w:line="360" w:lineRule="auto"/>
        <w:ind w:left="-2" w:right="-5"/>
        <w:rPr>
          <w:rFonts w:ascii="宋体" w:hAnsi="宋体" w:cs="宋体"/>
          <w:sz w:val="24"/>
        </w:rPr>
      </w:pPr>
    </w:p>
    <w:p w14:paraId="72F3B48D">
      <w:pPr>
        <w:spacing w:line="360" w:lineRule="auto"/>
        <w:rPr>
          <w:rFonts w:ascii="宋体" w:hAnsi="宋体" w:cs="宋体"/>
          <w:szCs w:val="21"/>
        </w:rPr>
      </w:pPr>
      <w:r>
        <w:rPr>
          <w:rFonts w:hint="eastAsia" w:ascii="宋体" w:hAnsi="宋体" w:cs="宋体"/>
          <w:szCs w:val="21"/>
        </w:rPr>
        <w:t>供应商名称（公章）：</w:t>
      </w:r>
    </w:p>
    <w:p w14:paraId="0A627E63">
      <w:pPr>
        <w:spacing w:line="360" w:lineRule="auto"/>
        <w:rPr>
          <w:rFonts w:ascii="宋体" w:hAnsi="宋体" w:cs="宋体"/>
          <w:szCs w:val="21"/>
        </w:rPr>
      </w:pPr>
      <w:r>
        <w:rPr>
          <w:rFonts w:hint="eastAsia" w:ascii="宋体" w:hAnsi="宋体" w:cs="宋体"/>
          <w:szCs w:val="21"/>
        </w:rPr>
        <w:t>授权代表（签字）：</w:t>
      </w:r>
    </w:p>
    <w:p w14:paraId="7F97447F">
      <w:pPr>
        <w:spacing w:line="360" w:lineRule="auto"/>
        <w:rPr>
          <w:rFonts w:ascii="宋体" w:hAnsi="宋体" w:cs="宋体"/>
          <w:szCs w:val="21"/>
        </w:rPr>
      </w:pPr>
      <w:r>
        <w:rPr>
          <w:rFonts w:hint="eastAsia" w:ascii="宋体" w:hAnsi="宋体" w:cs="宋体"/>
          <w:szCs w:val="21"/>
        </w:rPr>
        <w:t>日期：</w:t>
      </w:r>
    </w:p>
    <w:p w14:paraId="692BC69A">
      <w:pPr>
        <w:spacing w:line="440" w:lineRule="exact"/>
        <w:ind w:left="-2" w:right="-5"/>
        <w:rPr>
          <w:rFonts w:ascii="Arial" w:hAnsi="Arial" w:cs="Arial"/>
          <w:szCs w:val="21"/>
        </w:rPr>
      </w:pPr>
    </w:p>
    <w:p w14:paraId="4F6EF58F">
      <w:pPr>
        <w:spacing w:line="440" w:lineRule="exact"/>
        <w:ind w:left="-2" w:right="-5"/>
        <w:rPr>
          <w:rFonts w:ascii="Arial" w:hAnsi="Arial" w:cs="Arial"/>
          <w:szCs w:val="21"/>
        </w:rPr>
      </w:pPr>
    </w:p>
    <w:p w14:paraId="6ECF5333">
      <w:pPr>
        <w:spacing w:line="440" w:lineRule="exact"/>
        <w:ind w:left="-2" w:right="-5"/>
        <w:rPr>
          <w:rFonts w:ascii="Arial" w:hAnsi="Arial" w:cs="Arial"/>
          <w:szCs w:val="21"/>
        </w:rPr>
      </w:pPr>
      <w:r>
        <w:rPr>
          <w:rFonts w:ascii="Arial" w:hAnsi="Arial" w:cs="Arial"/>
          <w:szCs w:val="21"/>
        </w:rPr>
        <w:t xml:space="preserve">说明： </w:t>
      </w:r>
    </w:p>
    <w:p w14:paraId="22B7CD15">
      <w:pPr>
        <w:spacing w:line="440" w:lineRule="exact"/>
        <w:ind w:left="-2" w:right="-5"/>
        <w:rPr>
          <w:rFonts w:ascii="Arial" w:hAnsi="Arial" w:cs="Arial"/>
          <w:szCs w:val="21"/>
        </w:rPr>
      </w:pPr>
      <w:r>
        <w:rPr>
          <w:rFonts w:ascii="Arial" w:hAnsi="Arial" w:cs="Arial"/>
          <w:szCs w:val="21"/>
        </w:rPr>
        <w:t xml:space="preserve">1、审计报告复印件至少应包括资产负债表、利润表、现金流量表及其附注、加盖会计师事务所公章页。 </w:t>
      </w:r>
    </w:p>
    <w:p w14:paraId="0043545B">
      <w:pPr>
        <w:spacing w:line="440" w:lineRule="exact"/>
        <w:ind w:left="-2" w:right="-5"/>
        <w:rPr>
          <w:rFonts w:ascii="Arial" w:hAnsi="Arial" w:cs="Arial"/>
          <w:szCs w:val="21"/>
        </w:rPr>
      </w:pPr>
      <w:r>
        <w:rPr>
          <w:rFonts w:ascii="Arial" w:hAnsi="Arial" w:cs="Arial"/>
          <w:szCs w:val="21"/>
        </w:rPr>
        <w:t xml:space="preserve">2、银行资信证明是指供应商参加本次磋商截止日前六个月内开立基本账户的银行开具的资信证明（成立一年内的公司可提交当年验资证明复印件并加盖公章），且无收受人和项目的限制，但开具银行有限制规定的除外。 </w:t>
      </w:r>
    </w:p>
    <w:p w14:paraId="3207E39A">
      <w:pPr>
        <w:spacing w:line="440" w:lineRule="exact"/>
        <w:ind w:left="-2" w:right="-5"/>
        <w:rPr>
          <w:rFonts w:ascii="Arial" w:hAnsi="Arial" w:cs="Arial"/>
          <w:szCs w:val="21"/>
        </w:rPr>
      </w:pPr>
      <w:r>
        <w:rPr>
          <w:rFonts w:ascii="Arial" w:hAnsi="Arial" w:cs="Arial"/>
          <w:szCs w:val="21"/>
        </w:rPr>
        <w:t xml:space="preserve">3、银行资信证明可以是复印件并加盖供应商公章，评标委员会保留审核原件的权利。 </w:t>
      </w:r>
    </w:p>
    <w:p w14:paraId="73B35BCB">
      <w:pPr>
        <w:spacing w:line="440" w:lineRule="exact"/>
        <w:ind w:left="-2" w:right="-5"/>
        <w:rPr>
          <w:rFonts w:ascii="Arial" w:hAnsi="Arial" w:cs="Arial"/>
          <w:sz w:val="24"/>
        </w:rPr>
      </w:pPr>
      <w:r>
        <w:rPr>
          <w:rFonts w:ascii="Arial" w:hAnsi="Arial" w:cs="Arial"/>
          <w:szCs w:val="21"/>
        </w:rPr>
        <w:t>4、银行资信证明应能说明该供应商与银行之间业务往来正常，无不良记录，企业信誉良好等。银行出具的存款证明不能作为银行资信证明。</w:t>
      </w:r>
    </w:p>
    <w:p w14:paraId="42D56299">
      <w:pPr>
        <w:spacing w:line="360" w:lineRule="auto"/>
        <w:ind w:left="-2" w:right="-5"/>
        <w:rPr>
          <w:rFonts w:ascii="宋体" w:hAnsi="宋体" w:cs="宋体"/>
          <w:sz w:val="24"/>
        </w:rPr>
      </w:pPr>
    </w:p>
    <w:p w14:paraId="0F345822">
      <w:pPr>
        <w:spacing w:line="360" w:lineRule="auto"/>
        <w:ind w:left="-2" w:right="-5"/>
        <w:rPr>
          <w:rFonts w:ascii="宋体" w:hAnsi="宋体" w:cs="宋体"/>
          <w:sz w:val="24"/>
        </w:rPr>
      </w:pPr>
    </w:p>
    <w:p w14:paraId="6625CDF1">
      <w:pPr>
        <w:spacing w:line="360" w:lineRule="auto"/>
        <w:ind w:left="-2" w:right="-5"/>
        <w:rPr>
          <w:rFonts w:ascii="宋体" w:hAnsi="宋体" w:cs="宋体"/>
          <w:sz w:val="24"/>
        </w:rPr>
      </w:pPr>
    </w:p>
    <w:p w14:paraId="535A7C3A">
      <w:pPr>
        <w:spacing w:line="360" w:lineRule="auto"/>
        <w:ind w:left="-2" w:right="-5"/>
        <w:rPr>
          <w:rFonts w:ascii="宋体" w:hAnsi="宋体" w:cs="宋体"/>
          <w:sz w:val="24"/>
        </w:rPr>
      </w:pPr>
    </w:p>
    <w:p w14:paraId="515CA991">
      <w:pPr>
        <w:spacing w:line="360" w:lineRule="auto"/>
        <w:ind w:left="-2" w:right="-5"/>
        <w:rPr>
          <w:rFonts w:ascii="宋体" w:hAnsi="宋体" w:cs="宋体"/>
          <w:sz w:val="24"/>
        </w:rPr>
      </w:pPr>
    </w:p>
    <w:p w14:paraId="6AE1FA1D">
      <w:pPr>
        <w:spacing w:line="360" w:lineRule="auto"/>
        <w:ind w:left="-2" w:right="-5"/>
        <w:rPr>
          <w:rFonts w:ascii="宋体" w:hAnsi="宋体" w:cs="宋体"/>
          <w:sz w:val="24"/>
        </w:rPr>
      </w:pPr>
    </w:p>
    <w:p w14:paraId="7A450D96">
      <w:pPr>
        <w:spacing w:line="360" w:lineRule="auto"/>
        <w:ind w:left="-2" w:right="-5"/>
        <w:rPr>
          <w:rFonts w:ascii="宋体" w:hAnsi="宋体" w:cs="宋体"/>
          <w:sz w:val="24"/>
        </w:rPr>
      </w:pPr>
    </w:p>
    <w:p w14:paraId="462738CA">
      <w:pPr>
        <w:spacing w:line="360" w:lineRule="auto"/>
        <w:ind w:left="-2" w:right="-5"/>
        <w:rPr>
          <w:rFonts w:ascii="宋体" w:hAnsi="宋体" w:cs="宋体"/>
          <w:sz w:val="24"/>
        </w:rPr>
      </w:pPr>
    </w:p>
    <w:p w14:paraId="69BA7C9D">
      <w:pPr>
        <w:spacing w:line="360" w:lineRule="auto"/>
        <w:ind w:left="-2" w:right="-5"/>
        <w:rPr>
          <w:rFonts w:ascii="宋体" w:hAnsi="宋体" w:cs="宋体"/>
          <w:sz w:val="24"/>
        </w:rPr>
      </w:pPr>
    </w:p>
    <w:p w14:paraId="324B8E12">
      <w:pPr>
        <w:spacing w:line="360" w:lineRule="auto"/>
        <w:ind w:left="-2" w:right="-5"/>
        <w:rPr>
          <w:rFonts w:ascii="宋体" w:hAnsi="宋体" w:cs="宋体"/>
          <w:sz w:val="24"/>
        </w:rPr>
      </w:pPr>
    </w:p>
    <w:p w14:paraId="179605C2">
      <w:pPr>
        <w:rPr>
          <w:b/>
          <w:bCs/>
          <w:szCs w:val="21"/>
        </w:rPr>
      </w:pPr>
      <w:r>
        <w:rPr>
          <w:rFonts w:hint="eastAsia"/>
          <w:b/>
          <w:bCs/>
          <w:szCs w:val="21"/>
        </w:rPr>
        <w:br w:type="page"/>
      </w:r>
    </w:p>
    <w:p w14:paraId="7167A64F">
      <w:pPr>
        <w:jc w:val="left"/>
        <w:rPr>
          <w:rFonts w:hAnsi="宋体" w:cs="宋体"/>
          <w:b/>
          <w:bCs/>
          <w:szCs w:val="21"/>
          <w:lang w:val="zh-CN"/>
        </w:rPr>
      </w:pPr>
      <w:r>
        <w:rPr>
          <w:rFonts w:hint="eastAsia"/>
          <w:b/>
          <w:bCs/>
          <w:szCs w:val="21"/>
        </w:rPr>
        <w:t>4、</w:t>
      </w:r>
      <w:r>
        <w:rPr>
          <w:rFonts w:hint="eastAsia"/>
          <w:b/>
          <w:bCs/>
          <w:szCs w:val="21"/>
          <w:lang w:val="zh-CN"/>
        </w:rPr>
        <w:t>具有履行合同所必需的设备和专业技术能力</w:t>
      </w:r>
    </w:p>
    <w:p w14:paraId="306425CD">
      <w:pPr>
        <w:spacing w:line="360" w:lineRule="auto"/>
        <w:jc w:val="left"/>
        <w:rPr>
          <w:rFonts w:ascii="宋体" w:hAnsi="宋体" w:cs="宋体"/>
        </w:rPr>
      </w:pPr>
      <w:r>
        <w:rPr>
          <w:szCs w:val="21"/>
        </w:rPr>
        <w:t>根据项目需求提供履行合同所必需的设备和专业技术能力的证明材料或相关加盖公章的承诺函，承诺函自行编写；</w:t>
      </w:r>
    </w:p>
    <w:p w14:paraId="0D0B021E">
      <w:pPr>
        <w:spacing w:line="360" w:lineRule="auto"/>
        <w:jc w:val="left"/>
        <w:rPr>
          <w:rFonts w:ascii="宋体" w:hAnsi="宋体" w:cs="宋体"/>
          <w:sz w:val="24"/>
          <w:szCs w:val="24"/>
        </w:rPr>
      </w:pPr>
    </w:p>
    <w:p w14:paraId="7A5CE7CD">
      <w:pPr>
        <w:pStyle w:val="48"/>
        <w:ind w:firstLine="211"/>
        <w:jc w:val="left"/>
        <w:rPr>
          <w:b/>
          <w:sz w:val="21"/>
        </w:rPr>
      </w:pPr>
      <w:r>
        <w:rPr>
          <w:rFonts w:hint="eastAsia"/>
          <w:b/>
          <w:sz w:val="21"/>
        </w:rPr>
        <w:t>附：承诺函参考格式</w:t>
      </w:r>
    </w:p>
    <w:p w14:paraId="5935986F">
      <w:pPr>
        <w:pStyle w:val="48"/>
        <w:ind w:firstLine="211"/>
        <w:jc w:val="center"/>
        <w:rPr>
          <w:b/>
          <w:sz w:val="21"/>
        </w:rPr>
      </w:pPr>
      <w:r>
        <w:rPr>
          <w:b/>
          <w:sz w:val="21"/>
        </w:rPr>
        <w:t>承诺函</w:t>
      </w:r>
    </w:p>
    <w:p w14:paraId="7825C8FD">
      <w:pPr>
        <w:spacing w:line="360" w:lineRule="auto"/>
        <w:ind w:firstLine="1260"/>
        <w:jc w:val="left"/>
      </w:pPr>
    </w:p>
    <w:p w14:paraId="5C9C9CFA">
      <w:pPr>
        <w:spacing w:line="360" w:lineRule="auto"/>
        <w:ind w:firstLine="1260"/>
        <w:jc w:val="left"/>
        <w:rPr>
          <w:sz w:val="24"/>
          <w:szCs w:val="24"/>
        </w:rPr>
      </w:pPr>
      <w:r>
        <w:t>我单位承诺：</w:t>
      </w:r>
      <w:r>
        <w:rPr>
          <w:bCs/>
          <w:lang w:val="zh-CN"/>
        </w:rPr>
        <w:t>具有履行合同所必需的设备和专业技术能力。</w:t>
      </w:r>
    </w:p>
    <w:p w14:paraId="7F3F0174">
      <w:pPr>
        <w:spacing w:line="360" w:lineRule="auto"/>
        <w:jc w:val="left"/>
        <w:rPr>
          <w:sz w:val="24"/>
          <w:szCs w:val="24"/>
        </w:rPr>
      </w:pPr>
    </w:p>
    <w:p w14:paraId="2F27A8CA">
      <w:pPr>
        <w:spacing w:line="360" w:lineRule="auto"/>
        <w:rPr>
          <w:szCs w:val="21"/>
        </w:rPr>
      </w:pPr>
      <w:r>
        <w:rPr>
          <w:szCs w:val="21"/>
        </w:rPr>
        <w:t>供应商名称（公章）：</w:t>
      </w:r>
    </w:p>
    <w:p w14:paraId="1F832BB8">
      <w:pPr>
        <w:spacing w:line="360" w:lineRule="auto"/>
        <w:rPr>
          <w:szCs w:val="21"/>
        </w:rPr>
      </w:pPr>
      <w:r>
        <w:rPr>
          <w:szCs w:val="21"/>
        </w:rPr>
        <w:t>授权代表（签字）：</w:t>
      </w:r>
    </w:p>
    <w:p w14:paraId="0630FFA0">
      <w:pPr>
        <w:spacing w:line="360" w:lineRule="auto"/>
        <w:rPr>
          <w:szCs w:val="21"/>
        </w:rPr>
      </w:pPr>
      <w:r>
        <w:rPr>
          <w:szCs w:val="21"/>
        </w:rPr>
        <w:t>日期：</w:t>
      </w:r>
    </w:p>
    <w:p w14:paraId="20CB3F12">
      <w:pPr>
        <w:spacing w:line="360" w:lineRule="auto"/>
        <w:jc w:val="left"/>
        <w:rPr>
          <w:rFonts w:ascii="宋体" w:hAnsi="宋体" w:cs="宋体"/>
          <w:sz w:val="24"/>
          <w:szCs w:val="24"/>
        </w:rPr>
      </w:pPr>
    </w:p>
    <w:p w14:paraId="303F53E1">
      <w:pPr>
        <w:spacing w:line="360" w:lineRule="auto"/>
        <w:jc w:val="left"/>
        <w:rPr>
          <w:rFonts w:ascii="宋体" w:hAnsi="宋体" w:cs="宋体"/>
          <w:sz w:val="24"/>
          <w:szCs w:val="24"/>
        </w:rPr>
      </w:pPr>
    </w:p>
    <w:p w14:paraId="0881BD60">
      <w:pPr>
        <w:spacing w:line="360" w:lineRule="auto"/>
        <w:jc w:val="left"/>
        <w:rPr>
          <w:rFonts w:ascii="宋体" w:hAnsi="宋体" w:cs="宋体"/>
          <w:sz w:val="24"/>
          <w:szCs w:val="24"/>
        </w:rPr>
      </w:pPr>
    </w:p>
    <w:p w14:paraId="744ACF28">
      <w:pPr>
        <w:spacing w:line="360" w:lineRule="auto"/>
        <w:jc w:val="left"/>
        <w:rPr>
          <w:rFonts w:ascii="宋体" w:hAnsi="宋体" w:cs="宋体"/>
          <w:sz w:val="24"/>
          <w:szCs w:val="24"/>
        </w:rPr>
      </w:pPr>
    </w:p>
    <w:p w14:paraId="74FA3614">
      <w:pPr>
        <w:spacing w:line="360" w:lineRule="auto"/>
        <w:jc w:val="left"/>
        <w:rPr>
          <w:rFonts w:ascii="宋体" w:hAnsi="宋体" w:cs="宋体"/>
          <w:sz w:val="24"/>
          <w:szCs w:val="24"/>
        </w:rPr>
        <w:sectPr>
          <w:pgSz w:w="11906" w:h="16838"/>
          <w:pgMar w:top="1134" w:right="1134" w:bottom="1134" w:left="1134" w:header="851" w:footer="992" w:gutter="0"/>
          <w:cols w:space="720" w:num="1"/>
          <w:titlePg/>
          <w:docGrid w:linePitch="360" w:charSpace="0"/>
        </w:sectPr>
      </w:pPr>
    </w:p>
    <w:p w14:paraId="3DF9838B">
      <w:pPr>
        <w:spacing w:line="360" w:lineRule="auto"/>
        <w:rPr>
          <w:rFonts w:ascii="Arial" w:hAnsi="Arial" w:cs="Arial"/>
          <w:b/>
          <w:bCs/>
          <w:szCs w:val="21"/>
          <w:lang w:val="zh-CN"/>
        </w:rPr>
      </w:pPr>
      <w:bookmarkStart w:id="330" w:name="_Toc4863"/>
      <w:bookmarkStart w:id="331" w:name="_Toc20284"/>
      <w:bookmarkStart w:id="332" w:name="_Toc23111"/>
      <w:bookmarkStart w:id="333" w:name="_Toc19147"/>
      <w:bookmarkStart w:id="334" w:name="_Toc27429"/>
      <w:r>
        <w:rPr>
          <w:rFonts w:ascii="Arial" w:hAnsi="Arial" w:cs="Arial"/>
          <w:b/>
          <w:bCs/>
          <w:szCs w:val="21"/>
          <w:lang w:val="zh-CN"/>
        </w:rPr>
        <w:t>5、参加</w:t>
      </w:r>
      <w:r>
        <w:rPr>
          <w:rFonts w:ascii="Arial" w:hAnsi="Arial" w:cs="Arial"/>
          <w:b/>
          <w:bCs/>
          <w:szCs w:val="21"/>
        </w:rPr>
        <w:t>政府</w:t>
      </w:r>
      <w:r>
        <w:rPr>
          <w:rFonts w:ascii="Arial" w:hAnsi="Arial" w:cs="Arial"/>
          <w:b/>
          <w:bCs/>
          <w:szCs w:val="21"/>
          <w:lang w:val="zh-CN"/>
        </w:rPr>
        <w:t>采购活动近三年内（成立时间不足三年的、自成立时间起），在经营活动中没有重大违法记录</w:t>
      </w:r>
      <w:bookmarkEnd w:id="330"/>
      <w:bookmarkEnd w:id="331"/>
      <w:bookmarkEnd w:id="332"/>
      <w:bookmarkEnd w:id="333"/>
      <w:bookmarkEnd w:id="334"/>
    </w:p>
    <w:p w14:paraId="28384317">
      <w:pPr>
        <w:spacing w:line="360" w:lineRule="exact"/>
        <w:rPr>
          <w:rFonts w:ascii="Arial" w:hAnsi="Arial" w:cs="Arial"/>
          <w:b/>
          <w:bCs/>
          <w:szCs w:val="21"/>
        </w:rPr>
      </w:pPr>
    </w:p>
    <w:p w14:paraId="117289CC">
      <w:pPr>
        <w:spacing w:line="360" w:lineRule="exact"/>
        <w:rPr>
          <w:rFonts w:ascii="Arial" w:hAnsi="Arial" w:cs="Arial"/>
          <w:b/>
          <w:bCs/>
          <w:szCs w:val="21"/>
        </w:rPr>
      </w:pPr>
      <w:r>
        <w:rPr>
          <w:rFonts w:ascii="Arial" w:hAnsi="Arial" w:cs="Arial"/>
          <w:b/>
          <w:bCs/>
          <w:szCs w:val="21"/>
        </w:rPr>
        <w:t>附：承诺函参考格式</w:t>
      </w:r>
    </w:p>
    <w:p w14:paraId="721D12AD">
      <w:pPr>
        <w:pStyle w:val="18"/>
        <w:rPr>
          <w:rFonts w:ascii="Arial" w:hAnsi="Arial" w:cs="Arial"/>
        </w:rPr>
      </w:pPr>
    </w:p>
    <w:p w14:paraId="60626032">
      <w:pPr>
        <w:spacing w:line="360" w:lineRule="exact"/>
        <w:jc w:val="center"/>
        <w:rPr>
          <w:rFonts w:ascii="Arial" w:hAnsi="Arial" w:cs="Arial"/>
          <w:sz w:val="20"/>
          <w:szCs w:val="18"/>
        </w:rPr>
      </w:pPr>
      <w:r>
        <w:rPr>
          <w:rFonts w:ascii="Arial" w:hAnsi="Arial" w:cs="Arial"/>
          <w:b/>
          <w:sz w:val="28"/>
          <w:szCs w:val="18"/>
        </w:rPr>
        <w:t>近三年无重大违法记录承诺函</w:t>
      </w:r>
    </w:p>
    <w:p w14:paraId="391146FD">
      <w:pPr>
        <w:spacing w:line="200" w:lineRule="exact"/>
        <w:rPr>
          <w:rFonts w:ascii="Arial" w:hAnsi="Arial" w:cs="Arial"/>
          <w:sz w:val="24"/>
        </w:rPr>
      </w:pPr>
    </w:p>
    <w:p w14:paraId="66DD362B">
      <w:pPr>
        <w:spacing w:line="200" w:lineRule="exact"/>
        <w:rPr>
          <w:rFonts w:ascii="Arial" w:hAnsi="Arial" w:cs="Arial"/>
          <w:sz w:val="24"/>
        </w:rPr>
      </w:pPr>
    </w:p>
    <w:p w14:paraId="4F73FCCA">
      <w:pPr>
        <w:spacing w:line="540" w:lineRule="exact"/>
        <w:ind w:left="60" w:firstLine="560"/>
        <w:rPr>
          <w:rFonts w:ascii="Arial" w:hAnsi="Arial" w:cs="Arial"/>
          <w:szCs w:val="21"/>
        </w:rPr>
      </w:pPr>
      <w:r>
        <w:rPr>
          <w:rFonts w:ascii="Arial" w:hAnsi="Arial" w:cs="Arial"/>
          <w:szCs w:val="21"/>
        </w:rPr>
        <w:t>我公司在参加本次政府采购活动近三年内，在以往经营活动中</w:t>
      </w:r>
      <w:r>
        <w:rPr>
          <w:rFonts w:ascii="Arial" w:hAnsi="Arial" w:cs="Arial"/>
          <w:szCs w:val="21"/>
          <w:u w:val="single"/>
        </w:rPr>
        <w:t xml:space="preserve">      </w:t>
      </w:r>
      <w:r>
        <w:rPr>
          <w:rFonts w:ascii="Arial" w:hAnsi="Arial" w:cs="Arial"/>
          <w:szCs w:val="21"/>
        </w:rPr>
        <w:t>（请填写“有”或“没有”）重大违法记录，重大违法记录是指供应商因违法经营受到刑事处罚或者责令停产停业、吊销许可证或者执照、较大数额罚款等行政处罚。</w:t>
      </w:r>
    </w:p>
    <w:p w14:paraId="2FB5C42D">
      <w:pPr>
        <w:spacing w:line="200" w:lineRule="exact"/>
        <w:rPr>
          <w:rFonts w:ascii="Arial" w:hAnsi="Arial" w:cs="Arial"/>
          <w:szCs w:val="21"/>
        </w:rPr>
      </w:pPr>
    </w:p>
    <w:p w14:paraId="6B33B050">
      <w:pPr>
        <w:spacing w:line="420" w:lineRule="exact"/>
        <w:ind w:left="620"/>
        <w:rPr>
          <w:rFonts w:ascii="Arial" w:hAnsi="Arial" w:cs="Arial"/>
          <w:szCs w:val="21"/>
        </w:rPr>
      </w:pPr>
      <w:r>
        <w:rPr>
          <w:rFonts w:ascii="Arial" w:hAnsi="Arial" w:cs="Arial"/>
          <w:szCs w:val="21"/>
        </w:rPr>
        <w:t>特此声明。</w:t>
      </w:r>
    </w:p>
    <w:p w14:paraId="38FFCF38">
      <w:pPr>
        <w:tabs>
          <w:tab w:val="left" w:pos="972"/>
        </w:tabs>
        <w:spacing w:line="360" w:lineRule="auto"/>
        <w:rPr>
          <w:rFonts w:ascii="Arial" w:hAnsi="Arial" w:cs="Arial"/>
          <w:sz w:val="24"/>
          <w:szCs w:val="24"/>
        </w:rPr>
      </w:pPr>
      <w:r>
        <w:rPr>
          <w:rFonts w:ascii="Arial" w:hAnsi="Arial" w:cs="Arial"/>
          <w:sz w:val="24"/>
          <w:szCs w:val="24"/>
        </w:rPr>
        <w:tab/>
      </w:r>
    </w:p>
    <w:p w14:paraId="48BD6F62">
      <w:pPr>
        <w:spacing w:line="440" w:lineRule="exact"/>
        <w:rPr>
          <w:rFonts w:ascii="Arial" w:hAnsi="Arial" w:cs="Arial"/>
          <w:sz w:val="24"/>
          <w:szCs w:val="24"/>
        </w:rPr>
      </w:pPr>
      <w:r>
        <w:rPr>
          <w:rFonts w:ascii="Arial" w:hAnsi="Arial" w:cs="Arial"/>
        </w:rPr>
        <w:t xml:space="preserve"> </w:t>
      </w:r>
    </w:p>
    <w:p w14:paraId="2666ECDA">
      <w:pPr>
        <w:spacing w:line="360" w:lineRule="auto"/>
        <w:rPr>
          <w:rFonts w:ascii="Arial" w:hAnsi="Arial" w:cs="Arial"/>
          <w:sz w:val="24"/>
          <w:szCs w:val="24"/>
        </w:rPr>
      </w:pPr>
    </w:p>
    <w:p w14:paraId="55993066">
      <w:pPr>
        <w:spacing w:line="360" w:lineRule="auto"/>
        <w:jc w:val="left"/>
        <w:rPr>
          <w:rFonts w:ascii="Arial" w:hAnsi="Arial" w:cs="Arial"/>
          <w:sz w:val="24"/>
          <w:szCs w:val="24"/>
        </w:rPr>
      </w:pPr>
    </w:p>
    <w:p w14:paraId="70E2A4A6">
      <w:pPr>
        <w:spacing w:line="360" w:lineRule="auto"/>
        <w:jc w:val="left"/>
        <w:rPr>
          <w:rFonts w:ascii="Arial" w:hAnsi="Arial" w:cs="Arial"/>
          <w:sz w:val="24"/>
          <w:szCs w:val="24"/>
        </w:rPr>
      </w:pPr>
    </w:p>
    <w:p w14:paraId="41D36E37">
      <w:pPr>
        <w:spacing w:line="360" w:lineRule="auto"/>
        <w:rPr>
          <w:rFonts w:ascii="Arial" w:hAnsi="Arial" w:cs="Arial"/>
          <w:szCs w:val="21"/>
        </w:rPr>
      </w:pPr>
      <w:r>
        <w:rPr>
          <w:rFonts w:ascii="Arial" w:hAnsi="Arial" w:cs="Arial"/>
          <w:szCs w:val="21"/>
        </w:rPr>
        <w:t>供应商名称（公章）：</w:t>
      </w:r>
    </w:p>
    <w:p w14:paraId="6737FBD6">
      <w:pPr>
        <w:spacing w:line="360" w:lineRule="auto"/>
        <w:rPr>
          <w:rFonts w:ascii="Arial" w:hAnsi="Arial" w:cs="Arial"/>
          <w:szCs w:val="21"/>
        </w:rPr>
      </w:pPr>
      <w:r>
        <w:rPr>
          <w:rFonts w:ascii="Arial" w:hAnsi="Arial" w:cs="Arial"/>
          <w:szCs w:val="21"/>
        </w:rPr>
        <w:t>授权代表（签字）：</w:t>
      </w:r>
    </w:p>
    <w:p w14:paraId="69C521FF">
      <w:pPr>
        <w:spacing w:line="360" w:lineRule="auto"/>
        <w:rPr>
          <w:rFonts w:ascii="Arial" w:hAnsi="Arial" w:cs="Arial"/>
          <w:sz w:val="24"/>
          <w:szCs w:val="24"/>
        </w:rPr>
      </w:pPr>
      <w:r>
        <w:rPr>
          <w:rFonts w:ascii="Arial" w:hAnsi="Arial" w:cs="Arial"/>
          <w:szCs w:val="21"/>
        </w:rPr>
        <w:t>日期：</w:t>
      </w:r>
    </w:p>
    <w:p w14:paraId="4AB62AFF">
      <w:pPr>
        <w:spacing w:line="360" w:lineRule="auto"/>
        <w:rPr>
          <w:rFonts w:ascii="Arial" w:hAnsi="Arial" w:cs="Arial"/>
          <w:sz w:val="24"/>
          <w:szCs w:val="24"/>
        </w:rPr>
      </w:pPr>
    </w:p>
    <w:p w14:paraId="499C600A">
      <w:pPr>
        <w:spacing w:line="440" w:lineRule="exact"/>
        <w:rPr>
          <w:rFonts w:ascii="Arial" w:hAnsi="Arial" w:cs="Arial"/>
          <w:szCs w:val="21"/>
        </w:rPr>
      </w:pPr>
      <w:r>
        <w:rPr>
          <w:rFonts w:ascii="Arial" w:hAnsi="Arial" w:cs="Arial"/>
          <w:szCs w:val="21"/>
        </w:rPr>
        <w:t>注：</w:t>
      </w:r>
      <w:r>
        <w:fldChar w:fldCharType="begin"/>
      </w:r>
      <w:r>
        <w:instrText xml:space="preserve"> HYPERLINK "http://www.creditchina.gov.cn/" \h </w:instrText>
      </w:r>
      <w:r>
        <w:fldChar w:fldCharType="separate"/>
      </w:r>
      <w:r>
        <w:rPr>
          <w:rFonts w:ascii="Arial" w:hAnsi="Arial" w:cs="Arial"/>
          <w:szCs w:val="21"/>
        </w:rPr>
        <w:t>1、信用信息查询渠道：信用中国网站（www.creditchina.gov.cn</w:t>
      </w:r>
      <w:r>
        <w:rPr>
          <w:rFonts w:ascii="Arial" w:hAnsi="Arial" w:cs="Arial"/>
          <w:szCs w:val="21"/>
        </w:rPr>
        <w:fldChar w:fldCharType="end"/>
      </w:r>
      <w:r>
        <w:rPr>
          <w:rFonts w:ascii="Arial" w:hAnsi="Arial" w:cs="Arial"/>
          <w:szCs w:val="21"/>
        </w:rPr>
        <w:t>）、中国政府采购网-</w:t>
      </w:r>
    </w:p>
    <w:p w14:paraId="0F1D2C96">
      <w:pPr>
        <w:spacing w:line="440" w:lineRule="exact"/>
        <w:rPr>
          <w:rFonts w:ascii="Arial" w:hAnsi="Arial" w:cs="Arial"/>
          <w:szCs w:val="21"/>
        </w:rPr>
      </w:pPr>
      <w:r>
        <w:rPr>
          <w:rFonts w:ascii="Arial" w:hAnsi="Arial" w:cs="Arial"/>
          <w:szCs w:val="21"/>
        </w:rPr>
        <w:t>政府采购严重违法失信行为信息记录（</w:t>
      </w:r>
      <w:r>
        <w:fldChar w:fldCharType="begin"/>
      </w:r>
      <w:r>
        <w:instrText xml:space="preserve"> HYPERLINK "http://www.ccgp.gov.cn/cr/list" \h </w:instrText>
      </w:r>
      <w:r>
        <w:fldChar w:fldCharType="separate"/>
      </w:r>
      <w:r>
        <w:rPr>
          <w:rFonts w:ascii="Arial" w:hAnsi="Arial" w:cs="Arial"/>
          <w:szCs w:val="21"/>
        </w:rPr>
        <w:t>http://www.ccgp.gov.cn</w:t>
      </w:r>
      <w:r>
        <w:rPr>
          <w:rFonts w:ascii="Arial" w:hAnsi="Arial" w:cs="Arial"/>
          <w:szCs w:val="21"/>
        </w:rPr>
        <w:fldChar w:fldCharType="end"/>
      </w:r>
      <w:r>
        <w:rPr>
          <w:rFonts w:ascii="Arial" w:hAnsi="Arial" w:cs="Arial"/>
          <w:szCs w:val="21"/>
        </w:rPr>
        <w:t xml:space="preserve">）； </w:t>
      </w:r>
    </w:p>
    <w:p w14:paraId="6D443EDF">
      <w:pPr>
        <w:spacing w:line="360" w:lineRule="auto"/>
        <w:rPr>
          <w:rFonts w:ascii="Arial" w:hAnsi="Arial" w:cs="Arial"/>
          <w:sz w:val="24"/>
          <w:szCs w:val="24"/>
        </w:rPr>
      </w:pPr>
      <w:r>
        <w:rPr>
          <w:rFonts w:ascii="Arial" w:hAnsi="Arial" w:cs="Arial"/>
          <w:szCs w:val="21"/>
        </w:rPr>
        <w:t>2、信用信息查询截止时点：</w:t>
      </w:r>
      <w:r>
        <w:rPr>
          <w:b/>
          <w:bCs/>
        </w:rPr>
        <w:t>递交</w:t>
      </w:r>
      <w:r>
        <w:rPr>
          <w:rFonts w:hint="eastAsia"/>
          <w:b/>
          <w:bCs/>
        </w:rPr>
        <w:t>响应文件</w:t>
      </w:r>
      <w:r>
        <w:rPr>
          <w:b/>
          <w:bCs/>
        </w:rPr>
        <w:t>截止之日前</w:t>
      </w:r>
      <w:r>
        <w:rPr>
          <w:rFonts w:ascii="Arial" w:hAnsi="Arial" w:cs="Arial"/>
          <w:szCs w:val="21"/>
        </w:rPr>
        <w:t>。</w:t>
      </w:r>
    </w:p>
    <w:p w14:paraId="6E2CDCAE">
      <w:pPr>
        <w:spacing w:line="360" w:lineRule="auto"/>
        <w:rPr>
          <w:rFonts w:ascii="宋体" w:hAnsi="宋体" w:cs="宋体"/>
          <w:sz w:val="24"/>
          <w:szCs w:val="24"/>
        </w:rPr>
      </w:pPr>
    </w:p>
    <w:p w14:paraId="4A1B002A">
      <w:pPr>
        <w:spacing w:line="360" w:lineRule="auto"/>
        <w:rPr>
          <w:rFonts w:ascii="宋体" w:hAnsi="宋体" w:cs="宋体"/>
          <w:sz w:val="24"/>
          <w:szCs w:val="24"/>
        </w:rPr>
      </w:pPr>
    </w:p>
    <w:p w14:paraId="08E215F7">
      <w:pPr>
        <w:spacing w:line="360" w:lineRule="auto"/>
        <w:rPr>
          <w:rFonts w:ascii="宋体" w:hAnsi="宋体" w:cs="宋体"/>
          <w:sz w:val="24"/>
          <w:szCs w:val="24"/>
        </w:rPr>
      </w:pPr>
    </w:p>
    <w:p w14:paraId="64715BE0">
      <w:pPr>
        <w:spacing w:line="360" w:lineRule="auto"/>
        <w:ind w:left="-2" w:right="-5"/>
        <w:rPr>
          <w:rFonts w:ascii="宋体" w:hAnsi="宋体" w:cs="宋体"/>
          <w:sz w:val="24"/>
        </w:rPr>
      </w:pPr>
    </w:p>
    <w:p w14:paraId="6BDE9496">
      <w:pPr>
        <w:spacing w:line="360" w:lineRule="auto"/>
        <w:ind w:left="-2" w:right="-5"/>
        <w:rPr>
          <w:rFonts w:ascii="宋体" w:hAnsi="宋体" w:cs="宋体"/>
          <w:sz w:val="24"/>
        </w:rPr>
      </w:pPr>
    </w:p>
    <w:p w14:paraId="54F73421">
      <w:pPr>
        <w:spacing w:line="360" w:lineRule="auto"/>
        <w:ind w:left="-2" w:right="-5"/>
        <w:rPr>
          <w:rFonts w:ascii="宋体" w:hAnsi="宋体" w:cs="宋体"/>
          <w:sz w:val="24"/>
        </w:rPr>
      </w:pPr>
    </w:p>
    <w:p w14:paraId="2A97B6B9">
      <w:pPr>
        <w:spacing w:line="360" w:lineRule="auto"/>
        <w:ind w:left="-2" w:right="-5"/>
        <w:rPr>
          <w:rFonts w:ascii="宋体" w:hAnsi="宋体" w:cs="宋体"/>
          <w:sz w:val="24"/>
        </w:rPr>
      </w:pPr>
    </w:p>
    <w:p w14:paraId="19499DCB">
      <w:pPr>
        <w:rPr>
          <w:b/>
          <w:bCs/>
          <w:szCs w:val="21"/>
        </w:rPr>
      </w:pPr>
      <w:r>
        <w:rPr>
          <w:rFonts w:hint="eastAsia"/>
          <w:b/>
          <w:bCs/>
          <w:szCs w:val="21"/>
        </w:rPr>
        <w:br w:type="page"/>
      </w:r>
    </w:p>
    <w:p w14:paraId="38372C45">
      <w:pPr>
        <w:rPr>
          <w:rFonts w:hAnsi="宋体" w:cs="宋体"/>
          <w:b/>
          <w:bCs/>
          <w:szCs w:val="21"/>
        </w:rPr>
      </w:pPr>
      <w:r>
        <w:rPr>
          <w:rFonts w:hint="eastAsia"/>
          <w:b/>
          <w:bCs/>
          <w:szCs w:val="21"/>
        </w:rPr>
        <w:t>6、依法缴纳税收的记录</w:t>
      </w:r>
    </w:p>
    <w:p w14:paraId="37AA1D65">
      <w:pPr>
        <w:spacing w:line="360" w:lineRule="auto"/>
        <w:rPr>
          <w:rFonts w:ascii="宋体" w:hAnsi="宋体" w:cs="宋体"/>
          <w:sz w:val="24"/>
        </w:rPr>
      </w:pPr>
      <w:r>
        <w:rPr>
          <w:szCs w:val="21"/>
        </w:rPr>
        <w:t>提供距</w:t>
      </w:r>
      <w:r>
        <w:rPr>
          <w:rFonts w:hint="eastAsia"/>
          <w:szCs w:val="21"/>
        </w:rPr>
        <w:t>磋商</w:t>
      </w:r>
      <w:r>
        <w:rPr>
          <w:szCs w:val="21"/>
        </w:rPr>
        <w:t>时间六个月内任意一</w:t>
      </w:r>
      <w:r>
        <w:rPr>
          <w:rFonts w:hint="eastAsia"/>
          <w:szCs w:val="21"/>
        </w:rPr>
        <w:t>个</w:t>
      </w:r>
      <w:r>
        <w:rPr>
          <w:szCs w:val="21"/>
        </w:rPr>
        <w:t>月份的</w:t>
      </w:r>
      <w:r>
        <w:rPr>
          <w:rFonts w:hint="eastAsia"/>
          <w:szCs w:val="21"/>
        </w:rPr>
        <w:t>（企业代缴的个人所得税除外）</w:t>
      </w:r>
      <w:r>
        <w:rPr>
          <w:szCs w:val="21"/>
        </w:rPr>
        <w:t>纳税凭据复印件加盖公章（依法免税的应提供相应文件说明）；</w:t>
      </w:r>
    </w:p>
    <w:p w14:paraId="14368CBA">
      <w:pPr>
        <w:spacing w:line="360" w:lineRule="auto"/>
        <w:rPr>
          <w:rFonts w:ascii="宋体" w:hAnsi="宋体" w:cs="宋体"/>
          <w:sz w:val="24"/>
        </w:rPr>
      </w:pPr>
    </w:p>
    <w:p w14:paraId="0BC177AB">
      <w:pPr>
        <w:spacing w:line="360" w:lineRule="auto"/>
        <w:rPr>
          <w:rFonts w:ascii="宋体" w:hAnsi="宋体" w:cs="宋体"/>
          <w:sz w:val="24"/>
        </w:rPr>
      </w:pPr>
    </w:p>
    <w:p w14:paraId="18188229">
      <w:pPr>
        <w:spacing w:line="360" w:lineRule="auto"/>
        <w:rPr>
          <w:rFonts w:ascii="宋体" w:hAnsi="宋体" w:cs="宋体"/>
          <w:szCs w:val="21"/>
        </w:rPr>
      </w:pPr>
      <w:r>
        <w:rPr>
          <w:rFonts w:hint="eastAsia" w:ascii="宋体" w:hAnsi="宋体" w:cs="宋体"/>
          <w:szCs w:val="21"/>
        </w:rPr>
        <w:t>供应商名称（公章）：</w:t>
      </w:r>
    </w:p>
    <w:p w14:paraId="7F462AB8">
      <w:pPr>
        <w:spacing w:line="360" w:lineRule="auto"/>
        <w:rPr>
          <w:rFonts w:ascii="宋体" w:hAnsi="宋体" w:cs="宋体"/>
          <w:szCs w:val="21"/>
        </w:rPr>
      </w:pPr>
      <w:r>
        <w:rPr>
          <w:rFonts w:hint="eastAsia" w:ascii="宋体" w:hAnsi="宋体" w:cs="宋体"/>
          <w:szCs w:val="21"/>
        </w:rPr>
        <w:t>授权代表（签字）：</w:t>
      </w:r>
    </w:p>
    <w:p w14:paraId="41E1CE27">
      <w:pPr>
        <w:spacing w:line="360" w:lineRule="auto"/>
        <w:rPr>
          <w:rFonts w:ascii="宋体" w:hAnsi="宋体" w:cs="宋体"/>
          <w:sz w:val="24"/>
          <w:szCs w:val="24"/>
        </w:rPr>
      </w:pPr>
      <w:r>
        <w:rPr>
          <w:rFonts w:hint="eastAsia" w:ascii="宋体" w:hAnsi="宋体" w:cs="宋体"/>
          <w:szCs w:val="21"/>
        </w:rPr>
        <w:t>日期：</w:t>
      </w:r>
    </w:p>
    <w:p w14:paraId="0EAE8B02">
      <w:pPr>
        <w:spacing w:line="360" w:lineRule="auto"/>
        <w:rPr>
          <w:rFonts w:ascii="宋体" w:hAnsi="宋体" w:cs="宋体"/>
          <w:sz w:val="24"/>
        </w:rPr>
      </w:pPr>
    </w:p>
    <w:p w14:paraId="59178139">
      <w:pPr>
        <w:spacing w:line="360" w:lineRule="auto"/>
        <w:rPr>
          <w:rFonts w:ascii="宋体" w:hAnsi="宋体" w:cs="宋体"/>
          <w:sz w:val="24"/>
        </w:rPr>
      </w:pPr>
    </w:p>
    <w:p w14:paraId="75C55C11">
      <w:pPr>
        <w:spacing w:line="360" w:lineRule="auto"/>
        <w:rPr>
          <w:rFonts w:ascii="宋体" w:hAnsi="宋体" w:cs="宋体"/>
          <w:sz w:val="24"/>
        </w:rPr>
      </w:pPr>
    </w:p>
    <w:p w14:paraId="2F69FBC0">
      <w:pPr>
        <w:spacing w:line="360" w:lineRule="auto"/>
        <w:rPr>
          <w:rFonts w:ascii="宋体" w:hAnsi="宋体" w:cs="宋体"/>
          <w:sz w:val="24"/>
        </w:rPr>
      </w:pPr>
    </w:p>
    <w:p w14:paraId="0FEBCD18">
      <w:pPr>
        <w:spacing w:line="360" w:lineRule="auto"/>
        <w:rPr>
          <w:rFonts w:ascii="宋体" w:hAnsi="宋体" w:cs="宋体"/>
          <w:sz w:val="24"/>
        </w:rPr>
      </w:pPr>
    </w:p>
    <w:p w14:paraId="6427CB1D">
      <w:pPr>
        <w:spacing w:line="360" w:lineRule="auto"/>
        <w:rPr>
          <w:rFonts w:ascii="宋体" w:hAnsi="宋体" w:cs="宋体"/>
          <w:sz w:val="24"/>
        </w:rPr>
      </w:pPr>
    </w:p>
    <w:p w14:paraId="65A7F69E">
      <w:pPr>
        <w:spacing w:line="360" w:lineRule="auto"/>
        <w:rPr>
          <w:rFonts w:ascii="宋体" w:hAnsi="宋体" w:cs="宋体"/>
          <w:sz w:val="24"/>
        </w:rPr>
      </w:pPr>
    </w:p>
    <w:p w14:paraId="77ACF87E">
      <w:pPr>
        <w:spacing w:line="360" w:lineRule="auto"/>
        <w:rPr>
          <w:rFonts w:ascii="宋体" w:hAnsi="宋体" w:cs="宋体"/>
          <w:sz w:val="24"/>
        </w:rPr>
      </w:pPr>
    </w:p>
    <w:p w14:paraId="41C5E598">
      <w:pPr>
        <w:spacing w:line="360" w:lineRule="auto"/>
        <w:rPr>
          <w:rFonts w:ascii="宋体" w:hAnsi="宋体" w:cs="宋体"/>
          <w:sz w:val="24"/>
        </w:rPr>
      </w:pPr>
    </w:p>
    <w:p w14:paraId="6005E0BE">
      <w:pPr>
        <w:spacing w:line="360" w:lineRule="auto"/>
        <w:rPr>
          <w:rFonts w:ascii="宋体" w:hAnsi="宋体" w:cs="宋体"/>
          <w:sz w:val="24"/>
        </w:rPr>
      </w:pPr>
    </w:p>
    <w:p w14:paraId="5C8BC1C6">
      <w:pPr>
        <w:spacing w:line="360" w:lineRule="auto"/>
        <w:rPr>
          <w:rFonts w:ascii="宋体" w:hAnsi="宋体" w:cs="宋体"/>
          <w:sz w:val="24"/>
        </w:rPr>
      </w:pPr>
    </w:p>
    <w:p w14:paraId="7895A038">
      <w:pPr>
        <w:spacing w:line="360" w:lineRule="auto"/>
        <w:rPr>
          <w:rFonts w:ascii="宋体" w:hAnsi="宋体" w:cs="宋体"/>
          <w:sz w:val="24"/>
        </w:rPr>
      </w:pPr>
    </w:p>
    <w:p w14:paraId="1F3075A3">
      <w:pPr>
        <w:spacing w:line="360" w:lineRule="auto"/>
        <w:rPr>
          <w:rFonts w:ascii="宋体" w:hAnsi="宋体" w:cs="宋体"/>
          <w:sz w:val="24"/>
        </w:rPr>
      </w:pPr>
    </w:p>
    <w:p w14:paraId="211DBA45">
      <w:pPr>
        <w:spacing w:line="360" w:lineRule="auto"/>
        <w:rPr>
          <w:rFonts w:ascii="宋体" w:hAnsi="宋体" w:cs="宋体"/>
          <w:sz w:val="24"/>
        </w:rPr>
      </w:pPr>
    </w:p>
    <w:p w14:paraId="0C7FAA8F">
      <w:pPr>
        <w:spacing w:line="360" w:lineRule="auto"/>
        <w:rPr>
          <w:rFonts w:ascii="宋体" w:hAnsi="宋体" w:cs="宋体"/>
          <w:sz w:val="24"/>
        </w:rPr>
      </w:pPr>
    </w:p>
    <w:p w14:paraId="18BED9FD">
      <w:pPr>
        <w:spacing w:line="360" w:lineRule="auto"/>
        <w:rPr>
          <w:rFonts w:ascii="宋体" w:hAnsi="宋体" w:cs="宋体"/>
          <w:sz w:val="24"/>
        </w:rPr>
      </w:pPr>
    </w:p>
    <w:p w14:paraId="6CBD6E90">
      <w:pPr>
        <w:spacing w:line="360" w:lineRule="auto"/>
        <w:rPr>
          <w:rFonts w:ascii="宋体" w:hAnsi="宋体" w:cs="宋体"/>
          <w:sz w:val="24"/>
        </w:rPr>
      </w:pPr>
    </w:p>
    <w:p w14:paraId="3A47783C">
      <w:pPr>
        <w:spacing w:line="360" w:lineRule="auto"/>
        <w:rPr>
          <w:rFonts w:ascii="宋体" w:hAnsi="宋体" w:cs="宋体"/>
          <w:sz w:val="24"/>
        </w:rPr>
      </w:pPr>
    </w:p>
    <w:p w14:paraId="62DC5B41">
      <w:pPr>
        <w:spacing w:line="360" w:lineRule="auto"/>
        <w:rPr>
          <w:rFonts w:ascii="宋体" w:hAnsi="宋体" w:cs="宋体"/>
          <w:sz w:val="24"/>
        </w:rPr>
      </w:pPr>
    </w:p>
    <w:p w14:paraId="3AA5B510">
      <w:pPr>
        <w:spacing w:line="360" w:lineRule="auto"/>
        <w:rPr>
          <w:rFonts w:ascii="宋体" w:hAnsi="宋体" w:cs="宋体"/>
          <w:sz w:val="24"/>
        </w:rPr>
      </w:pPr>
    </w:p>
    <w:p w14:paraId="02200899">
      <w:pPr>
        <w:spacing w:line="360" w:lineRule="auto"/>
        <w:rPr>
          <w:rFonts w:ascii="宋体" w:hAnsi="宋体" w:cs="宋体"/>
          <w:sz w:val="24"/>
        </w:rPr>
      </w:pPr>
    </w:p>
    <w:p w14:paraId="21F68AA2">
      <w:pPr>
        <w:spacing w:line="360" w:lineRule="auto"/>
        <w:rPr>
          <w:rFonts w:ascii="宋体" w:hAnsi="宋体" w:cs="宋体"/>
          <w:sz w:val="24"/>
        </w:rPr>
      </w:pPr>
    </w:p>
    <w:p w14:paraId="0A313369">
      <w:pPr>
        <w:spacing w:line="360" w:lineRule="auto"/>
        <w:rPr>
          <w:rFonts w:ascii="宋体" w:hAnsi="宋体" w:cs="宋体"/>
          <w:sz w:val="24"/>
        </w:rPr>
        <w:sectPr>
          <w:pgSz w:w="11906" w:h="16838"/>
          <w:pgMar w:top="1134" w:right="1134" w:bottom="1134" w:left="1134" w:header="851" w:footer="992" w:gutter="0"/>
          <w:cols w:space="720" w:num="1"/>
          <w:titlePg/>
          <w:docGrid w:linePitch="360" w:charSpace="0"/>
        </w:sectPr>
      </w:pPr>
    </w:p>
    <w:p w14:paraId="1C8E035C">
      <w:pPr>
        <w:jc w:val="left"/>
        <w:rPr>
          <w:b/>
          <w:bCs/>
          <w:szCs w:val="21"/>
        </w:rPr>
      </w:pPr>
      <w:r>
        <w:rPr>
          <w:rFonts w:hint="eastAsia"/>
          <w:b/>
          <w:bCs/>
          <w:szCs w:val="21"/>
        </w:rPr>
        <w:t>7、依法缴纳社会保障资金的记录</w:t>
      </w:r>
    </w:p>
    <w:p w14:paraId="0F23AD74">
      <w:pPr>
        <w:spacing w:line="360" w:lineRule="auto"/>
        <w:rPr>
          <w:rFonts w:ascii="宋体" w:hAnsi="宋体" w:cs="宋体"/>
          <w:szCs w:val="21"/>
          <w:lang w:bidi="en-US"/>
        </w:rPr>
      </w:pPr>
    </w:p>
    <w:p w14:paraId="66C1E420">
      <w:pPr>
        <w:spacing w:line="360" w:lineRule="auto"/>
        <w:rPr>
          <w:rFonts w:ascii="宋体" w:hAnsi="宋体" w:cs="宋体"/>
          <w:sz w:val="24"/>
          <w:szCs w:val="24"/>
        </w:rPr>
      </w:pPr>
      <w:r>
        <w:rPr>
          <w:szCs w:val="21"/>
        </w:rPr>
        <w:t>提供距</w:t>
      </w:r>
      <w:r>
        <w:rPr>
          <w:rFonts w:hint="eastAsia"/>
          <w:szCs w:val="21"/>
        </w:rPr>
        <w:t>磋商</w:t>
      </w:r>
      <w:r>
        <w:rPr>
          <w:szCs w:val="21"/>
        </w:rPr>
        <w:t>时间六个月内任意一</w:t>
      </w:r>
      <w:r>
        <w:rPr>
          <w:rFonts w:hint="eastAsia"/>
          <w:szCs w:val="21"/>
        </w:rPr>
        <w:t>个</w:t>
      </w:r>
      <w:r>
        <w:rPr>
          <w:szCs w:val="21"/>
        </w:rPr>
        <w:t>月份的依法缴纳社会保障资金的凭据复印件加盖公章；</w:t>
      </w:r>
      <w:r>
        <w:rPr>
          <w:rFonts w:hint="eastAsia" w:ascii="宋体" w:hAnsi="宋体" w:cs="宋体"/>
        </w:rPr>
        <w:t>（凭据可以是缴费的银行单据、专用收据、社会保险缴纳清单或者所在社保机构开具的证明等，自行编写无效，依法不需要缴纳社会保障资金的应提供相应文件说明）；</w:t>
      </w:r>
    </w:p>
    <w:p w14:paraId="3759872D">
      <w:pPr>
        <w:spacing w:line="360" w:lineRule="auto"/>
        <w:rPr>
          <w:rFonts w:ascii="宋体" w:hAnsi="宋体" w:cs="宋体"/>
          <w:sz w:val="24"/>
        </w:rPr>
      </w:pPr>
    </w:p>
    <w:p w14:paraId="00A3A43D">
      <w:pPr>
        <w:spacing w:line="360" w:lineRule="auto"/>
        <w:rPr>
          <w:rFonts w:ascii="宋体" w:hAnsi="宋体" w:cs="宋体"/>
          <w:b/>
        </w:rPr>
      </w:pPr>
      <w:r>
        <w:rPr>
          <w:rFonts w:hint="eastAsia" w:ascii="宋体" w:hAnsi="宋体" w:cs="宋体"/>
          <w:b/>
        </w:rPr>
        <w:t xml:space="preserve">  </w:t>
      </w:r>
    </w:p>
    <w:p w14:paraId="20E0784D">
      <w:pPr>
        <w:spacing w:line="360" w:lineRule="auto"/>
        <w:rPr>
          <w:rFonts w:ascii="宋体" w:hAnsi="宋体" w:cs="宋体"/>
          <w:b/>
        </w:rPr>
      </w:pPr>
    </w:p>
    <w:p w14:paraId="5E73E808">
      <w:pPr>
        <w:spacing w:line="360" w:lineRule="auto"/>
        <w:rPr>
          <w:rFonts w:ascii="宋体" w:hAnsi="宋体" w:cs="宋体"/>
          <w:sz w:val="24"/>
        </w:rPr>
      </w:pPr>
    </w:p>
    <w:p w14:paraId="1F9959E1">
      <w:pPr>
        <w:spacing w:line="360" w:lineRule="auto"/>
        <w:rPr>
          <w:rFonts w:ascii="宋体" w:hAnsi="宋体" w:cs="宋体"/>
          <w:szCs w:val="21"/>
        </w:rPr>
      </w:pPr>
      <w:r>
        <w:rPr>
          <w:rFonts w:hint="eastAsia" w:ascii="宋体" w:hAnsi="宋体" w:cs="宋体"/>
          <w:szCs w:val="21"/>
        </w:rPr>
        <w:t>供应商名称（公章）：</w:t>
      </w:r>
    </w:p>
    <w:p w14:paraId="5919DC29">
      <w:pPr>
        <w:spacing w:line="360" w:lineRule="auto"/>
        <w:rPr>
          <w:rFonts w:ascii="宋体" w:hAnsi="宋体" w:cs="宋体"/>
          <w:szCs w:val="21"/>
        </w:rPr>
      </w:pPr>
      <w:r>
        <w:rPr>
          <w:rFonts w:hint="eastAsia" w:ascii="宋体" w:hAnsi="宋体" w:cs="宋体"/>
          <w:szCs w:val="21"/>
        </w:rPr>
        <w:t>授权代表（签字）：</w:t>
      </w:r>
    </w:p>
    <w:p w14:paraId="501FFF6A">
      <w:pPr>
        <w:spacing w:line="360" w:lineRule="auto"/>
        <w:rPr>
          <w:rFonts w:ascii="宋体" w:hAnsi="宋体" w:cs="宋体"/>
          <w:sz w:val="24"/>
          <w:szCs w:val="24"/>
        </w:rPr>
      </w:pPr>
      <w:r>
        <w:rPr>
          <w:rFonts w:hint="eastAsia" w:ascii="宋体" w:hAnsi="宋体" w:cs="宋体"/>
          <w:szCs w:val="21"/>
        </w:rPr>
        <w:t>日期：</w:t>
      </w:r>
    </w:p>
    <w:p w14:paraId="76965C46">
      <w:pPr>
        <w:spacing w:line="360" w:lineRule="auto"/>
        <w:rPr>
          <w:rFonts w:ascii="宋体" w:hAnsi="宋体" w:cs="宋体"/>
          <w:sz w:val="24"/>
        </w:rPr>
      </w:pPr>
    </w:p>
    <w:p w14:paraId="015ED04F">
      <w:pPr>
        <w:spacing w:line="360" w:lineRule="auto"/>
        <w:rPr>
          <w:rFonts w:ascii="宋体" w:hAnsi="宋体" w:cs="宋体"/>
          <w:b/>
        </w:rPr>
      </w:pPr>
    </w:p>
    <w:p w14:paraId="2D6A2950">
      <w:pPr>
        <w:spacing w:line="360" w:lineRule="auto"/>
        <w:jc w:val="center"/>
        <w:rPr>
          <w:rFonts w:ascii="宋体" w:hAnsi="宋体" w:cs="宋体"/>
        </w:rPr>
      </w:pPr>
    </w:p>
    <w:p w14:paraId="5CBFA7E5">
      <w:pPr>
        <w:spacing w:line="360" w:lineRule="auto"/>
        <w:rPr>
          <w:rFonts w:ascii="宋体" w:hAnsi="宋体" w:cs="宋体"/>
          <w:b/>
        </w:rPr>
      </w:pPr>
    </w:p>
    <w:p w14:paraId="3F98EC9F">
      <w:pPr>
        <w:spacing w:line="360" w:lineRule="auto"/>
        <w:ind w:right="-5"/>
        <w:rPr>
          <w:rFonts w:ascii="宋体" w:hAnsi="宋体" w:cs="宋体"/>
          <w:b/>
        </w:rPr>
      </w:pPr>
    </w:p>
    <w:p w14:paraId="68BA6B9F">
      <w:pPr>
        <w:spacing w:line="360" w:lineRule="auto"/>
        <w:ind w:right="-5"/>
        <w:rPr>
          <w:rFonts w:ascii="宋体" w:hAnsi="宋体" w:cs="宋体"/>
          <w:b/>
        </w:rPr>
      </w:pPr>
    </w:p>
    <w:p w14:paraId="52BFA720">
      <w:pPr>
        <w:spacing w:line="360" w:lineRule="auto"/>
        <w:ind w:right="-5"/>
        <w:rPr>
          <w:rFonts w:ascii="宋体" w:hAnsi="宋体" w:cs="宋体"/>
          <w:b/>
        </w:rPr>
      </w:pPr>
    </w:p>
    <w:p w14:paraId="1D7B53D7">
      <w:pPr>
        <w:spacing w:line="360" w:lineRule="auto"/>
        <w:ind w:right="-5"/>
        <w:rPr>
          <w:rFonts w:ascii="宋体" w:hAnsi="宋体" w:cs="宋体"/>
          <w:b/>
        </w:rPr>
      </w:pPr>
    </w:p>
    <w:p w14:paraId="1F4C1116">
      <w:pPr>
        <w:jc w:val="left"/>
        <w:rPr>
          <w:b/>
          <w:bCs/>
          <w:szCs w:val="21"/>
        </w:rPr>
      </w:pPr>
      <w:r>
        <w:rPr>
          <w:rFonts w:hint="eastAsia"/>
          <w:b/>
          <w:bCs/>
          <w:szCs w:val="21"/>
        </w:rPr>
        <w:br w:type="page" w:clear="all"/>
      </w:r>
      <w:r>
        <w:rPr>
          <w:rFonts w:hint="eastAsia"/>
          <w:b/>
          <w:bCs/>
          <w:szCs w:val="21"/>
        </w:rPr>
        <w:t>8、供应商认为其需要提供的其他资格证明文件</w:t>
      </w:r>
    </w:p>
    <w:p w14:paraId="44383263">
      <w:pPr>
        <w:spacing w:line="360" w:lineRule="auto"/>
        <w:rPr>
          <w:rFonts w:ascii="宋体" w:hAnsi="宋体" w:cs="宋体"/>
          <w:b/>
        </w:rPr>
      </w:pPr>
      <w:r>
        <w:rPr>
          <w:rFonts w:hint="eastAsia" w:ascii="宋体" w:hAnsi="宋体" w:cs="宋体"/>
          <w:sz w:val="24"/>
        </w:rPr>
        <w:t xml:space="preserve">    </w:t>
      </w:r>
      <w:r>
        <w:rPr>
          <w:rFonts w:hint="eastAsia" w:ascii="宋体" w:hAnsi="宋体" w:cs="宋体"/>
          <w:b/>
        </w:rPr>
        <w:t xml:space="preserve">      </w:t>
      </w:r>
    </w:p>
    <w:p w14:paraId="3AF1DF0D">
      <w:pPr>
        <w:spacing w:line="440" w:lineRule="exact"/>
        <w:rPr>
          <w:b/>
        </w:rPr>
      </w:pPr>
      <w:r>
        <w:rPr>
          <w:sz w:val="24"/>
        </w:rPr>
        <w:t xml:space="preserve"> </w:t>
      </w:r>
      <w:bookmarkStart w:id="335" w:name="_Toc32549"/>
      <w:bookmarkStart w:id="336" w:name="_Toc5227"/>
      <w:r>
        <w:rPr>
          <w:rFonts w:hint="eastAsia"/>
          <w:b/>
        </w:rPr>
        <w:t>（1）</w:t>
      </w:r>
      <w:r>
        <w:rPr>
          <w:b/>
        </w:rPr>
        <w:t>声明函（参考格式）</w:t>
      </w:r>
      <w:bookmarkEnd w:id="335"/>
      <w:bookmarkEnd w:id="336"/>
    </w:p>
    <w:p w14:paraId="6C06BC74">
      <w:pPr>
        <w:spacing w:line="440" w:lineRule="exact"/>
        <w:rPr>
          <w:b/>
        </w:rPr>
      </w:pPr>
    </w:p>
    <w:p w14:paraId="597899F6">
      <w:pPr>
        <w:spacing w:line="360" w:lineRule="auto"/>
        <w:jc w:val="center"/>
        <w:rPr>
          <w:b/>
          <w:bCs/>
          <w:szCs w:val="21"/>
        </w:rPr>
      </w:pPr>
      <w:r>
        <w:rPr>
          <w:b/>
          <w:bCs/>
          <w:szCs w:val="21"/>
        </w:rPr>
        <w:t>声明函</w:t>
      </w:r>
    </w:p>
    <w:p w14:paraId="02B75AE5">
      <w:pPr>
        <w:spacing w:line="360" w:lineRule="auto"/>
        <w:jc w:val="left"/>
        <w:rPr>
          <w:b/>
          <w:bCs/>
          <w:szCs w:val="21"/>
        </w:rPr>
      </w:pPr>
      <w:r>
        <w:rPr>
          <w:rFonts w:hint="eastAsia"/>
          <w:b/>
          <w:bCs/>
          <w:szCs w:val="21"/>
        </w:rPr>
        <w:t>苏美达国际技术贸易有限公司</w:t>
      </w:r>
      <w:r>
        <w:rPr>
          <w:b/>
          <w:bCs/>
          <w:szCs w:val="21"/>
        </w:rPr>
        <w:t xml:space="preserve">： </w:t>
      </w:r>
    </w:p>
    <w:p w14:paraId="4F26C594">
      <w:pPr>
        <w:spacing w:line="360" w:lineRule="auto"/>
        <w:ind w:firstLine="420"/>
        <w:rPr>
          <w:b/>
          <w:bCs/>
          <w:szCs w:val="21"/>
        </w:rPr>
      </w:pPr>
      <w:r>
        <w:rPr>
          <w:szCs w:val="21"/>
        </w:rPr>
        <w:t>我单位未组成联合体投标</w:t>
      </w:r>
      <w:r>
        <w:rPr>
          <w:rFonts w:hint="eastAsia"/>
          <w:szCs w:val="21"/>
        </w:rPr>
        <w:t>响应</w:t>
      </w:r>
      <w:r>
        <w:rPr>
          <w:szCs w:val="21"/>
        </w:rPr>
        <w:t>，</w:t>
      </w:r>
      <w:r>
        <w:rPr>
          <w:rFonts w:hint="eastAsia"/>
          <w:szCs w:val="21"/>
        </w:rPr>
        <w:t>成交</w:t>
      </w:r>
      <w:r>
        <w:rPr>
          <w:szCs w:val="21"/>
        </w:rPr>
        <w:t>后不进行分包、转包。</w:t>
      </w:r>
      <w:r>
        <w:rPr>
          <w:b/>
          <w:bCs/>
          <w:szCs w:val="21"/>
        </w:rPr>
        <w:t xml:space="preserve"> </w:t>
      </w:r>
    </w:p>
    <w:p w14:paraId="1D769610">
      <w:pPr>
        <w:spacing w:line="360" w:lineRule="auto"/>
        <w:ind w:firstLine="420"/>
        <w:rPr>
          <w:szCs w:val="21"/>
          <w:u w:val="single"/>
        </w:rPr>
      </w:pPr>
      <w:r>
        <w:rPr>
          <w:szCs w:val="21"/>
        </w:rPr>
        <w:t>我单位负责人</w:t>
      </w:r>
      <w:r>
        <w:rPr>
          <w:szCs w:val="21"/>
          <w:u w:val="single"/>
        </w:rPr>
        <w:t xml:space="preserve">    （负责人姓名、身份证号）</w:t>
      </w:r>
      <w:r>
        <w:rPr>
          <w:szCs w:val="21"/>
        </w:rPr>
        <w:t>，与我单位存在直接控股、管理关系的单位为</w:t>
      </w:r>
    </w:p>
    <w:p w14:paraId="69679F61">
      <w:pPr>
        <w:spacing w:line="360" w:lineRule="auto"/>
        <w:jc w:val="left"/>
        <w:rPr>
          <w:szCs w:val="21"/>
        </w:rPr>
      </w:pPr>
      <w:r>
        <w:rPr>
          <w:szCs w:val="21"/>
          <w:u w:val="single"/>
        </w:rPr>
        <w:t>（单位名称）</w:t>
      </w:r>
      <w:r>
        <w:rPr>
          <w:szCs w:val="21"/>
        </w:rPr>
        <w:t>，不存在与我单位负责人为同一人或者存在直接控股、管理</w:t>
      </w:r>
      <w:r>
        <w:rPr>
          <w:rFonts w:hint="eastAsia"/>
          <w:szCs w:val="21"/>
        </w:rPr>
        <w:t>关系</w:t>
      </w:r>
      <w:r>
        <w:rPr>
          <w:szCs w:val="21"/>
        </w:rPr>
        <w:t>的不同供应商同时参加本项目同一包投标</w:t>
      </w:r>
      <w:r>
        <w:rPr>
          <w:rFonts w:hint="eastAsia"/>
          <w:szCs w:val="21"/>
        </w:rPr>
        <w:t>响应</w:t>
      </w:r>
      <w:r>
        <w:rPr>
          <w:szCs w:val="21"/>
        </w:rPr>
        <w:t xml:space="preserve">的情形。 </w:t>
      </w:r>
    </w:p>
    <w:p w14:paraId="475A3596">
      <w:pPr>
        <w:widowControl/>
        <w:spacing w:line="360" w:lineRule="auto"/>
        <w:ind w:firstLine="420"/>
        <w:rPr>
          <w:color w:val="000000"/>
          <w:szCs w:val="21"/>
        </w:rPr>
      </w:pPr>
      <w:r>
        <w:rPr>
          <w:color w:val="000000"/>
          <w:szCs w:val="21"/>
        </w:rPr>
        <w:t>我单位不属于为采购项目提供整体设计、规范编制或者项目管理、监理、检测等服务的情形。</w:t>
      </w:r>
    </w:p>
    <w:p w14:paraId="6AC6A42A">
      <w:pPr>
        <w:widowControl/>
        <w:spacing w:line="360" w:lineRule="auto"/>
        <w:ind w:firstLine="420"/>
        <w:rPr>
          <w:color w:val="000000"/>
          <w:szCs w:val="21"/>
        </w:rPr>
      </w:pPr>
      <w:r>
        <w:rPr>
          <w:color w:val="000000"/>
          <w:szCs w:val="21"/>
        </w:rPr>
        <w:t>我单位未被列入失信被执行人、</w:t>
      </w:r>
      <w:r>
        <w:rPr>
          <w:rFonts w:hint="eastAsia"/>
          <w:color w:val="000000"/>
          <w:szCs w:val="21"/>
        </w:rPr>
        <w:t>重大税收违法失信主体</w:t>
      </w:r>
      <w:r>
        <w:rPr>
          <w:color w:val="000000"/>
          <w:szCs w:val="21"/>
        </w:rPr>
        <w:t>、政府采购严重违法失信行为记录名单。</w:t>
      </w:r>
    </w:p>
    <w:p w14:paraId="6194D5F1">
      <w:pPr>
        <w:spacing w:line="360" w:lineRule="auto"/>
        <w:ind w:firstLine="422"/>
        <w:rPr>
          <w:szCs w:val="21"/>
        </w:rPr>
      </w:pPr>
      <w:r>
        <w:rPr>
          <w:b/>
          <w:bCs/>
          <w:szCs w:val="21"/>
        </w:rPr>
        <w:t>特此声明。</w:t>
      </w:r>
    </w:p>
    <w:p w14:paraId="25E073F7">
      <w:pPr>
        <w:rPr>
          <w:sz w:val="24"/>
          <w:szCs w:val="22"/>
        </w:rPr>
      </w:pPr>
    </w:p>
    <w:p w14:paraId="2ECD9669">
      <w:pPr>
        <w:spacing w:line="360" w:lineRule="auto"/>
        <w:ind w:left="-2" w:right="-5"/>
        <w:rPr>
          <w:szCs w:val="21"/>
        </w:rPr>
      </w:pPr>
    </w:p>
    <w:p w14:paraId="200FFF28">
      <w:pPr>
        <w:spacing w:line="360" w:lineRule="auto"/>
        <w:ind w:left="-2" w:right="-5"/>
        <w:rPr>
          <w:szCs w:val="21"/>
        </w:rPr>
      </w:pPr>
    </w:p>
    <w:p w14:paraId="20BC602C">
      <w:pPr>
        <w:spacing w:line="360" w:lineRule="auto"/>
        <w:rPr>
          <w:szCs w:val="21"/>
        </w:rPr>
      </w:pPr>
      <w:r>
        <w:rPr>
          <w:szCs w:val="21"/>
        </w:rPr>
        <w:t>供应商名称（公章）：</w:t>
      </w:r>
    </w:p>
    <w:p w14:paraId="75C24C20">
      <w:pPr>
        <w:spacing w:line="360" w:lineRule="auto"/>
        <w:rPr>
          <w:szCs w:val="21"/>
        </w:rPr>
      </w:pPr>
      <w:r>
        <w:rPr>
          <w:szCs w:val="21"/>
        </w:rPr>
        <w:t>授权代表（签字）：</w:t>
      </w:r>
    </w:p>
    <w:p w14:paraId="39EF6727">
      <w:pPr>
        <w:spacing w:line="360" w:lineRule="auto"/>
        <w:jc w:val="left"/>
        <w:rPr>
          <w:szCs w:val="21"/>
        </w:rPr>
      </w:pPr>
      <w:r>
        <w:rPr>
          <w:szCs w:val="21"/>
        </w:rPr>
        <w:t>日期：</w:t>
      </w:r>
    </w:p>
    <w:p w14:paraId="30552301">
      <w:pPr>
        <w:rPr>
          <w:szCs w:val="21"/>
        </w:rPr>
      </w:pPr>
      <w:r>
        <w:rPr>
          <w:szCs w:val="21"/>
        </w:rPr>
        <w:br w:type="page" w:clear="all"/>
      </w:r>
    </w:p>
    <w:p w14:paraId="4D2C9D0D">
      <w:pPr>
        <w:spacing w:line="440" w:lineRule="exact"/>
        <w:rPr>
          <w:rFonts w:ascii="Arial" w:hAnsi="Arial" w:cs="Arial"/>
          <w:b/>
        </w:rPr>
      </w:pPr>
      <w:r>
        <w:rPr>
          <w:rFonts w:ascii="Arial" w:hAnsi="Arial" w:cs="Arial"/>
          <w:b/>
        </w:rPr>
        <w:t>（2）其他特定资格要求（如有）</w:t>
      </w:r>
    </w:p>
    <w:p w14:paraId="4391E4B3">
      <w:pPr>
        <w:spacing w:line="440" w:lineRule="exact"/>
        <w:rPr>
          <w:rFonts w:ascii="Arial" w:hAnsi="Arial" w:cs="Arial"/>
          <w:b/>
        </w:rPr>
      </w:pPr>
    </w:p>
    <w:p w14:paraId="4EFF6CDC">
      <w:pPr>
        <w:pStyle w:val="210"/>
        <w:rPr>
          <w:rFonts w:ascii="Arial" w:hAnsi="Arial" w:cs="Arial"/>
        </w:rPr>
      </w:pPr>
    </w:p>
    <w:p w14:paraId="380018DA">
      <w:pPr>
        <w:pStyle w:val="210"/>
        <w:rPr>
          <w:rFonts w:ascii="Arial" w:hAnsi="Arial" w:cs="Arial"/>
        </w:rPr>
      </w:pPr>
    </w:p>
    <w:p w14:paraId="76C6305E">
      <w:pPr>
        <w:spacing w:line="360" w:lineRule="auto"/>
        <w:rPr>
          <w:rFonts w:ascii="Arial" w:hAnsi="Arial" w:cs="Arial"/>
          <w:szCs w:val="21"/>
        </w:rPr>
      </w:pPr>
      <w:r>
        <w:rPr>
          <w:rFonts w:ascii="Arial" w:hAnsi="Arial" w:cs="Arial"/>
          <w:szCs w:val="21"/>
        </w:rPr>
        <w:t>供应商名称（公章）：</w:t>
      </w:r>
    </w:p>
    <w:p w14:paraId="2C3A89CD">
      <w:pPr>
        <w:spacing w:line="360" w:lineRule="auto"/>
        <w:rPr>
          <w:rFonts w:ascii="Arial" w:hAnsi="Arial" w:cs="Arial"/>
          <w:szCs w:val="21"/>
        </w:rPr>
      </w:pPr>
      <w:r>
        <w:rPr>
          <w:rFonts w:ascii="Arial" w:hAnsi="Arial" w:cs="Arial"/>
          <w:szCs w:val="21"/>
        </w:rPr>
        <w:t>授权代表（签字）：</w:t>
      </w:r>
    </w:p>
    <w:p w14:paraId="5CC5367E">
      <w:pPr>
        <w:spacing w:line="440" w:lineRule="exact"/>
        <w:rPr>
          <w:rFonts w:ascii="Arial" w:hAnsi="Arial" w:cs="Arial"/>
        </w:rPr>
        <w:sectPr>
          <w:pgSz w:w="11906" w:h="16838"/>
          <w:pgMar w:top="1418" w:right="1418" w:bottom="1418" w:left="1418" w:header="851" w:footer="992" w:gutter="0"/>
          <w:cols w:space="720" w:num="1"/>
          <w:titlePg/>
          <w:docGrid w:linePitch="360" w:charSpace="0"/>
        </w:sectPr>
      </w:pPr>
      <w:r>
        <w:rPr>
          <w:rFonts w:ascii="Arial" w:hAnsi="Arial" w:cs="Arial"/>
          <w:szCs w:val="21"/>
        </w:rPr>
        <w:t>日期</w:t>
      </w:r>
      <w:bookmarkStart w:id="337" w:name="_Toc20105"/>
      <w:r>
        <w:rPr>
          <w:rFonts w:ascii="Arial" w:hAnsi="Arial" w:cs="Arial"/>
          <w:szCs w:val="21"/>
        </w:rPr>
        <w:t>：</w:t>
      </w:r>
      <w:bookmarkEnd w:id="337"/>
    </w:p>
    <w:p w14:paraId="14C86262">
      <w:pPr>
        <w:spacing w:line="360" w:lineRule="auto"/>
        <w:outlineLvl w:val="1"/>
        <w:rPr>
          <w:rFonts w:ascii="Arial" w:hAnsi="Arial" w:cs="Arial"/>
          <w:b/>
          <w:bCs/>
          <w:sz w:val="24"/>
          <w:szCs w:val="22"/>
          <w:lang w:val="zh-CN"/>
        </w:rPr>
      </w:pPr>
      <w:bookmarkStart w:id="338" w:name="_Toc2349"/>
      <w:bookmarkStart w:id="339" w:name="_Toc4584"/>
      <w:bookmarkStart w:id="340" w:name="_Toc28284"/>
      <w:bookmarkStart w:id="341" w:name="_Toc18468"/>
      <w:r>
        <w:rPr>
          <w:rFonts w:ascii="Arial" w:hAnsi="Arial" w:cs="Arial"/>
          <w:b/>
          <w:bCs/>
          <w:sz w:val="24"/>
          <w:szCs w:val="22"/>
          <w:lang w:val="zh-CN"/>
        </w:rPr>
        <w:t>附件</w:t>
      </w:r>
      <w:r>
        <w:rPr>
          <w:rFonts w:hint="eastAsia" w:ascii="Arial" w:hAnsi="Arial" w:cs="Arial"/>
          <w:b/>
          <w:bCs/>
          <w:sz w:val="24"/>
          <w:szCs w:val="22"/>
        </w:rPr>
        <w:t>九</w:t>
      </w:r>
      <w:r>
        <w:rPr>
          <w:rFonts w:ascii="Arial" w:hAnsi="Arial" w:cs="Arial"/>
          <w:b/>
          <w:bCs/>
          <w:sz w:val="24"/>
          <w:szCs w:val="22"/>
        </w:rPr>
        <w:t xml:space="preserve"> </w:t>
      </w:r>
      <w:bookmarkEnd w:id="338"/>
      <w:bookmarkEnd w:id="339"/>
      <w:r>
        <w:rPr>
          <w:rFonts w:ascii="Arial" w:hAnsi="Arial" w:cs="Arial"/>
          <w:b/>
          <w:bCs/>
          <w:sz w:val="24"/>
          <w:szCs w:val="22"/>
          <w:lang w:val="zh-CN"/>
        </w:rPr>
        <w:t>供应商认为应提供的其他材料</w:t>
      </w:r>
      <w:bookmarkEnd w:id="340"/>
      <w:bookmarkEnd w:id="341"/>
    </w:p>
    <w:p w14:paraId="6672FE93">
      <w:pPr>
        <w:pStyle w:val="210"/>
        <w:ind w:firstLine="0"/>
        <w:rPr>
          <w:rFonts w:ascii="Arial" w:hAnsi="Arial" w:cs="Arial"/>
          <w:b/>
          <w:bCs/>
        </w:rPr>
      </w:pPr>
      <w:r>
        <w:rPr>
          <w:rFonts w:hint="eastAsia" w:ascii="Arial" w:hAnsi="Arial" w:cs="Arial"/>
          <w:b/>
          <w:bCs/>
        </w:rPr>
        <w:t>1、</w:t>
      </w:r>
      <w:r>
        <w:rPr>
          <w:rFonts w:ascii="Arial" w:hAnsi="Arial" w:cs="Arial"/>
          <w:b/>
          <w:bCs/>
        </w:rPr>
        <w:t>业绩清单（参考格式）</w:t>
      </w:r>
    </w:p>
    <w:tbl>
      <w:tblPr>
        <w:tblStyle w:val="49"/>
        <w:tblW w:w="92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1679"/>
        <w:gridCol w:w="1506"/>
        <w:gridCol w:w="1757"/>
        <w:gridCol w:w="2138"/>
        <w:gridCol w:w="1484"/>
      </w:tblGrid>
      <w:tr w14:paraId="46F80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8" w:type="dxa"/>
            <w:vAlign w:val="center"/>
          </w:tcPr>
          <w:p w14:paraId="649D3759">
            <w:pPr>
              <w:jc w:val="center"/>
              <w:rPr>
                <w:rFonts w:ascii="Arial" w:hAnsi="Arial" w:cs="Arial"/>
                <w:szCs w:val="21"/>
              </w:rPr>
            </w:pPr>
            <w:r>
              <w:rPr>
                <w:rFonts w:ascii="Arial" w:hAnsi="Arial" w:cs="Arial"/>
                <w:szCs w:val="21"/>
              </w:rPr>
              <w:t>序号</w:t>
            </w:r>
          </w:p>
        </w:tc>
        <w:tc>
          <w:tcPr>
            <w:tcW w:w="1679" w:type="dxa"/>
            <w:vAlign w:val="center"/>
          </w:tcPr>
          <w:p w14:paraId="7E614B63">
            <w:pPr>
              <w:jc w:val="center"/>
              <w:rPr>
                <w:rFonts w:ascii="Arial" w:hAnsi="Arial" w:cs="Arial"/>
                <w:szCs w:val="21"/>
              </w:rPr>
            </w:pPr>
            <w:r>
              <w:rPr>
                <w:rFonts w:ascii="Arial" w:hAnsi="Arial" w:cs="Arial"/>
                <w:szCs w:val="21"/>
              </w:rPr>
              <w:t>项目名称</w:t>
            </w:r>
          </w:p>
        </w:tc>
        <w:tc>
          <w:tcPr>
            <w:tcW w:w="1506" w:type="dxa"/>
            <w:vAlign w:val="center"/>
          </w:tcPr>
          <w:p w14:paraId="7596110B">
            <w:pPr>
              <w:tabs>
                <w:tab w:val="left" w:pos="6252"/>
              </w:tabs>
              <w:jc w:val="center"/>
              <w:rPr>
                <w:rFonts w:ascii="Arial" w:hAnsi="Arial" w:cs="Arial"/>
                <w:szCs w:val="21"/>
              </w:rPr>
            </w:pPr>
            <w:r>
              <w:rPr>
                <w:rFonts w:ascii="Arial" w:hAnsi="Arial" w:cs="Arial"/>
                <w:szCs w:val="21"/>
              </w:rPr>
              <w:t>项目时间</w:t>
            </w:r>
          </w:p>
        </w:tc>
        <w:tc>
          <w:tcPr>
            <w:tcW w:w="1757" w:type="dxa"/>
            <w:vAlign w:val="center"/>
          </w:tcPr>
          <w:p w14:paraId="1918CB69">
            <w:pPr>
              <w:tabs>
                <w:tab w:val="left" w:pos="6252"/>
              </w:tabs>
              <w:jc w:val="center"/>
              <w:rPr>
                <w:rFonts w:ascii="Arial" w:hAnsi="Arial" w:cs="Arial"/>
                <w:szCs w:val="21"/>
              </w:rPr>
            </w:pPr>
            <w:r>
              <w:rPr>
                <w:rFonts w:ascii="Arial" w:hAnsi="Arial" w:cs="Arial"/>
                <w:szCs w:val="21"/>
              </w:rPr>
              <w:t>合同金额</w:t>
            </w:r>
          </w:p>
        </w:tc>
        <w:tc>
          <w:tcPr>
            <w:tcW w:w="2138" w:type="dxa"/>
            <w:vAlign w:val="center"/>
          </w:tcPr>
          <w:p w14:paraId="67402AB9">
            <w:pPr>
              <w:tabs>
                <w:tab w:val="left" w:pos="6252"/>
              </w:tabs>
              <w:jc w:val="center"/>
              <w:rPr>
                <w:rFonts w:ascii="Arial" w:hAnsi="Arial" w:cs="Arial"/>
                <w:szCs w:val="21"/>
              </w:rPr>
            </w:pPr>
            <w:r>
              <w:rPr>
                <w:rFonts w:ascii="Arial" w:hAnsi="Arial" w:cs="Arial"/>
                <w:szCs w:val="21"/>
              </w:rPr>
              <w:t>业主单位及联系电话</w:t>
            </w:r>
          </w:p>
        </w:tc>
        <w:tc>
          <w:tcPr>
            <w:tcW w:w="1484" w:type="dxa"/>
            <w:vAlign w:val="center"/>
          </w:tcPr>
          <w:p w14:paraId="23B3E229">
            <w:pPr>
              <w:jc w:val="center"/>
              <w:rPr>
                <w:rFonts w:ascii="Arial" w:hAnsi="Arial" w:cs="Arial"/>
                <w:szCs w:val="21"/>
              </w:rPr>
            </w:pPr>
            <w:r>
              <w:rPr>
                <w:rFonts w:ascii="Arial" w:hAnsi="Arial" w:cs="Arial"/>
                <w:szCs w:val="21"/>
              </w:rPr>
              <w:t>备注</w:t>
            </w:r>
          </w:p>
        </w:tc>
      </w:tr>
      <w:tr w14:paraId="3F720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8" w:type="dxa"/>
            <w:vAlign w:val="center"/>
          </w:tcPr>
          <w:p w14:paraId="3467122A">
            <w:pPr>
              <w:jc w:val="center"/>
              <w:rPr>
                <w:rFonts w:ascii="Arial" w:hAnsi="Arial" w:cs="Arial"/>
                <w:szCs w:val="21"/>
              </w:rPr>
            </w:pPr>
          </w:p>
        </w:tc>
        <w:tc>
          <w:tcPr>
            <w:tcW w:w="1679" w:type="dxa"/>
            <w:vAlign w:val="center"/>
          </w:tcPr>
          <w:p w14:paraId="71309851">
            <w:pPr>
              <w:jc w:val="center"/>
              <w:rPr>
                <w:rFonts w:ascii="Arial" w:hAnsi="Arial" w:cs="Arial"/>
                <w:szCs w:val="21"/>
              </w:rPr>
            </w:pPr>
          </w:p>
        </w:tc>
        <w:tc>
          <w:tcPr>
            <w:tcW w:w="1506" w:type="dxa"/>
          </w:tcPr>
          <w:p w14:paraId="70504B11">
            <w:pPr>
              <w:jc w:val="center"/>
              <w:rPr>
                <w:rFonts w:ascii="Arial" w:hAnsi="Arial" w:cs="Arial"/>
                <w:szCs w:val="21"/>
              </w:rPr>
            </w:pPr>
          </w:p>
        </w:tc>
        <w:tc>
          <w:tcPr>
            <w:tcW w:w="1757" w:type="dxa"/>
            <w:vAlign w:val="center"/>
          </w:tcPr>
          <w:p w14:paraId="535CBDE4">
            <w:pPr>
              <w:jc w:val="center"/>
              <w:rPr>
                <w:rFonts w:ascii="Arial" w:hAnsi="Arial" w:cs="Arial"/>
                <w:szCs w:val="21"/>
              </w:rPr>
            </w:pPr>
          </w:p>
        </w:tc>
        <w:tc>
          <w:tcPr>
            <w:tcW w:w="2138" w:type="dxa"/>
            <w:vAlign w:val="center"/>
          </w:tcPr>
          <w:p w14:paraId="27EDB144">
            <w:pPr>
              <w:jc w:val="center"/>
              <w:rPr>
                <w:rFonts w:ascii="Arial" w:hAnsi="Arial" w:cs="Arial"/>
                <w:szCs w:val="21"/>
              </w:rPr>
            </w:pPr>
          </w:p>
        </w:tc>
        <w:tc>
          <w:tcPr>
            <w:tcW w:w="1484" w:type="dxa"/>
            <w:vAlign w:val="center"/>
          </w:tcPr>
          <w:p w14:paraId="64B64495">
            <w:pPr>
              <w:jc w:val="center"/>
              <w:rPr>
                <w:rFonts w:ascii="Arial" w:hAnsi="Arial" w:cs="Arial"/>
                <w:szCs w:val="21"/>
              </w:rPr>
            </w:pPr>
          </w:p>
        </w:tc>
      </w:tr>
      <w:tr w14:paraId="4F18F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8" w:type="dxa"/>
            <w:vAlign w:val="center"/>
          </w:tcPr>
          <w:p w14:paraId="13BF41AD">
            <w:pPr>
              <w:jc w:val="center"/>
              <w:rPr>
                <w:rFonts w:ascii="Arial" w:hAnsi="Arial" w:cs="Arial"/>
                <w:szCs w:val="21"/>
              </w:rPr>
            </w:pPr>
          </w:p>
        </w:tc>
        <w:tc>
          <w:tcPr>
            <w:tcW w:w="1679" w:type="dxa"/>
            <w:vAlign w:val="center"/>
          </w:tcPr>
          <w:p w14:paraId="2B474604">
            <w:pPr>
              <w:jc w:val="center"/>
              <w:rPr>
                <w:rFonts w:ascii="Arial" w:hAnsi="Arial" w:cs="Arial"/>
                <w:szCs w:val="21"/>
              </w:rPr>
            </w:pPr>
          </w:p>
        </w:tc>
        <w:tc>
          <w:tcPr>
            <w:tcW w:w="1506" w:type="dxa"/>
          </w:tcPr>
          <w:p w14:paraId="6855DBD2">
            <w:pPr>
              <w:jc w:val="center"/>
              <w:rPr>
                <w:rFonts w:ascii="Arial" w:hAnsi="Arial" w:cs="Arial"/>
                <w:szCs w:val="21"/>
              </w:rPr>
            </w:pPr>
          </w:p>
        </w:tc>
        <w:tc>
          <w:tcPr>
            <w:tcW w:w="1757" w:type="dxa"/>
            <w:vAlign w:val="center"/>
          </w:tcPr>
          <w:p w14:paraId="40DEF55C">
            <w:pPr>
              <w:jc w:val="center"/>
              <w:rPr>
                <w:rFonts w:ascii="Arial" w:hAnsi="Arial" w:cs="Arial"/>
                <w:szCs w:val="21"/>
              </w:rPr>
            </w:pPr>
          </w:p>
        </w:tc>
        <w:tc>
          <w:tcPr>
            <w:tcW w:w="2138" w:type="dxa"/>
            <w:vAlign w:val="center"/>
          </w:tcPr>
          <w:p w14:paraId="44779DBE">
            <w:pPr>
              <w:jc w:val="center"/>
              <w:rPr>
                <w:rFonts w:ascii="Arial" w:hAnsi="Arial" w:cs="Arial"/>
                <w:szCs w:val="21"/>
              </w:rPr>
            </w:pPr>
          </w:p>
        </w:tc>
        <w:tc>
          <w:tcPr>
            <w:tcW w:w="1484" w:type="dxa"/>
            <w:vAlign w:val="center"/>
          </w:tcPr>
          <w:p w14:paraId="3BEB5B43">
            <w:pPr>
              <w:jc w:val="center"/>
              <w:rPr>
                <w:rFonts w:ascii="Arial" w:hAnsi="Arial" w:cs="Arial"/>
                <w:szCs w:val="21"/>
              </w:rPr>
            </w:pPr>
          </w:p>
        </w:tc>
      </w:tr>
      <w:tr w14:paraId="2282B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8" w:type="dxa"/>
            <w:vAlign w:val="center"/>
          </w:tcPr>
          <w:p w14:paraId="0D218745">
            <w:pPr>
              <w:jc w:val="center"/>
              <w:rPr>
                <w:rFonts w:ascii="Arial" w:hAnsi="Arial" w:cs="Arial"/>
                <w:szCs w:val="21"/>
              </w:rPr>
            </w:pPr>
          </w:p>
        </w:tc>
        <w:tc>
          <w:tcPr>
            <w:tcW w:w="1679" w:type="dxa"/>
            <w:vAlign w:val="center"/>
          </w:tcPr>
          <w:p w14:paraId="5A4F2D4B">
            <w:pPr>
              <w:jc w:val="center"/>
              <w:rPr>
                <w:rFonts w:ascii="Arial" w:hAnsi="Arial" w:cs="Arial"/>
                <w:szCs w:val="21"/>
              </w:rPr>
            </w:pPr>
          </w:p>
        </w:tc>
        <w:tc>
          <w:tcPr>
            <w:tcW w:w="1506" w:type="dxa"/>
          </w:tcPr>
          <w:p w14:paraId="2A897E2C">
            <w:pPr>
              <w:jc w:val="center"/>
              <w:rPr>
                <w:rFonts w:ascii="Arial" w:hAnsi="Arial" w:cs="Arial"/>
                <w:szCs w:val="21"/>
              </w:rPr>
            </w:pPr>
          </w:p>
        </w:tc>
        <w:tc>
          <w:tcPr>
            <w:tcW w:w="1757" w:type="dxa"/>
            <w:vAlign w:val="center"/>
          </w:tcPr>
          <w:p w14:paraId="77BA3559">
            <w:pPr>
              <w:jc w:val="center"/>
              <w:rPr>
                <w:rFonts w:ascii="Arial" w:hAnsi="Arial" w:cs="Arial"/>
                <w:szCs w:val="21"/>
              </w:rPr>
            </w:pPr>
          </w:p>
        </w:tc>
        <w:tc>
          <w:tcPr>
            <w:tcW w:w="2138" w:type="dxa"/>
            <w:vAlign w:val="center"/>
          </w:tcPr>
          <w:p w14:paraId="3D9D8F98">
            <w:pPr>
              <w:jc w:val="center"/>
              <w:rPr>
                <w:rFonts w:ascii="Arial" w:hAnsi="Arial" w:cs="Arial"/>
                <w:szCs w:val="21"/>
              </w:rPr>
            </w:pPr>
          </w:p>
        </w:tc>
        <w:tc>
          <w:tcPr>
            <w:tcW w:w="1484" w:type="dxa"/>
            <w:vAlign w:val="center"/>
          </w:tcPr>
          <w:p w14:paraId="609A8239">
            <w:pPr>
              <w:jc w:val="center"/>
              <w:rPr>
                <w:rFonts w:ascii="Arial" w:hAnsi="Arial" w:cs="Arial"/>
                <w:szCs w:val="21"/>
              </w:rPr>
            </w:pPr>
          </w:p>
        </w:tc>
      </w:tr>
      <w:tr w14:paraId="400AC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8" w:type="dxa"/>
            <w:vAlign w:val="center"/>
          </w:tcPr>
          <w:p w14:paraId="0B3C6DAD">
            <w:pPr>
              <w:jc w:val="center"/>
              <w:rPr>
                <w:rFonts w:ascii="Arial" w:hAnsi="Arial" w:cs="Arial"/>
                <w:szCs w:val="21"/>
              </w:rPr>
            </w:pPr>
          </w:p>
        </w:tc>
        <w:tc>
          <w:tcPr>
            <w:tcW w:w="1679" w:type="dxa"/>
            <w:vAlign w:val="center"/>
          </w:tcPr>
          <w:p w14:paraId="284847A3">
            <w:pPr>
              <w:jc w:val="center"/>
              <w:rPr>
                <w:rFonts w:ascii="Arial" w:hAnsi="Arial" w:cs="Arial"/>
                <w:szCs w:val="21"/>
              </w:rPr>
            </w:pPr>
          </w:p>
        </w:tc>
        <w:tc>
          <w:tcPr>
            <w:tcW w:w="1506" w:type="dxa"/>
          </w:tcPr>
          <w:p w14:paraId="77F0FE1F">
            <w:pPr>
              <w:jc w:val="center"/>
              <w:rPr>
                <w:rFonts w:ascii="Arial" w:hAnsi="Arial" w:cs="Arial"/>
                <w:szCs w:val="21"/>
              </w:rPr>
            </w:pPr>
          </w:p>
        </w:tc>
        <w:tc>
          <w:tcPr>
            <w:tcW w:w="1757" w:type="dxa"/>
            <w:vAlign w:val="center"/>
          </w:tcPr>
          <w:p w14:paraId="7351D728">
            <w:pPr>
              <w:jc w:val="center"/>
              <w:rPr>
                <w:rFonts w:ascii="Arial" w:hAnsi="Arial" w:cs="Arial"/>
                <w:szCs w:val="21"/>
              </w:rPr>
            </w:pPr>
          </w:p>
        </w:tc>
        <w:tc>
          <w:tcPr>
            <w:tcW w:w="2138" w:type="dxa"/>
            <w:vAlign w:val="center"/>
          </w:tcPr>
          <w:p w14:paraId="25B808F4">
            <w:pPr>
              <w:jc w:val="center"/>
              <w:rPr>
                <w:rFonts w:ascii="Arial" w:hAnsi="Arial" w:cs="Arial"/>
                <w:szCs w:val="21"/>
              </w:rPr>
            </w:pPr>
          </w:p>
        </w:tc>
        <w:tc>
          <w:tcPr>
            <w:tcW w:w="1484" w:type="dxa"/>
            <w:vAlign w:val="center"/>
          </w:tcPr>
          <w:p w14:paraId="203C3004">
            <w:pPr>
              <w:jc w:val="center"/>
              <w:rPr>
                <w:rFonts w:ascii="Arial" w:hAnsi="Arial" w:cs="Arial"/>
                <w:szCs w:val="21"/>
              </w:rPr>
            </w:pPr>
          </w:p>
        </w:tc>
      </w:tr>
      <w:tr w14:paraId="64688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8" w:type="dxa"/>
            <w:vAlign w:val="center"/>
          </w:tcPr>
          <w:p w14:paraId="7854D8BD">
            <w:pPr>
              <w:jc w:val="center"/>
              <w:rPr>
                <w:rFonts w:ascii="Arial" w:hAnsi="Arial" w:cs="Arial"/>
                <w:szCs w:val="21"/>
              </w:rPr>
            </w:pPr>
          </w:p>
        </w:tc>
        <w:tc>
          <w:tcPr>
            <w:tcW w:w="1679" w:type="dxa"/>
            <w:vAlign w:val="center"/>
          </w:tcPr>
          <w:p w14:paraId="6A0BD2BA">
            <w:pPr>
              <w:jc w:val="center"/>
              <w:rPr>
                <w:rFonts w:ascii="Arial" w:hAnsi="Arial" w:cs="Arial"/>
                <w:szCs w:val="21"/>
              </w:rPr>
            </w:pPr>
          </w:p>
        </w:tc>
        <w:tc>
          <w:tcPr>
            <w:tcW w:w="1506" w:type="dxa"/>
          </w:tcPr>
          <w:p w14:paraId="62A02460">
            <w:pPr>
              <w:jc w:val="center"/>
              <w:rPr>
                <w:rFonts w:ascii="Arial" w:hAnsi="Arial" w:cs="Arial"/>
                <w:szCs w:val="21"/>
              </w:rPr>
            </w:pPr>
          </w:p>
        </w:tc>
        <w:tc>
          <w:tcPr>
            <w:tcW w:w="1757" w:type="dxa"/>
            <w:vAlign w:val="center"/>
          </w:tcPr>
          <w:p w14:paraId="34A06BEA">
            <w:pPr>
              <w:jc w:val="center"/>
              <w:rPr>
                <w:rFonts w:ascii="Arial" w:hAnsi="Arial" w:cs="Arial"/>
                <w:szCs w:val="21"/>
              </w:rPr>
            </w:pPr>
          </w:p>
        </w:tc>
        <w:tc>
          <w:tcPr>
            <w:tcW w:w="2138" w:type="dxa"/>
            <w:vAlign w:val="center"/>
          </w:tcPr>
          <w:p w14:paraId="0958BF36">
            <w:pPr>
              <w:jc w:val="center"/>
              <w:rPr>
                <w:rFonts w:ascii="Arial" w:hAnsi="Arial" w:cs="Arial"/>
                <w:szCs w:val="21"/>
              </w:rPr>
            </w:pPr>
          </w:p>
        </w:tc>
        <w:tc>
          <w:tcPr>
            <w:tcW w:w="1484" w:type="dxa"/>
            <w:vAlign w:val="center"/>
          </w:tcPr>
          <w:p w14:paraId="2CAC2DDF">
            <w:pPr>
              <w:jc w:val="center"/>
              <w:rPr>
                <w:rFonts w:ascii="Arial" w:hAnsi="Arial" w:cs="Arial"/>
                <w:szCs w:val="21"/>
              </w:rPr>
            </w:pPr>
          </w:p>
        </w:tc>
      </w:tr>
      <w:tr w14:paraId="72795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8" w:type="dxa"/>
            <w:vAlign w:val="center"/>
          </w:tcPr>
          <w:p w14:paraId="1821380C">
            <w:pPr>
              <w:jc w:val="center"/>
              <w:rPr>
                <w:rFonts w:ascii="Arial" w:hAnsi="Arial" w:cs="Arial"/>
                <w:szCs w:val="21"/>
              </w:rPr>
            </w:pPr>
          </w:p>
        </w:tc>
        <w:tc>
          <w:tcPr>
            <w:tcW w:w="1679" w:type="dxa"/>
            <w:vAlign w:val="center"/>
          </w:tcPr>
          <w:p w14:paraId="4D6FF176">
            <w:pPr>
              <w:jc w:val="center"/>
              <w:rPr>
                <w:rFonts w:ascii="Arial" w:hAnsi="Arial" w:cs="Arial"/>
                <w:szCs w:val="21"/>
              </w:rPr>
            </w:pPr>
          </w:p>
        </w:tc>
        <w:tc>
          <w:tcPr>
            <w:tcW w:w="1506" w:type="dxa"/>
          </w:tcPr>
          <w:p w14:paraId="5A8F122F">
            <w:pPr>
              <w:jc w:val="center"/>
              <w:rPr>
                <w:rFonts w:ascii="Arial" w:hAnsi="Arial" w:cs="Arial"/>
                <w:szCs w:val="21"/>
              </w:rPr>
            </w:pPr>
          </w:p>
        </w:tc>
        <w:tc>
          <w:tcPr>
            <w:tcW w:w="1757" w:type="dxa"/>
            <w:vAlign w:val="center"/>
          </w:tcPr>
          <w:p w14:paraId="3DB97881">
            <w:pPr>
              <w:jc w:val="center"/>
              <w:rPr>
                <w:rFonts w:ascii="Arial" w:hAnsi="Arial" w:cs="Arial"/>
                <w:szCs w:val="21"/>
              </w:rPr>
            </w:pPr>
          </w:p>
        </w:tc>
        <w:tc>
          <w:tcPr>
            <w:tcW w:w="2138" w:type="dxa"/>
            <w:vAlign w:val="center"/>
          </w:tcPr>
          <w:p w14:paraId="0F50C821">
            <w:pPr>
              <w:jc w:val="center"/>
              <w:rPr>
                <w:rFonts w:ascii="Arial" w:hAnsi="Arial" w:cs="Arial"/>
                <w:szCs w:val="21"/>
              </w:rPr>
            </w:pPr>
          </w:p>
        </w:tc>
        <w:tc>
          <w:tcPr>
            <w:tcW w:w="1484" w:type="dxa"/>
            <w:vAlign w:val="center"/>
          </w:tcPr>
          <w:p w14:paraId="291A569B">
            <w:pPr>
              <w:jc w:val="center"/>
              <w:rPr>
                <w:rFonts w:ascii="Arial" w:hAnsi="Arial" w:cs="Arial"/>
                <w:szCs w:val="21"/>
              </w:rPr>
            </w:pPr>
          </w:p>
        </w:tc>
      </w:tr>
      <w:tr w14:paraId="23431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8" w:type="dxa"/>
            <w:vAlign w:val="center"/>
          </w:tcPr>
          <w:p w14:paraId="3303B0F8">
            <w:pPr>
              <w:jc w:val="center"/>
              <w:rPr>
                <w:rFonts w:ascii="Arial" w:hAnsi="Arial" w:cs="Arial"/>
                <w:szCs w:val="21"/>
              </w:rPr>
            </w:pPr>
          </w:p>
        </w:tc>
        <w:tc>
          <w:tcPr>
            <w:tcW w:w="1679" w:type="dxa"/>
            <w:vAlign w:val="center"/>
          </w:tcPr>
          <w:p w14:paraId="2FA8EFBD">
            <w:pPr>
              <w:jc w:val="center"/>
              <w:rPr>
                <w:rFonts w:ascii="Arial" w:hAnsi="Arial" w:cs="Arial"/>
                <w:szCs w:val="21"/>
              </w:rPr>
            </w:pPr>
          </w:p>
        </w:tc>
        <w:tc>
          <w:tcPr>
            <w:tcW w:w="1506" w:type="dxa"/>
          </w:tcPr>
          <w:p w14:paraId="7F01F0BC">
            <w:pPr>
              <w:jc w:val="center"/>
              <w:rPr>
                <w:rFonts w:ascii="Arial" w:hAnsi="Arial" w:cs="Arial"/>
                <w:szCs w:val="21"/>
              </w:rPr>
            </w:pPr>
          </w:p>
        </w:tc>
        <w:tc>
          <w:tcPr>
            <w:tcW w:w="1757" w:type="dxa"/>
            <w:vAlign w:val="center"/>
          </w:tcPr>
          <w:p w14:paraId="087D5CA7">
            <w:pPr>
              <w:jc w:val="center"/>
              <w:rPr>
                <w:rFonts w:ascii="Arial" w:hAnsi="Arial" w:cs="Arial"/>
                <w:szCs w:val="21"/>
              </w:rPr>
            </w:pPr>
          </w:p>
        </w:tc>
        <w:tc>
          <w:tcPr>
            <w:tcW w:w="2138" w:type="dxa"/>
            <w:vAlign w:val="center"/>
          </w:tcPr>
          <w:p w14:paraId="4C582BFD">
            <w:pPr>
              <w:jc w:val="center"/>
              <w:rPr>
                <w:rFonts w:ascii="Arial" w:hAnsi="Arial" w:cs="Arial"/>
                <w:szCs w:val="21"/>
              </w:rPr>
            </w:pPr>
          </w:p>
        </w:tc>
        <w:tc>
          <w:tcPr>
            <w:tcW w:w="1484" w:type="dxa"/>
            <w:vAlign w:val="center"/>
          </w:tcPr>
          <w:p w14:paraId="6D9C6106">
            <w:pPr>
              <w:jc w:val="center"/>
              <w:rPr>
                <w:rFonts w:ascii="Arial" w:hAnsi="Arial" w:cs="Arial"/>
                <w:szCs w:val="21"/>
              </w:rPr>
            </w:pPr>
          </w:p>
        </w:tc>
      </w:tr>
      <w:tr w14:paraId="3032F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8" w:type="dxa"/>
            <w:vAlign w:val="center"/>
          </w:tcPr>
          <w:p w14:paraId="5F725236">
            <w:pPr>
              <w:jc w:val="center"/>
              <w:rPr>
                <w:rFonts w:ascii="Arial" w:hAnsi="Arial" w:cs="Arial"/>
                <w:szCs w:val="21"/>
              </w:rPr>
            </w:pPr>
          </w:p>
        </w:tc>
        <w:tc>
          <w:tcPr>
            <w:tcW w:w="1679" w:type="dxa"/>
            <w:vAlign w:val="center"/>
          </w:tcPr>
          <w:p w14:paraId="3FC8D48F">
            <w:pPr>
              <w:jc w:val="center"/>
              <w:rPr>
                <w:rFonts w:ascii="Arial" w:hAnsi="Arial" w:cs="Arial"/>
                <w:szCs w:val="21"/>
              </w:rPr>
            </w:pPr>
          </w:p>
        </w:tc>
        <w:tc>
          <w:tcPr>
            <w:tcW w:w="1506" w:type="dxa"/>
          </w:tcPr>
          <w:p w14:paraId="168F3DDB">
            <w:pPr>
              <w:jc w:val="center"/>
              <w:rPr>
                <w:rFonts w:ascii="Arial" w:hAnsi="Arial" w:cs="Arial"/>
                <w:szCs w:val="21"/>
              </w:rPr>
            </w:pPr>
          </w:p>
        </w:tc>
        <w:tc>
          <w:tcPr>
            <w:tcW w:w="1757" w:type="dxa"/>
            <w:vAlign w:val="center"/>
          </w:tcPr>
          <w:p w14:paraId="1044AE1D">
            <w:pPr>
              <w:jc w:val="center"/>
              <w:rPr>
                <w:rFonts w:ascii="Arial" w:hAnsi="Arial" w:cs="Arial"/>
                <w:szCs w:val="21"/>
              </w:rPr>
            </w:pPr>
          </w:p>
        </w:tc>
        <w:tc>
          <w:tcPr>
            <w:tcW w:w="2138" w:type="dxa"/>
            <w:vAlign w:val="center"/>
          </w:tcPr>
          <w:p w14:paraId="35D840D0">
            <w:pPr>
              <w:jc w:val="center"/>
              <w:rPr>
                <w:rFonts w:ascii="Arial" w:hAnsi="Arial" w:cs="Arial"/>
                <w:szCs w:val="21"/>
              </w:rPr>
            </w:pPr>
          </w:p>
        </w:tc>
        <w:tc>
          <w:tcPr>
            <w:tcW w:w="1484" w:type="dxa"/>
            <w:vAlign w:val="center"/>
          </w:tcPr>
          <w:p w14:paraId="443B40D5">
            <w:pPr>
              <w:jc w:val="center"/>
              <w:rPr>
                <w:rFonts w:ascii="Arial" w:hAnsi="Arial" w:cs="Arial"/>
                <w:szCs w:val="21"/>
              </w:rPr>
            </w:pPr>
          </w:p>
        </w:tc>
      </w:tr>
      <w:tr w14:paraId="258C9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8" w:type="dxa"/>
            <w:vAlign w:val="center"/>
          </w:tcPr>
          <w:p w14:paraId="2EACDA6A">
            <w:pPr>
              <w:jc w:val="center"/>
              <w:rPr>
                <w:rFonts w:ascii="Arial" w:hAnsi="Arial" w:cs="Arial"/>
                <w:szCs w:val="21"/>
              </w:rPr>
            </w:pPr>
          </w:p>
        </w:tc>
        <w:tc>
          <w:tcPr>
            <w:tcW w:w="1679" w:type="dxa"/>
            <w:vAlign w:val="center"/>
          </w:tcPr>
          <w:p w14:paraId="3843F23E">
            <w:pPr>
              <w:jc w:val="center"/>
              <w:rPr>
                <w:rFonts w:ascii="Arial" w:hAnsi="Arial" w:cs="Arial"/>
                <w:szCs w:val="21"/>
              </w:rPr>
            </w:pPr>
          </w:p>
        </w:tc>
        <w:tc>
          <w:tcPr>
            <w:tcW w:w="1506" w:type="dxa"/>
          </w:tcPr>
          <w:p w14:paraId="21B11748">
            <w:pPr>
              <w:jc w:val="center"/>
              <w:rPr>
                <w:rFonts w:ascii="Arial" w:hAnsi="Arial" w:cs="Arial"/>
                <w:szCs w:val="21"/>
              </w:rPr>
            </w:pPr>
          </w:p>
        </w:tc>
        <w:tc>
          <w:tcPr>
            <w:tcW w:w="1757" w:type="dxa"/>
            <w:vAlign w:val="center"/>
          </w:tcPr>
          <w:p w14:paraId="21D6E812">
            <w:pPr>
              <w:jc w:val="center"/>
              <w:rPr>
                <w:rFonts w:ascii="Arial" w:hAnsi="Arial" w:cs="Arial"/>
                <w:szCs w:val="21"/>
              </w:rPr>
            </w:pPr>
          </w:p>
        </w:tc>
        <w:tc>
          <w:tcPr>
            <w:tcW w:w="2138" w:type="dxa"/>
            <w:vAlign w:val="center"/>
          </w:tcPr>
          <w:p w14:paraId="4C91B5E2">
            <w:pPr>
              <w:jc w:val="center"/>
              <w:rPr>
                <w:rFonts w:ascii="Arial" w:hAnsi="Arial" w:cs="Arial"/>
                <w:szCs w:val="21"/>
              </w:rPr>
            </w:pPr>
          </w:p>
        </w:tc>
        <w:tc>
          <w:tcPr>
            <w:tcW w:w="1484" w:type="dxa"/>
            <w:vAlign w:val="center"/>
          </w:tcPr>
          <w:p w14:paraId="0CFB738D">
            <w:pPr>
              <w:jc w:val="center"/>
              <w:rPr>
                <w:rFonts w:ascii="Arial" w:hAnsi="Arial" w:cs="Arial"/>
                <w:szCs w:val="21"/>
              </w:rPr>
            </w:pPr>
          </w:p>
        </w:tc>
      </w:tr>
    </w:tbl>
    <w:p w14:paraId="1C91A6F9">
      <w:pPr>
        <w:spacing w:line="360" w:lineRule="auto"/>
        <w:ind w:right="-5"/>
        <w:rPr>
          <w:rFonts w:ascii="Arial" w:hAnsi="Arial" w:cs="Arial"/>
          <w:b/>
          <w:szCs w:val="21"/>
        </w:rPr>
      </w:pPr>
    </w:p>
    <w:p w14:paraId="1ABF51B6">
      <w:pPr>
        <w:widowControl/>
        <w:rPr>
          <w:rFonts w:ascii="Arial" w:hAnsi="Arial" w:cs="Arial"/>
          <w:b/>
          <w:szCs w:val="21"/>
        </w:rPr>
      </w:pPr>
      <w:r>
        <w:rPr>
          <w:rFonts w:ascii="Arial" w:hAnsi="Arial" w:cs="Arial"/>
          <w:b/>
          <w:sz w:val="24"/>
          <w:szCs w:val="24"/>
          <w:lang w:bidi="ar"/>
        </w:rPr>
        <w:t xml:space="preserve"> </w:t>
      </w:r>
      <w:r>
        <w:rPr>
          <w:rFonts w:hint="eastAsia" w:ascii="Arial" w:hAnsi="Arial" w:cs="Arial"/>
          <w:b/>
          <w:sz w:val="24"/>
          <w:szCs w:val="24"/>
          <w:lang w:bidi="ar"/>
        </w:rPr>
        <w:t>2</w:t>
      </w:r>
      <w:r>
        <w:rPr>
          <w:rFonts w:ascii="Arial" w:hAnsi="Arial" w:cs="Arial"/>
          <w:b/>
          <w:szCs w:val="21"/>
        </w:rPr>
        <w:t>、拟参与本项目服务人员一览表</w:t>
      </w:r>
    </w:p>
    <w:tbl>
      <w:tblPr>
        <w:tblStyle w:val="49"/>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0982E0DF">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38AE6FE3">
            <w:pPr>
              <w:widowControl/>
              <w:jc w:val="center"/>
              <w:rPr>
                <w:rFonts w:ascii="Arial" w:hAnsi="Arial" w:cs="Arial"/>
                <w:bCs/>
                <w:szCs w:val="21"/>
              </w:rPr>
            </w:pPr>
            <w:r>
              <w:rPr>
                <w:rFonts w:ascii="Arial" w:hAnsi="Arial" w:cs="Arial"/>
                <w:bCs/>
                <w:szCs w:val="21"/>
              </w:rPr>
              <w:t>序号</w:t>
            </w:r>
          </w:p>
        </w:tc>
        <w:tc>
          <w:tcPr>
            <w:tcW w:w="896" w:type="dxa"/>
            <w:tcBorders>
              <w:top w:val="single" w:color="000000" w:sz="4" w:space="0"/>
              <w:left w:val="nil"/>
              <w:bottom w:val="single" w:color="000000" w:sz="4" w:space="0"/>
              <w:right w:val="single" w:color="000000" w:sz="4" w:space="0"/>
            </w:tcBorders>
            <w:vAlign w:val="center"/>
          </w:tcPr>
          <w:p w14:paraId="170716DB">
            <w:pPr>
              <w:widowControl/>
              <w:jc w:val="center"/>
              <w:rPr>
                <w:rFonts w:ascii="Arial" w:hAnsi="Arial" w:cs="Arial"/>
                <w:bCs/>
                <w:szCs w:val="21"/>
              </w:rPr>
            </w:pPr>
            <w:r>
              <w:rPr>
                <w:rFonts w:ascii="Arial" w:hAnsi="Arial" w:cs="Arial"/>
                <w:bCs/>
                <w:szCs w:val="21"/>
              </w:rPr>
              <w:t>姓名</w:t>
            </w:r>
          </w:p>
        </w:tc>
        <w:tc>
          <w:tcPr>
            <w:tcW w:w="663" w:type="dxa"/>
            <w:tcBorders>
              <w:top w:val="single" w:color="000000" w:sz="4" w:space="0"/>
              <w:left w:val="nil"/>
              <w:bottom w:val="single" w:color="000000" w:sz="4" w:space="0"/>
              <w:right w:val="single" w:color="000000" w:sz="4" w:space="0"/>
            </w:tcBorders>
            <w:vAlign w:val="center"/>
          </w:tcPr>
          <w:p w14:paraId="06049CAA">
            <w:pPr>
              <w:widowControl/>
              <w:jc w:val="center"/>
              <w:rPr>
                <w:rFonts w:ascii="Arial" w:hAnsi="Arial" w:cs="Arial"/>
                <w:bCs/>
                <w:szCs w:val="21"/>
              </w:rPr>
            </w:pPr>
            <w:r>
              <w:rPr>
                <w:rFonts w:ascii="Arial" w:hAnsi="Arial" w:cs="Arial"/>
                <w:bCs/>
                <w:szCs w:val="21"/>
              </w:rPr>
              <w:t>性别</w:t>
            </w:r>
          </w:p>
        </w:tc>
        <w:tc>
          <w:tcPr>
            <w:tcW w:w="709" w:type="dxa"/>
            <w:tcBorders>
              <w:top w:val="single" w:color="000000" w:sz="4" w:space="0"/>
              <w:left w:val="nil"/>
              <w:bottom w:val="single" w:color="000000" w:sz="4" w:space="0"/>
              <w:right w:val="single" w:color="000000" w:sz="4" w:space="0"/>
            </w:tcBorders>
            <w:vAlign w:val="center"/>
          </w:tcPr>
          <w:p w14:paraId="79FAD5B5">
            <w:pPr>
              <w:widowControl/>
              <w:jc w:val="center"/>
              <w:rPr>
                <w:rFonts w:ascii="Arial" w:hAnsi="Arial" w:cs="Arial"/>
                <w:bCs/>
                <w:szCs w:val="21"/>
              </w:rPr>
            </w:pPr>
            <w:r>
              <w:rPr>
                <w:rFonts w:ascii="Arial" w:hAnsi="Arial" w:cs="Arial"/>
                <w:bCs/>
                <w:szCs w:val="21"/>
              </w:rPr>
              <w:t>年龄</w:t>
            </w:r>
          </w:p>
        </w:tc>
        <w:tc>
          <w:tcPr>
            <w:tcW w:w="1134" w:type="dxa"/>
            <w:tcBorders>
              <w:top w:val="single" w:color="000000" w:sz="4" w:space="0"/>
              <w:left w:val="nil"/>
              <w:bottom w:val="single" w:color="000000" w:sz="4" w:space="0"/>
              <w:right w:val="single" w:color="000000" w:sz="4" w:space="0"/>
            </w:tcBorders>
            <w:vAlign w:val="center"/>
          </w:tcPr>
          <w:p w14:paraId="26E58A8D">
            <w:pPr>
              <w:widowControl/>
              <w:jc w:val="center"/>
              <w:rPr>
                <w:rFonts w:ascii="Arial" w:hAnsi="Arial" w:cs="Arial"/>
                <w:bCs/>
                <w:szCs w:val="21"/>
              </w:rPr>
            </w:pPr>
            <w:r>
              <w:rPr>
                <w:rFonts w:ascii="Arial" w:hAnsi="Arial" w:cs="Arial"/>
                <w:bCs/>
                <w:szCs w:val="21"/>
              </w:rPr>
              <w:t>专业</w:t>
            </w:r>
          </w:p>
        </w:tc>
        <w:tc>
          <w:tcPr>
            <w:tcW w:w="931" w:type="dxa"/>
            <w:tcBorders>
              <w:top w:val="single" w:color="000000" w:sz="4" w:space="0"/>
              <w:left w:val="nil"/>
              <w:bottom w:val="single" w:color="000000" w:sz="4" w:space="0"/>
              <w:right w:val="single" w:color="000000" w:sz="4" w:space="0"/>
            </w:tcBorders>
            <w:vAlign w:val="center"/>
          </w:tcPr>
          <w:p w14:paraId="4F00F832">
            <w:pPr>
              <w:widowControl/>
              <w:jc w:val="center"/>
              <w:rPr>
                <w:rFonts w:ascii="Arial" w:hAnsi="Arial" w:cs="Arial"/>
                <w:bCs/>
                <w:szCs w:val="21"/>
              </w:rPr>
            </w:pPr>
            <w:r>
              <w:rPr>
                <w:rFonts w:ascii="Arial" w:hAnsi="Arial" w:cs="Arial"/>
                <w:bCs/>
                <w:szCs w:val="21"/>
              </w:rPr>
              <w:t>学历</w:t>
            </w:r>
          </w:p>
        </w:tc>
        <w:tc>
          <w:tcPr>
            <w:tcW w:w="1020" w:type="dxa"/>
            <w:tcBorders>
              <w:top w:val="single" w:color="000000" w:sz="4" w:space="0"/>
              <w:left w:val="nil"/>
              <w:bottom w:val="single" w:color="000000" w:sz="4" w:space="0"/>
              <w:right w:val="single" w:color="000000" w:sz="4" w:space="0"/>
            </w:tcBorders>
            <w:vAlign w:val="center"/>
          </w:tcPr>
          <w:p w14:paraId="733E801C">
            <w:pPr>
              <w:widowControl/>
              <w:jc w:val="center"/>
              <w:rPr>
                <w:rFonts w:ascii="Arial" w:hAnsi="Arial" w:cs="Arial"/>
                <w:bCs/>
                <w:szCs w:val="21"/>
              </w:rPr>
            </w:pPr>
            <w:r>
              <w:rPr>
                <w:rFonts w:ascii="Arial" w:hAnsi="Arial" w:cs="Arial"/>
                <w:bCs/>
                <w:szCs w:val="21"/>
              </w:rPr>
              <w:t>执业</w:t>
            </w:r>
          </w:p>
          <w:p w14:paraId="3FC5AC3B">
            <w:pPr>
              <w:widowControl/>
              <w:jc w:val="center"/>
              <w:rPr>
                <w:rFonts w:ascii="Arial" w:hAnsi="Arial" w:cs="Arial"/>
                <w:bCs/>
                <w:szCs w:val="21"/>
              </w:rPr>
            </w:pPr>
            <w:r>
              <w:rPr>
                <w:rFonts w:ascii="Arial" w:hAnsi="Arial" w:cs="Arial"/>
                <w:bCs/>
                <w:szCs w:val="21"/>
              </w:rPr>
              <w:t>资格</w:t>
            </w:r>
          </w:p>
        </w:tc>
        <w:tc>
          <w:tcPr>
            <w:tcW w:w="994" w:type="dxa"/>
            <w:tcBorders>
              <w:top w:val="single" w:color="000000" w:sz="4" w:space="0"/>
              <w:left w:val="nil"/>
              <w:bottom w:val="single" w:color="000000" w:sz="4" w:space="0"/>
              <w:right w:val="single" w:color="000000" w:sz="4" w:space="0"/>
            </w:tcBorders>
            <w:vAlign w:val="center"/>
          </w:tcPr>
          <w:p w14:paraId="1D6D293B">
            <w:pPr>
              <w:widowControl/>
              <w:jc w:val="center"/>
              <w:rPr>
                <w:rFonts w:ascii="Arial" w:hAnsi="Arial" w:cs="Arial"/>
                <w:bCs/>
                <w:szCs w:val="21"/>
              </w:rPr>
            </w:pPr>
            <w:r>
              <w:rPr>
                <w:rFonts w:ascii="Arial" w:hAnsi="Arial" w:cs="Arial"/>
                <w:bCs/>
                <w:szCs w:val="21"/>
              </w:rPr>
              <w:t>证书号</w:t>
            </w:r>
          </w:p>
        </w:tc>
        <w:tc>
          <w:tcPr>
            <w:tcW w:w="882" w:type="dxa"/>
            <w:tcBorders>
              <w:top w:val="single" w:color="000000" w:sz="4" w:space="0"/>
              <w:left w:val="nil"/>
              <w:bottom w:val="single" w:color="000000" w:sz="4" w:space="0"/>
              <w:right w:val="single" w:color="000000" w:sz="4" w:space="0"/>
            </w:tcBorders>
            <w:vAlign w:val="center"/>
          </w:tcPr>
          <w:p w14:paraId="7FD36F15">
            <w:pPr>
              <w:widowControl/>
              <w:jc w:val="center"/>
              <w:rPr>
                <w:rFonts w:ascii="Arial" w:hAnsi="Arial" w:cs="Arial"/>
                <w:bCs/>
                <w:szCs w:val="21"/>
              </w:rPr>
            </w:pPr>
            <w:r>
              <w:rPr>
                <w:rFonts w:ascii="Arial" w:hAnsi="Arial" w:cs="Arial"/>
                <w:bCs/>
                <w:szCs w:val="21"/>
              </w:rPr>
              <w:t>技术职称</w:t>
            </w:r>
          </w:p>
        </w:tc>
        <w:tc>
          <w:tcPr>
            <w:tcW w:w="850" w:type="dxa"/>
            <w:tcBorders>
              <w:top w:val="single" w:color="000000" w:sz="4" w:space="0"/>
              <w:left w:val="nil"/>
              <w:bottom w:val="single" w:color="000000" w:sz="4" w:space="0"/>
              <w:right w:val="single" w:color="000000" w:sz="4" w:space="0"/>
            </w:tcBorders>
            <w:vAlign w:val="center"/>
          </w:tcPr>
          <w:p w14:paraId="6D5970BD">
            <w:pPr>
              <w:widowControl/>
              <w:jc w:val="center"/>
              <w:rPr>
                <w:rFonts w:ascii="Arial" w:hAnsi="Arial" w:cs="Arial"/>
                <w:bCs/>
                <w:szCs w:val="21"/>
              </w:rPr>
            </w:pPr>
            <w:r>
              <w:rPr>
                <w:rFonts w:ascii="Arial" w:hAnsi="Arial" w:cs="Arial"/>
                <w:bCs/>
                <w:szCs w:val="21"/>
              </w:rPr>
              <w:t>相关工作年限</w:t>
            </w:r>
          </w:p>
        </w:tc>
        <w:tc>
          <w:tcPr>
            <w:tcW w:w="851" w:type="dxa"/>
            <w:tcBorders>
              <w:top w:val="single" w:color="000000" w:sz="4" w:space="0"/>
              <w:left w:val="nil"/>
              <w:bottom w:val="single" w:color="000000" w:sz="4" w:space="0"/>
              <w:right w:val="single" w:color="000000" w:sz="4" w:space="0"/>
            </w:tcBorders>
            <w:vAlign w:val="center"/>
          </w:tcPr>
          <w:p w14:paraId="1B46E318">
            <w:pPr>
              <w:widowControl/>
              <w:jc w:val="center"/>
              <w:rPr>
                <w:rFonts w:ascii="Arial" w:hAnsi="Arial" w:cs="Arial"/>
                <w:bCs/>
                <w:szCs w:val="21"/>
              </w:rPr>
            </w:pPr>
            <w:r>
              <w:rPr>
                <w:rFonts w:ascii="Arial" w:hAnsi="Arial" w:cs="Arial"/>
                <w:bCs/>
                <w:szCs w:val="21"/>
              </w:rPr>
              <w:t>备注</w:t>
            </w:r>
          </w:p>
        </w:tc>
      </w:tr>
      <w:tr w14:paraId="2230B163">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CF9739F">
            <w:pPr>
              <w:widowControl/>
              <w:rPr>
                <w:rFonts w:ascii="Arial" w:hAnsi="Arial" w:cs="Arial"/>
                <w:bCs/>
                <w:szCs w:val="21"/>
              </w:rPr>
            </w:pPr>
          </w:p>
        </w:tc>
        <w:tc>
          <w:tcPr>
            <w:tcW w:w="896" w:type="dxa"/>
            <w:tcBorders>
              <w:top w:val="single" w:color="000000" w:sz="4" w:space="0"/>
              <w:left w:val="nil"/>
              <w:bottom w:val="single" w:color="000000" w:sz="4" w:space="0"/>
              <w:right w:val="single" w:color="000000" w:sz="4" w:space="0"/>
            </w:tcBorders>
          </w:tcPr>
          <w:p w14:paraId="08D585D7">
            <w:pPr>
              <w:widowControl/>
              <w:rPr>
                <w:rFonts w:ascii="Arial" w:hAnsi="Arial" w:cs="Arial"/>
                <w:bCs/>
                <w:szCs w:val="21"/>
              </w:rPr>
            </w:pPr>
          </w:p>
        </w:tc>
        <w:tc>
          <w:tcPr>
            <w:tcW w:w="663" w:type="dxa"/>
            <w:tcBorders>
              <w:top w:val="single" w:color="000000" w:sz="4" w:space="0"/>
              <w:left w:val="nil"/>
              <w:bottom w:val="single" w:color="000000" w:sz="4" w:space="0"/>
              <w:right w:val="single" w:color="000000" w:sz="4" w:space="0"/>
            </w:tcBorders>
          </w:tcPr>
          <w:p w14:paraId="027C2BF4">
            <w:pPr>
              <w:widowControl/>
              <w:rPr>
                <w:rFonts w:ascii="Arial" w:hAnsi="Arial" w:cs="Arial"/>
                <w:bCs/>
                <w:szCs w:val="21"/>
              </w:rPr>
            </w:pPr>
          </w:p>
        </w:tc>
        <w:tc>
          <w:tcPr>
            <w:tcW w:w="709" w:type="dxa"/>
            <w:tcBorders>
              <w:top w:val="single" w:color="000000" w:sz="4" w:space="0"/>
              <w:left w:val="nil"/>
              <w:bottom w:val="single" w:color="000000" w:sz="4" w:space="0"/>
              <w:right w:val="single" w:color="000000" w:sz="4" w:space="0"/>
            </w:tcBorders>
          </w:tcPr>
          <w:p w14:paraId="70AECE82">
            <w:pPr>
              <w:widowControl/>
              <w:rPr>
                <w:rFonts w:ascii="Arial" w:hAnsi="Arial" w:cs="Arial"/>
                <w:bCs/>
                <w:szCs w:val="21"/>
              </w:rPr>
            </w:pPr>
          </w:p>
        </w:tc>
        <w:tc>
          <w:tcPr>
            <w:tcW w:w="1134" w:type="dxa"/>
            <w:tcBorders>
              <w:top w:val="single" w:color="000000" w:sz="4" w:space="0"/>
              <w:left w:val="nil"/>
              <w:bottom w:val="single" w:color="000000" w:sz="4" w:space="0"/>
              <w:right w:val="single" w:color="000000" w:sz="4" w:space="0"/>
            </w:tcBorders>
          </w:tcPr>
          <w:p w14:paraId="7D354B22">
            <w:pPr>
              <w:widowControl/>
              <w:rPr>
                <w:rFonts w:ascii="Arial" w:hAnsi="Arial" w:cs="Arial"/>
                <w:bCs/>
                <w:szCs w:val="21"/>
              </w:rPr>
            </w:pPr>
          </w:p>
        </w:tc>
        <w:tc>
          <w:tcPr>
            <w:tcW w:w="931" w:type="dxa"/>
            <w:tcBorders>
              <w:top w:val="single" w:color="000000" w:sz="4" w:space="0"/>
              <w:left w:val="nil"/>
              <w:bottom w:val="single" w:color="000000" w:sz="4" w:space="0"/>
              <w:right w:val="single" w:color="000000" w:sz="4" w:space="0"/>
            </w:tcBorders>
          </w:tcPr>
          <w:p w14:paraId="00905C81">
            <w:pPr>
              <w:widowControl/>
              <w:rPr>
                <w:rFonts w:ascii="Arial" w:hAnsi="Arial" w:cs="Arial"/>
                <w:bCs/>
                <w:szCs w:val="21"/>
              </w:rPr>
            </w:pPr>
          </w:p>
        </w:tc>
        <w:tc>
          <w:tcPr>
            <w:tcW w:w="1020" w:type="dxa"/>
            <w:tcBorders>
              <w:top w:val="single" w:color="000000" w:sz="4" w:space="0"/>
              <w:left w:val="nil"/>
              <w:bottom w:val="single" w:color="000000" w:sz="4" w:space="0"/>
              <w:right w:val="single" w:color="000000" w:sz="4" w:space="0"/>
            </w:tcBorders>
          </w:tcPr>
          <w:p w14:paraId="3D396BCC">
            <w:pPr>
              <w:widowControl/>
              <w:rPr>
                <w:rFonts w:ascii="Arial" w:hAnsi="Arial" w:cs="Arial"/>
                <w:bCs/>
                <w:szCs w:val="21"/>
              </w:rPr>
            </w:pPr>
          </w:p>
        </w:tc>
        <w:tc>
          <w:tcPr>
            <w:tcW w:w="994" w:type="dxa"/>
            <w:tcBorders>
              <w:top w:val="single" w:color="000000" w:sz="4" w:space="0"/>
              <w:left w:val="nil"/>
              <w:bottom w:val="single" w:color="000000" w:sz="4" w:space="0"/>
              <w:right w:val="single" w:color="000000" w:sz="4" w:space="0"/>
            </w:tcBorders>
          </w:tcPr>
          <w:p w14:paraId="5EE94E05">
            <w:pPr>
              <w:widowControl/>
              <w:rPr>
                <w:rFonts w:ascii="Arial" w:hAnsi="Arial" w:cs="Arial"/>
                <w:bCs/>
                <w:szCs w:val="21"/>
              </w:rPr>
            </w:pPr>
          </w:p>
        </w:tc>
        <w:tc>
          <w:tcPr>
            <w:tcW w:w="882" w:type="dxa"/>
            <w:tcBorders>
              <w:top w:val="single" w:color="000000" w:sz="4" w:space="0"/>
              <w:left w:val="nil"/>
              <w:bottom w:val="single" w:color="000000" w:sz="4" w:space="0"/>
              <w:right w:val="single" w:color="000000" w:sz="4" w:space="0"/>
            </w:tcBorders>
          </w:tcPr>
          <w:p w14:paraId="3763041D">
            <w:pPr>
              <w:widowControl/>
              <w:rPr>
                <w:rFonts w:ascii="Arial" w:hAnsi="Arial" w:cs="Arial"/>
                <w:bCs/>
                <w:szCs w:val="21"/>
              </w:rPr>
            </w:pPr>
          </w:p>
        </w:tc>
        <w:tc>
          <w:tcPr>
            <w:tcW w:w="850" w:type="dxa"/>
            <w:tcBorders>
              <w:top w:val="single" w:color="000000" w:sz="4" w:space="0"/>
              <w:left w:val="nil"/>
              <w:bottom w:val="single" w:color="000000" w:sz="4" w:space="0"/>
              <w:right w:val="single" w:color="000000" w:sz="4" w:space="0"/>
            </w:tcBorders>
          </w:tcPr>
          <w:p w14:paraId="6CA18E65">
            <w:pPr>
              <w:widowControl/>
              <w:rPr>
                <w:rFonts w:ascii="Arial" w:hAnsi="Arial" w:cs="Arial"/>
                <w:bCs/>
                <w:szCs w:val="21"/>
              </w:rPr>
            </w:pPr>
          </w:p>
        </w:tc>
        <w:tc>
          <w:tcPr>
            <w:tcW w:w="851" w:type="dxa"/>
            <w:tcBorders>
              <w:top w:val="single" w:color="000000" w:sz="4" w:space="0"/>
              <w:left w:val="nil"/>
              <w:bottom w:val="single" w:color="000000" w:sz="4" w:space="0"/>
              <w:right w:val="single" w:color="000000" w:sz="4" w:space="0"/>
            </w:tcBorders>
          </w:tcPr>
          <w:p w14:paraId="0CE0ABEF">
            <w:pPr>
              <w:widowControl/>
              <w:rPr>
                <w:rFonts w:ascii="Arial" w:hAnsi="Arial" w:cs="Arial"/>
                <w:bCs/>
                <w:szCs w:val="21"/>
              </w:rPr>
            </w:pPr>
          </w:p>
        </w:tc>
      </w:tr>
      <w:tr w14:paraId="3663B87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111FA55">
            <w:pPr>
              <w:widowControl/>
              <w:rPr>
                <w:rFonts w:ascii="Arial" w:hAnsi="Arial" w:cs="Arial"/>
                <w:bCs/>
                <w:szCs w:val="21"/>
              </w:rPr>
            </w:pPr>
          </w:p>
        </w:tc>
        <w:tc>
          <w:tcPr>
            <w:tcW w:w="896" w:type="dxa"/>
            <w:tcBorders>
              <w:top w:val="single" w:color="000000" w:sz="4" w:space="0"/>
              <w:left w:val="nil"/>
              <w:bottom w:val="single" w:color="000000" w:sz="4" w:space="0"/>
              <w:right w:val="single" w:color="000000" w:sz="4" w:space="0"/>
            </w:tcBorders>
          </w:tcPr>
          <w:p w14:paraId="69BD60C6">
            <w:pPr>
              <w:widowControl/>
              <w:rPr>
                <w:rFonts w:ascii="Arial" w:hAnsi="Arial" w:cs="Arial"/>
                <w:bCs/>
                <w:szCs w:val="21"/>
              </w:rPr>
            </w:pPr>
          </w:p>
        </w:tc>
        <w:tc>
          <w:tcPr>
            <w:tcW w:w="663" w:type="dxa"/>
            <w:tcBorders>
              <w:top w:val="single" w:color="000000" w:sz="4" w:space="0"/>
              <w:left w:val="nil"/>
              <w:bottom w:val="single" w:color="000000" w:sz="4" w:space="0"/>
              <w:right w:val="single" w:color="000000" w:sz="4" w:space="0"/>
            </w:tcBorders>
          </w:tcPr>
          <w:p w14:paraId="21367A3A">
            <w:pPr>
              <w:widowControl/>
              <w:rPr>
                <w:rFonts w:ascii="Arial" w:hAnsi="Arial" w:cs="Arial"/>
                <w:bCs/>
                <w:szCs w:val="21"/>
              </w:rPr>
            </w:pPr>
          </w:p>
        </w:tc>
        <w:tc>
          <w:tcPr>
            <w:tcW w:w="709" w:type="dxa"/>
            <w:tcBorders>
              <w:top w:val="single" w:color="000000" w:sz="4" w:space="0"/>
              <w:left w:val="nil"/>
              <w:bottom w:val="single" w:color="000000" w:sz="4" w:space="0"/>
              <w:right w:val="single" w:color="000000" w:sz="4" w:space="0"/>
            </w:tcBorders>
          </w:tcPr>
          <w:p w14:paraId="41FBC4EF">
            <w:pPr>
              <w:widowControl/>
              <w:rPr>
                <w:rFonts w:ascii="Arial" w:hAnsi="Arial" w:cs="Arial"/>
                <w:bCs/>
                <w:szCs w:val="21"/>
              </w:rPr>
            </w:pPr>
          </w:p>
        </w:tc>
        <w:tc>
          <w:tcPr>
            <w:tcW w:w="1134" w:type="dxa"/>
            <w:tcBorders>
              <w:top w:val="single" w:color="000000" w:sz="4" w:space="0"/>
              <w:left w:val="nil"/>
              <w:bottom w:val="single" w:color="000000" w:sz="4" w:space="0"/>
              <w:right w:val="single" w:color="000000" w:sz="4" w:space="0"/>
            </w:tcBorders>
          </w:tcPr>
          <w:p w14:paraId="72BED1B3">
            <w:pPr>
              <w:widowControl/>
              <w:rPr>
                <w:rFonts w:ascii="Arial" w:hAnsi="Arial" w:cs="Arial"/>
                <w:bCs/>
                <w:szCs w:val="21"/>
              </w:rPr>
            </w:pPr>
          </w:p>
        </w:tc>
        <w:tc>
          <w:tcPr>
            <w:tcW w:w="931" w:type="dxa"/>
            <w:tcBorders>
              <w:top w:val="single" w:color="000000" w:sz="4" w:space="0"/>
              <w:left w:val="nil"/>
              <w:bottom w:val="single" w:color="000000" w:sz="4" w:space="0"/>
              <w:right w:val="single" w:color="000000" w:sz="4" w:space="0"/>
            </w:tcBorders>
          </w:tcPr>
          <w:p w14:paraId="1D7FA7CE">
            <w:pPr>
              <w:widowControl/>
              <w:rPr>
                <w:rFonts w:ascii="Arial" w:hAnsi="Arial" w:cs="Arial"/>
                <w:bCs/>
                <w:szCs w:val="21"/>
              </w:rPr>
            </w:pPr>
          </w:p>
        </w:tc>
        <w:tc>
          <w:tcPr>
            <w:tcW w:w="1020" w:type="dxa"/>
            <w:tcBorders>
              <w:top w:val="single" w:color="000000" w:sz="4" w:space="0"/>
              <w:left w:val="nil"/>
              <w:bottom w:val="single" w:color="000000" w:sz="4" w:space="0"/>
              <w:right w:val="single" w:color="000000" w:sz="4" w:space="0"/>
            </w:tcBorders>
          </w:tcPr>
          <w:p w14:paraId="45555357">
            <w:pPr>
              <w:widowControl/>
              <w:rPr>
                <w:rFonts w:ascii="Arial" w:hAnsi="Arial" w:cs="Arial"/>
                <w:bCs/>
                <w:szCs w:val="21"/>
              </w:rPr>
            </w:pPr>
          </w:p>
        </w:tc>
        <w:tc>
          <w:tcPr>
            <w:tcW w:w="994" w:type="dxa"/>
            <w:tcBorders>
              <w:top w:val="single" w:color="000000" w:sz="4" w:space="0"/>
              <w:left w:val="nil"/>
              <w:bottom w:val="single" w:color="000000" w:sz="4" w:space="0"/>
              <w:right w:val="single" w:color="000000" w:sz="4" w:space="0"/>
            </w:tcBorders>
          </w:tcPr>
          <w:p w14:paraId="756B11B6">
            <w:pPr>
              <w:widowControl/>
              <w:rPr>
                <w:rFonts w:ascii="Arial" w:hAnsi="Arial" w:cs="Arial"/>
                <w:bCs/>
                <w:szCs w:val="21"/>
              </w:rPr>
            </w:pPr>
          </w:p>
        </w:tc>
        <w:tc>
          <w:tcPr>
            <w:tcW w:w="882" w:type="dxa"/>
            <w:tcBorders>
              <w:top w:val="single" w:color="000000" w:sz="4" w:space="0"/>
              <w:left w:val="nil"/>
              <w:bottom w:val="single" w:color="000000" w:sz="4" w:space="0"/>
              <w:right w:val="single" w:color="000000" w:sz="4" w:space="0"/>
            </w:tcBorders>
          </w:tcPr>
          <w:p w14:paraId="27935C8B">
            <w:pPr>
              <w:widowControl/>
              <w:rPr>
                <w:rFonts w:ascii="Arial" w:hAnsi="Arial" w:cs="Arial"/>
                <w:bCs/>
                <w:szCs w:val="21"/>
              </w:rPr>
            </w:pPr>
          </w:p>
        </w:tc>
        <w:tc>
          <w:tcPr>
            <w:tcW w:w="850" w:type="dxa"/>
            <w:tcBorders>
              <w:top w:val="single" w:color="000000" w:sz="4" w:space="0"/>
              <w:left w:val="nil"/>
              <w:bottom w:val="single" w:color="000000" w:sz="4" w:space="0"/>
              <w:right w:val="single" w:color="000000" w:sz="4" w:space="0"/>
            </w:tcBorders>
          </w:tcPr>
          <w:p w14:paraId="5B5209D9">
            <w:pPr>
              <w:widowControl/>
              <w:rPr>
                <w:rFonts w:ascii="Arial" w:hAnsi="Arial" w:cs="Arial"/>
                <w:bCs/>
                <w:szCs w:val="21"/>
              </w:rPr>
            </w:pPr>
          </w:p>
        </w:tc>
        <w:tc>
          <w:tcPr>
            <w:tcW w:w="851" w:type="dxa"/>
            <w:tcBorders>
              <w:top w:val="single" w:color="000000" w:sz="4" w:space="0"/>
              <w:left w:val="nil"/>
              <w:bottom w:val="single" w:color="000000" w:sz="4" w:space="0"/>
              <w:right w:val="single" w:color="000000" w:sz="4" w:space="0"/>
            </w:tcBorders>
          </w:tcPr>
          <w:p w14:paraId="7550C35D">
            <w:pPr>
              <w:widowControl/>
              <w:rPr>
                <w:rFonts w:ascii="Arial" w:hAnsi="Arial" w:cs="Arial"/>
                <w:bCs/>
                <w:szCs w:val="21"/>
              </w:rPr>
            </w:pPr>
          </w:p>
        </w:tc>
      </w:tr>
      <w:tr w14:paraId="07BD828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AA802BF">
            <w:pPr>
              <w:widowControl/>
              <w:rPr>
                <w:rFonts w:ascii="Arial" w:hAnsi="Arial" w:cs="Arial"/>
                <w:bCs/>
                <w:szCs w:val="21"/>
              </w:rPr>
            </w:pPr>
          </w:p>
        </w:tc>
        <w:tc>
          <w:tcPr>
            <w:tcW w:w="896" w:type="dxa"/>
            <w:tcBorders>
              <w:top w:val="single" w:color="000000" w:sz="4" w:space="0"/>
              <w:left w:val="nil"/>
              <w:bottom w:val="single" w:color="000000" w:sz="4" w:space="0"/>
              <w:right w:val="single" w:color="000000" w:sz="4" w:space="0"/>
            </w:tcBorders>
          </w:tcPr>
          <w:p w14:paraId="0A7E339B">
            <w:pPr>
              <w:widowControl/>
              <w:rPr>
                <w:rFonts w:ascii="Arial" w:hAnsi="Arial" w:cs="Arial"/>
                <w:bCs/>
                <w:szCs w:val="21"/>
              </w:rPr>
            </w:pPr>
          </w:p>
        </w:tc>
        <w:tc>
          <w:tcPr>
            <w:tcW w:w="663" w:type="dxa"/>
            <w:tcBorders>
              <w:top w:val="single" w:color="000000" w:sz="4" w:space="0"/>
              <w:left w:val="nil"/>
              <w:bottom w:val="single" w:color="000000" w:sz="4" w:space="0"/>
              <w:right w:val="single" w:color="000000" w:sz="4" w:space="0"/>
            </w:tcBorders>
          </w:tcPr>
          <w:p w14:paraId="268E6919">
            <w:pPr>
              <w:widowControl/>
              <w:rPr>
                <w:rFonts w:ascii="Arial" w:hAnsi="Arial" w:cs="Arial"/>
                <w:bCs/>
                <w:szCs w:val="21"/>
              </w:rPr>
            </w:pPr>
          </w:p>
        </w:tc>
        <w:tc>
          <w:tcPr>
            <w:tcW w:w="709" w:type="dxa"/>
            <w:tcBorders>
              <w:top w:val="single" w:color="000000" w:sz="4" w:space="0"/>
              <w:left w:val="nil"/>
              <w:bottom w:val="single" w:color="000000" w:sz="4" w:space="0"/>
              <w:right w:val="single" w:color="000000" w:sz="4" w:space="0"/>
            </w:tcBorders>
          </w:tcPr>
          <w:p w14:paraId="4062A8DE">
            <w:pPr>
              <w:widowControl/>
              <w:rPr>
                <w:rFonts w:ascii="Arial" w:hAnsi="Arial" w:cs="Arial"/>
                <w:bCs/>
                <w:szCs w:val="21"/>
              </w:rPr>
            </w:pPr>
          </w:p>
        </w:tc>
        <w:tc>
          <w:tcPr>
            <w:tcW w:w="1134" w:type="dxa"/>
            <w:tcBorders>
              <w:top w:val="single" w:color="000000" w:sz="4" w:space="0"/>
              <w:left w:val="nil"/>
              <w:bottom w:val="single" w:color="000000" w:sz="4" w:space="0"/>
              <w:right w:val="single" w:color="000000" w:sz="4" w:space="0"/>
            </w:tcBorders>
          </w:tcPr>
          <w:p w14:paraId="23F51CC0">
            <w:pPr>
              <w:widowControl/>
              <w:rPr>
                <w:rFonts w:ascii="Arial" w:hAnsi="Arial" w:cs="Arial"/>
                <w:bCs/>
                <w:szCs w:val="21"/>
              </w:rPr>
            </w:pPr>
          </w:p>
        </w:tc>
        <w:tc>
          <w:tcPr>
            <w:tcW w:w="931" w:type="dxa"/>
            <w:tcBorders>
              <w:top w:val="single" w:color="000000" w:sz="4" w:space="0"/>
              <w:left w:val="nil"/>
              <w:bottom w:val="single" w:color="000000" w:sz="4" w:space="0"/>
              <w:right w:val="single" w:color="000000" w:sz="4" w:space="0"/>
            </w:tcBorders>
          </w:tcPr>
          <w:p w14:paraId="0D5CABE6">
            <w:pPr>
              <w:widowControl/>
              <w:rPr>
                <w:rFonts w:ascii="Arial" w:hAnsi="Arial" w:cs="Arial"/>
                <w:bCs/>
                <w:szCs w:val="21"/>
              </w:rPr>
            </w:pPr>
          </w:p>
        </w:tc>
        <w:tc>
          <w:tcPr>
            <w:tcW w:w="1020" w:type="dxa"/>
            <w:tcBorders>
              <w:top w:val="single" w:color="000000" w:sz="4" w:space="0"/>
              <w:left w:val="nil"/>
              <w:bottom w:val="single" w:color="000000" w:sz="4" w:space="0"/>
              <w:right w:val="single" w:color="000000" w:sz="4" w:space="0"/>
            </w:tcBorders>
          </w:tcPr>
          <w:p w14:paraId="373B483C">
            <w:pPr>
              <w:widowControl/>
              <w:rPr>
                <w:rFonts w:ascii="Arial" w:hAnsi="Arial" w:cs="Arial"/>
                <w:bCs/>
                <w:szCs w:val="21"/>
              </w:rPr>
            </w:pPr>
          </w:p>
        </w:tc>
        <w:tc>
          <w:tcPr>
            <w:tcW w:w="994" w:type="dxa"/>
            <w:tcBorders>
              <w:top w:val="single" w:color="000000" w:sz="4" w:space="0"/>
              <w:left w:val="nil"/>
              <w:bottom w:val="single" w:color="000000" w:sz="4" w:space="0"/>
              <w:right w:val="single" w:color="000000" w:sz="4" w:space="0"/>
            </w:tcBorders>
          </w:tcPr>
          <w:p w14:paraId="784EE9AE">
            <w:pPr>
              <w:widowControl/>
              <w:rPr>
                <w:rFonts w:ascii="Arial" w:hAnsi="Arial" w:cs="Arial"/>
                <w:bCs/>
                <w:szCs w:val="21"/>
              </w:rPr>
            </w:pPr>
          </w:p>
        </w:tc>
        <w:tc>
          <w:tcPr>
            <w:tcW w:w="882" w:type="dxa"/>
            <w:tcBorders>
              <w:top w:val="single" w:color="000000" w:sz="4" w:space="0"/>
              <w:left w:val="nil"/>
              <w:bottom w:val="single" w:color="000000" w:sz="4" w:space="0"/>
              <w:right w:val="single" w:color="000000" w:sz="4" w:space="0"/>
            </w:tcBorders>
          </w:tcPr>
          <w:p w14:paraId="0667A7C8">
            <w:pPr>
              <w:widowControl/>
              <w:rPr>
                <w:rFonts w:ascii="Arial" w:hAnsi="Arial" w:cs="Arial"/>
                <w:bCs/>
                <w:szCs w:val="21"/>
              </w:rPr>
            </w:pPr>
          </w:p>
        </w:tc>
        <w:tc>
          <w:tcPr>
            <w:tcW w:w="850" w:type="dxa"/>
            <w:tcBorders>
              <w:top w:val="single" w:color="000000" w:sz="4" w:space="0"/>
              <w:left w:val="nil"/>
              <w:bottom w:val="single" w:color="000000" w:sz="4" w:space="0"/>
              <w:right w:val="single" w:color="000000" w:sz="4" w:space="0"/>
            </w:tcBorders>
          </w:tcPr>
          <w:p w14:paraId="519C68F7">
            <w:pPr>
              <w:widowControl/>
              <w:rPr>
                <w:rFonts w:ascii="Arial" w:hAnsi="Arial" w:cs="Arial"/>
                <w:bCs/>
                <w:szCs w:val="21"/>
              </w:rPr>
            </w:pPr>
          </w:p>
        </w:tc>
        <w:tc>
          <w:tcPr>
            <w:tcW w:w="851" w:type="dxa"/>
            <w:tcBorders>
              <w:top w:val="single" w:color="000000" w:sz="4" w:space="0"/>
              <w:left w:val="nil"/>
              <w:bottom w:val="single" w:color="000000" w:sz="4" w:space="0"/>
              <w:right w:val="single" w:color="000000" w:sz="4" w:space="0"/>
            </w:tcBorders>
          </w:tcPr>
          <w:p w14:paraId="7873A63E">
            <w:pPr>
              <w:widowControl/>
              <w:rPr>
                <w:rFonts w:ascii="Arial" w:hAnsi="Arial" w:cs="Arial"/>
                <w:bCs/>
                <w:szCs w:val="21"/>
              </w:rPr>
            </w:pPr>
          </w:p>
        </w:tc>
      </w:tr>
      <w:tr w14:paraId="22415070">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0C460F9A">
            <w:pPr>
              <w:widowControl/>
              <w:rPr>
                <w:rFonts w:ascii="Arial" w:hAnsi="Arial" w:cs="Arial"/>
                <w:bCs/>
                <w:szCs w:val="21"/>
              </w:rPr>
            </w:pPr>
          </w:p>
        </w:tc>
        <w:tc>
          <w:tcPr>
            <w:tcW w:w="896" w:type="dxa"/>
            <w:tcBorders>
              <w:top w:val="single" w:color="000000" w:sz="4" w:space="0"/>
              <w:left w:val="nil"/>
              <w:bottom w:val="single" w:color="000000" w:sz="4" w:space="0"/>
              <w:right w:val="single" w:color="000000" w:sz="4" w:space="0"/>
            </w:tcBorders>
          </w:tcPr>
          <w:p w14:paraId="76D13925">
            <w:pPr>
              <w:widowControl/>
              <w:rPr>
                <w:rFonts w:ascii="Arial" w:hAnsi="Arial" w:cs="Arial"/>
                <w:bCs/>
                <w:szCs w:val="21"/>
              </w:rPr>
            </w:pPr>
          </w:p>
        </w:tc>
        <w:tc>
          <w:tcPr>
            <w:tcW w:w="663" w:type="dxa"/>
            <w:tcBorders>
              <w:top w:val="single" w:color="000000" w:sz="4" w:space="0"/>
              <w:left w:val="nil"/>
              <w:bottom w:val="single" w:color="000000" w:sz="4" w:space="0"/>
              <w:right w:val="single" w:color="000000" w:sz="4" w:space="0"/>
            </w:tcBorders>
          </w:tcPr>
          <w:p w14:paraId="538A351B">
            <w:pPr>
              <w:widowControl/>
              <w:rPr>
                <w:rFonts w:ascii="Arial" w:hAnsi="Arial" w:cs="Arial"/>
                <w:bCs/>
                <w:szCs w:val="21"/>
              </w:rPr>
            </w:pPr>
          </w:p>
        </w:tc>
        <w:tc>
          <w:tcPr>
            <w:tcW w:w="709" w:type="dxa"/>
            <w:tcBorders>
              <w:top w:val="single" w:color="000000" w:sz="4" w:space="0"/>
              <w:left w:val="nil"/>
              <w:bottom w:val="single" w:color="000000" w:sz="4" w:space="0"/>
              <w:right w:val="single" w:color="000000" w:sz="4" w:space="0"/>
            </w:tcBorders>
          </w:tcPr>
          <w:p w14:paraId="78241F9A">
            <w:pPr>
              <w:widowControl/>
              <w:rPr>
                <w:rFonts w:ascii="Arial" w:hAnsi="Arial" w:cs="Arial"/>
                <w:bCs/>
                <w:szCs w:val="21"/>
              </w:rPr>
            </w:pPr>
          </w:p>
        </w:tc>
        <w:tc>
          <w:tcPr>
            <w:tcW w:w="1134" w:type="dxa"/>
            <w:tcBorders>
              <w:top w:val="single" w:color="000000" w:sz="4" w:space="0"/>
              <w:left w:val="nil"/>
              <w:bottom w:val="single" w:color="000000" w:sz="4" w:space="0"/>
              <w:right w:val="single" w:color="000000" w:sz="4" w:space="0"/>
            </w:tcBorders>
          </w:tcPr>
          <w:p w14:paraId="1CDD4C23">
            <w:pPr>
              <w:widowControl/>
              <w:rPr>
                <w:rFonts w:ascii="Arial" w:hAnsi="Arial" w:cs="Arial"/>
                <w:bCs/>
                <w:szCs w:val="21"/>
              </w:rPr>
            </w:pPr>
          </w:p>
        </w:tc>
        <w:tc>
          <w:tcPr>
            <w:tcW w:w="931" w:type="dxa"/>
            <w:tcBorders>
              <w:top w:val="single" w:color="000000" w:sz="4" w:space="0"/>
              <w:left w:val="nil"/>
              <w:bottom w:val="single" w:color="000000" w:sz="4" w:space="0"/>
              <w:right w:val="single" w:color="000000" w:sz="4" w:space="0"/>
            </w:tcBorders>
          </w:tcPr>
          <w:p w14:paraId="70BE917C">
            <w:pPr>
              <w:widowControl/>
              <w:rPr>
                <w:rFonts w:ascii="Arial" w:hAnsi="Arial" w:cs="Arial"/>
                <w:bCs/>
                <w:szCs w:val="21"/>
              </w:rPr>
            </w:pPr>
          </w:p>
        </w:tc>
        <w:tc>
          <w:tcPr>
            <w:tcW w:w="1020" w:type="dxa"/>
            <w:tcBorders>
              <w:top w:val="single" w:color="000000" w:sz="4" w:space="0"/>
              <w:left w:val="nil"/>
              <w:bottom w:val="single" w:color="000000" w:sz="4" w:space="0"/>
              <w:right w:val="single" w:color="000000" w:sz="4" w:space="0"/>
            </w:tcBorders>
          </w:tcPr>
          <w:p w14:paraId="59E039C8">
            <w:pPr>
              <w:widowControl/>
              <w:rPr>
                <w:rFonts w:ascii="Arial" w:hAnsi="Arial" w:cs="Arial"/>
                <w:bCs/>
                <w:szCs w:val="21"/>
              </w:rPr>
            </w:pPr>
          </w:p>
        </w:tc>
        <w:tc>
          <w:tcPr>
            <w:tcW w:w="994" w:type="dxa"/>
            <w:tcBorders>
              <w:top w:val="single" w:color="000000" w:sz="4" w:space="0"/>
              <w:left w:val="nil"/>
              <w:bottom w:val="single" w:color="000000" w:sz="4" w:space="0"/>
              <w:right w:val="single" w:color="000000" w:sz="4" w:space="0"/>
            </w:tcBorders>
          </w:tcPr>
          <w:p w14:paraId="0A1591B0">
            <w:pPr>
              <w:widowControl/>
              <w:rPr>
                <w:rFonts w:ascii="Arial" w:hAnsi="Arial" w:cs="Arial"/>
                <w:bCs/>
                <w:szCs w:val="21"/>
              </w:rPr>
            </w:pPr>
          </w:p>
        </w:tc>
        <w:tc>
          <w:tcPr>
            <w:tcW w:w="882" w:type="dxa"/>
            <w:tcBorders>
              <w:top w:val="single" w:color="000000" w:sz="4" w:space="0"/>
              <w:left w:val="nil"/>
              <w:bottom w:val="single" w:color="000000" w:sz="4" w:space="0"/>
              <w:right w:val="single" w:color="000000" w:sz="4" w:space="0"/>
            </w:tcBorders>
          </w:tcPr>
          <w:p w14:paraId="7882D338">
            <w:pPr>
              <w:widowControl/>
              <w:rPr>
                <w:rFonts w:ascii="Arial" w:hAnsi="Arial" w:cs="Arial"/>
                <w:bCs/>
                <w:szCs w:val="21"/>
              </w:rPr>
            </w:pPr>
          </w:p>
        </w:tc>
        <w:tc>
          <w:tcPr>
            <w:tcW w:w="850" w:type="dxa"/>
            <w:tcBorders>
              <w:top w:val="single" w:color="000000" w:sz="4" w:space="0"/>
              <w:left w:val="nil"/>
              <w:bottom w:val="single" w:color="000000" w:sz="4" w:space="0"/>
              <w:right w:val="single" w:color="000000" w:sz="4" w:space="0"/>
            </w:tcBorders>
          </w:tcPr>
          <w:p w14:paraId="4DEDF3B8">
            <w:pPr>
              <w:widowControl/>
              <w:rPr>
                <w:rFonts w:ascii="Arial" w:hAnsi="Arial" w:cs="Arial"/>
                <w:bCs/>
                <w:szCs w:val="21"/>
              </w:rPr>
            </w:pPr>
          </w:p>
        </w:tc>
        <w:tc>
          <w:tcPr>
            <w:tcW w:w="851" w:type="dxa"/>
            <w:tcBorders>
              <w:top w:val="single" w:color="000000" w:sz="4" w:space="0"/>
              <w:left w:val="nil"/>
              <w:bottom w:val="single" w:color="000000" w:sz="4" w:space="0"/>
              <w:right w:val="single" w:color="000000" w:sz="4" w:space="0"/>
            </w:tcBorders>
          </w:tcPr>
          <w:p w14:paraId="3CABB4BB">
            <w:pPr>
              <w:widowControl/>
              <w:rPr>
                <w:rFonts w:ascii="Arial" w:hAnsi="Arial" w:cs="Arial"/>
                <w:bCs/>
                <w:szCs w:val="21"/>
              </w:rPr>
            </w:pPr>
          </w:p>
        </w:tc>
      </w:tr>
      <w:tr w14:paraId="5E7F5A1A">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EB79EBF">
            <w:pPr>
              <w:widowControl/>
              <w:rPr>
                <w:rFonts w:ascii="Arial" w:hAnsi="Arial" w:cs="Arial"/>
                <w:bCs/>
                <w:szCs w:val="21"/>
              </w:rPr>
            </w:pPr>
          </w:p>
        </w:tc>
        <w:tc>
          <w:tcPr>
            <w:tcW w:w="896" w:type="dxa"/>
            <w:tcBorders>
              <w:top w:val="single" w:color="000000" w:sz="4" w:space="0"/>
              <w:left w:val="nil"/>
              <w:bottom w:val="single" w:color="000000" w:sz="4" w:space="0"/>
              <w:right w:val="single" w:color="000000" w:sz="4" w:space="0"/>
            </w:tcBorders>
          </w:tcPr>
          <w:p w14:paraId="2551D8DC">
            <w:pPr>
              <w:widowControl/>
              <w:rPr>
                <w:rFonts w:ascii="Arial" w:hAnsi="Arial" w:cs="Arial"/>
                <w:bCs/>
                <w:szCs w:val="21"/>
              </w:rPr>
            </w:pPr>
          </w:p>
        </w:tc>
        <w:tc>
          <w:tcPr>
            <w:tcW w:w="663" w:type="dxa"/>
            <w:tcBorders>
              <w:top w:val="single" w:color="000000" w:sz="4" w:space="0"/>
              <w:left w:val="nil"/>
              <w:bottom w:val="single" w:color="000000" w:sz="4" w:space="0"/>
              <w:right w:val="single" w:color="000000" w:sz="4" w:space="0"/>
            </w:tcBorders>
          </w:tcPr>
          <w:p w14:paraId="4FF930BC">
            <w:pPr>
              <w:widowControl/>
              <w:rPr>
                <w:rFonts w:ascii="Arial" w:hAnsi="Arial" w:cs="Arial"/>
                <w:bCs/>
                <w:szCs w:val="21"/>
              </w:rPr>
            </w:pPr>
          </w:p>
        </w:tc>
        <w:tc>
          <w:tcPr>
            <w:tcW w:w="709" w:type="dxa"/>
            <w:tcBorders>
              <w:top w:val="single" w:color="000000" w:sz="4" w:space="0"/>
              <w:left w:val="nil"/>
              <w:bottom w:val="single" w:color="000000" w:sz="4" w:space="0"/>
              <w:right w:val="single" w:color="000000" w:sz="4" w:space="0"/>
            </w:tcBorders>
          </w:tcPr>
          <w:p w14:paraId="25CF7AB5">
            <w:pPr>
              <w:widowControl/>
              <w:rPr>
                <w:rFonts w:ascii="Arial" w:hAnsi="Arial" w:cs="Arial"/>
                <w:bCs/>
                <w:szCs w:val="21"/>
              </w:rPr>
            </w:pPr>
          </w:p>
        </w:tc>
        <w:tc>
          <w:tcPr>
            <w:tcW w:w="1134" w:type="dxa"/>
            <w:tcBorders>
              <w:top w:val="single" w:color="000000" w:sz="4" w:space="0"/>
              <w:left w:val="nil"/>
              <w:bottom w:val="single" w:color="000000" w:sz="4" w:space="0"/>
              <w:right w:val="single" w:color="000000" w:sz="4" w:space="0"/>
            </w:tcBorders>
          </w:tcPr>
          <w:p w14:paraId="23A34680">
            <w:pPr>
              <w:widowControl/>
              <w:rPr>
                <w:rFonts w:ascii="Arial" w:hAnsi="Arial" w:cs="Arial"/>
                <w:bCs/>
                <w:szCs w:val="21"/>
              </w:rPr>
            </w:pPr>
          </w:p>
        </w:tc>
        <w:tc>
          <w:tcPr>
            <w:tcW w:w="931" w:type="dxa"/>
            <w:tcBorders>
              <w:top w:val="single" w:color="000000" w:sz="4" w:space="0"/>
              <w:left w:val="nil"/>
              <w:bottom w:val="single" w:color="000000" w:sz="4" w:space="0"/>
              <w:right w:val="single" w:color="000000" w:sz="4" w:space="0"/>
            </w:tcBorders>
          </w:tcPr>
          <w:p w14:paraId="49D460AF">
            <w:pPr>
              <w:widowControl/>
              <w:rPr>
                <w:rFonts w:ascii="Arial" w:hAnsi="Arial" w:cs="Arial"/>
                <w:bCs/>
                <w:szCs w:val="21"/>
              </w:rPr>
            </w:pPr>
          </w:p>
        </w:tc>
        <w:tc>
          <w:tcPr>
            <w:tcW w:w="1020" w:type="dxa"/>
            <w:tcBorders>
              <w:top w:val="single" w:color="000000" w:sz="4" w:space="0"/>
              <w:left w:val="nil"/>
              <w:bottom w:val="single" w:color="000000" w:sz="4" w:space="0"/>
              <w:right w:val="single" w:color="000000" w:sz="4" w:space="0"/>
            </w:tcBorders>
          </w:tcPr>
          <w:p w14:paraId="738DFEA6">
            <w:pPr>
              <w:widowControl/>
              <w:rPr>
                <w:rFonts w:ascii="Arial" w:hAnsi="Arial" w:cs="Arial"/>
                <w:bCs/>
                <w:szCs w:val="21"/>
              </w:rPr>
            </w:pPr>
          </w:p>
        </w:tc>
        <w:tc>
          <w:tcPr>
            <w:tcW w:w="994" w:type="dxa"/>
            <w:tcBorders>
              <w:top w:val="single" w:color="000000" w:sz="4" w:space="0"/>
              <w:left w:val="nil"/>
              <w:bottom w:val="single" w:color="000000" w:sz="4" w:space="0"/>
              <w:right w:val="single" w:color="000000" w:sz="4" w:space="0"/>
            </w:tcBorders>
          </w:tcPr>
          <w:p w14:paraId="296F27C8">
            <w:pPr>
              <w:widowControl/>
              <w:rPr>
                <w:rFonts w:ascii="Arial" w:hAnsi="Arial" w:cs="Arial"/>
                <w:bCs/>
                <w:szCs w:val="21"/>
              </w:rPr>
            </w:pPr>
          </w:p>
        </w:tc>
        <w:tc>
          <w:tcPr>
            <w:tcW w:w="882" w:type="dxa"/>
            <w:tcBorders>
              <w:top w:val="single" w:color="000000" w:sz="4" w:space="0"/>
              <w:left w:val="nil"/>
              <w:bottom w:val="single" w:color="000000" w:sz="4" w:space="0"/>
              <w:right w:val="single" w:color="000000" w:sz="4" w:space="0"/>
            </w:tcBorders>
          </w:tcPr>
          <w:p w14:paraId="2855F8B4">
            <w:pPr>
              <w:widowControl/>
              <w:rPr>
                <w:rFonts w:ascii="Arial" w:hAnsi="Arial" w:cs="Arial"/>
                <w:bCs/>
                <w:szCs w:val="21"/>
              </w:rPr>
            </w:pPr>
          </w:p>
        </w:tc>
        <w:tc>
          <w:tcPr>
            <w:tcW w:w="850" w:type="dxa"/>
            <w:tcBorders>
              <w:top w:val="single" w:color="000000" w:sz="4" w:space="0"/>
              <w:left w:val="nil"/>
              <w:bottom w:val="single" w:color="000000" w:sz="4" w:space="0"/>
              <w:right w:val="single" w:color="000000" w:sz="4" w:space="0"/>
            </w:tcBorders>
          </w:tcPr>
          <w:p w14:paraId="0532CB17">
            <w:pPr>
              <w:widowControl/>
              <w:rPr>
                <w:rFonts w:ascii="Arial" w:hAnsi="Arial" w:cs="Arial"/>
                <w:bCs/>
                <w:szCs w:val="21"/>
              </w:rPr>
            </w:pPr>
          </w:p>
        </w:tc>
        <w:tc>
          <w:tcPr>
            <w:tcW w:w="851" w:type="dxa"/>
            <w:tcBorders>
              <w:top w:val="single" w:color="000000" w:sz="4" w:space="0"/>
              <w:left w:val="nil"/>
              <w:bottom w:val="single" w:color="000000" w:sz="4" w:space="0"/>
              <w:right w:val="single" w:color="000000" w:sz="4" w:space="0"/>
            </w:tcBorders>
          </w:tcPr>
          <w:p w14:paraId="08A5DF97">
            <w:pPr>
              <w:widowControl/>
              <w:rPr>
                <w:rFonts w:ascii="Arial" w:hAnsi="Arial" w:cs="Arial"/>
                <w:bCs/>
                <w:szCs w:val="21"/>
              </w:rPr>
            </w:pPr>
          </w:p>
        </w:tc>
      </w:tr>
      <w:tr w14:paraId="325F0E4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56B084C4">
            <w:pPr>
              <w:widowControl/>
              <w:rPr>
                <w:rFonts w:ascii="Arial" w:hAnsi="Arial" w:cs="Arial"/>
                <w:bCs/>
                <w:szCs w:val="21"/>
              </w:rPr>
            </w:pPr>
          </w:p>
        </w:tc>
        <w:tc>
          <w:tcPr>
            <w:tcW w:w="896" w:type="dxa"/>
            <w:tcBorders>
              <w:top w:val="single" w:color="000000" w:sz="4" w:space="0"/>
              <w:left w:val="nil"/>
              <w:bottom w:val="single" w:color="000000" w:sz="4" w:space="0"/>
              <w:right w:val="single" w:color="000000" w:sz="4" w:space="0"/>
            </w:tcBorders>
          </w:tcPr>
          <w:p w14:paraId="4CE22D91">
            <w:pPr>
              <w:widowControl/>
              <w:rPr>
                <w:rFonts w:ascii="Arial" w:hAnsi="Arial" w:cs="Arial"/>
                <w:bCs/>
                <w:szCs w:val="21"/>
              </w:rPr>
            </w:pPr>
          </w:p>
        </w:tc>
        <w:tc>
          <w:tcPr>
            <w:tcW w:w="663" w:type="dxa"/>
            <w:tcBorders>
              <w:top w:val="single" w:color="000000" w:sz="4" w:space="0"/>
              <w:left w:val="nil"/>
              <w:bottom w:val="single" w:color="000000" w:sz="4" w:space="0"/>
              <w:right w:val="single" w:color="000000" w:sz="4" w:space="0"/>
            </w:tcBorders>
          </w:tcPr>
          <w:p w14:paraId="1BFAEFC4">
            <w:pPr>
              <w:widowControl/>
              <w:rPr>
                <w:rFonts w:ascii="Arial" w:hAnsi="Arial" w:cs="Arial"/>
                <w:bCs/>
                <w:szCs w:val="21"/>
              </w:rPr>
            </w:pPr>
          </w:p>
        </w:tc>
        <w:tc>
          <w:tcPr>
            <w:tcW w:w="709" w:type="dxa"/>
            <w:tcBorders>
              <w:top w:val="single" w:color="000000" w:sz="4" w:space="0"/>
              <w:left w:val="nil"/>
              <w:bottom w:val="single" w:color="000000" w:sz="4" w:space="0"/>
              <w:right w:val="single" w:color="000000" w:sz="4" w:space="0"/>
            </w:tcBorders>
          </w:tcPr>
          <w:p w14:paraId="04CCEEC0">
            <w:pPr>
              <w:widowControl/>
              <w:rPr>
                <w:rFonts w:ascii="Arial" w:hAnsi="Arial" w:cs="Arial"/>
                <w:bCs/>
                <w:szCs w:val="21"/>
              </w:rPr>
            </w:pPr>
          </w:p>
        </w:tc>
        <w:tc>
          <w:tcPr>
            <w:tcW w:w="1134" w:type="dxa"/>
            <w:tcBorders>
              <w:top w:val="single" w:color="000000" w:sz="4" w:space="0"/>
              <w:left w:val="nil"/>
              <w:bottom w:val="single" w:color="000000" w:sz="4" w:space="0"/>
              <w:right w:val="single" w:color="000000" w:sz="4" w:space="0"/>
            </w:tcBorders>
          </w:tcPr>
          <w:p w14:paraId="44EFE63C">
            <w:pPr>
              <w:widowControl/>
              <w:rPr>
                <w:rFonts w:ascii="Arial" w:hAnsi="Arial" w:cs="Arial"/>
                <w:bCs/>
                <w:szCs w:val="21"/>
              </w:rPr>
            </w:pPr>
          </w:p>
        </w:tc>
        <w:tc>
          <w:tcPr>
            <w:tcW w:w="931" w:type="dxa"/>
            <w:tcBorders>
              <w:top w:val="single" w:color="000000" w:sz="4" w:space="0"/>
              <w:left w:val="nil"/>
              <w:bottom w:val="single" w:color="000000" w:sz="4" w:space="0"/>
              <w:right w:val="single" w:color="000000" w:sz="4" w:space="0"/>
            </w:tcBorders>
          </w:tcPr>
          <w:p w14:paraId="42606543">
            <w:pPr>
              <w:widowControl/>
              <w:rPr>
                <w:rFonts w:ascii="Arial" w:hAnsi="Arial" w:cs="Arial"/>
                <w:bCs/>
                <w:szCs w:val="21"/>
              </w:rPr>
            </w:pPr>
          </w:p>
        </w:tc>
        <w:tc>
          <w:tcPr>
            <w:tcW w:w="1020" w:type="dxa"/>
            <w:tcBorders>
              <w:top w:val="single" w:color="000000" w:sz="4" w:space="0"/>
              <w:left w:val="nil"/>
              <w:bottom w:val="single" w:color="000000" w:sz="4" w:space="0"/>
              <w:right w:val="single" w:color="000000" w:sz="4" w:space="0"/>
            </w:tcBorders>
          </w:tcPr>
          <w:p w14:paraId="0719908A">
            <w:pPr>
              <w:widowControl/>
              <w:rPr>
                <w:rFonts w:ascii="Arial" w:hAnsi="Arial" w:cs="Arial"/>
                <w:bCs/>
                <w:szCs w:val="21"/>
              </w:rPr>
            </w:pPr>
          </w:p>
        </w:tc>
        <w:tc>
          <w:tcPr>
            <w:tcW w:w="994" w:type="dxa"/>
            <w:tcBorders>
              <w:top w:val="single" w:color="000000" w:sz="4" w:space="0"/>
              <w:left w:val="nil"/>
              <w:bottom w:val="single" w:color="000000" w:sz="4" w:space="0"/>
              <w:right w:val="single" w:color="000000" w:sz="4" w:space="0"/>
            </w:tcBorders>
          </w:tcPr>
          <w:p w14:paraId="7ACA9F66">
            <w:pPr>
              <w:widowControl/>
              <w:rPr>
                <w:rFonts w:ascii="Arial" w:hAnsi="Arial" w:cs="Arial"/>
                <w:bCs/>
                <w:szCs w:val="21"/>
              </w:rPr>
            </w:pPr>
          </w:p>
        </w:tc>
        <w:tc>
          <w:tcPr>
            <w:tcW w:w="882" w:type="dxa"/>
            <w:tcBorders>
              <w:top w:val="single" w:color="000000" w:sz="4" w:space="0"/>
              <w:left w:val="nil"/>
              <w:bottom w:val="single" w:color="000000" w:sz="4" w:space="0"/>
              <w:right w:val="single" w:color="000000" w:sz="4" w:space="0"/>
            </w:tcBorders>
          </w:tcPr>
          <w:p w14:paraId="4A51FEC5">
            <w:pPr>
              <w:widowControl/>
              <w:rPr>
                <w:rFonts w:ascii="Arial" w:hAnsi="Arial" w:cs="Arial"/>
                <w:bCs/>
                <w:szCs w:val="21"/>
              </w:rPr>
            </w:pPr>
          </w:p>
        </w:tc>
        <w:tc>
          <w:tcPr>
            <w:tcW w:w="850" w:type="dxa"/>
            <w:tcBorders>
              <w:top w:val="single" w:color="000000" w:sz="4" w:space="0"/>
              <w:left w:val="nil"/>
              <w:bottom w:val="single" w:color="000000" w:sz="4" w:space="0"/>
              <w:right w:val="single" w:color="000000" w:sz="4" w:space="0"/>
            </w:tcBorders>
          </w:tcPr>
          <w:p w14:paraId="46A7A900">
            <w:pPr>
              <w:widowControl/>
              <w:rPr>
                <w:rFonts w:ascii="Arial" w:hAnsi="Arial" w:cs="Arial"/>
                <w:bCs/>
                <w:szCs w:val="21"/>
              </w:rPr>
            </w:pPr>
          </w:p>
        </w:tc>
        <w:tc>
          <w:tcPr>
            <w:tcW w:w="851" w:type="dxa"/>
            <w:tcBorders>
              <w:top w:val="single" w:color="000000" w:sz="4" w:space="0"/>
              <w:left w:val="nil"/>
              <w:bottom w:val="single" w:color="000000" w:sz="4" w:space="0"/>
              <w:right w:val="single" w:color="000000" w:sz="4" w:space="0"/>
            </w:tcBorders>
          </w:tcPr>
          <w:p w14:paraId="290B523F">
            <w:pPr>
              <w:widowControl/>
              <w:rPr>
                <w:rFonts w:ascii="Arial" w:hAnsi="Arial" w:cs="Arial"/>
                <w:bCs/>
                <w:szCs w:val="21"/>
              </w:rPr>
            </w:pPr>
          </w:p>
        </w:tc>
      </w:tr>
      <w:tr w14:paraId="73C3A0E9">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03B3C05E">
            <w:pPr>
              <w:widowControl/>
              <w:rPr>
                <w:rFonts w:ascii="Arial" w:hAnsi="Arial" w:cs="Arial"/>
                <w:bCs/>
                <w:szCs w:val="21"/>
              </w:rPr>
            </w:pPr>
          </w:p>
        </w:tc>
        <w:tc>
          <w:tcPr>
            <w:tcW w:w="896" w:type="dxa"/>
            <w:tcBorders>
              <w:top w:val="single" w:color="000000" w:sz="4" w:space="0"/>
              <w:left w:val="nil"/>
              <w:bottom w:val="single" w:color="000000" w:sz="4" w:space="0"/>
              <w:right w:val="single" w:color="000000" w:sz="4" w:space="0"/>
            </w:tcBorders>
          </w:tcPr>
          <w:p w14:paraId="21E79251">
            <w:pPr>
              <w:widowControl/>
              <w:rPr>
                <w:rFonts w:ascii="Arial" w:hAnsi="Arial" w:cs="Arial"/>
                <w:bCs/>
                <w:szCs w:val="21"/>
              </w:rPr>
            </w:pPr>
          </w:p>
        </w:tc>
        <w:tc>
          <w:tcPr>
            <w:tcW w:w="663" w:type="dxa"/>
            <w:tcBorders>
              <w:top w:val="single" w:color="000000" w:sz="4" w:space="0"/>
              <w:left w:val="nil"/>
              <w:bottom w:val="single" w:color="000000" w:sz="4" w:space="0"/>
              <w:right w:val="single" w:color="000000" w:sz="4" w:space="0"/>
            </w:tcBorders>
          </w:tcPr>
          <w:p w14:paraId="4BE501CB">
            <w:pPr>
              <w:widowControl/>
              <w:rPr>
                <w:rFonts w:ascii="Arial" w:hAnsi="Arial" w:cs="Arial"/>
                <w:bCs/>
                <w:szCs w:val="21"/>
              </w:rPr>
            </w:pPr>
          </w:p>
        </w:tc>
        <w:tc>
          <w:tcPr>
            <w:tcW w:w="709" w:type="dxa"/>
            <w:tcBorders>
              <w:top w:val="single" w:color="000000" w:sz="4" w:space="0"/>
              <w:left w:val="nil"/>
              <w:bottom w:val="single" w:color="000000" w:sz="4" w:space="0"/>
              <w:right w:val="single" w:color="000000" w:sz="4" w:space="0"/>
            </w:tcBorders>
          </w:tcPr>
          <w:p w14:paraId="2B82B6D1">
            <w:pPr>
              <w:widowControl/>
              <w:rPr>
                <w:rFonts w:ascii="Arial" w:hAnsi="Arial" w:cs="Arial"/>
                <w:bCs/>
                <w:szCs w:val="21"/>
              </w:rPr>
            </w:pPr>
          </w:p>
        </w:tc>
        <w:tc>
          <w:tcPr>
            <w:tcW w:w="1134" w:type="dxa"/>
            <w:tcBorders>
              <w:top w:val="single" w:color="000000" w:sz="4" w:space="0"/>
              <w:left w:val="nil"/>
              <w:bottom w:val="single" w:color="000000" w:sz="4" w:space="0"/>
              <w:right w:val="single" w:color="000000" w:sz="4" w:space="0"/>
            </w:tcBorders>
          </w:tcPr>
          <w:p w14:paraId="50AC433F">
            <w:pPr>
              <w:widowControl/>
              <w:rPr>
                <w:rFonts w:ascii="Arial" w:hAnsi="Arial" w:cs="Arial"/>
                <w:bCs/>
                <w:szCs w:val="21"/>
              </w:rPr>
            </w:pPr>
          </w:p>
        </w:tc>
        <w:tc>
          <w:tcPr>
            <w:tcW w:w="931" w:type="dxa"/>
            <w:tcBorders>
              <w:top w:val="single" w:color="000000" w:sz="4" w:space="0"/>
              <w:left w:val="nil"/>
              <w:bottom w:val="single" w:color="000000" w:sz="4" w:space="0"/>
              <w:right w:val="single" w:color="000000" w:sz="4" w:space="0"/>
            </w:tcBorders>
          </w:tcPr>
          <w:p w14:paraId="7B9CA11F">
            <w:pPr>
              <w:widowControl/>
              <w:rPr>
                <w:rFonts w:ascii="Arial" w:hAnsi="Arial" w:cs="Arial"/>
                <w:bCs/>
                <w:szCs w:val="21"/>
              </w:rPr>
            </w:pPr>
          </w:p>
        </w:tc>
        <w:tc>
          <w:tcPr>
            <w:tcW w:w="1020" w:type="dxa"/>
            <w:tcBorders>
              <w:top w:val="single" w:color="000000" w:sz="4" w:space="0"/>
              <w:left w:val="nil"/>
              <w:bottom w:val="single" w:color="000000" w:sz="4" w:space="0"/>
              <w:right w:val="single" w:color="000000" w:sz="4" w:space="0"/>
            </w:tcBorders>
          </w:tcPr>
          <w:p w14:paraId="42DE2F47">
            <w:pPr>
              <w:widowControl/>
              <w:rPr>
                <w:rFonts w:ascii="Arial" w:hAnsi="Arial" w:cs="Arial"/>
                <w:bCs/>
                <w:szCs w:val="21"/>
              </w:rPr>
            </w:pPr>
          </w:p>
        </w:tc>
        <w:tc>
          <w:tcPr>
            <w:tcW w:w="994" w:type="dxa"/>
            <w:tcBorders>
              <w:top w:val="single" w:color="000000" w:sz="4" w:space="0"/>
              <w:left w:val="nil"/>
              <w:bottom w:val="single" w:color="000000" w:sz="4" w:space="0"/>
              <w:right w:val="single" w:color="000000" w:sz="4" w:space="0"/>
            </w:tcBorders>
          </w:tcPr>
          <w:p w14:paraId="60C88AF0">
            <w:pPr>
              <w:widowControl/>
              <w:rPr>
                <w:rFonts w:ascii="Arial" w:hAnsi="Arial" w:cs="Arial"/>
                <w:bCs/>
                <w:szCs w:val="21"/>
              </w:rPr>
            </w:pPr>
          </w:p>
        </w:tc>
        <w:tc>
          <w:tcPr>
            <w:tcW w:w="882" w:type="dxa"/>
            <w:tcBorders>
              <w:top w:val="single" w:color="000000" w:sz="4" w:space="0"/>
              <w:left w:val="nil"/>
              <w:bottom w:val="single" w:color="000000" w:sz="4" w:space="0"/>
              <w:right w:val="single" w:color="000000" w:sz="4" w:space="0"/>
            </w:tcBorders>
          </w:tcPr>
          <w:p w14:paraId="0886F25B">
            <w:pPr>
              <w:widowControl/>
              <w:rPr>
                <w:rFonts w:ascii="Arial" w:hAnsi="Arial" w:cs="Arial"/>
                <w:bCs/>
                <w:szCs w:val="21"/>
              </w:rPr>
            </w:pPr>
          </w:p>
        </w:tc>
        <w:tc>
          <w:tcPr>
            <w:tcW w:w="850" w:type="dxa"/>
            <w:tcBorders>
              <w:top w:val="single" w:color="000000" w:sz="4" w:space="0"/>
              <w:left w:val="nil"/>
              <w:bottom w:val="single" w:color="000000" w:sz="4" w:space="0"/>
              <w:right w:val="single" w:color="000000" w:sz="4" w:space="0"/>
            </w:tcBorders>
          </w:tcPr>
          <w:p w14:paraId="3C0C4661">
            <w:pPr>
              <w:widowControl/>
              <w:rPr>
                <w:rFonts w:ascii="Arial" w:hAnsi="Arial" w:cs="Arial"/>
                <w:bCs/>
                <w:szCs w:val="21"/>
              </w:rPr>
            </w:pPr>
          </w:p>
        </w:tc>
        <w:tc>
          <w:tcPr>
            <w:tcW w:w="851" w:type="dxa"/>
            <w:tcBorders>
              <w:top w:val="single" w:color="000000" w:sz="4" w:space="0"/>
              <w:left w:val="nil"/>
              <w:bottom w:val="single" w:color="000000" w:sz="4" w:space="0"/>
              <w:right w:val="single" w:color="000000" w:sz="4" w:space="0"/>
            </w:tcBorders>
          </w:tcPr>
          <w:p w14:paraId="3DF4CF5B">
            <w:pPr>
              <w:widowControl/>
              <w:rPr>
                <w:rFonts w:ascii="Arial" w:hAnsi="Arial" w:cs="Arial"/>
                <w:bCs/>
                <w:szCs w:val="21"/>
              </w:rPr>
            </w:pPr>
          </w:p>
        </w:tc>
      </w:tr>
      <w:tr w14:paraId="3898B50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300F618">
            <w:pPr>
              <w:widowControl/>
              <w:rPr>
                <w:rFonts w:ascii="Arial" w:hAnsi="Arial" w:cs="Arial"/>
                <w:bCs/>
                <w:szCs w:val="21"/>
              </w:rPr>
            </w:pPr>
          </w:p>
        </w:tc>
        <w:tc>
          <w:tcPr>
            <w:tcW w:w="896" w:type="dxa"/>
            <w:tcBorders>
              <w:top w:val="single" w:color="000000" w:sz="4" w:space="0"/>
              <w:left w:val="nil"/>
              <w:bottom w:val="single" w:color="000000" w:sz="4" w:space="0"/>
              <w:right w:val="single" w:color="000000" w:sz="4" w:space="0"/>
            </w:tcBorders>
          </w:tcPr>
          <w:p w14:paraId="46EDBC7A">
            <w:pPr>
              <w:widowControl/>
              <w:rPr>
                <w:rFonts w:ascii="Arial" w:hAnsi="Arial" w:cs="Arial"/>
                <w:bCs/>
                <w:szCs w:val="21"/>
              </w:rPr>
            </w:pPr>
          </w:p>
        </w:tc>
        <w:tc>
          <w:tcPr>
            <w:tcW w:w="663" w:type="dxa"/>
            <w:tcBorders>
              <w:top w:val="single" w:color="000000" w:sz="4" w:space="0"/>
              <w:left w:val="nil"/>
              <w:bottom w:val="single" w:color="000000" w:sz="4" w:space="0"/>
              <w:right w:val="single" w:color="000000" w:sz="4" w:space="0"/>
            </w:tcBorders>
          </w:tcPr>
          <w:p w14:paraId="29647248">
            <w:pPr>
              <w:widowControl/>
              <w:rPr>
                <w:rFonts w:ascii="Arial" w:hAnsi="Arial" w:cs="Arial"/>
                <w:bCs/>
                <w:szCs w:val="21"/>
              </w:rPr>
            </w:pPr>
          </w:p>
        </w:tc>
        <w:tc>
          <w:tcPr>
            <w:tcW w:w="709" w:type="dxa"/>
            <w:tcBorders>
              <w:top w:val="single" w:color="000000" w:sz="4" w:space="0"/>
              <w:left w:val="nil"/>
              <w:bottom w:val="single" w:color="000000" w:sz="4" w:space="0"/>
              <w:right w:val="single" w:color="000000" w:sz="4" w:space="0"/>
            </w:tcBorders>
          </w:tcPr>
          <w:p w14:paraId="0D810575">
            <w:pPr>
              <w:widowControl/>
              <w:rPr>
                <w:rFonts w:ascii="Arial" w:hAnsi="Arial" w:cs="Arial"/>
                <w:bCs/>
                <w:szCs w:val="21"/>
              </w:rPr>
            </w:pPr>
          </w:p>
        </w:tc>
        <w:tc>
          <w:tcPr>
            <w:tcW w:w="1134" w:type="dxa"/>
            <w:tcBorders>
              <w:top w:val="single" w:color="000000" w:sz="4" w:space="0"/>
              <w:left w:val="nil"/>
              <w:bottom w:val="single" w:color="000000" w:sz="4" w:space="0"/>
              <w:right w:val="single" w:color="000000" w:sz="4" w:space="0"/>
            </w:tcBorders>
          </w:tcPr>
          <w:p w14:paraId="29BB100E">
            <w:pPr>
              <w:widowControl/>
              <w:rPr>
                <w:rFonts w:ascii="Arial" w:hAnsi="Arial" w:cs="Arial"/>
                <w:bCs/>
                <w:szCs w:val="21"/>
              </w:rPr>
            </w:pPr>
          </w:p>
        </w:tc>
        <w:tc>
          <w:tcPr>
            <w:tcW w:w="931" w:type="dxa"/>
            <w:tcBorders>
              <w:top w:val="single" w:color="000000" w:sz="4" w:space="0"/>
              <w:left w:val="nil"/>
              <w:bottom w:val="single" w:color="000000" w:sz="4" w:space="0"/>
              <w:right w:val="single" w:color="000000" w:sz="4" w:space="0"/>
            </w:tcBorders>
          </w:tcPr>
          <w:p w14:paraId="0863A58F">
            <w:pPr>
              <w:widowControl/>
              <w:rPr>
                <w:rFonts w:ascii="Arial" w:hAnsi="Arial" w:cs="Arial"/>
                <w:bCs/>
                <w:szCs w:val="21"/>
              </w:rPr>
            </w:pPr>
          </w:p>
        </w:tc>
        <w:tc>
          <w:tcPr>
            <w:tcW w:w="1020" w:type="dxa"/>
            <w:tcBorders>
              <w:top w:val="single" w:color="000000" w:sz="4" w:space="0"/>
              <w:left w:val="nil"/>
              <w:bottom w:val="single" w:color="000000" w:sz="4" w:space="0"/>
              <w:right w:val="single" w:color="000000" w:sz="4" w:space="0"/>
            </w:tcBorders>
          </w:tcPr>
          <w:p w14:paraId="71D30276">
            <w:pPr>
              <w:widowControl/>
              <w:rPr>
                <w:rFonts w:ascii="Arial" w:hAnsi="Arial" w:cs="Arial"/>
                <w:bCs/>
                <w:szCs w:val="21"/>
              </w:rPr>
            </w:pPr>
          </w:p>
        </w:tc>
        <w:tc>
          <w:tcPr>
            <w:tcW w:w="994" w:type="dxa"/>
            <w:tcBorders>
              <w:top w:val="single" w:color="000000" w:sz="4" w:space="0"/>
              <w:left w:val="nil"/>
              <w:bottom w:val="single" w:color="000000" w:sz="4" w:space="0"/>
              <w:right w:val="single" w:color="000000" w:sz="4" w:space="0"/>
            </w:tcBorders>
          </w:tcPr>
          <w:p w14:paraId="47126CD1">
            <w:pPr>
              <w:widowControl/>
              <w:rPr>
                <w:rFonts w:ascii="Arial" w:hAnsi="Arial" w:cs="Arial"/>
                <w:bCs/>
                <w:szCs w:val="21"/>
              </w:rPr>
            </w:pPr>
          </w:p>
        </w:tc>
        <w:tc>
          <w:tcPr>
            <w:tcW w:w="882" w:type="dxa"/>
            <w:tcBorders>
              <w:top w:val="single" w:color="000000" w:sz="4" w:space="0"/>
              <w:left w:val="nil"/>
              <w:bottom w:val="single" w:color="000000" w:sz="4" w:space="0"/>
              <w:right w:val="single" w:color="000000" w:sz="4" w:space="0"/>
            </w:tcBorders>
          </w:tcPr>
          <w:p w14:paraId="28E562D2">
            <w:pPr>
              <w:widowControl/>
              <w:rPr>
                <w:rFonts w:ascii="Arial" w:hAnsi="Arial" w:cs="Arial"/>
                <w:bCs/>
                <w:szCs w:val="21"/>
              </w:rPr>
            </w:pPr>
          </w:p>
        </w:tc>
        <w:tc>
          <w:tcPr>
            <w:tcW w:w="850" w:type="dxa"/>
            <w:tcBorders>
              <w:top w:val="single" w:color="000000" w:sz="4" w:space="0"/>
              <w:left w:val="nil"/>
              <w:bottom w:val="single" w:color="000000" w:sz="4" w:space="0"/>
              <w:right w:val="single" w:color="000000" w:sz="4" w:space="0"/>
            </w:tcBorders>
          </w:tcPr>
          <w:p w14:paraId="030CE46A">
            <w:pPr>
              <w:widowControl/>
              <w:rPr>
                <w:rFonts w:ascii="Arial" w:hAnsi="Arial" w:cs="Arial"/>
                <w:bCs/>
                <w:szCs w:val="21"/>
              </w:rPr>
            </w:pPr>
          </w:p>
        </w:tc>
        <w:tc>
          <w:tcPr>
            <w:tcW w:w="851" w:type="dxa"/>
            <w:tcBorders>
              <w:top w:val="single" w:color="000000" w:sz="4" w:space="0"/>
              <w:left w:val="nil"/>
              <w:bottom w:val="single" w:color="000000" w:sz="4" w:space="0"/>
              <w:right w:val="single" w:color="000000" w:sz="4" w:space="0"/>
            </w:tcBorders>
          </w:tcPr>
          <w:p w14:paraId="20A36CFC">
            <w:pPr>
              <w:widowControl/>
              <w:rPr>
                <w:rFonts w:ascii="Arial" w:hAnsi="Arial" w:cs="Arial"/>
                <w:bCs/>
                <w:szCs w:val="21"/>
              </w:rPr>
            </w:pPr>
          </w:p>
        </w:tc>
      </w:tr>
    </w:tbl>
    <w:p w14:paraId="5566725D">
      <w:pPr>
        <w:spacing w:line="360" w:lineRule="auto"/>
        <w:ind w:right="-5"/>
        <w:rPr>
          <w:rFonts w:ascii="Arial" w:hAnsi="Arial" w:cs="Arial"/>
          <w:b/>
          <w:szCs w:val="21"/>
        </w:rPr>
      </w:pPr>
    </w:p>
    <w:p w14:paraId="563E2DEE">
      <w:pPr>
        <w:spacing w:line="240" w:lineRule="atLeast"/>
        <w:rPr>
          <w:rFonts w:ascii="Arial" w:hAnsi="Arial" w:cs="Arial"/>
          <w:b/>
          <w:sz w:val="24"/>
          <w:szCs w:val="24"/>
        </w:rPr>
      </w:pPr>
      <w:r>
        <w:rPr>
          <w:rFonts w:ascii="Arial" w:hAnsi="Arial" w:cs="Arial"/>
          <w:b/>
          <w:sz w:val="24"/>
          <w:szCs w:val="24"/>
          <w:lang w:bidi="ar"/>
        </w:rPr>
        <w:t xml:space="preserve"> </w:t>
      </w:r>
    </w:p>
    <w:p w14:paraId="2A74DCA1">
      <w:pPr>
        <w:spacing w:line="240" w:lineRule="atLeast"/>
        <w:rPr>
          <w:rFonts w:ascii="Arial" w:hAnsi="Arial" w:cs="Arial"/>
          <w:b/>
          <w:sz w:val="24"/>
          <w:szCs w:val="24"/>
        </w:rPr>
      </w:pPr>
    </w:p>
    <w:p w14:paraId="6040C5CF">
      <w:pPr>
        <w:spacing w:line="360" w:lineRule="auto"/>
        <w:ind w:right="-5"/>
        <w:rPr>
          <w:rFonts w:ascii="Arial" w:hAnsi="Arial" w:cs="Arial"/>
          <w:b/>
          <w:szCs w:val="21"/>
          <w:lang w:val="zh-CN"/>
        </w:rPr>
      </w:pPr>
      <w:r>
        <w:rPr>
          <w:rFonts w:ascii="Arial" w:hAnsi="Arial" w:cs="Arial"/>
          <w:b/>
          <w:szCs w:val="21"/>
          <w:lang w:val="zh-CN"/>
        </w:rPr>
        <w:t>（针对具体的评标标准提供相应其他材料）</w:t>
      </w:r>
    </w:p>
    <w:p w14:paraId="2FF16E51">
      <w:pPr>
        <w:pStyle w:val="48"/>
        <w:ind w:firstLine="0"/>
        <w:rPr>
          <w:rFonts w:ascii="Arial" w:hAnsi="Arial" w:cs="Arial"/>
        </w:rPr>
      </w:pPr>
    </w:p>
    <w:p w14:paraId="5C21E447">
      <w:pPr>
        <w:pStyle w:val="48"/>
        <w:ind w:firstLine="0"/>
      </w:pPr>
    </w:p>
    <w:p w14:paraId="1B3F633E">
      <w:pPr>
        <w:pStyle w:val="48"/>
        <w:ind w:firstLine="0"/>
      </w:pPr>
    </w:p>
    <w:p w14:paraId="69CF0721">
      <w:pPr>
        <w:pStyle w:val="48"/>
        <w:ind w:firstLine="0"/>
      </w:pPr>
    </w:p>
    <w:sectPr>
      <w:footerReference r:id="rId16" w:type="first"/>
      <w:pgSz w:w="11906" w:h="16838"/>
      <w:pgMar w:top="1134" w:right="1134" w:bottom="1134" w:left="1134" w:header="851" w:footer="99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A414F68-1507-41AC-9769-10CC653D998B}"/>
  </w:font>
  <w:font w:name="黑体">
    <w:panose1 w:val="02010609060101010101"/>
    <w:charset w:val="86"/>
    <w:family w:val="auto"/>
    <w:pitch w:val="default"/>
    <w:sig w:usb0="800002BF" w:usb1="38CF7CFA" w:usb2="00000016" w:usb3="00000000" w:csb0="00040001" w:csb1="00000000"/>
    <w:embedRegular r:id="rId2" w:fontKey="{DC1352D7-0389-444D-99B5-E592AB79A17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B0604020202020204"/>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embedRegular r:id="rId3" w:fontKey="{D747C6D9-3C3F-46AD-A91C-47EA74F50D77}"/>
  </w:font>
  <w:font w:name="Verdana">
    <w:panose1 w:val="020B0604030504040204"/>
    <w:charset w:val="00"/>
    <w:family w:val="swiss"/>
    <w:pitch w:val="default"/>
    <w:sig w:usb0="A00006FF" w:usb1="4000205B" w:usb2="00000010" w:usb3="00000000" w:csb0="2000019F" w:csb1="00000000"/>
  </w:font>
  <w:font w:name="华文新魏">
    <w:panose1 w:val="02010800040101010101"/>
    <w:charset w:val="86"/>
    <w:family w:val="auto"/>
    <w:pitch w:val="default"/>
    <w:sig w:usb0="00000001" w:usb1="080F0000" w:usb2="00000000" w:usb3="00000000" w:csb0="00040000" w:csb1="00000000"/>
  </w:font>
  <w:font w:name="Arial Unicode MS">
    <w:panose1 w:val="020B0604020202020204"/>
    <w:charset w:val="86"/>
    <w:family w:val="swiss"/>
    <w:pitch w:val="default"/>
    <w:sig w:usb0="FFFFFFFF" w:usb1="E9FFFFFF" w:usb2="0000003F" w:usb3="00000000" w:csb0="603F01FF" w:csb1="FFFF0000"/>
  </w:font>
  <w:font w:name="华文仿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隶书">
    <w:panose1 w:val="02010509060101010101"/>
    <w:charset w:val="86"/>
    <w:family w:val="modern"/>
    <w:pitch w:val="default"/>
    <w:sig w:usb0="00000001" w:usb1="080E0000" w:usb2="00000000" w:usb3="00000000" w:csb0="00040000" w:csb1="00000000"/>
    <w:embedRegular r:id="rId4" w:fontKey="{B1EC521F-5D9A-40A9-8FA3-E73BCB38EA35}"/>
  </w:font>
  <w:font w:name="华文中宋">
    <w:panose1 w:val="02010600040101010101"/>
    <w:charset w:val="86"/>
    <w:family w:val="auto"/>
    <w:pitch w:val="default"/>
    <w:sig w:usb0="00000287" w:usb1="080F0000" w:usb2="00000000" w:usb3="00000000" w:csb0="0004009F" w:csb1="DFD70000"/>
    <w:embedRegular r:id="rId5" w:fontKey="{00771876-E746-42E2-A27A-30EC8076C023}"/>
  </w:font>
  <w:font w:name="方正小标宋_GBK">
    <w:panose1 w:val="03000509000000000000"/>
    <w:charset w:val="86"/>
    <w:family w:val="script"/>
    <w:pitch w:val="default"/>
    <w:sig w:usb0="00000001" w:usb1="080E0000" w:usb2="00000000" w:usb3="00000000" w:csb0="00040000" w:csb1="00000000"/>
    <w:embedRegular r:id="rId6" w:fontKey="{AFA06C6E-40D4-44ED-A247-DE03C7C03006}"/>
  </w:font>
  <w:font w:name="Wingdings 2">
    <w:panose1 w:val="05020102010507070707"/>
    <w:charset w:val="00"/>
    <w:family w:val="decorative"/>
    <w:pitch w:val="default"/>
    <w:sig w:usb0="00000000" w:usb1="00000000" w:usb2="00000000" w:usb3="00000000" w:csb0="80000000" w:csb1="00000000"/>
    <w:embedRegular r:id="rId7" w:fontKey="{DC99DE68-3553-459A-B83F-C28969B27D40}"/>
  </w:font>
  <w:font w:name="MS PGothic">
    <w:panose1 w:val="020B0600070205080204"/>
    <w:charset w:val="80"/>
    <w:family w:val="auto"/>
    <w:pitch w:val="default"/>
    <w:sig w:usb0="E00002FF" w:usb1="6AC7FDFB" w:usb2="08000012" w:usb3="00000000" w:csb0="4002009F" w:csb1="DFD70000"/>
  </w:font>
  <w:font w:name="KSOFE44F9426">
    <w:panose1 w:val="02010609060101010101"/>
    <w:charset w:val="86"/>
    <w:family w:val="auto"/>
    <w:pitch w:val="default"/>
    <w:sig w:usb0="00000001" w:usb1="00000000" w:usb2="00000000" w:usb3="00000000" w:csb0="00040001" w:csb1="00000000"/>
  </w:font>
  <w:font w:name="WPSEMBED1">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4F9BE1">
    <w:pPr>
      <w:pStyle w:val="32"/>
      <w:framePr w:wrap="around" w:vAnchor="text" w:hAnchor="margin" w:xAlign="center" w:y="1"/>
      <w:rPr>
        <w:rStyle w:val="54"/>
      </w:rPr>
    </w:pPr>
  </w:p>
  <w:p w14:paraId="611BDCAE">
    <w:pPr>
      <w:pStyle w:val="32"/>
      <w:framePr w:wrap="around" w:vAnchor="text" w:hAnchor="page" w:x="6104" w:y="52"/>
      <w:rPr>
        <w:rStyle w:val="54"/>
      </w:rPr>
    </w:pPr>
  </w:p>
  <w:p w14:paraId="04EDE62B">
    <w:pPr>
      <w:pStyle w:val="32"/>
      <w:jc w:val="center"/>
      <w:rPr>
        <w:sz w:val="24"/>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E9F6E3">
    <w:pPr>
      <w:pStyle w:val="3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60D7BE19">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3</w:t>
                          </w:r>
                          <w:r>
                            <w:rPr>
                              <w:rFonts w:hint="eastAsia"/>
                              <w:sz w:val="18"/>
                            </w:rPr>
                            <w:fldChar w:fldCharType="end"/>
                          </w:r>
                          <w:r>
                            <w:rPr>
                              <w:rFonts w:hint="eastAsia"/>
                              <w:sz w:val="18"/>
                            </w:rPr>
                            <w:t xml:space="preserve"> 页</w:t>
                          </w:r>
                        </w:p>
                      </w:txbxContent>
                    </wps:txbx>
                    <wps:bodyPr wrap="none" lIns="0" tIns="0" rIns="0" bIns="0" upright="1">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GhpgkvTAAAABQEAAA8AAAAAAAAA&#10;AQAgAAAAIgAAAGRycy9kb3ducmV2LnhtbFBLAQIUABQAAAAIAIdO4kB4rufv3QEAALIDAAAOAAAA&#10;AAAAAAEAIAAAACIBAABkcnMvZTJvRG9jLnhtbFBLBQYAAAAABgAGAFkBAABxBQAAAAA=&#10;">
              <v:fill on="f" focussize="0,0"/>
              <v:stroke on="f" weight="1.25pt"/>
              <v:imagedata o:title=""/>
              <o:lock v:ext="edit" aspectratio="f"/>
              <v:textbox inset="0mm,0mm,0mm,0mm" style="mso-fit-shape-to-text:t;">
                <w:txbxContent>
                  <w:p w14:paraId="60D7BE19">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3</w:t>
                    </w:r>
                    <w:r>
                      <w:rPr>
                        <w:rFonts w:hint="eastAsia"/>
                        <w:sz w:val="18"/>
                      </w:rPr>
                      <w:fldChar w:fldCharType="end"/>
                    </w:r>
                    <w:r>
                      <w:rPr>
                        <w:rFonts w:hint="eastAsia"/>
                        <w:sz w:val="18"/>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A50A8">
    <w:pPr>
      <w:pStyle w:val="32"/>
      <w:framePr w:wrap="around" w:vAnchor="text" w:hAnchor="margin" w:xAlign="center" w:y="1"/>
      <w:rPr>
        <w:rStyle w:val="54"/>
      </w:rPr>
    </w:pPr>
    <w:r>
      <w:rPr>
        <w:rStyle w:val="54"/>
        <w:rFonts w:hint="eastAsia"/>
      </w:rPr>
      <w:t xml:space="preserve">            </w:t>
    </w:r>
  </w:p>
  <w:p w14:paraId="4934FD78">
    <w:pPr>
      <w:pStyle w:val="32"/>
      <w:framePr w:wrap="around" w:vAnchor="text" w:hAnchor="page" w:x="6104" w:y="52"/>
      <w:rPr>
        <w:rStyle w:val="54"/>
      </w:rPr>
    </w:pPr>
    <w:r>
      <w:rPr>
        <w:rStyle w:val="54"/>
        <w:rFonts w:hint="eastAsia"/>
      </w:rPr>
      <w:t xml:space="preserve">                   </w:t>
    </w:r>
  </w:p>
  <w:p w14:paraId="10ECC687">
    <w:pPr>
      <w:pStyle w:val="32"/>
      <w:jc w:val="center"/>
      <w:rPr>
        <w:sz w:val="24"/>
        <w:szCs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D3B138">
    <w:pPr>
      <w:pStyle w:val="3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C8531F8">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42</w:t>
                          </w:r>
                          <w:r>
                            <w:rPr>
                              <w:rFonts w:hint="eastAsia"/>
                              <w:sz w:val="18"/>
                            </w:rPr>
                            <w:fldChar w:fldCharType="end"/>
                          </w:r>
                          <w:r>
                            <w:rPr>
                              <w:rFonts w:hint="eastAsia"/>
                              <w:sz w:val="18"/>
                            </w:rPr>
                            <w:t xml:space="preserve"> 页</w:t>
                          </w:r>
                        </w:p>
                      </w:txbxContent>
                    </wps:txbx>
                    <wps:bodyPr wrap="none" lIns="0" tIns="0" rIns="0" bIns="0">
                      <a:spAutoFit/>
                    </wps:bodyPr>
                  </wps:wsp>
                </a:graphicData>
              </a:graphic>
            </wp:anchor>
          </w:drawing>
        </mc:Choice>
        <mc:Fallback>
          <w:pict>
            <v:shape id="文本框 1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MXM1avLAQAAnAMAAA4AAAAAAAAAAQAgAAAAHgEAAGRycy9lMm9E&#10;b2MueG1sUEsFBgAAAAAGAAYAWQEAAFsFAAAAAA==&#10;">
              <v:fill on="f" focussize="0,0"/>
              <v:stroke on="f"/>
              <v:imagedata o:title=""/>
              <o:lock v:ext="edit" aspectratio="f"/>
              <v:textbox inset="0mm,0mm,0mm,0mm" style="mso-fit-shape-to-text:t;">
                <w:txbxContent>
                  <w:p w14:paraId="7C8531F8">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42</w:t>
                    </w:r>
                    <w:r>
                      <w:rPr>
                        <w:rFonts w:hint="eastAsia"/>
                        <w:sz w:val="18"/>
                      </w:rPr>
                      <w:fldChar w:fldCharType="end"/>
                    </w:r>
                    <w:r>
                      <w:rPr>
                        <w:rFonts w:hint="eastAsia"/>
                        <w:sz w:val="18"/>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754C2B">
    <w:pPr>
      <w:pStyle w:val="32"/>
      <w:rPr>
        <w:sz w:val="24"/>
        <w:szCs w:val="21"/>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文本框 25"/>
              <wp:cNvGraphicFramePr/>
              <a:graphic xmlns:a="http://schemas.openxmlformats.org/drawingml/2006/main">
                <a:graphicData uri="http://schemas.microsoft.com/office/word/2010/wordprocessingShape">
                  <wps:wsp>
                    <wps:cNvSpPr txBox="1"/>
                    <wps:spPr bwMode="auto">
                      <a:xfrm>
                        <a:off x="0" y="0"/>
                        <a:ext cx="114935" cy="131445"/>
                      </a:xfrm>
                      <a:prstGeom prst="rect">
                        <a:avLst/>
                      </a:prstGeom>
                      <a:noFill/>
                      <a:ln>
                        <a:noFill/>
                      </a:ln>
                    </wps:spPr>
                    <wps:txbx>
                      <w:txbxContent>
                        <w:p w14:paraId="14BE8DD8">
                          <w:pPr>
                            <w:pStyle w:val="32"/>
                          </w:pPr>
                          <w:r>
                            <w:fldChar w:fldCharType="begin"/>
                          </w:r>
                          <w:r>
                            <w:instrText xml:space="preserve"> PAGE  \* MERGEFORMAT </w:instrText>
                          </w:r>
                          <w:r>
                            <w:fldChar w:fldCharType="separate"/>
                          </w:r>
                          <w:r>
                            <w:t>12</w:t>
                          </w:r>
                          <w:r>
                            <w:fldChar w:fldCharType="end"/>
                          </w:r>
                        </w:p>
                      </w:txbxContent>
                    </wps:txbx>
                    <wps:bodyPr wrap="none" lIns="0" tIns="0" rIns="0" bIns="0">
                      <a:spAutoFit/>
                    </wps:bodyPr>
                  </wps:wsp>
                </a:graphicData>
              </a:graphic>
            </wp:anchor>
          </w:drawing>
        </mc:Choice>
        <mc:Fallback>
          <w:pict>
            <v:shape id="文本框 25" o:spid="_x0000_s1026" o:spt="202" type="#_x0000_t202" style="position:absolute;left:0pt;margin-top:0pt;height:10.35pt;width:9.05pt;mso-position-horizontal:center;mso-position-horizontal-relative:margin;mso-wrap-style:none;z-index:251661312;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Q+V+SdAAAAADAQAADwAAAAAAAAABACAAAAAiAAAAZHJz&#10;L2Rvd25yZXYueG1sUEsBAhQAFAAAAAgAh07iQNdg39bTAQAAmgMAAA4AAAAAAAAAAQAgAAAAHwEA&#10;AGRycy9lMm9Eb2MueG1sUEsFBgAAAAAGAAYAWQEAAGQFAAAAAA==&#10;">
              <v:fill on="f" focussize="0,0"/>
              <v:stroke on="f"/>
              <v:imagedata o:title=""/>
              <o:lock v:ext="edit" aspectratio="f"/>
              <v:textbox inset="0mm,0mm,0mm,0mm" style="mso-fit-shape-to-text:t;">
                <w:txbxContent>
                  <w:p w14:paraId="14BE8DD8">
                    <w:pPr>
                      <w:pStyle w:val="32"/>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0F655">
    <w:pPr>
      <w:pStyle w:val="32"/>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3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99A6BBE">
                          <w:pPr>
                            <w:pStyle w:val="32"/>
                          </w:pPr>
                          <w:r>
                            <w:rPr>
                              <w:rFonts w:hint="eastAsia"/>
                            </w:rPr>
                            <w:fldChar w:fldCharType="begin"/>
                          </w:r>
                          <w:r>
                            <w:rPr>
                              <w:rFonts w:hint="eastAsia"/>
                            </w:rPr>
                            <w:instrText xml:space="preserve"> PAGE  \* MERGEFORMAT </w:instrText>
                          </w:r>
                          <w:r>
                            <w:rPr>
                              <w:rFonts w:hint="eastAsia"/>
                            </w:rPr>
                            <w:fldChar w:fldCharType="separate"/>
                          </w:r>
                          <w:r>
                            <w:t>32</w:t>
                          </w:r>
                          <w:r>
                            <w:rPr>
                              <w:rFonts w:hint="eastAsia"/>
                            </w:rPr>
                            <w:fldChar w:fldCharType="end"/>
                          </w:r>
                        </w:p>
                      </w:txbxContent>
                    </wps:txbx>
                    <wps:bodyPr wrap="none" lIns="0" tIns="0" rIns="0" bIns="0">
                      <a:spAutoFit/>
                    </wps:bodyPr>
                  </wps:wsp>
                </a:graphicData>
              </a:graphic>
            </wp:anchor>
          </w:drawing>
        </mc:Choice>
        <mc:Fallback>
          <w:pict>
            <v:shape id="文本框 1033"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B8Y5MvzwEAAJ4DAAAOAAAAAAAAAAEAIAAAAB4BAABkcnMv&#10;ZTJvRG9jLnhtbFBLBQYAAAAABgAGAFkBAABfBQAAAAA=&#10;">
              <v:fill on="f" focussize="0,0"/>
              <v:stroke on="f"/>
              <v:imagedata o:title=""/>
              <o:lock v:ext="edit" aspectratio="f"/>
              <v:textbox inset="0mm,0mm,0mm,0mm" style="mso-fit-shape-to-text:t;">
                <w:txbxContent>
                  <w:p w14:paraId="599A6BBE">
                    <w:pPr>
                      <w:pStyle w:val="32"/>
                    </w:pPr>
                    <w:r>
                      <w:rPr>
                        <w:rFonts w:hint="eastAsia"/>
                      </w:rPr>
                      <w:fldChar w:fldCharType="begin"/>
                    </w:r>
                    <w:r>
                      <w:rPr>
                        <w:rFonts w:hint="eastAsia"/>
                      </w:rPr>
                      <w:instrText xml:space="preserve"> PAGE  \* MERGEFORMAT </w:instrText>
                    </w:r>
                    <w:r>
                      <w:rPr>
                        <w:rFonts w:hint="eastAsia"/>
                      </w:rPr>
                      <w:fldChar w:fldCharType="separate"/>
                    </w:r>
                    <w:r>
                      <w:t>32</w:t>
                    </w:r>
                    <w:r>
                      <w:rPr>
                        <w:rFonts w:hint="eastAsia"/>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32417F">
    <w:pPr>
      <w:pStyle w:val="32"/>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EE6D6EF">
                          <w:pPr>
                            <w:pStyle w:val="32"/>
                          </w:pPr>
                          <w:r>
                            <w:rPr>
                              <w:rFonts w:hint="eastAsia"/>
                            </w:rPr>
                            <w:fldChar w:fldCharType="begin"/>
                          </w:r>
                          <w:r>
                            <w:rPr>
                              <w:rFonts w:hint="eastAsia"/>
                            </w:rPr>
                            <w:instrText xml:space="preserve"> PAGE  \* MERGEFORMAT </w:instrText>
                          </w:r>
                          <w:r>
                            <w:rPr>
                              <w:rFonts w:hint="eastAsia"/>
                            </w:rPr>
                            <w:fldChar w:fldCharType="separate"/>
                          </w:r>
                          <w:r>
                            <w:t>51</w:t>
                          </w:r>
                          <w:r>
                            <w:rPr>
                              <w:rFonts w:hint="eastAsia"/>
                            </w:rPr>
                            <w:fldChar w:fldCharType="end"/>
                          </w:r>
                        </w:p>
                      </w:txbxContent>
                    </wps:txbx>
                    <wps:bodyPr wrap="none" lIns="0" tIns="0" rIns="0" bIns="0">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HTkknzLAQAAnQMAAA4AAAAAAAAAAQAgAAAAHgEAAGRycy9lMm9E&#10;b2MueG1sUEsFBgAAAAAGAAYAWQEAAFsFAAAAAA==&#10;">
              <v:fill on="f" focussize="0,0"/>
              <v:stroke on="f"/>
              <v:imagedata o:title=""/>
              <o:lock v:ext="edit" aspectratio="f"/>
              <v:textbox inset="0mm,0mm,0mm,0mm" style="mso-fit-shape-to-text:t;">
                <w:txbxContent>
                  <w:p w14:paraId="4EE6D6EF">
                    <w:pPr>
                      <w:pStyle w:val="32"/>
                    </w:pPr>
                    <w:r>
                      <w:rPr>
                        <w:rFonts w:hint="eastAsia"/>
                      </w:rPr>
                      <w:fldChar w:fldCharType="begin"/>
                    </w:r>
                    <w:r>
                      <w:rPr>
                        <w:rFonts w:hint="eastAsia"/>
                      </w:rPr>
                      <w:instrText xml:space="preserve"> PAGE  \* MERGEFORMAT </w:instrText>
                    </w:r>
                    <w:r>
                      <w:rPr>
                        <w:rFonts w:hint="eastAsia"/>
                      </w:rPr>
                      <w:fldChar w:fldCharType="separate"/>
                    </w:r>
                    <w:r>
                      <w:t>51</w:t>
                    </w:r>
                    <w:r>
                      <w:rPr>
                        <w:rFonts w:hint="eastAsia"/>
                      </w:rPr>
                      <w:fldChar w:fldCharType="end"/>
                    </w:r>
                  </w:p>
                </w:txbxContent>
              </v:textbox>
            </v:shape>
          </w:pict>
        </mc:Fallback>
      </mc:AlternateContent>
    </w:r>
  </w:p>
  <w:p w14:paraId="0F078D5E">
    <w:pPr>
      <w:pStyle w:val="32"/>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B3C2B">
    <w:pPr>
      <w:pStyle w:val="32"/>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03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0A1F888">
                          <w:pPr>
                            <w:pStyle w:val="32"/>
                          </w:pPr>
                          <w:r>
                            <w:rPr>
                              <w:rFonts w:hint="eastAsia"/>
                            </w:rPr>
                            <w:fldChar w:fldCharType="begin"/>
                          </w:r>
                          <w:r>
                            <w:rPr>
                              <w:rFonts w:hint="eastAsia"/>
                            </w:rPr>
                            <w:instrText xml:space="preserve"> PAGE  \* MERGEFORMAT </w:instrText>
                          </w:r>
                          <w:r>
                            <w:rPr>
                              <w:rFonts w:hint="eastAsia"/>
                            </w:rPr>
                            <w:fldChar w:fldCharType="separate"/>
                          </w:r>
                          <w:r>
                            <w:t>60</w:t>
                          </w:r>
                          <w:r>
                            <w:rPr>
                              <w:rFonts w:hint="eastAsia"/>
                            </w:rPr>
                            <w:fldChar w:fldCharType="end"/>
                          </w:r>
                        </w:p>
                      </w:txbxContent>
                    </wps:txbx>
                    <wps:bodyPr wrap="none" lIns="0" tIns="0" rIns="0" bIns="0">
                      <a:spAutoFit/>
                    </wps:bodyPr>
                  </wps:wsp>
                </a:graphicData>
              </a:graphic>
            </wp:anchor>
          </w:drawing>
        </mc:Choice>
        <mc:Fallback>
          <w:pict>
            <v:shape id="文本框 103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A6obbdzwEAAJ8DAAAOAAAAAAAAAAEAIAAAAB4BAABkcnMv&#10;ZTJvRG9jLnhtbFBLBQYAAAAABgAGAFkBAABfBQAAAAA=&#10;">
              <v:fill on="f" focussize="0,0"/>
              <v:stroke on="f"/>
              <v:imagedata o:title=""/>
              <o:lock v:ext="edit" aspectratio="f"/>
              <v:textbox inset="0mm,0mm,0mm,0mm" style="mso-fit-shape-to-text:t;">
                <w:txbxContent>
                  <w:p w14:paraId="40A1F888">
                    <w:pPr>
                      <w:pStyle w:val="32"/>
                    </w:pPr>
                    <w:r>
                      <w:rPr>
                        <w:rFonts w:hint="eastAsia"/>
                      </w:rPr>
                      <w:fldChar w:fldCharType="begin"/>
                    </w:r>
                    <w:r>
                      <w:rPr>
                        <w:rFonts w:hint="eastAsia"/>
                      </w:rPr>
                      <w:instrText xml:space="preserve"> PAGE  \* MERGEFORMAT </w:instrText>
                    </w:r>
                    <w:r>
                      <w:rPr>
                        <w:rFonts w:hint="eastAsia"/>
                      </w:rPr>
                      <w:fldChar w:fldCharType="separate"/>
                    </w:r>
                    <w:r>
                      <w:t>60</w:t>
                    </w:r>
                    <w:r>
                      <w:rPr>
                        <w:rFonts w:hint="eastAsia"/>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B15A6">
    <w:pPr>
      <w:pStyle w:val="32"/>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03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E234119">
                          <w:pPr>
                            <w:pStyle w:val="32"/>
                          </w:pPr>
                          <w:r>
                            <w:rPr>
                              <w:rFonts w:hint="eastAsia"/>
                            </w:rPr>
                            <w:fldChar w:fldCharType="begin"/>
                          </w:r>
                          <w:r>
                            <w:rPr>
                              <w:rFonts w:hint="eastAsia"/>
                            </w:rPr>
                            <w:instrText xml:space="preserve"> PAGE  \* MERGEFORMAT </w:instrText>
                          </w:r>
                          <w:r>
                            <w:rPr>
                              <w:rFonts w:hint="eastAsia"/>
                            </w:rPr>
                            <w:fldChar w:fldCharType="separate"/>
                          </w:r>
                          <w:r>
                            <w:t>63</w:t>
                          </w:r>
                          <w:r>
                            <w:rPr>
                              <w:rFonts w:hint="eastAsia"/>
                            </w:rPr>
                            <w:fldChar w:fldCharType="end"/>
                          </w:r>
                        </w:p>
                      </w:txbxContent>
                    </wps:txbx>
                    <wps:bodyPr wrap="none" lIns="0" tIns="0" rIns="0" bIns="0">
                      <a:spAutoFit/>
                    </wps:bodyPr>
                  </wps:wsp>
                </a:graphicData>
              </a:graphic>
            </wp:anchor>
          </w:drawing>
        </mc:Choice>
        <mc:Fallback>
          <w:pict>
            <v:shape id="文本框 1035"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AGgQAyzwEAAJ8DAAAOAAAAAAAAAAEAIAAAAB4BAABkcnMv&#10;ZTJvRG9jLnhtbFBLBQYAAAAABgAGAFkBAABfBQAAAAA=&#10;">
              <v:fill on="f" focussize="0,0"/>
              <v:stroke on="f"/>
              <v:imagedata o:title=""/>
              <o:lock v:ext="edit" aspectratio="f"/>
              <v:textbox inset="0mm,0mm,0mm,0mm" style="mso-fit-shape-to-text:t;">
                <w:txbxContent>
                  <w:p w14:paraId="3E234119">
                    <w:pPr>
                      <w:pStyle w:val="32"/>
                    </w:pPr>
                    <w:r>
                      <w:rPr>
                        <w:rFonts w:hint="eastAsia"/>
                      </w:rPr>
                      <w:fldChar w:fldCharType="begin"/>
                    </w:r>
                    <w:r>
                      <w:rPr>
                        <w:rFonts w:hint="eastAsia"/>
                      </w:rPr>
                      <w:instrText xml:space="preserve"> PAGE  \* MERGEFORMAT </w:instrText>
                    </w:r>
                    <w:r>
                      <w:rPr>
                        <w:rFonts w:hint="eastAsia"/>
                      </w:rPr>
                      <w:fldChar w:fldCharType="separate"/>
                    </w:r>
                    <w:r>
                      <w:t>63</w:t>
                    </w:r>
                    <w:r>
                      <w:rPr>
                        <w:rFonts w:hint="eastAsia"/>
                      </w:rPr>
                      <w:fldChar w:fldCharType="end"/>
                    </w:r>
                  </w:p>
                </w:txbxContent>
              </v:textbox>
            </v:shape>
          </w:pict>
        </mc:Fallback>
      </mc:AlternateContent>
    </w:r>
  </w:p>
  <w:p w14:paraId="5D2A487C">
    <w:pPr>
      <w:pStyle w:val="3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FD31E">
    <w:pPr>
      <w:pStyle w:val="34"/>
      <w:pBdr>
        <w:bottom w:val="single" w:color="auto" w:sz="4" w:space="1"/>
      </w:pBdr>
      <w:jc w:val="left"/>
      <w:rPr>
        <w:sz w:val="21"/>
      </w:rPr>
    </w:pPr>
    <w:r>
      <w:t xml:space="preserve">     </w:t>
    </w: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7F3F2">
    <w:pPr>
      <w:pStyle w:val="34"/>
      <w:jc w:val="both"/>
    </w:pPr>
    <w:r>
      <w:t xml:space="preserve">     </w:t>
    </w:r>
    <w:r>
      <w:rPr>
        <w:rFonts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83C8D">
    <w:pPr>
      <w:pStyle w:val="34"/>
      <w:jc w:val="both"/>
      <w:rPr>
        <w:sz w:val="21"/>
      </w:rPr>
    </w:pPr>
    <w:r>
      <w:t xml:space="preserve">                            </w:t>
    </w:r>
    <w:r>
      <w:rPr>
        <w:rFonts w:hint="eastAsia"/>
      </w:rPr>
      <w:t xml:space="preserve">                                       </w:t>
    </w:r>
    <w: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17E1EA">
    <w:pPr>
      <w:pStyle w:val="34"/>
      <w:jc w:val="both"/>
    </w:pPr>
    <w:r>
      <w:t xml:space="preserve">                             </w:t>
    </w:r>
    <w:r>
      <w:rPr>
        <w:rFonts w:hint="eastAsia"/>
      </w:rPr>
      <w:t xml:space="preserve">                          </w:t>
    </w:r>
    <w: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3B26A">
    <w:pPr>
      <w:pStyle w:val="34"/>
      <w:jc w:val="both"/>
    </w:pPr>
    <w:r>
      <w:t xml:space="preserve">                            </w:t>
    </w:r>
    <w:r>
      <w:rPr>
        <w:rFonts w:hint="eastAsia"/>
      </w:rPr>
      <w:t xml:space="preserve">                          </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pStyle w:val="236"/>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53208E"/>
    <w:multiLevelType w:val="multilevel"/>
    <w:tmpl w:val="0053208E"/>
    <w:lvl w:ilvl="0" w:tentative="0">
      <w:start w:val="1"/>
      <w:numFmt w:val="upperLetter"/>
      <w:pStyle w:val="5"/>
      <w:lvlText w:val="%1．"/>
      <w:lvlJc w:val="left"/>
      <w:pPr>
        <w:tabs>
          <w:tab w:val="left" w:pos="480"/>
        </w:tabs>
        <w:ind w:left="480" w:hanging="48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59ADCABA"/>
    <w:multiLevelType w:val="multilevel"/>
    <w:tmpl w:val="59ADCABA"/>
    <w:lvl w:ilvl="0" w:tentative="0">
      <w:start w:val="2"/>
      <w:numFmt w:val="decimal"/>
      <w:suff w:val="nothing"/>
      <w:lvlText w:val="第 %1 部分 "/>
      <w:lvlJc w:val="left"/>
      <w:pPr>
        <w:ind w:left="3420" w:hanging="180"/>
      </w:pPr>
      <w:rPr>
        <w:rFonts w:hint="eastAsia" w:cs="Times New Roman"/>
        <w:i w:val="0"/>
        <w:iCs w:val="0"/>
        <w:caps w:val="0"/>
        <w:smallCaps w:val="0"/>
        <w:strike w:val="0"/>
        <w:vanish w:val="0"/>
        <w:color w:val="000000"/>
        <w:spacing w:val="0"/>
        <w:position w:val="0"/>
        <w:u w:val="none"/>
        <w:vertAlign w:val="baseline"/>
      </w:rPr>
    </w:lvl>
    <w:lvl w:ilvl="1" w:tentative="0">
      <w:start w:val="1"/>
      <w:numFmt w:val="decimal"/>
      <w:suff w:val="nothing"/>
      <w:lvlText w:val="%1.%2 "/>
      <w:lvlJc w:val="left"/>
      <w:pPr>
        <w:ind w:left="2165" w:firstLine="0"/>
      </w:pPr>
      <w:rPr>
        <w:rFonts w:hint="default" w:ascii="Times New Roman" w:hAnsi="Times New Roman" w:eastAsia="宋体"/>
        <w:b/>
        <w:i w:val="0"/>
        <w:sz w:val="36"/>
      </w:rPr>
    </w:lvl>
    <w:lvl w:ilvl="2" w:tentative="0">
      <w:start w:val="1"/>
      <w:numFmt w:val="decimal"/>
      <w:pStyle w:val="240"/>
      <w:suff w:val="nothing"/>
      <w:lvlText w:val="%1.%2.%3 "/>
      <w:lvlJc w:val="left"/>
      <w:pPr>
        <w:ind w:left="0" w:firstLine="0"/>
      </w:pPr>
      <w:rPr>
        <w:rFonts w:hint="default" w:ascii="Times New Roman" w:hAnsi="Times New Roman" w:eastAsia="黑体"/>
        <w:b w:val="0"/>
        <w:i w:val="0"/>
        <w:sz w:val="32"/>
      </w:rPr>
    </w:lvl>
    <w:lvl w:ilvl="3" w:tentative="0">
      <w:start w:val="1"/>
      <w:numFmt w:val="decimal"/>
      <w:suff w:val="nothing"/>
      <w:lvlText w:val="%1.%2.3.%4 "/>
      <w:lvlJc w:val="left"/>
      <w:pPr>
        <w:ind w:left="720" w:firstLine="0"/>
      </w:pPr>
      <w:rPr>
        <w:rFonts w:hint="eastAsia" w:ascii="Times New Roman" w:hAnsi="Times New Roman" w:cs="Times New Roman"/>
        <w:i w:val="0"/>
        <w:iCs w:val="0"/>
        <w:caps w:val="0"/>
        <w:smallCaps w:val="0"/>
        <w:strike w:val="0"/>
        <w:vanish w:val="0"/>
        <w:color w:val="000000"/>
        <w:spacing w:val="0"/>
        <w:position w:val="0"/>
        <w:u w:val="none"/>
        <w:vertAlign w:val="baseline"/>
      </w:rPr>
    </w:lvl>
    <w:lvl w:ilvl="4" w:tentative="0">
      <w:start w:val="1"/>
      <w:numFmt w:val="decimal"/>
      <w:suff w:val="nothing"/>
      <w:lvlText w:val="%5、"/>
      <w:lvlJc w:val="left"/>
      <w:pPr>
        <w:ind w:left="720" w:firstLine="0"/>
      </w:pPr>
      <w:rPr>
        <w:rFonts w:hint="default" w:ascii="Times New Roman" w:hAnsi="Times New Roman" w:eastAsia="黑体"/>
        <w:b w:val="0"/>
        <w:i w:val="0"/>
        <w:sz w:val="28"/>
      </w:rPr>
    </w:lvl>
    <w:lvl w:ilvl="5" w:tentative="0">
      <w:start w:val="1"/>
      <w:numFmt w:val="none"/>
      <w:suff w:val="nothing"/>
      <w:lvlText w:val=""/>
      <w:lvlJc w:val="left"/>
      <w:pPr>
        <w:ind w:left="180" w:firstLine="0"/>
      </w:pPr>
      <w:rPr>
        <w:rFonts w:hint="eastAsia"/>
      </w:rPr>
    </w:lvl>
    <w:lvl w:ilvl="6" w:tentative="0">
      <w:start w:val="1"/>
      <w:numFmt w:val="none"/>
      <w:suff w:val="nothing"/>
      <w:lvlText w:val=""/>
      <w:lvlJc w:val="left"/>
      <w:pPr>
        <w:ind w:left="180" w:firstLine="0"/>
      </w:pPr>
      <w:rPr>
        <w:rFonts w:hint="eastAsia"/>
      </w:rPr>
    </w:lvl>
    <w:lvl w:ilvl="7" w:tentative="0">
      <w:start w:val="1"/>
      <w:numFmt w:val="none"/>
      <w:suff w:val="nothing"/>
      <w:lvlText w:val=""/>
      <w:lvlJc w:val="left"/>
      <w:pPr>
        <w:ind w:left="180" w:firstLine="0"/>
      </w:pPr>
      <w:rPr>
        <w:rFonts w:hint="eastAsia"/>
      </w:rPr>
    </w:lvl>
    <w:lvl w:ilvl="8" w:tentative="0">
      <w:start w:val="1"/>
      <w:numFmt w:val="none"/>
      <w:suff w:val="nothing"/>
      <w:lvlText w:val=""/>
      <w:lvlJc w:val="left"/>
      <w:pPr>
        <w:ind w:left="180" w:firstLine="0"/>
      </w:pPr>
      <w:rPr>
        <w:rFonts w:hint="eastAsia"/>
      </w:rPr>
    </w:lvl>
  </w:abstractNum>
  <w:abstractNum w:abstractNumId="3">
    <w:nsid w:val="6A051471"/>
    <w:multiLevelType w:val="singleLevel"/>
    <w:tmpl w:val="6A051471"/>
    <w:lvl w:ilvl="0" w:tentative="0">
      <w:start w:val="1"/>
      <w:numFmt w:val="decimalEnclosedCircleChinese"/>
      <w:suff w:val="nothing"/>
      <w:lvlText w:val="%1　"/>
      <w:lvlJc w:val="left"/>
      <w:pPr>
        <w:ind w:left="0" w:firstLine="400"/>
      </w:pPr>
      <w:rPr>
        <w:rFonts w:hint="eastAsia"/>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embedTrueTypeFonts/>
  <w:saveSubsetFonts/>
  <w:bordersDoNotSurroundHeader w:val="1"/>
  <w:bordersDoNotSurroundFooter w:val="1"/>
  <w:documentProtection w:enforcement="0"/>
  <w:defaultTabStop w:val="425"/>
  <w:characterSpacingControl w:val="doNotCompress"/>
  <w:compat>
    <w:balanceSingleByteDoubleByteWidth/>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3590"/>
    <w:rsid w:val="003C1C01"/>
    <w:rsid w:val="004C3590"/>
    <w:rsid w:val="005E6594"/>
    <w:rsid w:val="00760E8C"/>
    <w:rsid w:val="007D5E25"/>
    <w:rsid w:val="00860436"/>
    <w:rsid w:val="0086351E"/>
    <w:rsid w:val="00C27570"/>
    <w:rsid w:val="00C66D2D"/>
    <w:rsid w:val="00E80160"/>
    <w:rsid w:val="01B82438"/>
    <w:rsid w:val="02217FDE"/>
    <w:rsid w:val="030F42DA"/>
    <w:rsid w:val="040A4919"/>
    <w:rsid w:val="069114AA"/>
    <w:rsid w:val="075535F7"/>
    <w:rsid w:val="07E07FF3"/>
    <w:rsid w:val="07F15CD0"/>
    <w:rsid w:val="0CB17E61"/>
    <w:rsid w:val="0DA63A8D"/>
    <w:rsid w:val="0EB83A78"/>
    <w:rsid w:val="0F4D58B9"/>
    <w:rsid w:val="0F543075"/>
    <w:rsid w:val="0F562F00"/>
    <w:rsid w:val="0FFA1E6E"/>
    <w:rsid w:val="11494E5B"/>
    <w:rsid w:val="12C13A3A"/>
    <w:rsid w:val="13CD3C05"/>
    <w:rsid w:val="148548B7"/>
    <w:rsid w:val="152F4368"/>
    <w:rsid w:val="153D3D88"/>
    <w:rsid w:val="178D1696"/>
    <w:rsid w:val="182C1032"/>
    <w:rsid w:val="18C72BDD"/>
    <w:rsid w:val="195C14A3"/>
    <w:rsid w:val="19996135"/>
    <w:rsid w:val="19C452DD"/>
    <w:rsid w:val="1B1C538E"/>
    <w:rsid w:val="1CB33AD0"/>
    <w:rsid w:val="1E1461C4"/>
    <w:rsid w:val="1F187782"/>
    <w:rsid w:val="20344F28"/>
    <w:rsid w:val="20A57BD4"/>
    <w:rsid w:val="20D504B9"/>
    <w:rsid w:val="219A700D"/>
    <w:rsid w:val="220F16C0"/>
    <w:rsid w:val="222B1451"/>
    <w:rsid w:val="22864680"/>
    <w:rsid w:val="22916662"/>
    <w:rsid w:val="24431733"/>
    <w:rsid w:val="24FB35A7"/>
    <w:rsid w:val="25B476E5"/>
    <w:rsid w:val="274C1491"/>
    <w:rsid w:val="28691CC3"/>
    <w:rsid w:val="2A2A4293"/>
    <w:rsid w:val="2ACB46DB"/>
    <w:rsid w:val="2D862376"/>
    <w:rsid w:val="2DA42760"/>
    <w:rsid w:val="2DDB7CBC"/>
    <w:rsid w:val="2F286B34"/>
    <w:rsid w:val="2FEE7F99"/>
    <w:rsid w:val="30B00A0B"/>
    <w:rsid w:val="31C51E84"/>
    <w:rsid w:val="33B96710"/>
    <w:rsid w:val="33E83C08"/>
    <w:rsid w:val="34A264AC"/>
    <w:rsid w:val="364D069A"/>
    <w:rsid w:val="37651E44"/>
    <w:rsid w:val="38433B03"/>
    <w:rsid w:val="38561A88"/>
    <w:rsid w:val="39EF3F42"/>
    <w:rsid w:val="3B0A4DAB"/>
    <w:rsid w:val="3C4C7957"/>
    <w:rsid w:val="3D511878"/>
    <w:rsid w:val="3EEA117C"/>
    <w:rsid w:val="3F830C89"/>
    <w:rsid w:val="40093884"/>
    <w:rsid w:val="421F738E"/>
    <w:rsid w:val="428611BC"/>
    <w:rsid w:val="42EB1A53"/>
    <w:rsid w:val="44103433"/>
    <w:rsid w:val="4537784E"/>
    <w:rsid w:val="464C0026"/>
    <w:rsid w:val="4CCA6149"/>
    <w:rsid w:val="51B15B29"/>
    <w:rsid w:val="526D1A50"/>
    <w:rsid w:val="535675C7"/>
    <w:rsid w:val="551A3190"/>
    <w:rsid w:val="55BB6505"/>
    <w:rsid w:val="57263DE7"/>
    <w:rsid w:val="57337AAB"/>
    <w:rsid w:val="57EC5BA9"/>
    <w:rsid w:val="58F80474"/>
    <w:rsid w:val="590D5D3B"/>
    <w:rsid w:val="5CCC14E7"/>
    <w:rsid w:val="5FEF619A"/>
    <w:rsid w:val="60CE4FE3"/>
    <w:rsid w:val="639A1BF3"/>
    <w:rsid w:val="6470717E"/>
    <w:rsid w:val="65424FBE"/>
    <w:rsid w:val="6A240950"/>
    <w:rsid w:val="6BCF769C"/>
    <w:rsid w:val="6CF01A9C"/>
    <w:rsid w:val="6D7A3B1D"/>
    <w:rsid w:val="6DF63E89"/>
    <w:rsid w:val="6E8071B6"/>
    <w:rsid w:val="6F5168CA"/>
    <w:rsid w:val="72330169"/>
    <w:rsid w:val="72C93933"/>
    <w:rsid w:val="74B94F31"/>
    <w:rsid w:val="753D12FE"/>
    <w:rsid w:val="77C43611"/>
    <w:rsid w:val="77CF26E1"/>
    <w:rsid w:val="77DA405A"/>
    <w:rsid w:val="78225024"/>
    <w:rsid w:val="7848100D"/>
    <w:rsid w:val="78B6564F"/>
    <w:rsid w:val="790B52AD"/>
    <w:rsid w:val="7A7A445B"/>
    <w:rsid w:val="7AC65B4D"/>
    <w:rsid w:val="7BBD0AA3"/>
    <w:rsid w:val="7C1018D0"/>
    <w:rsid w:val="7CD4213D"/>
    <w:rsid w:val="7D614DE3"/>
    <w:rsid w:val="7F450DFE"/>
    <w:rsid w:val="7FB566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99" w:semiHidden="0"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3">
    <w:name w:val="heading 1"/>
    <w:basedOn w:val="1"/>
    <w:next w:val="1"/>
    <w:qFormat/>
    <w:uiPriority w:val="0"/>
    <w:pPr>
      <w:keepNext/>
      <w:spacing w:line="440" w:lineRule="exact"/>
      <w:jc w:val="center"/>
      <w:outlineLvl w:val="0"/>
    </w:pPr>
    <w:rPr>
      <w:rFonts w:ascii="宋体"/>
      <w:sz w:val="28"/>
    </w:rPr>
  </w:style>
  <w:style w:type="paragraph" w:styleId="4">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qFormat/>
    <w:uiPriority w:val="0"/>
    <w:pPr>
      <w:keepNext/>
      <w:numPr>
        <w:ilvl w:val="0"/>
        <w:numId w:val="1"/>
      </w:numPr>
      <w:spacing w:line="400" w:lineRule="exact"/>
      <w:jc w:val="center"/>
      <w:outlineLvl w:val="2"/>
    </w:pPr>
    <w:rPr>
      <w:rFonts w:ascii="仿宋_GB2312" w:eastAsia="仿宋_GB2312"/>
      <w:sz w:val="32"/>
    </w:rPr>
  </w:style>
  <w:style w:type="paragraph" w:styleId="2">
    <w:name w:val="heading 4"/>
    <w:basedOn w:val="1"/>
    <w:next w:val="1"/>
    <w:qFormat/>
    <w:uiPriority w:val="0"/>
    <w:pPr>
      <w:keepNext/>
      <w:keepLines/>
      <w:spacing w:before="280" w:after="290" w:line="372" w:lineRule="auto"/>
      <w:outlineLvl w:val="3"/>
    </w:pPr>
    <w:rPr>
      <w:rFonts w:ascii="Arial" w:hAnsi="Arial" w:eastAsia="黑体" w:cs="Arial"/>
      <w:b/>
      <w:bCs/>
      <w:sz w:val="28"/>
      <w:szCs w:val="28"/>
    </w:rPr>
  </w:style>
  <w:style w:type="paragraph" w:styleId="6">
    <w:name w:val="heading 5"/>
    <w:basedOn w:val="1"/>
    <w:next w:val="1"/>
    <w:link w:val="6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6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70"/>
    <w:unhideWhenUsed/>
    <w:qFormat/>
    <w:uiPriority w:val="9"/>
    <w:pPr>
      <w:keepNext/>
      <w:keepLines/>
      <w:spacing w:before="320" w:after="200"/>
      <w:outlineLvl w:val="8"/>
    </w:pPr>
    <w:rPr>
      <w:rFonts w:ascii="Arial" w:hAnsi="Arial" w:eastAsia="Arial" w:cs="Arial"/>
      <w:i/>
      <w:iCs/>
      <w:szCs w:val="21"/>
    </w:rPr>
  </w:style>
  <w:style w:type="character" w:default="1" w:styleId="51">
    <w:name w:val="Default Paragraph Font"/>
    <w:semiHidden/>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00" w:hanging="200"/>
      <w:contextualSpacing/>
    </w:pPr>
  </w:style>
  <w:style w:type="paragraph" w:styleId="12">
    <w:name w:val="toc 7"/>
    <w:basedOn w:val="1"/>
    <w:next w:val="1"/>
    <w:qFormat/>
    <w:uiPriority w:val="0"/>
    <w:pPr>
      <w:ind w:left="2520"/>
    </w:pPr>
  </w:style>
  <w:style w:type="paragraph" w:styleId="13">
    <w:name w:val="Note Heading"/>
    <w:basedOn w:val="1"/>
    <w:next w:val="1"/>
    <w:qFormat/>
    <w:uiPriority w:val="99"/>
    <w:rPr>
      <w:rFonts w:ascii="Verdana" w:hAnsi="Verdana"/>
    </w:rPr>
  </w:style>
  <w:style w:type="paragraph" w:styleId="14">
    <w:name w:val="Normal Indent"/>
    <w:basedOn w:val="1"/>
    <w:qFormat/>
    <w:uiPriority w:val="0"/>
    <w:pPr>
      <w:ind w:firstLine="420"/>
    </w:pPr>
    <w:rPr>
      <w:b/>
      <w:sz w:val="24"/>
    </w:r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Document Map"/>
    <w:basedOn w:val="1"/>
    <w:link w:val="212"/>
    <w:qFormat/>
    <w:uiPriority w:val="0"/>
    <w:rPr>
      <w:rFonts w:ascii="宋体"/>
      <w:sz w:val="18"/>
      <w:szCs w:val="18"/>
    </w:rPr>
  </w:style>
  <w:style w:type="paragraph" w:styleId="17">
    <w:name w:val="annotation text"/>
    <w:basedOn w:val="1"/>
    <w:link w:val="213"/>
    <w:qFormat/>
    <w:uiPriority w:val="0"/>
    <w:pPr>
      <w:jc w:val="left"/>
    </w:pPr>
  </w:style>
  <w:style w:type="paragraph" w:styleId="18">
    <w:name w:val="Body Text"/>
    <w:basedOn w:val="1"/>
    <w:next w:val="1"/>
    <w:link w:val="214"/>
    <w:qFormat/>
    <w:uiPriority w:val="0"/>
    <w:rPr>
      <w:rFonts w:ascii="宋体"/>
      <w:sz w:val="28"/>
    </w:rPr>
  </w:style>
  <w:style w:type="paragraph" w:styleId="19">
    <w:name w:val="Body Text Indent"/>
    <w:basedOn w:val="1"/>
    <w:next w:val="20"/>
    <w:qFormat/>
    <w:uiPriority w:val="0"/>
    <w:pPr>
      <w:spacing w:line="360" w:lineRule="auto"/>
      <w:ind w:firstLine="420"/>
    </w:pPr>
    <w:rPr>
      <w:rFonts w:ascii="宋体"/>
      <w:sz w:val="24"/>
    </w:rPr>
  </w:style>
  <w:style w:type="paragraph" w:styleId="20">
    <w:name w:val="Body Text First Indent 2"/>
    <w:basedOn w:val="19"/>
    <w:next w:val="1"/>
    <w:qFormat/>
    <w:uiPriority w:val="0"/>
  </w:style>
  <w:style w:type="paragraph" w:styleId="21">
    <w:name w:val="List 2"/>
    <w:basedOn w:val="1"/>
    <w:qFormat/>
    <w:uiPriority w:val="0"/>
    <w:pPr>
      <w:ind w:left="100" w:hanging="200"/>
    </w:pPr>
  </w:style>
  <w:style w:type="paragraph" w:styleId="22">
    <w:name w:val="Block Text"/>
    <w:basedOn w:val="1"/>
    <w:unhideWhenUsed/>
    <w:qFormat/>
    <w:uiPriority w:val="99"/>
    <w:pPr>
      <w:spacing w:beforeAutospacing="1"/>
      <w:ind w:left="1440" w:right="1440"/>
    </w:pPr>
  </w:style>
  <w:style w:type="paragraph" w:styleId="23">
    <w:name w:val="index 4"/>
    <w:basedOn w:val="1"/>
    <w:next w:val="1"/>
    <w:qFormat/>
    <w:uiPriority w:val="0"/>
    <w:pPr>
      <w:ind w:left="600"/>
    </w:pPr>
    <w:rPr>
      <w:szCs w:val="24"/>
    </w:rPr>
  </w:style>
  <w:style w:type="paragraph" w:styleId="24">
    <w:name w:val="toc 5"/>
    <w:basedOn w:val="1"/>
    <w:next w:val="1"/>
    <w:qFormat/>
    <w:uiPriority w:val="0"/>
    <w:pPr>
      <w:ind w:left="1680"/>
    </w:pPr>
  </w:style>
  <w:style w:type="paragraph" w:styleId="25">
    <w:name w:val="toc 3"/>
    <w:basedOn w:val="1"/>
    <w:next w:val="1"/>
    <w:qFormat/>
    <w:uiPriority w:val="39"/>
    <w:pPr>
      <w:ind w:left="840"/>
    </w:pPr>
  </w:style>
  <w:style w:type="paragraph" w:styleId="26">
    <w:name w:val="Plain Text"/>
    <w:basedOn w:val="1"/>
    <w:link w:val="211"/>
    <w:qFormat/>
    <w:uiPriority w:val="0"/>
    <w:rPr>
      <w:rFonts w:ascii="宋体" w:hAnsi="Courier New"/>
    </w:rPr>
  </w:style>
  <w:style w:type="paragraph" w:styleId="27">
    <w:name w:val="toc 8"/>
    <w:basedOn w:val="1"/>
    <w:next w:val="1"/>
    <w:qFormat/>
    <w:uiPriority w:val="0"/>
    <w:pPr>
      <w:ind w:left="2940"/>
    </w:pPr>
  </w:style>
  <w:style w:type="paragraph" w:styleId="28">
    <w:name w:val="Date"/>
    <w:basedOn w:val="1"/>
    <w:next w:val="1"/>
    <w:qFormat/>
    <w:uiPriority w:val="0"/>
    <w:rPr>
      <w:rFonts w:ascii="宋体"/>
    </w:rPr>
  </w:style>
  <w:style w:type="paragraph" w:styleId="29">
    <w:name w:val="Body Text Indent 2"/>
    <w:basedOn w:val="1"/>
    <w:qFormat/>
    <w:uiPriority w:val="0"/>
    <w:pPr>
      <w:spacing w:line="420" w:lineRule="exact"/>
      <w:ind w:firstLine="525"/>
    </w:pPr>
    <w:rPr>
      <w:rFonts w:ascii="宋体"/>
    </w:rPr>
  </w:style>
  <w:style w:type="paragraph" w:styleId="30">
    <w:name w:val="endnote text"/>
    <w:basedOn w:val="1"/>
    <w:link w:val="207"/>
    <w:semiHidden/>
    <w:unhideWhenUsed/>
    <w:qFormat/>
    <w:uiPriority w:val="99"/>
    <w:rPr>
      <w:sz w:val="20"/>
    </w:rPr>
  </w:style>
  <w:style w:type="paragraph" w:styleId="31">
    <w:name w:val="Balloon Text"/>
    <w:basedOn w:val="1"/>
    <w:semiHidden/>
    <w:qFormat/>
    <w:uiPriority w:val="0"/>
    <w:rPr>
      <w:sz w:val="18"/>
      <w:szCs w:val="18"/>
    </w:rPr>
  </w:style>
  <w:style w:type="paragraph" w:styleId="32">
    <w:name w:val="footer"/>
    <w:basedOn w:val="1"/>
    <w:link w:val="215"/>
    <w:qFormat/>
    <w:uiPriority w:val="99"/>
    <w:pPr>
      <w:tabs>
        <w:tab w:val="center" w:pos="4153"/>
        <w:tab w:val="right" w:pos="8306"/>
      </w:tabs>
      <w:jc w:val="left"/>
    </w:pPr>
    <w:rPr>
      <w:sz w:val="18"/>
    </w:rPr>
  </w:style>
  <w:style w:type="paragraph" w:styleId="33">
    <w:name w:val="envelope return"/>
    <w:basedOn w:val="1"/>
    <w:qFormat/>
    <w:uiPriority w:val="0"/>
    <w:rPr>
      <w:rFonts w:ascii="Arial" w:hAnsi="Arial"/>
    </w:rPr>
  </w:style>
  <w:style w:type="paragraph" w:styleId="34">
    <w:name w:val="header"/>
    <w:basedOn w:val="1"/>
    <w:qFormat/>
    <w:uiPriority w:val="0"/>
    <w:pPr>
      <w:pBdr>
        <w:bottom w:val="single" w:color="auto" w:sz="6" w:space="1"/>
      </w:pBdr>
      <w:tabs>
        <w:tab w:val="center" w:pos="4153"/>
        <w:tab w:val="right" w:pos="8306"/>
      </w:tabs>
      <w:jc w:val="center"/>
    </w:pPr>
    <w:rPr>
      <w:sz w:val="18"/>
    </w:rPr>
  </w:style>
  <w:style w:type="paragraph" w:styleId="35">
    <w:name w:val="toc 1"/>
    <w:basedOn w:val="1"/>
    <w:next w:val="1"/>
    <w:qFormat/>
    <w:uiPriority w:val="39"/>
  </w:style>
  <w:style w:type="paragraph" w:styleId="36">
    <w:name w:val="toc 4"/>
    <w:basedOn w:val="1"/>
    <w:next w:val="1"/>
    <w:qFormat/>
    <w:uiPriority w:val="0"/>
    <w:pPr>
      <w:ind w:left="1260"/>
    </w:pPr>
  </w:style>
  <w:style w:type="paragraph" w:styleId="37">
    <w:name w:val="Subtitle"/>
    <w:basedOn w:val="1"/>
    <w:next w:val="1"/>
    <w:link w:val="73"/>
    <w:qFormat/>
    <w:uiPriority w:val="11"/>
    <w:pPr>
      <w:spacing w:before="200" w:after="200"/>
    </w:pPr>
    <w:rPr>
      <w:sz w:val="24"/>
      <w:szCs w:val="24"/>
    </w:rPr>
  </w:style>
  <w:style w:type="paragraph" w:styleId="38">
    <w:name w:val="footnote text"/>
    <w:basedOn w:val="1"/>
    <w:link w:val="206"/>
    <w:semiHidden/>
    <w:unhideWhenUsed/>
    <w:qFormat/>
    <w:uiPriority w:val="99"/>
    <w:pPr>
      <w:spacing w:after="40"/>
    </w:pPr>
    <w:rPr>
      <w:sz w:val="18"/>
    </w:rPr>
  </w:style>
  <w:style w:type="paragraph" w:styleId="39">
    <w:name w:val="toc 6"/>
    <w:basedOn w:val="1"/>
    <w:next w:val="1"/>
    <w:qFormat/>
    <w:uiPriority w:val="0"/>
    <w:pPr>
      <w:ind w:left="2100"/>
    </w:pPr>
  </w:style>
  <w:style w:type="paragraph" w:styleId="40">
    <w:name w:val="Body Text Indent 3"/>
    <w:basedOn w:val="1"/>
    <w:qFormat/>
    <w:uiPriority w:val="0"/>
    <w:pPr>
      <w:ind w:firstLine="841"/>
    </w:pPr>
    <w:rPr>
      <w:rFonts w:eastAsia="华文新魏"/>
      <w:b/>
      <w:bCs/>
      <w:sz w:val="84"/>
    </w:rPr>
  </w:style>
  <w:style w:type="paragraph" w:styleId="41">
    <w:name w:val="table of figures"/>
    <w:basedOn w:val="1"/>
    <w:next w:val="1"/>
    <w:unhideWhenUsed/>
    <w:qFormat/>
    <w:uiPriority w:val="99"/>
  </w:style>
  <w:style w:type="paragraph" w:styleId="42">
    <w:name w:val="toc 2"/>
    <w:basedOn w:val="1"/>
    <w:next w:val="1"/>
    <w:qFormat/>
    <w:uiPriority w:val="39"/>
    <w:pPr>
      <w:ind w:left="420"/>
    </w:pPr>
  </w:style>
  <w:style w:type="paragraph" w:styleId="43">
    <w:name w:val="toc 9"/>
    <w:basedOn w:val="1"/>
    <w:next w:val="1"/>
    <w:qFormat/>
    <w:uiPriority w:val="0"/>
    <w:pPr>
      <w:ind w:left="3360"/>
    </w:pPr>
  </w:style>
  <w:style w:type="paragraph" w:styleId="44">
    <w:name w:val="HTML Preformatted"/>
    <w:basedOn w:val="1"/>
    <w:link w:val="216"/>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rPr>
  </w:style>
  <w:style w:type="paragraph" w:styleId="45">
    <w:name w:val="Normal (Web)"/>
    <w:basedOn w:val="1"/>
    <w:qFormat/>
    <w:uiPriority w:val="0"/>
    <w:pPr>
      <w:widowControl/>
      <w:spacing w:before="100" w:beforeAutospacing="1" w:after="100" w:afterAutospacing="1"/>
      <w:jc w:val="left"/>
    </w:pPr>
    <w:rPr>
      <w:rFonts w:ascii="Arial Unicode MS" w:hAnsi="Arial Unicode MS" w:eastAsia="Arial Unicode MS"/>
      <w:color w:val="000000"/>
      <w:sz w:val="24"/>
      <w:szCs w:val="24"/>
    </w:rPr>
  </w:style>
  <w:style w:type="paragraph" w:styleId="46">
    <w:name w:val="Title"/>
    <w:basedOn w:val="1"/>
    <w:qFormat/>
    <w:uiPriority w:val="0"/>
    <w:pPr>
      <w:jc w:val="center"/>
    </w:pPr>
    <w:rPr>
      <w:sz w:val="30"/>
      <w:szCs w:val="24"/>
    </w:rPr>
  </w:style>
  <w:style w:type="paragraph" w:styleId="47">
    <w:name w:val="annotation subject"/>
    <w:basedOn w:val="17"/>
    <w:next w:val="17"/>
    <w:link w:val="217"/>
    <w:qFormat/>
    <w:uiPriority w:val="0"/>
    <w:rPr>
      <w:b/>
      <w:bCs/>
    </w:rPr>
  </w:style>
  <w:style w:type="paragraph" w:styleId="48">
    <w:name w:val="Body Text First Indent"/>
    <w:basedOn w:val="18"/>
    <w:qFormat/>
    <w:uiPriority w:val="0"/>
    <w:pPr>
      <w:ind w:firstLine="420"/>
    </w:pPr>
  </w:style>
  <w:style w:type="table" w:styleId="50">
    <w:name w:val="Table Grid"/>
    <w:basedOn w:val="49"/>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2">
    <w:name w:val="Strong"/>
    <w:basedOn w:val="51"/>
    <w:qFormat/>
    <w:uiPriority w:val="0"/>
    <w:rPr>
      <w:b/>
      <w:bCs/>
    </w:rPr>
  </w:style>
  <w:style w:type="character" w:styleId="53">
    <w:name w:val="endnote reference"/>
    <w:basedOn w:val="51"/>
    <w:semiHidden/>
    <w:unhideWhenUsed/>
    <w:qFormat/>
    <w:uiPriority w:val="99"/>
    <w:rPr>
      <w:vertAlign w:val="superscript"/>
    </w:rPr>
  </w:style>
  <w:style w:type="character" w:styleId="54">
    <w:name w:val="page number"/>
    <w:qFormat/>
    <w:uiPriority w:val="0"/>
  </w:style>
  <w:style w:type="character" w:styleId="55">
    <w:name w:val="FollowedHyperlink"/>
    <w:qFormat/>
    <w:uiPriority w:val="0"/>
    <w:rPr>
      <w:color w:val="800080"/>
      <w:u w:val="single"/>
    </w:rPr>
  </w:style>
  <w:style w:type="character" w:styleId="56">
    <w:name w:val="Emphasis"/>
    <w:qFormat/>
    <w:uiPriority w:val="20"/>
    <w:rPr>
      <w:i/>
    </w:rPr>
  </w:style>
  <w:style w:type="character" w:styleId="57">
    <w:name w:val="Hyperlink"/>
    <w:qFormat/>
    <w:uiPriority w:val="99"/>
    <w:rPr>
      <w:color w:val="0000FF"/>
      <w:u w:val="single"/>
    </w:rPr>
  </w:style>
  <w:style w:type="character" w:styleId="58">
    <w:name w:val="annotation reference"/>
    <w:qFormat/>
    <w:uiPriority w:val="0"/>
    <w:rPr>
      <w:sz w:val="21"/>
      <w:szCs w:val="21"/>
    </w:rPr>
  </w:style>
  <w:style w:type="character" w:styleId="59">
    <w:name w:val="footnote reference"/>
    <w:basedOn w:val="51"/>
    <w:unhideWhenUsed/>
    <w:qFormat/>
    <w:uiPriority w:val="99"/>
    <w:rPr>
      <w:vertAlign w:val="superscript"/>
    </w:rPr>
  </w:style>
  <w:style w:type="paragraph" w:customStyle="1" w:styleId="60">
    <w:name w:val="一级条标题"/>
    <w:next w:val="61"/>
    <w:qFormat/>
    <w:uiPriority w:val="0"/>
    <w:pPr>
      <w:tabs>
        <w:tab w:val="left" w:pos="810"/>
        <w:tab w:val="left" w:pos="907"/>
        <w:tab w:val="left" w:pos="1265"/>
      </w:tabs>
      <w:ind w:left="907" w:hanging="907"/>
      <w:jc w:val="both"/>
      <w:outlineLvl w:val="2"/>
    </w:pPr>
    <w:rPr>
      <w:rFonts w:ascii="黑体" w:hAnsi="宋体" w:eastAsia="黑体" w:cs="Times New Roman"/>
      <w:lang w:val="en-US" w:eastAsia="zh-CN" w:bidi="ar-SA"/>
    </w:rPr>
  </w:style>
  <w:style w:type="paragraph" w:customStyle="1" w:styleId="61">
    <w:name w:val="段"/>
    <w:next w:val="1"/>
    <w:qFormat/>
    <w:uiPriority w:val="0"/>
    <w:pPr>
      <w:tabs>
        <w:tab w:val="center" w:pos="4201"/>
        <w:tab w:val="right" w:leader="dot" w:pos="9298"/>
      </w:tabs>
      <w:ind w:firstLine="420"/>
      <w:jc w:val="both"/>
    </w:pPr>
    <w:rPr>
      <w:rFonts w:ascii="宋体" w:hAnsi="Times New Roman" w:eastAsia="宋体" w:cs="Times New Roman"/>
      <w:sz w:val="21"/>
      <w:lang w:val="en-US" w:eastAsia="zh-CN" w:bidi="ar-SA"/>
    </w:rPr>
  </w:style>
  <w:style w:type="character" w:customStyle="1" w:styleId="62">
    <w:name w:val="Heading 1 Char"/>
    <w:basedOn w:val="51"/>
    <w:qFormat/>
    <w:uiPriority w:val="9"/>
    <w:rPr>
      <w:rFonts w:ascii="Arial" w:hAnsi="Arial" w:eastAsia="Arial" w:cs="Arial"/>
      <w:sz w:val="40"/>
      <w:szCs w:val="40"/>
    </w:rPr>
  </w:style>
  <w:style w:type="character" w:customStyle="1" w:styleId="63">
    <w:name w:val="Heading 2 Char"/>
    <w:basedOn w:val="51"/>
    <w:qFormat/>
    <w:uiPriority w:val="9"/>
    <w:rPr>
      <w:rFonts w:ascii="Arial" w:hAnsi="Arial" w:eastAsia="Arial" w:cs="Arial"/>
      <w:sz w:val="34"/>
    </w:rPr>
  </w:style>
  <w:style w:type="character" w:customStyle="1" w:styleId="64">
    <w:name w:val="Heading 3 Char"/>
    <w:basedOn w:val="51"/>
    <w:qFormat/>
    <w:uiPriority w:val="9"/>
    <w:rPr>
      <w:rFonts w:ascii="Arial" w:hAnsi="Arial" w:eastAsia="Arial" w:cs="Arial"/>
      <w:sz w:val="30"/>
      <w:szCs w:val="30"/>
    </w:rPr>
  </w:style>
  <w:style w:type="character" w:customStyle="1" w:styleId="65">
    <w:name w:val="Heading 4 Char"/>
    <w:basedOn w:val="51"/>
    <w:qFormat/>
    <w:uiPriority w:val="9"/>
    <w:rPr>
      <w:rFonts w:ascii="Arial" w:hAnsi="Arial" w:eastAsia="Arial" w:cs="Arial"/>
      <w:b/>
      <w:bCs/>
      <w:sz w:val="26"/>
      <w:szCs w:val="26"/>
    </w:rPr>
  </w:style>
  <w:style w:type="character" w:customStyle="1" w:styleId="66">
    <w:name w:val="标题 5 字符"/>
    <w:basedOn w:val="51"/>
    <w:link w:val="6"/>
    <w:qFormat/>
    <w:uiPriority w:val="9"/>
    <w:rPr>
      <w:rFonts w:ascii="Arial" w:hAnsi="Arial" w:eastAsia="Arial" w:cs="Arial"/>
      <w:b/>
      <w:bCs/>
      <w:sz w:val="24"/>
      <w:szCs w:val="24"/>
    </w:rPr>
  </w:style>
  <w:style w:type="character" w:customStyle="1" w:styleId="67">
    <w:name w:val="标题 6 字符"/>
    <w:basedOn w:val="51"/>
    <w:link w:val="7"/>
    <w:qFormat/>
    <w:uiPriority w:val="9"/>
    <w:rPr>
      <w:rFonts w:ascii="Arial" w:hAnsi="Arial" w:eastAsia="Arial" w:cs="Arial"/>
      <w:b/>
      <w:bCs/>
      <w:sz w:val="22"/>
      <w:szCs w:val="22"/>
    </w:rPr>
  </w:style>
  <w:style w:type="character" w:customStyle="1" w:styleId="68">
    <w:name w:val="标题 7 字符"/>
    <w:basedOn w:val="51"/>
    <w:link w:val="8"/>
    <w:qFormat/>
    <w:uiPriority w:val="9"/>
    <w:rPr>
      <w:rFonts w:ascii="Arial" w:hAnsi="Arial" w:eastAsia="Arial" w:cs="Arial"/>
      <w:b/>
      <w:bCs/>
      <w:i/>
      <w:iCs/>
      <w:sz w:val="22"/>
      <w:szCs w:val="22"/>
    </w:rPr>
  </w:style>
  <w:style w:type="character" w:customStyle="1" w:styleId="69">
    <w:name w:val="标题 8 字符"/>
    <w:basedOn w:val="51"/>
    <w:link w:val="9"/>
    <w:qFormat/>
    <w:uiPriority w:val="9"/>
    <w:rPr>
      <w:rFonts w:ascii="Arial" w:hAnsi="Arial" w:eastAsia="Arial" w:cs="Arial"/>
      <w:i/>
      <w:iCs/>
      <w:sz w:val="22"/>
      <w:szCs w:val="22"/>
    </w:rPr>
  </w:style>
  <w:style w:type="character" w:customStyle="1" w:styleId="70">
    <w:name w:val="标题 9 字符"/>
    <w:basedOn w:val="51"/>
    <w:link w:val="10"/>
    <w:qFormat/>
    <w:uiPriority w:val="9"/>
    <w:rPr>
      <w:rFonts w:ascii="Arial" w:hAnsi="Arial" w:eastAsia="Arial" w:cs="Arial"/>
      <w:i/>
      <w:iCs/>
      <w:sz w:val="21"/>
      <w:szCs w:val="21"/>
    </w:rPr>
  </w:style>
  <w:style w:type="paragraph" w:styleId="71">
    <w:name w:val="No Spacing"/>
    <w:qFormat/>
    <w:uiPriority w:val="1"/>
    <w:rPr>
      <w:rFonts w:ascii="Times New Roman" w:hAnsi="Times New Roman" w:eastAsia="宋体" w:cs="Times New Roman"/>
      <w:lang w:val="en-US" w:eastAsia="zh-CN" w:bidi="ar-SA"/>
    </w:rPr>
  </w:style>
  <w:style w:type="character" w:customStyle="1" w:styleId="72">
    <w:name w:val="Title Char"/>
    <w:basedOn w:val="51"/>
    <w:qFormat/>
    <w:uiPriority w:val="10"/>
    <w:rPr>
      <w:sz w:val="48"/>
      <w:szCs w:val="48"/>
    </w:rPr>
  </w:style>
  <w:style w:type="character" w:customStyle="1" w:styleId="73">
    <w:name w:val="副标题 字符"/>
    <w:basedOn w:val="51"/>
    <w:link w:val="37"/>
    <w:qFormat/>
    <w:uiPriority w:val="11"/>
    <w:rPr>
      <w:sz w:val="24"/>
      <w:szCs w:val="24"/>
    </w:rPr>
  </w:style>
  <w:style w:type="paragraph" w:styleId="74">
    <w:name w:val="Quote"/>
    <w:basedOn w:val="1"/>
    <w:next w:val="1"/>
    <w:link w:val="75"/>
    <w:qFormat/>
    <w:uiPriority w:val="29"/>
    <w:pPr>
      <w:ind w:left="720" w:right="720"/>
    </w:pPr>
    <w:rPr>
      <w:i/>
    </w:rPr>
  </w:style>
  <w:style w:type="character" w:customStyle="1" w:styleId="75">
    <w:name w:val="引用 字符"/>
    <w:link w:val="74"/>
    <w:qFormat/>
    <w:uiPriority w:val="29"/>
    <w:rPr>
      <w:i/>
    </w:rPr>
  </w:style>
  <w:style w:type="paragraph" w:styleId="76">
    <w:name w:val="Intense Quote"/>
    <w:basedOn w:val="1"/>
    <w:next w:val="1"/>
    <w:link w:val="7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7">
    <w:name w:val="明显引用 字符"/>
    <w:link w:val="76"/>
    <w:qFormat/>
    <w:uiPriority w:val="30"/>
    <w:rPr>
      <w:i/>
    </w:rPr>
  </w:style>
  <w:style w:type="character" w:customStyle="1" w:styleId="78">
    <w:name w:val="Header Char"/>
    <w:basedOn w:val="51"/>
    <w:qFormat/>
    <w:uiPriority w:val="99"/>
  </w:style>
  <w:style w:type="character" w:customStyle="1" w:styleId="79">
    <w:name w:val="Footer Char"/>
    <w:basedOn w:val="51"/>
    <w:qFormat/>
    <w:uiPriority w:val="99"/>
  </w:style>
  <w:style w:type="character" w:customStyle="1" w:styleId="80">
    <w:name w:val="Caption Char"/>
    <w:qFormat/>
    <w:uiPriority w:val="99"/>
  </w:style>
  <w:style w:type="table" w:customStyle="1" w:styleId="81">
    <w:name w:val="Table Grid Light"/>
    <w:basedOn w:val="4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82">
    <w:name w:val="无格式表格 11"/>
    <w:basedOn w:val="4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3">
    <w:name w:val="无格式表格 21"/>
    <w:basedOn w:val="49"/>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4">
    <w:name w:val="无格式表格 31"/>
    <w:basedOn w:val="49"/>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无格式表格 41"/>
    <w:basedOn w:val="49"/>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无格式表格 51"/>
    <w:basedOn w:val="49"/>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网格表 1 浅色1"/>
    <w:basedOn w:val="4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8">
    <w:name w:val="Grid Table 1 Light - Accent 1"/>
    <w:basedOn w:val="49"/>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9">
    <w:name w:val="Grid Table 1 Light - Accent 2"/>
    <w:basedOn w:val="49"/>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0">
    <w:name w:val="Grid Table 1 Light - Accent 3"/>
    <w:basedOn w:val="49"/>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1">
    <w:name w:val="Grid Table 1 Light - Accent 4"/>
    <w:basedOn w:val="49"/>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2">
    <w:name w:val="Grid Table 1 Light - Accent 5"/>
    <w:basedOn w:val="49"/>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3">
    <w:name w:val="Grid Table 1 Light - Accent 6"/>
    <w:basedOn w:val="49"/>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4">
    <w:name w:val="网格表 21"/>
    <w:basedOn w:val="4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2 - Accent 1"/>
    <w:basedOn w:val="49"/>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6">
    <w:name w:val="Grid Table 2 - Accent 2"/>
    <w:basedOn w:val="49"/>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2 - Accent 3"/>
    <w:basedOn w:val="49"/>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2 - Accent 4"/>
    <w:basedOn w:val="49"/>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2 - Accent 5"/>
    <w:basedOn w:val="49"/>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2 - Accent 6"/>
    <w:basedOn w:val="49"/>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网格表 31"/>
    <w:basedOn w:val="4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3 - Accent 1"/>
    <w:basedOn w:val="49"/>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3">
    <w:name w:val="Grid Table 3 - Accent 2"/>
    <w:basedOn w:val="49"/>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3 - Accent 3"/>
    <w:basedOn w:val="49"/>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3 - Accent 4"/>
    <w:basedOn w:val="49"/>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3 - Accent 5"/>
    <w:basedOn w:val="49"/>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3 - Accent 6"/>
    <w:basedOn w:val="49"/>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网格表 41"/>
    <w:basedOn w:val="4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4 - Accent 1"/>
    <w:basedOn w:val="49"/>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0">
    <w:name w:val="Grid Table 4 - Accent 2"/>
    <w:basedOn w:val="49"/>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4 - Accent 3"/>
    <w:basedOn w:val="49"/>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4 - Accent 4"/>
    <w:basedOn w:val="49"/>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4 - Accent 5"/>
    <w:basedOn w:val="49"/>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4 - Accent 6"/>
    <w:basedOn w:val="49"/>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网格表 5 深色1"/>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6">
    <w:name w:val="Grid Table 5 Dark- Accent 1"/>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7">
    <w:name w:val="Grid Table 5 Dark - Accent 2"/>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8">
    <w:name w:val="Grid Table 5 Dark - Accent 3"/>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9">
    <w:name w:val="Grid Table 5 Dark- Accent 4"/>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0">
    <w:name w:val="Grid Table 5 Dark - Accent 5"/>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1">
    <w:name w:val="Grid Table 5 Dark - Accent 6"/>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2">
    <w:name w:val="网格表 6 彩色1"/>
    <w:basedOn w:val="4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3">
    <w:name w:val="Grid Table 6 Colorful - Accent 1"/>
    <w:basedOn w:val="49"/>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4">
    <w:name w:val="Grid Table 6 Colorful - Accent 2"/>
    <w:basedOn w:val="49"/>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5">
    <w:name w:val="Grid Table 6 Colorful - Accent 3"/>
    <w:basedOn w:val="49"/>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6">
    <w:name w:val="Grid Table 6 Colorful - Accent 4"/>
    <w:basedOn w:val="49"/>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7">
    <w:name w:val="Grid Table 6 Colorful - Accent 5"/>
    <w:basedOn w:val="49"/>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8">
    <w:name w:val="Grid Table 6 Colorful - Accent 6"/>
    <w:basedOn w:val="49"/>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9">
    <w:name w:val="网格表 7 彩色1"/>
    <w:basedOn w:val="4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0">
    <w:name w:val="Grid Table 7 Colorful - Accent 1"/>
    <w:basedOn w:val="49"/>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1">
    <w:name w:val="Grid Table 7 Colorful - Accent 2"/>
    <w:basedOn w:val="49"/>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2">
    <w:name w:val="Grid Table 7 Colorful - Accent 3"/>
    <w:basedOn w:val="49"/>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3">
    <w:name w:val="Grid Table 7 Colorful - Accent 4"/>
    <w:basedOn w:val="49"/>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4">
    <w:name w:val="Grid Table 7 Colorful - Accent 5"/>
    <w:basedOn w:val="49"/>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5">
    <w:name w:val="Grid Table 7 Colorful - Accent 6"/>
    <w:basedOn w:val="49"/>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6">
    <w:name w:val="清单表 1 浅色1"/>
    <w:basedOn w:val="49"/>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7">
    <w:name w:val="List Table 1 Light - Accent 1"/>
    <w:basedOn w:val="49"/>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8">
    <w:name w:val="List Table 1 Light - Accent 2"/>
    <w:basedOn w:val="49"/>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9">
    <w:name w:val="List Table 1 Light - Accent 3"/>
    <w:basedOn w:val="49"/>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0">
    <w:name w:val="List Table 1 Light - Accent 4"/>
    <w:basedOn w:val="49"/>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1">
    <w:name w:val="List Table 1 Light - Accent 5"/>
    <w:basedOn w:val="49"/>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2">
    <w:name w:val="List Table 1 Light - Accent 6"/>
    <w:basedOn w:val="49"/>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3">
    <w:name w:val="清单表 21"/>
    <w:basedOn w:val="4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2 - Accent 1"/>
    <w:basedOn w:val="49"/>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2 - Accent 2"/>
    <w:basedOn w:val="49"/>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2 - Accent 3"/>
    <w:basedOn w:val="49"/>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2 - Accent 4"/>
    <w:basedOn w:val="49"/>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2 - Accent 5"/>
    <w:basedOn w:val="49"/>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2 - Accent 6"/>
    <w:basedOn w:val="49"/>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清单表 31"/>
    <w:basedOn w:val="4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1">
    <w:name w:val="List Table 3 - Accent 1"/>
    <w:basedOn w:val="49"/>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2">
    <w:name w:val="List Table 3 - Accent 2"/>
    <w:basedOn w:val="49"/>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3">
    <w:name w:val="List Table 3 - Accent 3"/>
    <w:basedOn w:val="49"/>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4">
    <w:name w:val="List Table 3 - Accent 4"/>
    <w:basedOn w:val="49"/>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5">
    <w:name w:val="List Table 3 - Accent 5"/>
    <w:basedOn w:val="49"/>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6">
    <w:name w:val="List Table 3 - Accent 6"/>
    <w:basedOn w:val="49"/>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7">
    <w:name w:val="清单表 41"/>
    <w:basedOn w:val="4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8">
    <w:name w:val="List Table 4 - Accent 1"/>
    <w:basedOn w:val="49"/>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9">
    <w:name w:val="List Table 4 - Accent 2"/>
    <w:basedOn w:val="49"/>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0">
    <w:name w:val="List Table 4 - Accent 3"/>
    <w:basedOn w:val="49"/>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1">
    <w:name w:val="List Table 4 - Accent 4"/>
    <w:basedOn w:val="49"/>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2">
    <w:name w:val="List Table 4 - Accent 5"/>
    <w:basedOn w:val="49"/>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3">
    <w:name w:val="List Table 4 - Accent 6"/>
    <w:basedOn w:val="49"/>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4">
    <w:name w:val="清单表 5 深色1"/>
    <w:basedOn w:val="4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5">
    <w:name w:val="List Table 5 Dark - Accent 1"/>
    <w:basedOn w:val="49"/>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6">
    <w:name w:val="List Table 5 Dark - Accent 2"/>
    <w:basedOn w:val="49"/>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7">
    <w:name w:val="List Table 5 Dark - Accent 3"/>
    <w:basedOn w:val="49"/>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8">
    <w:name w:val="List Table 5 Dark - Accent 4"/>
    <w:basedOn w:val="49"/>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9">
    <w:name w:val="List Table 5 Dark - Accent 5"/>
    <w:basedOn w:val="49"/>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0">
    <w:name w:val="List Table 5 Dark - Accent 6"/>
    <w:basedOn w:val="49"/>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1">
    <w:name w:val="清单表 6 彩色1"/>
    <w:basedOn w:val="49"/>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2">
    <w:name w:val="List Table 6 Colorful - Accent 1"/>
    <w:basedOn w:val="49"/>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3">
    <w:name w:val="List Table 6 Colorful - Accent 2"/>
    <w:basedOn w:val="49"/>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4">
    <w:name w:val="List Table 6 Colorful - Accent 3"/>
    <w:basedOn w:val="49"/>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5">
    <w:name w:val="List Table 6 Colorful - Accent 4"/>
    <w:basedOn w:val="49"/>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6">
    <w:name w:val="List Table 6 Colorful - Accent 5"/>
    <w:basedOn w:val="49"/>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7">
    <w:name w:val="List Table 6 Colorful - Accent 6"/>
    <w:basedOn w:val="49"/>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8">
    <w:name w:val="清单表 7 彩色1"/>
    <w:basedOn w:val="49"/>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9">
    <w:name w:val="List Table 7 Colorful - Accent 1"/>
    <w:basedOn w:val="49"/>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0">
    <w:name w:val="List Table 7 Colorful - Accent 2"/>
    <w:basedOn w:val="49"/>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1">
    <w:name w:val="List Table 7 Colorful - Accent 3"/>
    <w:basedOn w:val="49"/>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2">
    <w:name w:val="List Table 7 Colorful - Accent 4"/>
    <w:basedOn w:val="49"/>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3">
    <w:name w:val="List Table 7 Colorful - Accent 5"/>
    <w:basedOn w:val="49"/>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4">
    <w:name w:val="List Table 7 Colorful - Accent 6"/>
    <w:basedOn w:val="49"/>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5">
    <w:name w:val="Lined - Accent"/>
    <w:basedOn w:val="49"/>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Lined - Accent 1"/>
    <w:basedOn w:val="49"/>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7">
    <w:name w:val="Lined - Accent 2"/>
    <w:basedOn w:val="49"/>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8">
    <w:name w:val="Lined - Accent 3"/>
    <w:basedOn w:val="49"/>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9">
    <w:name w:val="Lined - Accent 4"/>
    <w:basedOn w:val="49"/>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0">
    <w:name w:val="Lined - Accent 5"/>
    <w:basedOn w:val="49"/>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1">
    <w:name w:val="Lined - Accent 6"/>
    <w:basedOn w:val="49"/>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2">
    <w:name w:val="Bordered &amp; Lined - Accent"/>
    <w:basedOn w:val="49"/>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3">
    <w:name w:val="Bordered &amp; Lined - Accent 1"/>
    <w:basedOn w:val="49"/>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4">
    <w:name w:val="Bordered &amp; Lined - Accent 2"/>
    <w:basedOn w:val="49"/>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5">
    <w:name w:val="Bordered &amp; Lined - Accent 3"/>
    <w:basedOn w:val="49"/>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6">
    <w:name w:val="Bordered &amp; Lined - Accent 4"/>
    <w:basedOn w:val="49"/>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7">
    <w:name w:val="Bordered &amp; Lined - Accent 5"/>
    <w:basedOn w:val="49"/>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8">
    <w:name w:val="Bordered &amp; Lined - Accent 6"/>
    <w:basedOn w:val="49"/>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9">
    <w:name w:val="Bordered"/>
    <w:basedOn w:val="49"/>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0">
    <w:name w:val="Bordered - Accent 1"/>
    <w:basedOn w:val="49"/>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1">
    <w:name w:val="Bordered - Accent 2"/>
    <w:basedOn w:val="49"/>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2">
    <w:name w:val="Bordered - Accent 3"/>
    <w:basedOn w:val="49"/>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3">
    <w:name w:val="Bordered - Accent 4"/>
    <w:basedOn w:val="49"/>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4">
    <w:name w:val="Bordered - Accent 5"/>
    <w:basedOn w:val="49"/>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5">
    <w:name w:val="Bordered - Accent 6"/>
    <w:basedOn w:val="49"/>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6">
    <w:name w:val="脚注文本 字符"/>
    <w:link w:val="38"/>
    <w:qFormat/>
    <w:uiPriority w:val="99"/>
    <w:rPr>
      <w:sz w:val="18"/>
    </w:rPr>
  </w:style>
  <w:style w:type="character" w:customStyle="1" w:styleId="207">
    <w:name w:val="尾注文本 字符"/>
    <w:link w:val="30"/>
    <w:qFormat/>
    <w:uiPriority w:val="99"/>
    <w:rPr>
      <w:sz w:val="20"/>
    </w:rPr>
  </w:style>
  <w:style w:type="paragraph" w:customStyle="1" w:styleId="208">
    <w:name w:val="TOC 标题1"/>
    <w:unhideWhenUsed/>
    <w:qFormat/>
    <w:uiPriority w:val="39"/>
    <w:rPr>
      <w:rFonts w:ascii="Times New Roman" w:hAnsi="Times New Roman" w:eastAsia="宋体" w:cs="Times New Roman"/>
      <w:lang w:val="en-US" w:eastAsia="zh-CN" w:bidi="ar-SA"/>
    </w:rPr>
  </w:style>
  <w:style w:type="paragraph" w:styleId="209">
    <w:name w:val="List Paragraph"/>
    <w:basedOn w:val="1"/>
    <w:qFormat/>
    <w:uiPriority w:val="99"/>
    <w:pPr>
      <w:spacing w:line="300" w:lineRule="auto"/>
      <w:ind w:firstLine="420"/>
      <w:jc w:val="left"/>
    </w:pPr>
    <w:rPr>
      <w:szCs w:val="22"/>
    </w:rPr>
  </w:style>
  <w:style w:type="paragraph" w:customStyle="1" w:styleId="210">
    <w:name w:val="首行缩进"/>
    <w:basedOn w:val="1"/>
    <w:qFormat/>
    <w:uiPriority w:val="0"/>
    <w:pPr>
      <w:spacing w:line="360" w:lineRule="auto"/>
      <w:ind w:firstLine="420"/>
    </w:pPr>
  </w:style>
  <w:style w:type="character" w:customStyle="1" w:styleId="211">
    <w:name w:val="纯文本 字符1"/>
    <w:link w:val="26"/>
    <w:qFormat/>
    <w:uiPriority w:val="0"/>
    <w:rPr>
      <w:rFonts w:ascii="宋体" w:hAnsi="Courier New" w:eastAsia="宋体"/>
      <w:sz w:val="21"/>
      <w:lang w:val="en-US" w:eastAsia="zh-CN" w:bidi="ar-SA"/>
    </w:rPr>
  </w:style>
  <w:style w:type="character" w:customStyle="1" w:styleId="212">
    <w:name w:val="文档结构图 字符"/>
    <w:link w:val="16"/>
    <w:qFormat/>
    <w:uiPriority w:val="0"/>
    <w:rPr>
      <w:rFonts w:ascii="宋体"/>
      <w:sz w:val="18"/>
      <w:szCs w:val="18"/>
    </w:rPr>
  </w:style>
  <w:style w:type="character" w:customStyle="1" w:styleId="213">
    <w:name w:val="批注文字 字符"/>
    <w:link w:val="17"/>
    <w:qFormat/>
    <w:uiPriority w:val="0"/>
    <w:rPr>
      <w:sz w:val="21"/>
    </w:rPr>
  </w:style>
  <w:style w:type="character" w:customStyle="1" w:styleId="214">
    <w:name w:val="正文文本 字符1"/>
    <w:link w:val="18"/>
    <w:qFormat/>
    <w:uiPriority w:val="0"/>
    <w:rPr>
      <w:rFonts w:ascii="宋体" w:eastAsia="宋体"/>
      <w:sz w:val="28"/>
      <w:lang w:val="en-US" w:eastAsia="zh-CN" w:bidi="ar-SA"/>
    </w:rPr>
  </w:style>
  <w:style w:type="character" w:customStyle="1" w:styleId="215">
    <w:name w:val="页脚 字符"/>
    <w:link w:val="32"/>
    <w:qFormat/>
    <w:uiPriority w:val="99"/>
    <w:rPr>
      <w:sz w:val="18"/>
    </w:rPr>
  </w:style>
  <w:style w:type="character" w:customStyle="1" w:styleId="216">
    <w:name w:val="HTML 预设格式 字符"/>
    <w:link w:val="44"/>
    <w:qFormat/>
    <w:uiPriority w:val="99"/>
    <w:rPr>
      <w:rFonts w:ascii="黑体" w:hAnsi="Courier New" w:eastAsia="黑体" w:cs="Courier New"/>
    </w:rPr>
  </w:style>
  <w:style w:type="character" w:customStyle="1" w:styleId="217">
    <w:name w:val="批注主题 字符"/>
    <w:link w:val="47"/>
    <w:qFormat/>
    <w:uiPriority w:val="0"/>
    <w:rPr>
      <w:b/>
      <w:bCs/>
      <w:sz w:val="21"/>
    </w:rPr>
  </w:style>
  <w:style w:type="character" w:customStyle="1" w:styleId="218">
    <w:name w:val="style21"/>
    <w:qFormat/>
    <w:uiPriority w:val="0"/>
    <w:rPr>
      <w:sz w:val="18"/>
      <w:szCs w:val="18"/>
    </w:rPr>
  </w:style>
  <w:style w:type="character" w:customStyle="1" w:styleId="219">
    <w:name w:val="No Spacing Char"/>
    <w:link w:val="220"/>
    <w:qFormat/>
    <w:uiPriority w:val="1"/>
    <w:rPr>
      <w:rFonts w:eastAsia="华文仿宋"/>
      <w:sz w:val="24"/>
      <w:szCs w:val="21"/>
      <w:lang w:val="en-US" w:eastAsia="zh-CN" w:bidi="ar-SA"/>
    </w:rPr>
  </w:style>
  <w:style w:type="paragraph" w:customStyle="1" w:styleId="220">
    <w:name w:val="无间隔1"/>
    <w:link w:val="219"/>
    <w:qFormat/>
    <w:uiPriority w:val="1"/>
    <w:pPr>
      <w:widowControl w:val="0"/>
      <w:spacing w:line="300" w:lineRule="auto"/>
    </w:pPr>
    <w:rPr>
      <w:rFonts w:ascii="Times New Roman" w:hAnsi="Times New Roman" w:eastAsia="华文仿宋" w:cs="Times New Roman"/>
      <w:sz w:val="24"/>
      <w:szCs w:val="21"/>
      <w:lang w:val="en-US" w:eastAsia="zh-CN" w:bidi="ar-SA"/>
    </w:rPr>
  </w:style>
  <w:style w:type="character" w:customStyle="1" w:styleId="221">
    <w:name w:val="列出段落 字符"/>
    <w:link w:val="222"/>
    <w:qFormat/>
    <w:uiPriority w:val="0"/>
    <w:rPr>
      <w:rFonts w:ascii="Calibri" w:hAnsi="Calibri"/>
      <w:sz w:val="21"/>
      <w:szCs w:val="22"/>
    </w:rPr>
  </w:style>
  <w:style w:type="paragraph" w:customStyle="1" w:styleId="222">
    <w:name w:val="列出段落12"/>
    <w:basedOn w:val="1"/>
    <w:link w:val="221"/>
    <w:qFormat/>
    <w:uiPriority w:val="0"/>
    <w:pPr>
      <w:ind w:firstLine="420"/>
    </w:pPr>
    <w:rPr>
      <w:rFonts w:ascii="Calibri" w:hAnsi="Calibri"/>
      <w:szCs w:val="22"/>
    </w:rPr>
  </w:style>
  <w:style w:type="character" w:customStyle="1" w:styleId="223">
    <w:name w:val="font81"/>
    <w:qFormat/>
    <w:uiPriority w:val="0"/>
    <w:rPr>
      <w:rFonts w:hint="default" w:ascii="Arial" w:hAnsi="Arial" w:cs="Arial"/>
      <w:color w:val="000000"/>
      <w:sz w:val="21"/>
      <w:szCs w:val="21"/>
      <w:u w:val="none"/>
    </w:rPr>
  </w:style>
  <w:style w:type="character" w:customStyle="1" w:styleId="224">
    <w:name w:val="font71"/>
    <w:qFormat/>
    <w:uiPriority w:val="0"/>
    <w:rPr>
      <w:rFonts w:hint="eastAsia" w:ascii="宋体" w:hAnsi="宋体" w:eastAsia="宋体" w:cs="宋体"/>
      <w:color w:val="000000"/>
      <w:sz w:val="21"/>
      <w:szCs w:val="21"/>
      <w:u w:val="none"/>
    </w:rPr>
  </w:style>
  <w:style w:type="character" w:customStyle="1" w:styleId="225">
    <w:name w:val="font51"/>
    <w:qFormat/>
    <w:uiPriority w:val="0"/>
    <w:rPr>
      <w:rFonts w:hint="eastAsia" w:ascii="宋体" w:hAnsi="宋体" w:eastAsia="宋体" w:cs="宋体"/>
      <w:b/>
      <w:color w:val="000000"/>
      <w:sz w:val="21"/>
      <w:szCs w:val="21"/>
      <w:u w:val="none"/>
    </w:rPr>
  </w:style>
  <w:style w:type="character" w:customStyle="1" w:styleId="226">
    <w:name w:val="正文文本 字符"/>
    <w:qFormat/>
    <w:uiPriority w:val="0"/>
    <w:rPr>
      <w:rFonts w:ascii="宋体" w:eastAsia="宋体"/>
      <w:sz w:val="28"/>
      <w:lang w:val="en-US" w:eastAsia="zh-CN" w:bidi="ar-SA"/>
    </w:rPr>
  </w:style>
  <w:style w:type="character" w:customStyle="1" w:styleId="227">
    <w:name w:val="font21"/>
    <w:qFormat/>
    <w:uiPriority w:val="0"/>
    <w:rPr>
      <w:rFonts w:hint="eastAsia" w:ascii="宋体" w:hAnsi="宋体" w:eastAsia="宋体" w:cs="宋体"/>
      <w:color w:val="000000"/>
      <w:sz w:val="20"/>
      <w:szCs w:val="20"/>
      <w:u w:val="none"/>
    </w:rPr>
  </w:style>
  <w:style w:type="character" w:customStyle="1" w:styleId="228">
    <w:name w:val="纯文本 字符"/>
    <w:qFormat/>
    <w:uiPriority w:val="0"/>
    <w:rPr>
      <w:rFonts w:ascii="宋体" w:hAnsi="Courier New" w:eastAsia="宋体"/>
      <w:sz w:val="21"/>
      <w:lang w:val="en-US" w:eastAsia="zh-CN" w:bidi="ar-SA"/>
    </w:rPr>
  </w:style>
  <w:style w:type="character" w:customStyle="1" w:styleId="229">
    <w:name w:val="标准文本 Char"/>
    <w:link w:val="230"/>
    <w:qFormat/>
    <w:uiPriority w:val="0"/>
    <w:rPr>
      <w:rFonts w:ascii="宋体" w:hAnsi="宋体" w:eastAsia="宋体" w:cs="宋体"/>
      <w:sz w:val="21"/>
      <w:szCs w:val="21"/>
      <w:lang w:val="en-US" w:eastAsia="zh-CN" w:bidi="ar-SA"/>
    </w:rPr>
  </w:style>
  <w:style w:type="paragraph" w:customStyle="1" w:styleId="230">
    <w:name w:val="标准文本"/>
    <w:basedOn w:val="1"/>
    <w:link w:val="229"/>
    <w:qFormat/>
    <w:uiPriority w:val="0"/>
    <w:pPr>
      <w:spacing w:line="300" w:lineRule="auto"/>
      <w:ind w:firstLine="420"/>
    </w:pPr>
    <w:rPr>
      <w:rFonts w:ascii="宋体" w:hAnsi="宋体" w:cs="宋体"/>
      <w:szCs w:val="21"/>
    </w:rPr>
  </w:style>
  <w:style w:type="character" w:customStyle="1" w:styleId="231">
    <w:name w:val="c lh15"/>
    <w:qFormat/>
    <w:uiPriority w:val="0"/>
  </w:style>
  <w:style w:type="character" w:customStyle="1" w:styleId="232">
    <w:name w:val="font61"/>
    <w:qFormat/>
    <w:uiPriority w:val="0"/>
    <w:rPr>
      <w:rFonts w:ascii="Arial" w:hAnsi="Arial" w:cs="Arial"/>
      <w:b/>
      <w:color w:val="000000"/>
      <w:sz w:val="21"/>
      <w:szCs w:val="21"/>
      <w:u w:val="none"/>
    </w:rPr>
  </w:style>
  <w:style w:type="character" w:customStyle="1" w:styleId="233">
    <w:name w:val="font31"/>
    <w:qFormat/>
    <w:uiPriority w:val="0"/>
    <w:rPr>
      <w:rFonts w:hint="eastAsia" w:ascii="宋体" w:hAnsi="宋体" w:eastAsia="宋体" w:cs="宋体"/>
      <w:color w:val="000000"/>
      <w:sz w:val="20"/>
      <w:szCs w:val="20"/>
      <w:u w:val="none"/>
    </w:rPr>
  </w:style>
  <w:style w:type="paragraph" w:customStyle="1" w:styleId="234">
    <w:name w:val="列出段落1"/>
    <w:basedOn w:val="1"/>
    <w:qFormat/>
    <w:uiPriority w:val="34"/>
    <w:pPr>
      <w:ind w:firstLine="420"/>
    </w:pPr>
    <w:rPr>
      <w:rFonts w:ascii="Calibri" w:hAnsi="Calibri"/>
      <w:szCs w:val="22"/>
    </w:rPr>
  </w:style>
  <w:style w:type="paragraph" w:customStyle="1" w:styleId="235">
    <w:name w:val="Char Char Char"/>
    <w:basedOn w:val="1"/>
    <w:qFormat/>
    <w:uiPriority w:val="0"/>
    <w:pPr>
      <w:widowControl/>
      <w:spacing w:line="400" w:lineRule="exact"/>
      <w:jc w:val="center"/>
    </w:pPr>
    <w:rPr>
      <w:szCs w:val="24"/>
    </w:rPr>
  </w:style>
  <w:style w:type="paragraph" w:customStyle="1" w:styleId="236">
    <w:name w:val="Char Char"/>
    <w:basedOn w:val="1"/>
    <w:qFormat/>
    <w:uiPriority w:val="0"/>
    <w:pPr>
      <w:numPr>
        <w:ilvl w:val="0"/>
        <w:numId w:val="2"/>
      </w:numPr>
    </w:pPr>
    <w:rPr>
      <w:sz w:val="24"/>
      <w:szCs w:val="24"/>
    </w:rPr>
  </w:style>
  <w:style w:type="paragraph" w:customStyle="1" w:styleId="237">
    <w:name w:val="自定正文"/>
    <w:basedOn w:val="1"/>
    <w:qFormat/>
    <w:uiPriority w:val="0"/>
    <w:pPr>
      <w:spacing w:line="360" w:lineRule="auto"/>
      <w:jc w:val="left"/>
    </w:pPr>
  </w:style>
  <w:style w:type="paragraph" w:customStyle="1" w:styleId="238">
    <w:name w:val="Char Char Char Char Char Char Char"/>
    <w:basedOn w:val="1"/>
    <w:semiHidden/>
    <w:qFormat/>
    <w:uiPriority w:val="0"/>
    <w:rPr>
      <w:rFonts w:ascii="Tahoma" w:hAnsi="Tahoma" w:cs="仿宋_GB2312"/>
      <w:sz w:val="24"/>
      <w:szCs w:val="28"/>
    </w:rPr>
  </w:style>
  <w:style w:type="paragraph" w:customStyle="1" w:styleId="239">
    <w:name w:val="样式 首行缩进:  2 字符"/>
    <w:basedOn w:val="1"/>
    <w:qFormat/>
    <w:uiPriority w:val="0"/>
    <w:pPr>
      <w:spacing w:line="400" w:lineRule="exact"/>
      <w:ind w:firstLine="200"/>
    </w:pPr>
    <w:rPr>
      <w:rFonts w:cs="宋体"/>
      <w:sz w:val="24"/>
      <w:szCs w:val="24"/>
    </w:rPr>
  </w:style>
  <w:style w:type="paragraph" w:customStyle="1" w:styleId="240">
    <w:name w:val="Char Char Char Char Char Char Char1"/>
    <w:basedOn w:val="1"/>
    <w:qFormat/>
    <w:uiPriority w:val="0"/>
    <w:pPr>
      <w:numPr>
        <w:ilvl w:val="2"/>
        <w:numId w:val="3"/>
      </w:numPr>
      <w:tabs>
        <w:tab w:val="left" w:pos="432"/>
      </w:tabs>
      <w:ind w:left="432" w:hanging="432"/>
      <w:jc w:val="center"/>
    </w:pPr>
    <w:rPr>
      <w:rFonts w:ascii="仿宋_GB2312" w:hAnsi="Tahoma" w:eastAsia="仿宋_GB2312"/>
      <w:sz w:val="24"/>
      <w:szCs w:val="24"/>
    </w:rPr>
  </w:style>
  <w:style w:type="paragraph" w:customStyle="1" w:styleId="241">
    <w:name w:val="正文 A"/>
    <w:qFormat/>
    <w:uiPriority w:val="0"/>
    <w:pPr>
      <w:widowControl w:val="0"/>
      <w:jc w:val="both"/>
    </w:pPr>
    <w:rPr>
      <w:rFonts w:ascii="Times New Roman" w:hAnsi="Times New Roman" w:eastAsia="Times New Roman" w:cs="Times New Roman"/>
      <w:color w:val="000000"/>
      <w:sz w:val="21"/>
      <w:szCs w:val="21"/>
      <w:lang w:val="en-US" w:eastAsia="zh-CN" w:bidi="ar-SA"/>
    </w:rPr>
  </w:style>
  <w:style w:type="paragraph" w:customStyle="1" w:styleId="242">
    <w:name w:val="1.正文"/>
    <w:basedOn w:val="1"/>
    <w:next w:val="1"/>
    <w:qFormat/>
    <w:uiPriority w:val="0"/>
    <w:pPr>
      <w:widowControl/>
      <w:spacing w:line="360" w:lineRule="auto"/>
    </w:pPr>
    <w:rPr>
      <w:rFonts w:ascii="Tahoma" w:hAnsi="Tahoma" w:cs="Tahoma"/>
      <w:color w:val="000000"/>
      <w:sz w:val="18"/>
      <w:szCs w:val="18"/>
    </w:rPr>
  </w:style>
  <w:style w:type="paragraph" w:customStyle="1" w:styleId="243">
    <w:name w:val="自定标题1"/>
    <w:basedOn w:val="3"/>
    <w:qFormat/>
    <w:uiPriority w:val="0"/>
  </w:style>
  <w:style w:type="paragraph" w:customStyle="1" w:styleId="244">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245">
    <w:name w:val="列出段落11"/>
    <w:basedOn w:val="1"/>
    <w:qFormat/>
    <w:uiPriority w:val="34"/>
    <w:pPr>
      <w:ind w:firstLine="420"/>
    </w:pPr>
    <w:rPr>
      <w:rFonts w:ascii="Calibri" w:hAnsi="Calibri"/>
      <w:szCs w:val="22"/>
    </w:rPr>
  </w:style>
  <w:style w:type="paragraph" w:customStyle="1" w:styleId="246">
    <w:name w:val="列出段落2"/>
    <w:basedOn w:val="1"/>
    <w:qFormat/>
    <w:uiPriority w:val="34"/>
    <w:pPr>
      <w:ind w:firstLine="420"/>
    </w:pPr>
    <w:rPr>
      <w:rFonts w:ascii="宋体"/>
      <w:sz w:val="24"/>
    </w:rPr>
  </w:style>
  <w:style w:type="paragraph" w:customStyle="1" w:styleId="247">
    <w:name w:val="_Style 1"/>
    <w:basedOn w:val="1"/>
    <w:qFormat/>
    <w:uiPriority w:val="0"/>
    <w:pPr>
      <w:ind w:firstLine="200"/>
    </w:pPr>
  </w:style>
  <w:style w:type="paragraph" w:customStyle="1" w:styleId="248">
    <w:name w:val="NormalIndent"/>
    <w:basedOn w:val="1"/>
    <w:qFormat/>
    <w:uiPriority w:val="0"/>
    <w:pPr>
      <w:ind w:firstLine="420"/>
    </w:pPr>
  </w:style>
  <w:style w:type="paragraph" w:customStyle="1" w:styleId="249">
    <w:name w:val="简单回函地址"/>
    <w:basedOn w:val="1"/>
    <w:qFormat/>
    <w:uiPriority w:val="0"/>
    <w:rPr>
      <w:szCs w:val="24"/>
    </w:rPr>
  </w:style>
  <w:style w:type="table" w:customStyle="1" w:styleId="250">
    <w:name w:val="网格型1"/>
    <w:basedOn w:val="49"/>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51">
    <w:name w:val="普通正文"/>
    <w:basedOn w:val="1"/>
    <w:qFormat/>
    <w:uiPriority w:val="0"/>
    <w:pPr>
      <w:spacing w:before="120" w:after="120" w:line="360" w:lineRule="auto"/>
      <w:ind w:firstLine="480"/>
      <w:jc w:val="left"/>
    </w:pPr>
    <w:rPr>
      <w:rFonts w:ascii="Arial" w:hAnsi="Arial"/>
      <w:sz w:val="24"/>
    </w:rPr>
  </w:style>
  <w:style w:type="paragraph" w:customStyle="1" w:styleId="252">
    <w:name w:val="招标"/>
    <w:basedOn w:val="1"/>
    <w:qFormat/>
    <w:uiPriority w:val="0"/>
    <w:pPr>
      <w:spacing w:line="400" w:lineRule="exact"/>
      <w:ind w:firstLine="420"/>
      <w:jc w:val="left"/>
    </w:pPr>
    <w:rPr>
      <w:rFonts w:ascii="宋体" w:hAnsi="宋体"/>
    </w:rPr>
  </w:style>
  <w:style w:type="character" w:customStyle="1" w:styleId="253">
    <w:name w:val="NormalCharacter"/>
    <w:semiHidden/>
    <w:qFormat/>
    <w:uiPriority w:val="0"/>
    <w:rPr>
      <w:sz w:val="21"/>
      <w:lang w:val="en-US" w:eastAsia="zh-CN" w:bidi="ar-SA"/>
    </w:rPr>
  </w:style>
  <w:style w:type="paragraph" w:customStyle="1" w:styleId="254">
    <w:name w:val="Table Paragraph"/>
    <w:basedOn w:val="1"/>
    <w:qFormat/>
    <w:uiPriority w:val="1"/>
    <w:pPr>
      <w:spacing w:before="35"/>
      <w:ind w:left="107"/>
    </w:pPr>
  </w:style>
  <w:style w:type="paragraph" w:customStyle="1" w:styleId="255">
    <w:name w:val="_Style 2"/>
    <w:qFormat/>
    <w:uiPriority w:val="99"/>
    <w:pPr>
      <w:widowControl w:val="0"/>
      <w:spacing w:line="351" w:lineRule="atLeast"/>
      <w:ind w:firstLine="623"/>
      <w:jc w:val="both"/>
    </w:pPr>
    <w:rPr>
      <w:rFonts w:ascii="Times New Roman" w:hAnsi="Times New Roman" w:eastAsia="仿宋_GB2312" w:cs="Times New Roman"/>
      <w:color w:val="000000"/>
      <w:sz w:val="31"/>
      <w:lang w:val="en-US" w:eastAsia="zh-CN" w:bidi="ar-SA"/>
    </w:rPr>
  </w:style>
  <w:style w:type="paragraph" w:customStyle="1" w:styleId="256">
    <w:name w:val="修订1"/>
    <w:hidden/>
    <w:unhideWhenUsed/>
    <w:qFormat/>
    <w:uiPriority w:val="99"/>
    <w:rPr>
      <w:rFonts w:ascii="Times New Roman" w:hAnsi="Times New Roman" w:eastAsia="宋体" w:cs="Times New Roman"/>
      <w:sz w:val="21"/>
      <w:lang w:val="en-US" w:eastAsia="zh-CN" w:bidi="ar-SA"/>
    </w:rPr>
  </w:style>
  <w:style w:type="paragraph" w:customStyle="1" w:styleId="257">
    <w:name w:val="Table Text"/>
    <w:basedOn w:val="1"/>
    <w:semiHidden/>
    <w:qFormat/>
    <w:uiPriority w:val="0"/>
    <w:rPr>
      <w:rFonts w:ascii="宋体" w:hAnsi="宋体" w:cs="宋体"/>
      <w:sz w:val="20"/>
      <w:lang w:eastAsia="en-US"/>
    </w:rPr>
  </w:style>
  <w:style w:type="paragraph" w:customStyle="1" w:styleId="258">
    <w:name w:val="正文首行缩进1"/>
    <w:basedOn w:val="259"/>
    <w:qFormat/>
    <w:uiPriority w:val="0"/>
    <w:pPr>
      <w:spacing w:line="360" w:lineRule="auto"/>
      <w:ind w:firstLine="420"/>
    </w:pPr>
    <w:rPr>
      <w:rFonts w:ascii="Times New Roman"/>
      <w:szCs w:val="21"/>
    </w:rPr>
  </w:style>
  <w:style w:type="paragraph" w:customStyle="1" w:styleId="259">
    <w:name w:val="正文文本1"/>
    <w:basedOn w:val="1"/>
    <w:next w:val="1"/>
    <w:qFormat/>
    <w:uiPriority w:val="0"/>
    <w:rPr>
      <w:rFonts w:ascii="宋体"/>
      <w:sz w:val="28"/>
    </w:rPr>
  </w:style>
  <w:style w:type="paragraph" w:customStyle="1" w:styleId="260">
    <w:name w:val="正文缩进11"/>
    <w:basedOn w:val="1"/>
    <w:qFormat/>
    <w:uiPriority w:val="0"/>
    <w:pPr>
      <w:ind w:firstLine="420"/>
    </w:pPr>
    <w:rPr>
      <w:b/>
      <w:sz w:val="24"/>
    </w:rPr>
  </w:style>
  <w:style w:type="paragraph" w:customStyle="1" w:styleId="261">
    <w:name w:val="_Style 36"/>
    <w:basedOn w:val="1"/>
    <w:next w:val="1"/>
    <w:qFormat/>
    <w:uiPriority w:val="39"/>
    <w:pPr>
      <w:ind w:left="3360" w:leftChars="1600"/>
    </w:pPr>
    <w:rPr>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65</Pages>
  <Words>17149</Words>
  <Characters>18112</Characters>
  <Lines>365</Lines>
  <Paragraphs>102</Paragraphs>
  <TotalTime>40</TotalTime>
  <ScaleCrop>false</ScaleCrop>
  <LinksUpToDate>false</LinksUpToDate>
  <CharactersWithSpaces>18271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2026-06-30T06:22:00Z</dcterms:created>
  <dc:creator>Administrator</dc:creator>
  <cp:lastModifiedBy>admin</cp:lastModifiedBy>
  <dcterms:modified xsi:type="dcterms:W3CDTF">2026-08-27T04:12:46Z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D61BF1BEFC1440418834CA68BFDDA9A6_13</vt:lpwstr>
  </property>
  <property fmtid="{D5CDD505-2E9C-101B-9397-08002B2CF9AE}" pid="4" name="KSOTemplateDocerSaveRecord">
    <vt:lpwstr>eyJoZGlkIjoiNmI5NGJjNWZlMjkyODE5NzU1Nzg2YjEwNDdjNTgzYjQiLCJ1c2VySWQiOiI0NjYxNTMxMjAifQ==</vt:lpwstr>
  </property>
</Properties>
</file>