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JSZC-320500-SZHX-G2026-0027</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苏州市教育局</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lang w:eastAsia="zh-CN"/>
        </w:rPr>
        <w:t xml:space="preserve">2026苏州市教育局外教课堂项目</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七</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660"/>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2026苏州市教育局外教课堂项目</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投标文件网上提交截止时间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评标地点：苏州高新区邓尉路105号狮山科技馆8楼</w:t>
            </w:r>
            <w:r/>
          </w:p>
        </w:tc>
      </w:tr>
      <w:tr>
        <w:trPr>
          <w:jc w:val="center"/>
          <w:trHeight w:val="503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收费标准：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预算金额100万元以下部分，费率为该部分预算金额的1.5%；</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预算金额100万元（含）－500万元部分，费率为该部分预算金额的1.1%；</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预算金额500万元（含）-1000万元部分，费率为该部分预算金额的0.8%；</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预算金额1000万元（含）-5000万元部分，费率为该部分预算金额的0.5%；</w:t>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说明：代理服务费以采购预算金额为基数依据，按以上规定的标准和差额定率累进法进行计算后收取。例：如预算金额为150万元，则代理服务费＝100万元以下部分×1.5%＋（150万元－100万元以下部分）×1.1%。</w:t>
            </w:r>
            <w:r/>
          </w:p>
          <w:p>
            <w:pPr>
              <w:tabs>
                <w:tab w:val="left" w:pos="3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如按上述方法计算的金额低于人民币4000元整的，则本项目代理服务费按人民币4000元整计收。</w:t>
            </w:r>
            <w:r/>
          </w:p>
          <w:p>
            <w:pPr>
              <w:tabs>
                <w:tab w:val="left" w:pos="3600" w:leader="none"/>
              </w:tabs>
              <w:rPr>
                <w:rFonts w:hint="eastAsia" w:ascii="宋体" w:hAnsi="宋体" w:eastAsia="宋体" w:cs="宋体"/>
                <w:sz w:val="24"/>
                <w:szCs w:val="24"/>
                <w:highlight w:val="none"/>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27100</w:t>
            </w:r>
            <w:r>
              <w:rPr>
                <w:rFonts w:hint="eastAsia" w:ascii="宋体" w:hAnsi="宋体" w:eastAsia="宋体"/>
                <w:sz w:val="24"/>
                <w:szCs w:val="24"/>
                <w:highlight w:val="none"/>
              </w:rPr>
              <w:t xml:space="preserve">.00元，此费用应包含在投标报价中。</w:t>
            </w:r>
            <w:r/>
          </w:p>
          <w:p>
            <w:pPr>
              <w:rPr>
                <w:rFonts w:ascii="宋体" w:hAnsi="宋体" w:eastAsia="宋体"/>
                <w:sz w:val="24"/>
                <w:szCs w:val="24"/>
                <w:highlight w:val="none"/>
              </w:rPr>
            </w:pPr>
            <w:r>
              <w:rPr>
                <w:rFonts w:hint="eastAsia" w:ascii="宋体" w:hAnsi="宋体" w:eastAsia="宋体"/>
                <w:sz w:val="24"/>
                <w:szCs w:val="24"/>
                <w:highlight w:val="none"/>
              </w:rPr>
              <w:t xml:space="preserve">收款单位：苏州鸿鑫工程咨询有限公司</w:t>
            </w:r>
            <w:r/>
          </w:p>
          <w:p>
            <w:pPr>
              <w:rPr>
                <w:rFonts w:ascii="宋体" w:hAnsi="宋体" w:eastAsia="宋体"/>
                <w:sz w:val="24"/>
                <w:szCs w:val="24"/>
                <w:highlight w:val="none"/>
              </w:rPr>
            </w:pPr>
            <w:r>
              <w:rPr>
                <w:rFonts w:hint="eastAsia" w:ascii="宋体" w:hAnsi="宋体" w:eastAsia="宋体"/>
                <w:sz w:val="24"/>
                <w:szCs w:val="24"/>
                <w:highlight w:val="none"/>
              </w:rPr>
              <w:t xml:space="preserve">开户银行：苏州银行相城支行</w:t>
            </w:r>
            <w:r/>
          </w:p>
          <w:p>
            <w:pPr>
              <w:rPr>
                <w:rFonts w:ascii="宋体" w:hAnsi="宋体" w:eastAsia="宋体"/>
                <w:sz w:val="24"/>
                <w:szCs w:val="24"/>
                <w:highlight w:val="none"/>
              </w:rPr>
            </w:pPr>
            <w:r>
              <w:rPr>
                <w:rFonts w:hint="eastAsia" w:ascii="宋体" w:hAnsi="宋体" w:eastAsia="宋体"/>
                <w:sz w:val="24"/>
                <w:szCs w:val="24"/>
                <w:highlight w:val="none"/>
              </w:rPr>
              <w:t xml:space="preserve">银行账号：7066601071120143007269</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供应商缴纳代理服务费时，如需增值税专用发票的，则须提供有关信息资料，具体要求详见第二章投标人须知。</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政府采购管理监督电话：0512-68616651。</w:t>
            </w:r>
            <w:r/>
          </w:p>
        </w:tc>
      </w:tr>
    </w:tbl>
    <w:p>
      <w:pPr>
        <w:jc w:val="center"/>
        <w:spacing w:line="360" w:lineRule="auto"/>
        <w:rPr>
          <w:rFonts w:hint="eastAsia" w:ascii="宋体" w:hAnsi="宋体" w:eastAsia="宋体"/>
          <w:sz w:val="52"/>
          <w:szCs w:val="52"/>
        </w:rPr>
      </w:pPr>
      <w:r>
        <w:rPr>
          <w:rFonts w:hint="eastAsia" w:ascii="宋体" w:hAnsi="宋体" w:eastAsia="宋体"/>
          <w:sz w:val="52"/>
          <w:szCs w:val="52"/>
        </w:rPr>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686"/>
        <w:tabs>
          <w:tab w:val="right" w:pos="903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_Toc1883 \h </w:instrText>
      </w:r>
      <w:r>
        <w:fldChar w:fldCharType="separate"/>
      </w:r>
      <w:r>
        <w:t xml:space="preserve">3</w:t>
      </w:r>
      <w:r>
        <w:fldChar w:fldCharType="end"/>
      </w:r>
      <w:r/>
    </w:p>
    <w:p>
      <w:pPr>
        <w:pStyle w:val="686"/>
        <w:tabs>
          <w:tab w:val="right" w:pos="903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_Toc24182 \h </w:instrText>
      </w:r>
      <w:r>
        <w:fldChar w:fldCharType="separate"/>
      </w:r>
      <w:r>
        <w:t xml:space="preserve">8</w:t>
      </w:r>
      <w:r>
        <w:fldChar w:fldCharType="end"/>
      </w:r>
      <w:r/>
    </w:p>
    <w:p>
      <w:pPr>
        <w:pStyle w:val="686"/>
        <w:tabs>
          <w:tab w:val="right" w:pos="903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_Toc27828 \h </w:instrText>
      </w:r>
      <w:r>
        <w:fldChar w:fldCharType="separate"/>
      </w:r>
      <w:r>
        <w:t xml:space="preserve">23</w:t>
      </w:r>
      <w:r>
        <w:fldChar w:fldCharType="end"/>
      </w:r>
      <w:r/>
    </w:p>
    <w:p>
      <w:pPr>
        <w:pStyle w:val="686"/>
        <w:tabs>
          <w:tab w:val="right" w:pos="903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_Toc22266 \h </w:instrText>
      </w:r>
      <w:r>
        <w:fldChar w:fldCharType="separate"/>
      </w:r>
      <w:r>
        <w:t xml:space="preserve">40</w:t>
      </w:r>
      <w:r>
        <w:fldChar w:fldCharType="end"/>
      </w:r>
      <w:r/>
    </w:p>
    <w:p>
      <w:pPr>
        <w:pStyle w:val="686"/>
        <w:tabs>
          <w:tab w:val="right" w:pos="903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_Toc10778 \h </w:instrText>
      </w:r>
      <w:r>
        <w:fldChar w:fldCharType="separate"/>
      </w:r>
      <w:r>
        <w:t xml:space="preserve">52</w:t>
      </w:r>
      <w:r>
        <w:fldChar w:fldCharType="end"/>
      </w:r>
      <w:r/>
    </w:p>
    <w:p>
      <w:pPr>
        <w:pStyle w:val="686"/>
        <w:tabs>
          <w:tab w:val="right" w:pos="903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_Toc18453 \h </w:instrText>
      </w:r>
      <w:r>
        <w:fldChar w:fldCharType="separate"/>
      </w:r>
      <w:r>
        <w:t xml:space="preserve">62</w:t>
      </w:r>
      <w:r>
        <w:fldChar w:fldCharType="end"/>
      </w:r>
      <w:r/>
    </w:p>
    <w:p>
      <w:pPr>
        <w:pStyle w:val="667"/>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sz w:val="52"/>
        </w:rPr>
      </w:pPr>
      <w:r>
        <w:rPr>
          <w:rFonts w:hint="eastAsia" w:ascii="宋体" w:hAnsi="宋体" w:eastAsia="宋体"/>
          <w:sz w:val="52"/>
        </w:rPr>
      </w:r>
      <w:r/>
    </w:p>
    <w:p>
      <w:pPr>
        <w:pStyle w:val="653"/>
        <w:jc w:val="center"/>
        <w:rPr>
          <w:rFonts w:hint="default" w:ascii="宋体" w:hAnsi="宋体" w:eastAsia="宋体"/>
          <w:sz w:val="52"/>
          <w:lang w:val="en-US" w:eastAsia="zh-CN"/>
        </w:rPr>
      </w:pPr>
      <w:r/>
      <w:bookmarkStart w:id="0" w:name="_Toc1883"/>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2026苏州市教育局外教课堂项目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w:t>
      </w:r>
      <w:r>
        <w:rPr>
          <w:rFonts w:hint="eastAsia" w:ascii="宋体" w:hAnsi="宋体" w:eastAsia="宋体" w:cs="宋体"/>
          <w:sz w:val="24"/>
          <w:szCs w:val="24"/>
          <w:highlight w:val="none"/>
          <w:u w:val="single"/>
        </w:rPr>
        <w:t xml:space="preserve">件，并于2026年</w:t>
      </w:r>
      <w:r>
        <w:rPr>
          <w:rFonts w:hint="eastAsia" w:ascii="宋体" w:hAnsi="宋体" w:eastAsia="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17</w:t>
      </w:r>
      <w:r>
        <w:rPr>
          <w:rFonts w:hint="eastAsia" w:ascii="宋体" w:hAnsi="宋体" w:eastAsia="宋体" w:cs="宋体"/>
          <w:sz w:val="24"/>
          <w:szCs w:val="24"/>
          <w:highlight w:val="none"/>
          <w:u w:val="single"/>
        </w:rPr>
        <w:t xml:space="preserve">日13点30</w:t>
      </w:r>
      <w:r>
        <w:rPr>
          <w:rFonts w:hint="eastAsia" w:ascii="宋体" w:hAnsi="宋体" w:eastAsia="宋体" w:cs="宋体"/>
          <w:sz w:val="24"/>
          <w:szCs w:val="24"/>
          <w:u w:val="single"/>
        </w:rPr>
        <w:t xml:space="preserve">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35393790"/>
      <w:r/>
      <w:bookmarkStart w:id="3" w:name="_Toc28359079"/>
      <w:r/>
      <w:bookmarkStart w:id="4" w:name="_Toc35393621"/>
      <w:r/>
      <w:bookmarkStart w:id="5" w:name="_Toc28359002"/>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JSZC-320500-SZHX-G2026-0027</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2026苏州市教育局外教课堂项目</w:t>
      </w:r>
      <w:bookmarkEnd w:id="1"/>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4.预算金额：人民币</w:t>
      </w:r>
      <w:r>
        <w:rPr>
          <w:rFonts w:hint="eastAsia" w:ascii="宋体" w:hAnsi="宋体" w:eastAsia="宋体" w:cs="宋体"/>
          <w:sz w:val="24"/>
          <w:szCs w:val="24"/>
          <w:lang w:val="en-US" w:eastAsia="zh-CN"/>
        </w:rPr>
        <w:t xml:space="preserve">贰佰壹拾</w:t>
      </w:r>
      <w:r>
        <w:rPr>
          <w:rFonts w:hint="eastAsia" w:ascii="宋体" w:hAnsi="宋体" w:eastAsia="宋体" w:cs="宋体"/>
          <w:sz w:val="24"/>
          <w:szCs w:val="24"/>
        </w:rPr>
        <w:t xml:space="preserve">万元整（￥：</w:t>
      </w:r>
      <w:r>
        <w:rPr>
          <w:rFonts w:hint="eastAsia" w:ascii="宋体" w:hAnsi="宋体" w:eastAsia="宋体" w:cs="宋体"/>
          <w:sz w:val="24"/>
          <w:szCs w:val="24"/>
          <w:lang w:val="en-US" w:eastAsia="zh-CN"/>
        </w:rPr>
        <w:t xml:space="preserve">210</w:t>
      </w:r>
      <w:r>
        <w:rPr>
          <w:rFonts w:hint="eastAsia" w:ascii="宋体" w:hAnsi="宋体" w:eastAsia="宋体" w:cs="宋体"/>
          <w:sz w:val="24"/>
          <w:szCs w:val="24"/>
        </w:rPr>
        <w:t xml:space="preserve">0000.00元）</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5.最高限价：人民币</w:t>
      </w:r>
      <w:r>
        <w:rPr>
          <w:rFonts w:hint="eastAsia" w:ascii="宋体" w:hAnsi="宋体" w:eastAsia="宋体" w:cs="宋体"/>
          <w:sz w:val="24"/>
          <w:szCs w:val="24"/>
          <w:lang w:val="en-US" w:eastAsia="zh-CN"/>
        </w:rPr>
        <w:t xml:space="preserve">贰佰壹拾</w:t>
      </w:r>
      <w:r>
        <w:rPr>
          <w:rFonts w:hint="eastAsia" w:ascii="宋体" w:hAnsi="宋体" w:eastAsia="宋体" w:cs="宋体"/>
          <w:sz w:val="24"/>
          <w:szCs w:val="24"/>
        </w:rPr>
        <w:t xml:space="preserve">万元整（￥：</w:t>
      </w:r>
      <w:r>
        <w:rPr>
          <w:rFonts w:hint="eastAsia" w:ascii="宋体" w:hAnsi="宋体" w:eastAsia="宋体" w:cs="宋体"/>
          <w:sz w:val="24"/>
          <w:szCs w:val="24"/>
          <w:lang w:val="en-US" w:eastAsia="zh-CN"/>
        </w:rPr>
        <w:t xml:space="preserve">210</w:t>
      </w:r>
      <w:r>
        <w:rPr>
          <w:rFonts w:hint="eastAsia" w:ascii="宋体" w:hAnsi="宋体" w:eastAsia="宋体" w:cs="宋体"/>
          <w:sz w:val="24"/>
          <w:szCs w:val="24"/>
        </w:rPr>
        <w:t xml:space="preserve">0000.00元）</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6.采购需求：为建设“美丽苏州，教育苏州”，加快推进苏州市教育国际化进程，苏州市教育局引进外籍教师为直属高中、初中、小学及幼儿师范类院校开展语言文化类及专业学科类教学，实施</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7.合同履行期限：</w:t>
      </w:r>
      <w:r>
        <w:rPr>
          <w:rFonts w:hint="eastAsia" w:ascii="宋体" w:hAnsi="宋体" w:eastAsia="宋体" w:cs="宋体"/>
          <w:sz w:val="24"/>
          <w:szCs w:val="24"/>
          <w:lang w:eastAsia="zh-CN"/>
        </w:rPr>
        <w:t xml:space="preserve">2026-2027学年，共计10个月（具体开始时间由采购人确定）</w:t>
      </w:r>
      <w:r>
        <w:rPr>
          <w:rFonts w:hint="eastAsia" w:ascii="宋体" w:hAnsi="宋体" w:eastAsia="宋体" w:cs="宋体"/>
          <w:sz w:val="24"/>
          <w:szCs w:val="24"/>
        </w:rPr>
        <w:t xml:space="preserve">。</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p>
    <w:p>
      <w:pPr>
        <w:spacing w:line="360" w:lineRule="auto"/>
        <w:rPr>
          <w:rFonts w:hint="eastAsia" w:ascii="宋体" w:hAnsi="宋体" w:eastAsia="宋体" w:cs="宋体"/>
          <w:sz w:val="24"/>
          <w:szCs w:val="24"/>
        </w:rPr>
      </w:pPr>
      <w:r/>
      <w:bookmarkStart w:id="6" w:name="_Toc28359003"/>
      <w:r/>
      <w:bookmarkStart w:id="7" w:name="_Toc35393791"/>
      <w:r/>
      <w:bookmarkStart w:id="8" w:name="_Toc35393622"/>
      <w:r/>
      <w:bookmarkStart w:id="9" w:name="_Toc28359080"/>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81"/>
      <w:r/>
      <w:bookmarkStart w:id="11" w:name="_Toc28359004"/>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2.落实政府采购政策需满足的资格</w:t>
      </w:r>
      <w:r>
        <w:rPr>
          <w:rFonts w:hint="eastAsia" w:ascii="宋体" w:hAnsi="宋体" w:eastAsia="宋体" w:cs="宋体"/>
          <w:sz w:val="24"/>
          <w:szCs w:val="24"/>
          <w:highlight w:val="none"/>
        </w:rPr>
        <w:t xml:space="preserve">要求：本项目非专门面向中小企业，所属行业为其他未列明行业。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bookmarkStart w:id="12" w:name="_Toc35393623"/>
      <w:r/>
      <w:bookmarkStart w:id="13" w:name="_Toc3539379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）法人的分支机构不得参加政府采购活动（除银行、保险、石油石化、电力、电信等行业特殊情况外）。</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bookmarkEnd w:id="10"/>
      <w:r/>
      <w:bookmarkEnd w:id="11"/>
      <w:r/>
      <w:bookmarkEnd w:id="12"/>
      <w:r/>
      <w:bookmarkEnd w:id="13"/>
      <w:r>
        <w:rPr>
          <w:rFonts w:hint="eastAsia" w:ascii="宋体" w:hAnsi="宋体" w:eastAsia="宋体" w:cs="宋体"/>
          <w:b/>
          <w:bCs/>
          <w:sz w:val="24"/>
          <w:szCs w:val="24"/>
          <w:highlight w:val="none"/>
        </w:rPr>
        <w:t xml:space="preserve">报名及采购文件的获取</w:t>
      </w:r>
      <w:r/>
    </w:p>
    <w:p>
      <w:pPr>
        <w:pStyle w:val="667"/>
        <w:spacing w:line="360" w:lineRule="auto"/>
        <w:rPr>
          <w:rFonts w:hint="eastAsia" w:ascii="宋体" w:hAnsi="宋体" w:eastAsia="宋体" w:cs="宋体"/>
          <w:b/>
          <w:sz w:val="24"/>
          <w:szCs w:val="24"/>
          <w:highlight w:val="none"/>
        </w:rPr>
      </w:pPr>
      <w:r/>
      <w:bookmarkStart w:id="14" w:name="_Toc28359005"/>
      <w:r/>
      <w:bookmarkStart w:id="15" w:name="_Toc28359082"/>
      <w:r/>
      <w:bookmarkStart w:id="16" w:name="_Toc35393793"/>
      <w:r/>
      <w:bookmarkStart w:id="17" w:name="_Toc35393624"/>
      <w:r>
        <w:rPr>
          <w:rFonts w:hint="eastAsia" w:ascii="宋体" w:hAnsi="宋体" w:eastAsia="宋体" w:cs="宋体"/>
          <w:sz w:val="24"/>
          <w:szCs w:val="24"/>
          <w:highlight w:val="none"/>
        </w:rPr>
        <w:t xml:space="preserve">1.时间：</w:t>
      </w:r>
      <w:r>
        <w:rPr>
          <w:rFonts w:hint="eastAsia" w:ascii="宋体" w:hAnsi="宋体" w:eastAsia="宋体" w:cs="宋体"/>
          <w:bCs/>
          <w:sz w:val="24"/>
          <w:szCs w:val="24"/>
          <w:highlight w:val="none"/>
        </w:rPr>
        <w:t xml:space="preserve">自公告发布之日起5个工作日</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2.地点：“苏采云”系统自行下载采购文件</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pStyle w:val="667"/>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highlight w:val="none"/>
        </w:rPr>
        <w:t xml:space="preserve">苏州现场办理地址：苏州高新区邓尉路105号狮山科技馆1楼服务大厅，咨询电话：0512-65737699。</w:t>
      </w:r>
      <w:r/>
    </w:p>
    <w:p>
      <w:pPr>
        <w:pStyle w:val="667"/>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（2）参与采购活动</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rPr>
          <w:rFonts w:hint="eastAsia" w:ascii="宋体" w:hAnsi="宋体" w:eastAsia="宋体" w:cs="宋体"/>
          <w:sz w:val="24"/>
          <w:szCs w:val="24"/>
          <w:highlight w:val="none"/>
        </w:rPr>
        <w:t xml:space="preserve">。</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注册咨询：13914088964；</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系统使用指导与咨询：联系电话：13914088964、0512-69820854；智能客服：登录苏采云系统后，联系系统右下方智能客服图标进行咨询。</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4.售价：免费</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w:t>
      </w:r>
      <w:bookmarkEnd w:id="14"/>
      <w:r/>
      <w:bookmarkEnd w:id="15"/>
      <w:r>
        <w:rPr>
          <w:rFonts w:hint="eastAsia" w:ascii="宋体" w:hAnsi="宋体" w:eastAsia="宋体" w:cs="宋体"/>
          <w:b/>
          <w:sz w:val="24"/>
          <w:szCs w:val="24"/>
          <w:highlight w:val="none"/>
        </w:rPr>
        <w:t xml:space="preserve">截止时间、开标时间和地点</w:t>
      </w:r>
      <w:bookmarkEnd w:id="16"/>
      <w:r/>
      <w:bookmarkEnd w:id="17"/>
      <w:r/>
      <w:r/>
    </w:p>
    <w:p>
      <w:pPr>
        <w:pStyle w:val="667"/>
        <w:spacing w:line="360" w:lineRule="auto"/>
        <w:rPr>
          <w:rFonts w:hint="eastAsia" w:ascii="宋体" w:hAnsi="宋体" w:eastAsia="宋体" w:cs="宋体"/>
          <w:sz w:val="24"/>
          <w:szCs w:val="24"/>
          <w:highlight w:val="none"/>
        </w:rPr>
      </w:pPr>
      <w:r/>
      <w:bookmarkStart w:id="18" w:name="_Toc35393794"/>
      <w:r/>
      <w:bookmarkStart w:id="19" w:name="_Toc35393625"/>
      <w:r/>
      <w:bookmarkStart w:id="20" w:name="_Toc28359084"/>
      <w:r/>
      <w:bookmarkStart w:id="21" w:name="_Toc28359007"/>
      <w:r>
        <w:rPr>
          <w:rFonts w:hint="eastAsia" w:ascii="宋体" w:hAnsi="宋体" w:eastAsia="宋体" w:cs="宋体"/>
          <w:sz w:val="24"/>
          <w:szCs w:val="24"/>
          <w:highlight w:val="none"/>
        </w:rPr>
        <w:t xml:space="preserve">1.提交投标文件截止时间：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17</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6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8</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w:t>
      </w:r>
      <w:bookmarkStart w:id="72" w:name="_GoBack"/>
      <w:r/>
      <w:bookmarkEnd w:id="72"/>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3.开标地点：“苏采云”系统（网址：http://jszfcg.j</w:t>
      </w:r>
      <w:r>
        <w:rPr>
          <w:rFonts w:hint="eastAsia" w:ascii="宋体" w:hAnsi="宋体" w:eastAsia="宋体" w:cs="宋体"/>
          <w:sz w:val="24"/>
          <w:szCs w:val="24"/>
        </w:rPr>
        <w:t xml:space="preserve">sczt.cn/）</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667"/>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667"/>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35393627"/>
      <w:r/>
      <w:bookmarkStart w:id="25" w:name="_Toc35393796"/>
      <w:r/>
      <w:bookmarkStart w:id="26" w:name="_Toc28359008"/>
      <w:r/>
      <w:bookmarkStart w:id="27" w:name="_Toc28359085"/>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w:t>
      </w:r>
      <w:r>
        <w:rPr>
          <w:rFonts w:hint="eastAsia" w:ascii="宋体" w:hAnsi="宋体" w:cs="宋体"/>
          <w:sz w:val="24"/>
          <w:szCs w:val="24"/>
        </w:rPr>
        <w:t xml:space="preserve">0512-68616651</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4.本项目支持政府采购合同信用融资。</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28358998"/>
      <w:r/>
      <w:bookmarkStart w:id="29" w:name="_Toc35393617"/>
      <w:r/>
      <w:bookmarkStart w:id="30" w:name="_Toc35393786"/>
      <w:r/>
      <w:bookmarkStart w:id="31" w:name="_Toc28359075"/>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苏州市教育局</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联系人：王静芝</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联系电话：0512-65151237</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地址：苏州市姑苏区公园路198号</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2" w:name="XTDLJG_1"/>
      <w:r>
        <w:rPr>
          <w:rFonts w:hint="eastAsia" w:ascii="宋体" w:hAnsi="宋体" w:eastAsia="宋体" w:cs="宋体"/>
          <w:sz w:val="24"/>
          <w:szCs w:val="24"/>
        </w:rPr>
        <w:t xml:space="preserve">苏州鸿鑫工程咨询有限公司</w:t>
      </w:r>
      <w:bookmarkEnd w:id="32"/>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sz w:val="52"/>
        </w:rPr>
      </w:pPr>
      <w:r>
        <w:rPr>
          <w:rFonts w:hint="eastAsia" w:ascii="宋体" w:hAnsi="宋体" w:eastAsia="宋体"/>
          <w:sz w:val="52"/>
        </w:rPr>
      </w:r>
      <w:r/>
    </w:p>
    <w:p>
      <w:pPr>
        <w:pStyle w:val="653"/>
        <w:jc w:val="center"/>
        <w:rPr>
          <w:rFonts w:hint="eastAsia" w:ascii="宋体" w:hAnsi="宋体" w:eastAsia="宋体"/>
          <w:sz w:val="52"/>
        </w:rPr>
      </w:pPr>
      <w:r/>
      <w:bookmarkStart w:id="33" w:name="_Toc24182"/>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3"/>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667"/>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3.2落实政府采购政策需满足的资格要求：本项目非专门面向中小企业，所属行业为其他未列明行业。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）法人的分支机构不得参加政府采购活动（除银行、保险、石油石化、电力、电信等行业特殊情况外）。</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66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667"/>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667"/>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667"/>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13.4.1关于资格文件的声明函（格式见第三章）；</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13.4.2投标人基本情况表（格式见第三章）；</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13.4.3投标人法定代表人身份证复印件；</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13.4.4法定代表人授权委托书（如有授权，格式见第三章）；</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13.4.5投标人授权代理人身份证复印件（如有授权）；</w:t>
      </w:r>
      <w:r/>
    </w:p>
    <w:p>
      <w:pPr>
        <w:pStyle w:val="66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13.4.6合格投标人一般资格证明材料：</w:t>
      </w:r>
      <w:r/>
    </w:p>
    <w:p>
      <w:pPr>
        <w:pStyle w:val="662"/>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662"/>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662"/>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66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66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13.5.1投标函（格式见第三章）；</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13.5.2《服务要求偏离表》、《商务条款偏离表》（格式见第三章）；</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13.5.3其他有关符合性证明的文件；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13.7《中小企业声明函》或《残疾人福利性单位声明函》或由省级以上监狱管理局、戒毒管理局（含新疆生产建设兵团）出具的属于监狱企业的证明文件（如有）。</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13.8其他可以证明投标人资质、服务质量的证书、文件等相关资料</w:t>
      </w:r>
      <w:r>
        <w:rPr>
          <w:rFonts w:hint="eastAsia" w:ascii="宋体" w:hAnsi="宋体" w:eastAsia="宋体" w:cs="宋体"/>
          <w:sz w:val="24"/>
          <w:szCs w:val="24"/>
        </w:rPr>
        <w:t xml:space="preserve">。</w:t>
      </w:r>
      <w:r/>
    </w:p>
    <w:p>
      <w:pPr>
        <w:pStyle w:val="794"/>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注：（1）以上13.4.1-13.4.</w:t>
      </w: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794"/>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794"/>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（3）“13.4.1-13.8”中不得出现投标总报价。</w:t>
      </w:r>
      <w:r>
        <w:rPr>
          <w:rFonts w:hint="eastAsia" w:ascii="宋体" w:hAnsi="宋体" w:eastAsia="宋体" w:cs="宋体"/>
          <w:sz w:val="24"/>
          <w:szCs w:val="24"/>
        </w:rPr>
        <w:t xml:space="preserve">投标人所提交的资料的完整与否，将直接影响投标人的评分。</w:t>
      </w:r>
      <w:r/>
    </w:p>
    <w:p>
      <w:pPr>
        <w:pStyle w:val="794"/>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794"/>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最低的报价或最高的折扣比例不能作为中标的保证。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667"/>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794"/>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794"/>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794"/>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794"/>
        <w:ind w:firstLine="422"/>
        <w:spacing w:line="360" w:lineRule="auto"/>
        <w:rPr>
          <w:rFonts w:hint="eastAsia" w:ascii="宋体" w:hAnsi="宋体" w:eastAsia="宋体" w:cs="宋体"/>
          <w:b/>
          <w:sz w:val="24"/>
          <w:szCs w:val="24"/>
        </w:rPr>
      </w:pPr>
      <w:r/>
      <w:bookmarkStart w:id="34" w:name="OLE_LINK20"/>
      <w:r>
        <w:rPr>
          <w:rFonts w:hint="eastAsia" w:ascii="宋体" w:hAnsi="宋体" w:eastAsia="宋体" w:cs="宋体"/>
          <w:b/>
          <w:sz w:val="24"/>
          <w:szCs w:val="24"/>
        </w:rPr>
        <w:t xml:space="preserve">25.6异常低价投标审查</w:t>
      </w:r>
      <w:bookmarkEnd w:id="34"/>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5" w:name="OLE_LINK5"/>
      <w:r/>
      <w:bookmarkStart w:id="36" w:name="OLE_LINK6"/>
      <w:r>
        <w:rPr>
          <w:rFonts w:hint="eastAsia" w:ascii="宋体" w:hAnsi="宋体" w:eastAsia="宋体" w:cs="宋体"/>
          <w:b/>
          <w:sz w:val="24"/>
          <w:szCs w:val="24"/>
          <w:lang w:val="en-US"/>
        </w:rPr>
        <w:t xml:space="preserve">评标</w:t>
      </w:r>
      <w:bookmarkEnd w:id="35"/>
      <w:r/>
      <w:bookmarkEnd w:id="36"/>
      <w:r>
        <w:rPr>
          <w:rFonts w:hint="eastAsia" w:ascii="宋体" w:hAnsi="宋体" w:eastAsia="宋体" w:cs="宋体"/>
          <w:b/>
          <w:sz w:val="24"/>
          <w:szCs w:val="24"/>
          <w:lang w:val="en-US"/>
        </w:rPr>
        <w:t xml:space="preserve">委员会应当启动异常低价投标审查程序：</w:t>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794"/>
        <w:ind w:firstLine="422"/>
        <w:spacing w:line="360" w:lineRule="auto"/>
        <w:rPr>
          <w:rFonts w:hint="eastAsia" w:ascii="宋体" w:hAnsi="宋体" w:eastAsia="宋体" w:cs="宋体"/>
          <w:sz w:val="24"/>
          <w:szCs w:val="24"/>
          <w:shd w:val="clear" w:color="auto" w:fill="ffffff"/>
        </w:rPr>
      </w:pPr>
      <w:r/>
      <w:bookmarkStart w:id="37" w:name="OLE_LINK3"/>
      <w:r/>
      <w:bookmarkStart w:id="38" w:name="OLE_LINK4"/>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39" w:name="OLE_LINK9"/>
      <w:r/>
      <w:bookmarkStart w:id="40" w:name="OLE_LINK10"/>
      <w:r>
        <w:rPr>
          <w:rFonts w:hint="eastAsia" w:ascii="宋体" w:hAnsi="宋体" w:eastAsia="宋体" w:cs="宋体"/>
          <w:b/>
          <w:sz w:val="24"/>
          <w:szCs w:val="24"/>
        </w:rPr>
        <w:t xml:space="preserve">，</w:t>
      </w:r>
      <w:bookmarkEnd w:id="39"/>
      <w:r/>
      <w:bookmarkEnd w:id="40"/>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794"/>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794"/>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794"/>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667"/>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29.2最低的投标报价或最高的折扣比例是中标的重要条件，但不是唯一条件。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794"/>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34.代理服务费</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34.1中标单位须按前附表的规定计算并支付代理服务费，该费用应在领取中标通知书时付清。</w:t>
      </w:r>
      <w:r/>
    </w:p>
    <w:p>
      <w:pPr>
        <w:pStyle w:val="667"/>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34.2中标单位如果未按规定缴纳代理服务费，采购代理机构将保留诉讼的权利。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34.3缴纳代理服务费时，如供应商为增值税一般纳税人且需增值税专用发票的，则须提供开票信息。</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b w:val="0"/>
          <w:sz w:val="52"/>
        </w:rPr>
      </w:pPr>
      <w:r/>
      <w:bookmarkStart w:id="41" w:name="_Toc27828"/>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1"/>
      <w:r/>
      <w:r/>
    </w:p>
    <w:p>
      <w:pPr>
        <w:pStyle w:val="667"/>
        <w:ind w:firstLine="0"/>
        <w:spacing w:line="360" w:lineRule="auto"/>
        <w:rPr>
          <w:rFonts w:hint="eastAsia" w:ascii="宋体" w:hAnsi="宋体" w:eastAsia="宋体"/>
          <w:b/>
        </w:rPr>
      </w:pPr>
      <w:r>
        <w:rPr>
          <w:rFonts w:hint="eastAsia" w:ascii="宋体" w:hAnsi="宋体" w:eastAsia="宋体"/>
          <w:b/>
        </w:rPr>
        <w:t xml:space="preserve">说明：</w:t>
      </w:r>
      <w:r/>
    </w:p>
    <w:p>
      <w:pPr>
        <w:pStyle w:val="667"/>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667"/>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667"/>
        <w:ind w:firstLine="0"/>
        <w:rPr>
          <w:rFonts w:hint="eastAsia" w:ascii="宋体" w:hAnsi="宋体" w:eastAsia="宋体"/>
        </w:rPr>
      </w:pPr>
      <w:r>
        <w:rPr>
          <w:rFonts w:hint="eastAsia" w:ascii="宋体" w:hAnsi="宋体" w:eastAsia="宋体"/>
        </w:rPr>
      </w:r>
      <w:r/>
    </w:p>
    <w:p>
      <w:pPr>
        <w:pStyle w:val="667"/>
        <w:ind w:firstLine="0"/>
        <w:jc w:val="center"/>
        <w:spacing w:line="360" w:lineRule="auto"/>
        <w:rPr>
          <w:rFonts w:hint="eastAsia" w:ascii="宋体" w:hAnsi="宋体" w:eastAsia="宋体"/>
        </w:rPr>
      </w:pPr>
      <w:r>
        <w:rPr>
          <w:rFonts w:hint="eastAsia" w:ascii="宋体" w:hAnsi="宋体" w:eastAsia="宋体"/>
        </w:rPr>
      </w:r>
      <w:r/>
    </w:p>
    <w:p>
      <w:pPr>
        <w:pStyle w:val="843"/>
        <w:jc w:val="center"/>
        <w:rPr>
          <w:b/>
        </w:rPr>
      </w:pPr>
      <w:r>
        <w:rPr>
          <w:rFonts w:hint="eastAsia"/>
        </w:rPr>
        <w:t xml:space="preserve">授权委托书</w:t>
      </w:r>
      <w:r/>
    </w:p>
    <w:p>
      <w:pPr>
        <w:pStyle w:val="667"/>
        <w:ind w:firstLine="0"/>
        <w:jc w:val="center"/>
        <w:spacing w:line="360" w:lineRule="auto"/>
        <w:rPr>
          <w:rFonts w:hint="eastAsia" w:ascii="宋体" w:hAnsi="宋体" w:eastAsia="宋体"/>
        </w:rPr>
      </w:pPr>
      <w:r>
        <w:rPr>
          <w:rFonts w:hint="eastAsia" w:ascii="宋体" w:hAnsi="宋体" w:eastAsia="宋体"/>
        </w:rPr>
      </w:r>
      <w:r/>
    </w:p>
    <w:p>
      <w:pPr>
        <w:pStyle w:val="667"/>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667"/>
        <w:ind w:firstLine="480"/>
        <w:jc w:val="both"/>
        <w:spacing w:line="360" w:lineRule="auto"/>
        <w:rPr>
          <w:rFonts w:hint="eastAsia" w:ascii="宋体" w:hAnsi="宋体" w:eastAsia="宋体"/>
        </w:rPr>
      </w:pPr>
      <w:r>
        <w:rPr>
          <w:rFonts w:hint="eastAsia" w:ascii="宋体" w:hAnsi="宋体" w:eastAsia="宋体"/>
        </w:rPr>
      </w:r>
      <w:r/>
    </w:p>
    <w:p>
      <w:pPr>
        <w:pStyle w:val="667"/>
        <w:ind w:firstLine="480"/>
        <w:jc w:val="both"/>
        <w:spacing w:line="360" w:lineRule="auto"/>
        <w:rPr>
          <w:rFonts w:hint="eastAsia" w:ascii="宋体" w:hAnsi="宋体" w:eastAsia="宋体"/>
        </w:rPr>
      </w:pPr>
      <w:r>
        <w:rPr>
          <w:rFonts w:hint="eastAsia" w:ascii="宋体" w:hAnsi="宋体" w:eastAsia="宋体"/>
        </w:rPr>
      </w:r>
      <w:r/>
    </w:p>
    <w:p>
      <w:pPr>
        <w:pStyle w:val="667"/>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667"/>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667"/>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845"/>
        <w:ind w:firstLine="480"/>
        <w:spacing w:line="360" w:lineRule="auto"/>
        <w:rPr>
          <w:rFonts w:hint="eastAsia" w:hAnsi="宋体" w:eastAsia="宋体"/>
          <w:sz w:val="24"/>
        </w:rPr>
      </w:pPr>
      <w:r>
        <w:rPr>
          <w:rFonts w:hint="eastAsia" w:hAnsi="宋体" w:eastAsia="宋体"/>
          <w:sz w:val="24"/>
        </w:rPr>
        <w:t xml:space="preserve">日期：        年   月   日</w:t>
      </w:r>
      <w:r/>
    </w:p>
    <w:p>
      <w:pPr>
        <w:pStyle w:val="667"/>
        <w:jc w:val="right"/>
        <w:rPr>
          <w:rFonts w:hint="eastAsia" w:ascii="宋体" w:hAnsi="宋体" w:eastAsia="宋体"/>
        </w:rPr>
      </w:pPr>
      <w:r>
        <w:rPr>
          <w:rFonts w:hint="eastAsia" w:ascii="宋体" w:hAnsi="宋体" w:eastAsia="宋体"/>
        </w:rPr>
      </w:r>
      <w:r/>
    </w:p>
    <w:p>
      <w:pPr>
        <w:pStyle w:val="667"/>
        <w:jc w:val="right"/>
        <w:rPr>
          <w:rFonts w:hint="eastAsia" w:ascii="宋体" w:hAnsi="宋体" w:eastAsia="宋体"/>
        </w:rPr>
      </w:pPr>
      <w:r>
        <w:rPr>
          <w:rFonts w:hint="eastAsia" w:ascii="宋体" w:hAnsi="宋体" w:eastAsia="宋体"/>
        </w:rPr>
      </w:r>
      <w:r/>
    </w:p>
    <w:p>
      <w:pPr>
        <w:pStyle w:val="667"/>
        <w:jc w:val="right"/>
        <w:rPr>
          <w:rFonts w:hint="eastAsia" w:ascii="宋体" w:hAnsi="宋体" w:eastAsia="宋体"/>
        </w:rPr>
      </w:pPr>
      <w:r>
        <w:rPr>
          <w:rFonts w:hint="eastAsia" w:ascii="宋体" w:hAnsi="宋体" w:eastAsia="宋体"/>
        </w:rPr>
      </w:r>
      <w:r/>
    </w:p>
    <w:p>
      <w:pPr>
        <w:pStyle w:val="667"/>
        <w:jc w:val="center"/>
        <w:rPr>
          <w:rFonts w:hint="eastAsia" w:ascii="宋体" w:hAnsi="宋体" w:eastAsia="宋体"/>
        </w:rPr>
      </w:pPr>
      <w:r>
        <w:rPr>
          <w:rFonts w:hint="eastAsia" w:ascii="宋体" w:hAnsi="宋体" w:eastAsia="宋体"/>
        </w:rPr>
      </w:r>
      <w:r/>
    </w:p>
    <w:p>
      <w:pPr>
        <w:pStyle w:val="667"/>
        <w:jc w:val="center"/>
        <w:rPr>
          <w:rFonts w:hint="eastAsia" w:ascii="宋体" w:hAnsi="宋体" w:eastAsia="宋体"/>
          <w:b/>
        </w:rPr>
      </w:pPr>
      <w:r>
        <w:rPr>
          <w:rFonts w:hAnsi="宋体" w:eastAsia="宋体"/>
          <w:b/>
        </w:rPr>
        <w:br w:type="page" w:clear="all"/>
      </w:r>
      <w:r/>
    </w:p>
    <w:p>
      <w:pPr>
        <w:pStyle w:val="667"/>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754"/>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754"/>
        <w:jc w:val="center"/>
        <w:spacing w:line="320" w:lineRule="exact"/>
        <w:rPr>
          <w:rFonts w:hint="eastAsia" w:hAnsi="宋体" w:eastAsia="宋体"/>
          <w:sz w:val="24"/>
          <w:szCs w:val="24"/>
        </w:rPr>
      </w:pPr>
      <w:r>
        <w:rPr>
          <w:rFonts w:hint="eastAsia" w:hAnsi="宋体" w:eastAsia="宋体"/>
          <w:sz w:val="24"/>
          <w:szCs w:val="24"/>
        </w:rPr>
      </w:r>
      <w:r/>
    </w:p>
    <w:p>
      <w:pPr>
        <w:pStyle w:val="754"/>
        <w:spacing w:line="320" w:lineRule="exact"/>
        <w:rPr>
          <w:rFonts w:hint="eastAsia"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754"/>
        <w:ind w:firstLine="480"/>
        <w:spacing w:line="320" w:lineRule="exact"/>
        <w:rPr>
          <w:rFonts w:hint="eastAsia" w:hAnsi="宋体" w:eastAsia="宋体"/>
          <w:sz w:val="24"/>
          <w:highlight w:val="none"/>
        </w:rPr>
      </w:pPr>
      <w:r>
        <w:rPr>
          <w:rFonts w:hint="eastAsia" w:hAnsi="宋体" w:eastAsia="宋体"/>
          <w:sz w:val="24"/>
        </w:rPr>
        <w:t xml:space="preserve">我们收到贵公司</w:t>
      </w:r>
      <w:r>
        <w:rPr>
          <w:rFonts w:hint="eastAsia" w:hAnsi="宋体" w:eastAsia="宋体"/>
          <w:sz w:val="24"/>
          <w:u w:val="single"/>
          <w:lang w:eastAsia="zh-CN"/>
        </w:rPr>
        <w:t xml:space="preserve">JSZC-320500-SZHX-G2026-0027</w:t>
      </w:r>
      <w:r>
        <w:rPr>
          <w:rFonts w:hint="eastAsia" w:hAnsi="宋体" w:eastAsia="宋体"/>
          <w:sz w:val="24"/>
        </w:rPr>
        <w:t xml:space="preserve">号招标文件，经仔细阅读和研究，我们决定参加投标。</w:t>
      </w:r>
      <w:r/>
    </w:p>
    <w:p>
      <w:pPr>
        <w:pStyle w:val="754"/>
        <w:ind w:firstLine="480"/>
        <w:spacing w:line="320" w:lineRule="exact"/>
        <w:rPr>
          <w:rFonts w:hint="eastAsia" w:hAnsi="宋体" w:eastAsia="宋体"/>
          <w:sz w:val="24"/>
          <w:highlight w:val="none"/>
        </w:rPr>
      </w:pPr>
      <w:r>
        <w:rPr>
          <w:rFonts w:hAnsi="宋体" w:eastAsia="宋体"/>
          <w:sz w:val="24"/>
          <w:highlight w:val="none"/>
        </w:rPr>
        <w:t xml:space="preserve">1</w:t>
      </w:r>
      <w:r>
        <w:rPr>
          <w:rFonts w:hint="eastAsia" w:hAnsi="宋体" w:eastAsia="宋体"/>
          <w:sz w:val="24"/>
          <w:highlight w:val="none"/>
        </w:rPr>
        <w:t xml:space="preserve">、我们愿意按照招标文件的一切要求完成该项目的全部内容，我们的所投总价</w:t>
      </w:r>
      <w:r>
        <w:rPr>
          <w:rFonts w:hint="eastAsia" w:hAnsi="宋体" w:eastAsia="宋体"/>
          <w:sz w:val="24"/>
          <w:highlight w:val="none"/>
          <w:lang w:eastAsia="zh-CN"/>
        </w:rPr>
        <w:t xml:space="preserve">包括在服务期内需要的服务管理（含外教住宿费）、所有服务人员薪资、福利补助、各种税费、教育费、招聘费、办证费、培训费、代理服务费、政策性文件规定及合同包含的所有风险、责任等各项应有费用等一切费用</w:t>
      </w:r>
      <w:r>
        <w:rPr>
          <w:rFonts w:hint="eastAsia" w:hAnsi="宋体" w:eastAsia="宋体"/>
          <w:sz w:val="24"/>
          <w:szCs w:val="24"/>
          <w:highlight w:val="none"/>
        </w:rPr>
        <w:t xml:space="preserve">。</w:t>
      </w:r>
      <w:r/>
    </w:p>
    <w:p>
      <w:pPr>
        <w:pStyle w:val="754"/>
        <w:ind w:firstLine="480"/>
        <w:spacing w:line="320" w:lineRule="exact"/>
        <w:rPr>
          <w:rFonts w:hint="eastAsia" w:hAnsi="宋体" w:eastAsia="宋体"/>
          <w:sz w:val="24"/>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w:t>
      </w:r>
      <w:r>
        <w:rPr>
          <w:rFonts w:hint="eastAsia" w:hAnsi="宋体" w:eastAsia="宋体"/>
          <w:sz w:val="24"/>
        </w:rPr>
        <w:t xml:space="preserve">务。</w:t>
      </w:r>
      <w:r/>
    </w:p>
    <w:p>
      <w:pPr>
        <w:pStyle w:val="754"/>
        <w:ind w:firstLine="480"/>
        <w:spacing w:line="320" w:lineRule="exact"/>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754"/>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754"/>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754"/>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754"/>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754"/>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754"/>
        <w:ind w:firstLine="480"/>
        <w:spacing w:line="320" w:lineRule="exact"/>
        <w:rPr>
          <w:rFonts w:hint="eastAsia" w:hAnsi="宋体" w:eastAsia="宋体"/>
          <w:sz w:val="24"/>
        </w:rPr>
      </w:pPr>
      <w:r>
        <w:rPr>
          <w:rFonts w:hint="eastAsia" w:hAnsi="宋体" w:eastAsia="宋体"/>
          <w:sz w:val="24"/>
        </w:rPr>
        <w:t xml:space="preserve">10、如果我们中标，我们愿意按招标文件规定支付代理服务费；</w:t>
      </w:r>
      <w:r/>
    </w:p>
    <w:p>
      <w:pPr>
        <w:pStyle w:val="754"/>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754"/>
        <w:ind w:firstLine="480"/>
        <w:spacing w:line="320" w:lineRule="exact"/>
        <w:rPr>
          <w:rFonts w:hint="eastAsia" w:hAnsi="宋体" w:eastAsia="宋体"/>
          <w:sz w:val="24"/>
        </w:rPr>
      </w:pPr>
      <w:r>
        <w:rPr>
          <w:rFonts w:hint="eastAsia" w:hAnsi="宋体" w:eastAsia="宋体"/>
          <w:sz w:val="24"/>
        </w:rPr>
        <w:t xml:space="preserve">12、综合说明：</w:t>
      </w:r>
      <w:r/>
    </w:p>
    <w:p>
      <w:pPr>
        <w:pStyle w:val="75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75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75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754"/>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754"/>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754"/>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754"/>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754"/>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754"/>
        <w:ind w:firstLine="480"/>
        <w:spacing w:line="320" w:lineRule="exact"/>
        <w:rPr>
          <w:rFonts w:hint="eastAsia" w:hAnsi="宋体" w:eastAsia="宋体"/>
          <w:sz w:val="24"/>
        </w:rPr>
      </w:pPr>
      <w:r>
        <w:rPr>
          <w:rFonts w:hint="eastAsia" w:hAnsi="宋体" w:eastAsia="宋体"/>
          <w:sz w:val="24"/>
        </w:rPr>
      </w:r>
      <w:r/>
    </w:p>
    <w:p>
      <w:pPr>
        <w:pStyle w:val="752"/>
        <w:rPr>
          <w:rFonts w:hint="eastAsia" w:hAnsi="宋体" w:eastAsia="宋体"/>
          <w:sz w:val="24"/>
        </w:rPr>
      </w:pPr>
      <w:r>
        <w:rPr>
          <w:rFonts w:hint="eastAsia" w:hAnsi="宋体" w:eastAsia="宋体"/>
          <w:sz w:val="24"/>
        </w:rPr>
        <w:t xml:space="preserve">投标单位：（单位盖章）</w:t>
      </w:r>
      <w:r/>
    </w:p>
    <w:p>
      <w:pPr>
        <w:pStyle w:val="752"/>
        <w:rPr>
          <w:rFonts w:hint="eastAsia" w:hAnsi="宋体" w:eastAsia="宋体"/>
          <w:sz w:val="24"/>
        </w:rPr>
      </w:pPr>
      <w:r>
        <w:rPr>
          <w:rFonts w:hint="eastAsia" w:hAnsi="宋体" w:eastAsia="宋体"/>
          <w:sz w:val="24"/>
        </w:rPr>
        <w:t xml:space="preserve">法定代表人或代理人：（签字或盖章）</w:t>
      </w:r>
      <w:r/>
    </w:p>
    <w:p>
      <w:pPr>
        <w:pStyle w:val="752"/>
        <w:rPr>
          <w:rFonts w:hint="eastAsia" w:hAnsi="宋体" w:eastAsia="宋体"/>
          <w:sz w:val="24"/>
        </w:rPr>
      </w:pPr>
      <w:r>
        <w:rPr>
          <w:rFonts w:hint="eastAsia" w:hAnsi="宋体" w:eastAsia="宋体"/>
          <w:sz w:val="24"/>
        </w:rPr>
        <w:t xml:space="preserve">日期：        年   月   日</w:t>
      </w:r>
      <w:r/>
    </w:p>
    <w:p>
      <w:pPr>
        <w:pStyle w:val="754"/>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752"/>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752"/>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752"/>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752"/>
        <w:spacing w:line="360" w:lineRule="auto"/>
        <w:rPr>
          <w:rFonts w:hint="eastAsia" w:hAnsi="宋体" w:eastAsia="宋体"/>
          <w:sz w:val="24"/>
          <w:szCs w:val="24"/>
        </w:rPr>
      </w:pPr>
      <w:r>
        <w:rPr>
          <w:rFonts w:hint="eastAsia" w:hAnsi="宋体" w:eastAsia="宋体"/>
          <w:sz w:val="24"/>
          <w:szCs w:val="24"/>
        </w:rPr>
        <w:t xml:space="preserve">项目编号：</w:t>
      </w:r>
      <w:r/>
    </w:p>
    <w:p>
      <w:pPr>
        <w:pStyle w:val="752"/>
        <w:spacing w:line="360" w:lineRule="auto"/>
        <w:rPr>
          <w:rFonts w:hint="eastAsia" w:hAnsi="宋体" w:eastAsia="宋体"/>
          <w:sz w:val="24"/>
          <w:szCs w:val="24"/>
        </w:rPr>
      </w:pPr>
      <w:r>
        <w:rPr>
          <w:rFonts w:hint="eastAsia" w:hAnsi="宋体" w:eastAsia="宋体"/>
          <w:sz w:val="24"/>
          <w:szCs w:val="24"/>
        </w:rPr>
        <w:t xml:space="preserve">分包号：</w:t>
      </w:r>
      <w:r/>
    </w:p>
    <w:tbl>
      <w:tblPr>
        <w:tblStyle w:val="660"/>
        <w:tblW w:w="8162" w:type="dxa"/>
        <w:tblInd w:w="0" w:type="dxa"/>
        <w:tblLayout w:type="fixed"/>
        <w:tblCellMar>
          <w:left w:w="108" w:type="dxa"/>
          <w:top w:w="0" w:type="dxa"/>
          <w:right w:w="108" w:type="dxa"/>
          <w:bottom w:w="0" w:type="dxa"/>
        </w:tblCellMar>
        <w:tblLook w:val="04A0" w:firstRow="1" w:lastRow="0" w:firstColumn="1" w:lastColumn="0" w:noHBand="0" w:noVBand="1"/>
      </w:tblPr>
      <w:tblGrid>
        <w:gridCol w:w="2943"/>
        <w:gridCol w:w="5219"/>
      </w:tblGrid>
      <w:tr>
        <w:trPr>
          <w:trHeight w:val="894"/>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841"/>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219" w:type="dxa"/>
            <w:vAlign w:val="center"/>
            <w:textDirection w:val="lrTb"/>
            <w:noWrap w:val="false"/>
          </w:tcPr>
          <w:p>
            <w:pPr>
              <w:pStyle w:val="841"/>
              <w:jc w:val="center"/>
              <w:spacing w:line="360" w:lineRule="auto"/>
              <w:rPr>
                <w:rFonts w:hint="eastAsia" w:hAnsi="宋体" w:eastAsia="宋体"/>
                <w:sz w:val="24"/>
                <w:szCs w:val="24"/>
              </w:rPr>
            </w:pPr>
            <w:r>
              <w:rPr>
                <w:rFonts w:hint="eastAsia" w:hAnsi="宋体" w:eastAsia="宋体"/>
                <w:sz w:val="24"/>
                <w:szCs w:val="24"/>
              </w:rPr>
              <w:t xml:space="preserve">投标总报价</w:t>
            </w:r>
            <w:r/>
          </w:p>
        </w:tc>
      </w:tr>
      <w:tr>
        <w:trPr>
          <w:trHeight w:val="1133"/>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841"/>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5219" w:type="dxa"/>
            <w:vAlign w:val="center"/>
            <w:textDirection w:val="lrTb"/>
            <w:noWrap w:val="false"/>
          </w:tcPr>
          <w:p>
            <w:pPr>
              <w:pStyle w:val="841"/>
              <w:jc w:val="left"/>
              <w:spacing w:line="360" w:lineRule="auto"/>
              <w:rPr>
                <w:rFonts w:hint="eastAsia" w:hAnsi="宋体" w:eastAsia="宋体"/>
                <w:sz w:val="24"/>
                <w:szCs w:val="24"/>
              </w:rPr>
            </w:pPr>
            <w:r>
              <w:rPr>
                <w:rFonts w:hint="eastAsia" w:hAnsi="宋体" w:eastAsia="宋体" w:cs="宋体"/>
                <w:color w:val="000000"/>
                <w:sz w:val="24"/>
                <w:szCs w:val="24"/>
              </w:rPr>
              <w:t xml:space="preserve">小写：</w:t>
            </w:r>
            <w:bookmarkStart w:id="42" w:name="JEXX"/>
            <w:r/>
            <w:bookmarkEnd w:id="42"/>
            <w:r>
              <w:rPr>
                <w:rFonts w:hint="eastAsia" w:hAnsi="宋体" w:eastAsia="宋体" w:cs="宋体"/>
                <w:color w:val="000000"/>
                <w:sz w:val="24"/>
                <w:szCs w:val="24"/>
              </w:rPr>
              <w:t xml:space="preserve">（元人民币）</w:t>
            </w:r>
            <w:r/>
          </w:p>
        </w:tc>
      </w:tr>
      <w:tr>
        <w:trPr>
          <w:trHeight w:val="1133"/>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841"/>
              <w:jc w:val="center"/>
              <w:spacing w:line="360" w:lineRule="auto"/>
              <w:rPr>
                <w:rFonts w:hint="eastAsia" w:hAnsi="宋体" w:eastAsia="宋体"/>
                <w:sz w:val="24"/>
              </w:rPr>
            </w:pPr>
            <w:r>
              <w:rPr>
                <w:rFonts w:hint="eastAsia" w:hAnsi="宋体" w:eastAsia="宋体" w:cs="宋体"/>
                <w:color w:val="000000"/>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219" w:type="dxa"/>
            <w:vAlign w:val="center"/>
            <w:textDirection w:val="lrTb"/>
            <w:noWrap w:val="false"/>
          </w:tcPr>
          <w:p>
            <w:pPr>
              <w:pStyle w:val="841"/>
              <w:jc w:val="left"/>
              <w:spacing w:line="360" w:lineRule="auto"/>
              <w:rPr>
                <w:rFonts w:hint="eastAsia" w:hAnsi="宋体" w:eastAsia="宋体" w:cs="宋体"/>
                <w:color w:val="000000"/>
                <w:sz w:val="24"/>
                <w:szCs w:val="24"/>
              </w:rPr>
            </w:pPr>
            <w:r>
              <w:rPr>
                <w:rFonts w:hint="eastAsia" w:hAnsi="宋体" w:eastAsia="宋体" w:cs="宋体"/>
                <w:color w:val="000000"/>
                <w:sz w:val="24"/>
                <w:szCs w:val="24"/>
              </w:rPr>
            </w:r>
            <w:r/>
          </w:p>
        </w:tc>
      </w:tr>
    </w:tbl>
    <w:p>
      <w:pPr>
        <w:pStyle w:val="752"/>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754"/>
        <w:rPr>
          <w:rFonts w:hint="eastAsia" w:asciiTheme="minorEastAsia" w:hAnsiTheme="minorEastAsia" w:eastAsiaTheme="minorEastAsia"/>
          <w:b/>
          <w:sz w:val="21"/>
        </w:rPr>
      </w:pPr>
      <w:r>
        <w:rPr>
          <w:rFonts w:asciiTheme="minorEastAsia" w:hAnsiTheme="minorEastAsia" w:eastAsiaTheme="minorEastAsia"/>
          <w:szCs w:val="24"/>
        </w:rPr>
        <w:br w:type="page" w:clear="all"/>
      </w:r>
      <w:r/>
    </w:p>
    <w:p>
      <w:pPr>
        <w:pStyle w:val="754"/>
        <w:spacing w:line="360" w:lineRule="auto"/>
        <w:rPr>
          <w:rFonts w:hint="eastAsia" w:hAnsi="宋体" w:eastAsia="宋体"/>
          <w:b/>
          <w:sz w:val="24"/>
          <w:szCs w:val="24"/>
        </w:rPr>
        <w:outlineLvl w:val="1"/>
      </w:pPr>
      <w:r>
        <w:rPr>
          <w:rFonts w:hint="eastAsia" w:hAnsi="宋体" w:eastAsia="宋体"/>
          <w:b/>
          <w:sz w:val="24"/>
          <w:szCs w:val="24"/>
        </w:rPr>
        <w:t xml:space="preserve">4、投标报价分析表</w:t>
      </w:r>
      <w:r/>
    </w:p>
    <w:p>
      <w:pPr>
        <w:jc w:val="center"/>
        <w:widowControl/>
        <w:rPr>
          <w:rFonts w:hint="eastAsia" w:ascii="宋体" w:hAnsi="宋体" w:eastAsia="宋体"/>
          <w:sz w:val="24"/>
          <w:szCs w:val="24"/>
        </w:rPr>
      </w:pPr>
      <w:r>
        <w:rPr>
          <w:rFonts w:hint="eastAsia" w:ascii="宋体" w:hAnsi="宋体" w:eastAsia="宋体"/>
          <w:sz w:val="24"/>
          <w:szCs w:val="24"/>
        </w:rPr>
        <w:t xml:space="preserve">投标报价分析表</w:t>
      </w:r>
      <w:r/>
    </w:p>
    <w:p>
      <w:pPr>
        <w:pStyle w:val="794"/>
        <w:ind w:firstLine="422"/>
        <w:rPr>
          <w:rFonts w:hint="eastAsia" w:ascii="宋体" w:hAnsi="宋体" w:cs="宋体"/>
          <w:b/>
          <w:szCs w:val="21"/>
          <w:lang w:val="en-US"/>
        </w:rPr>
      </w:pPr>
      <w:r>
        <w:rPr>
          <w:rFonts w:hint="eastAsia" w:ascii="宋体" w:hAnsi="宋体" w:cs="宋体"/>
          <w:b/>
          <w:szCs w:val="21"/>
          <w:lang w:val="en-US"/>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660"/>
        <w:tblW w:w="10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3340"/>
        <w:gridCol w:w="979"/>
        <w:gridCol w:w="936"/>
        <w:gridCol w:w="1314"/>
        <w:gridCol w:w="1306"/>
        <w:gridCol w:w="1138"/>
      </w:tblGrid>
      <w:tr>
        <w:trPr>
          <w:cantSplit/>
          <w:jc w:val="center"/>
          <w:trHeight w:val="510"/>
        </w:trPr>
        <w:tc>
          <w:tcPr>
            <w:tcW w:w="112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33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费用条目</w:t>
            </w:r>
            <w:r/>
          </w:p>
        </w:tc>
        <w:tc>
          <w:tcPr>
            <w:tcW w:w="97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9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31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30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w:t>
            </w:r>
            <w:r/>
          </w:p>
        </w:tc>
        <w:tc>
          <w:tcPr>
            <w:tcW w:w="113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trPr>
        <w:tc>
          <w:tcPr>
            <w:tcW w:w="1122"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3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W w:w="1122"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33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W w:w="1122"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333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W w:w="1122"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333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Borders>
              <w:bottom w:val="single" w:color="auto" w:sz="4" w:space="0"/>
            </w:tcBorders>
            <w:tcW w:w="1122"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bottom w:val="single" w:color="auto" w:sz="4" w:space="0"/>
            </w:tcBorders>
            <w:tcW w:w="333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7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3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314"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30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137"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Borders>
              <w:top w:val="single" w:color="auto" w:sz="4" w:space="0"/>
              <w:bottom w:val="single" w:color="auto" w:sz="4" w:space="0"/>
            </w:tcBorders>
            <w:tcW w:w="1122"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bottom w:val="single" w:color="auto" w:sz="4" w:space="0"/>
            </w:tcBorders>
            <w:tcW w:w="3339"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979" w:type="dxa"/>
            <w:vAlign w:val="center"/>
            <w:textDirection w:val="lrTb"/>
            <w:noWrap w:val="false"/>
          </w:tcPr>
          <w:p>
            <w:pPr>
              <w:pStyle w:val="753"/>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93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1314"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130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1137"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Borders>
              <w:top w:val="single" w:color="auto" w:sz="4" w:space="0"/>
            </w:tcBorders>
            <w:tcW w:w="1122"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tcBorders>
            <w:tcW w:w="3339"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（视需要补充）</w:t>
            </w:r>
            <w:r/>
          </w:p>
        </w:tc>
        <w:tc>
          <w:tcPr>
            <w:tcBorders>
              <w:top w:val="single" w:color="auto" w:sz="4" w:space="0"/>
            </w:tcBorders>
            <w:tcW w:w="979"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93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1314"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1306"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1137" w:type="dxa"/>
            <w:vAlign w:val="center"/>
            <w:textDirection w:val="lrTb"/>
            <w:noWrap w:val="false"/>
          </w:tcPr>
          <w:p>
            <w:pPr>
              <w:pStyle w:val="75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9"/>
        </w:trPr>
        <w:tc>
          <w:tcPr>
            <w:gridSpan w:val="2"/>
            <w:tcW w:w="44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5"/>
            <w:tcW w:w="567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tc>
      </w:tr>
    </w:tbl>
    <w:p>
      <w:pPr>
        <w:jc w:val="left"/>
        <w:widowControl/>
        <w:rPr>
          <w:rFonts w:hint="eastAsia" w:ascii="宋体" w:hAnsi="宋体" w:eastAsia="宋体"/>
          <w:szCs w:val="24"/>
        </w:rPr>
      </w:pPr>
      <w:r>
        <w:rPr>
          <w:rFonts w:hint="eastAsia" w:ascii="宋体" w:hAnsi="宋体" w:eastAsia="宋体"/>
          <w:szCs w:val="24"/>
        </w:rPr>
      </w:r>
      <w:r/>
    </w:p>
    <w:p>
      <w:pPr>
        <w:jc w:val="left"/>
        <w:widowControl/>
        <w:rPr>
          <w:rFonts w:hint="eastAsia" w:ascii="宋体" w:hAnsi="宋体" w:eastAsia="宋体"/>
          <w:szCs w:val="24"/>
        </w:rPr>
      </w:pPr>
      <w:r>
        <w:rPr>
          <w:rFonts w:hint="eastAsia" w:ascii="宋体" w:hAnsi="宋体" w:eastAsia="宋体"/>
          <w:szCs w:val="24"/>
        </w:rPr>
        <w:t xml:space="preserve">注：</w:t>
      </w:r>
      <w:r/>
    </w:p>
    <w:p>
      <w:pPr>
        <w:ind w:firstLine="520"/>
        <w:jc w:val="left"/>
        <w:widowControl/>
        <w:rPr>
          <w:rFonts w:hint="eastAsia" w:ascii="宋体" w:hAnsi="宋体" w:eastAsia="宋体"/>
          <w:szCs w:val="24"/>
        </w:rPr>
      </w:pPr>
      <w:r>
        <w:rPr>
          <w:rFonts w:hint="eastAsia" w:ascii="宋体" w:hAnsi="宋体" w:eastAsia="宋体"/>
          <w:szCs w:val="24"/>
        </w:rPr>
        <w:t xml:space="preserve">1、投标人必须按“投标报价表”的格式详细报出投标总价的各个组成部分的报价，否则作无效投标处理。</w:t>
      </w:r>
      <w:r/>
    </w:p>
    <w:p>
      <w:pPr>
        <w:ind w:firstLine="520"/>
        <w:jc w:val="left"/>
        <w:widowControl/>
        <w:rPr>
          <w:rFonts w:hint="eastAsia" w:ascii="宋体" w:hAnsi="宋体" w:eastAsia="宋体"/>
          <w:szCs w:val="24"/>
        </w:rPr>
      </w:pPr>
      <w:r>
        <w:rPr>
          <w:rFonts w:hint="eastAsia" w:ascii="宋体" w:hAnsi="宋体" w:eastAsia="宋体"/>
          <w:szCs w:val="24"/>
        </w:rPr>
        <w:t xml:space="preserve">2、“投标报价表”各分项报价合计应当与“开标一览表”（投标总价）相等，如不相等，投标总价以“开标一览表”为准。</w:t>
      </w:r>
      <w:r/>
    </w:p>
    <w:p>
      <w:pPr>
        <w:jc w:val="left"/>
        <w:widowControl/>
        <w:rPr>
          <w:rFonts w:hint="eastAsia" w:ascii="宋体" w:hAnsi="宋体" w:eastAsia="宋体"/>
          <w:szCs w:val="24"/>
        </w:rPr>
      </w:pPr>
      <w:r>
        <w:rPr>
          <w:rFonts w:hint="eastAsia" w:ascii="宋体" w:hAnsi="宋体" w:eastAsia="宋体"/>
          <w:szCs w:val="24"/>
        </w:rPr>
      </w:r>
      <w:r/>
    </w:p>
    <w:p>
      <w:pPr>
        <w:jc w:val="left"/>
        <w:widowControl/>
        <w:rPr>
          <w:rFonts w:hint="eastAsia" w:ascii="宋体" w:hAnsi="宋体" w:eastAsia="宋体"/>
          <w:szCs w:val="24"/>
        </w:rPr>
      </w:pPr>
      <w:r>
        <w:rPr>
          <w:rFonts w:hint="eastAsia" w:ascii="宋体" w:hAnsi="宋体" w:eastAsia="宋体"/>
          <w:szCs w:val="24"/>
        </w:rPr>
      </w:r>
      <w:r/>
    </w:p>
    <w:p>
      <w:pPr>
        <w:pStyle w:val="752"/>
        <w:ind w:firstLine="480"/>
        <w:spacing w:line="360" w:lineRule="auto"/>
        <w:rPr>
          <w:rFonts w:hint="eastAsia" w:hAnsi="宋体" w:eastAsia="宋体"/>
          <w:sz w:val="24"/>
        </w:rPr>
      </w:pPr>
      <w:r>
        <w:rPr>
          <w:rFonts w:hint="eastAsia" w:hAnsi="宋体" w:eastAsia="宋体"/>
          <w:sz w:val="24"/>
        </w:rPr>
        <w:t xml:space="preserve">投标人：（盖章）</w:t>
      </w:r>
      <w:r/>
    </w:p>
    <w:p>
      <w:pPr>
        <w:pStyle w:val="752"/>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752"/>
        <w:ind w:firstLine="480"/>
        <w:spacing w:line="360" w:lineRule="auto"/>
        <w:rPr>
          <w:rFonts w:hint="eastAsia" w:hAnsi="宋体" w:eastAsia="宋体"/>
          <w:b/>
          <w:sz w:val="24"/>
        </w:rPr>
      </w:pPr>
      <w:r>
        <w:rPr>
          <w:rFonts w:hint="eastAsia" w:hAnsi="宋体" w:eastAsia="宋体"/>
          <w:sz w:val="24"/>
        </w:rPr>
        <w:t xml:space="preserve">日期：        年   月   日</w:t>
      </w:r>
      <w:r/>
    </w:p>
    <w:p>
      <w:pPr>
        <w:pStyle w:val="667"/>
        <w:ind w:firstLine="0"/>
        <w:jc w:val="both"/>
        <w:spacing w:line="360" w:lineRule="auto"/>
        <w:rPr>
          <w:rFonts w:hint="eastAsia" w:ascii="宋体" w:hAnsi="宋体" w:eastAsia="宋体"/>
          <w:b/>
        </w:rPr>
        <w:outlineLvl w:val="1"/>
      </w:pPr>
      <w:r>
        <w:rPr>
          <w:rFonts w:ascii="宋体" w:hAnsi="宋体" w:eastAsia="宋体"/>
          <w:szCs w:val="24"/>
        </w:rPr>
        <w:br w:type="page" w:clear="all"/>
      </w:r>
      <w:r>
        <w:rPr>
          <w:rFonts w:ascii="宋体" w:hAnsi="宋体" w:eastAsia="宋体"/>
          <w:b/>
        </w:rPr>
        <w:t xml:space="preserve">5</w:t>
      </w:r>
      <w:r>
        <w:rPr>
          <w:rFonts w:hint="eastAsia" w:ascii="宋体" w:hAnsi="宋体" w:eastAsia="宋体"/>
          <w:b/>
        </w:rPr>
        <w:t xml:space="preserve">、</w:t>
      </w:r>
      <w:r>
        <w:rPr>
          <w:rFonts w:hint="eastAsia" w:ascii="宋体" w:hAnsi="宋体" w:eastAsia="宋体"/>
          <w:b/>
          <w:szCs w:val="24"/>
        </w:rPr>
        <w:t xml:space="preserve">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服务要求偏离表</w:t>
      </w:r>
      <w:r/>
    </w:p>
    <w:tbl>
      <w:tblPr>
        <w:tblStyle w:val="660"/>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752"/>
        <w:rPr>
          <w:rFonts w:hint="eastAsia" w:hAnsi="宋体" w:eastAsia="宋体"/>
          <w:sz w:val="24"/>
        </w:rPr>
      </w:pPr>
      <w:r>
        <w:rPr>
          <w:rFonts w:hint="eastAsia" w:hAnsi="宋体" w:eastAsia="宋体"/>
          <w:sz w:val="24"/>
        </w:rPr>
        <w:t xml:space="preserve">投标人：（单位盖章）</w:t>
      </w:r>
      <w:r/>
    </w:p>
    <w:p>
      <w:pPr>
        <w:pStyle w:val="752"/>
        <w:rPr>
          <w:rFonts w:hint="eastAsia" w:hAnsi="宋体" w:eastAsia="宋体"/>
          <w:sz w:val="24"/>
        </w:rPr>
      </w:pPr>
      <w:r>
        <w:rPr>
          <w:rFonts w:hint="eastAsia" w:hAnsi="宋体" w:eastAsia="宋体"/>
          <w:sz w:val="24"/>
        </w:rPr>
        <w:t xml:space="preserve">法定代表人或代理人：（签字或盖章）</w:t>
      </w:r>
      <w:r/>
    </w:p>
    <w:p>
      <w:pPr>
        <w:pStyle w:val="752"/>
        <w:rPr>
          <w:rFonts w:hint="eastAsia" w:hAnsi="宋体" w:eastAsia="宋体"/>
          <w:sz w:val="24"/>
        </w:rPr>
      </w:pPr>
      <w:r>
        <w:rPr>
          <w:rFonts w:hint="eastAsia" w:hAnsi="宋体" w:eastAsia="宋体"/>
          <w:sz w:val="24"/>
        </w:rPr>
        <w:t xml:space="preserve">日期：        年   月   日</w:t>
      </w:r>
      <w:r/>
    </w:p>
    <w:p>
      <w:pPr>
        <w:pStyle w:val="667"/>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6</w:t>
      </w:r>
      <w:r>
        <w:rPr>
          <w:rFonts w:hint="eastAsia" w:ascii="宋体" w:hAnsi="宋体" w:eastAsia="宋体"/>
          <w:b/>
        </w:rPr>
        <w:t xml:space="preserve">、商务条款偏离表</w:t>
      </w:r>
      <w:r/>
    </w:p>
    <w:p>
      <w:pPr>
        <w:pStyle w:val="667"/>
        <w:ind w:firstLine="0"/>
        <w:jc w:val="center"/>
        <w:spacing w:line="360" w:lineRule="auto"/>
        <w:rPr>
          <w:rFonts w:hint="eastAsia" w:ascii="宋体" w:hAnsi="宋体" w:eastAsia="宋体"/>
        </w:rPr>
      </w:pPr>
      <w:r>
        <w:rPr>
          <w:rFonts w:hint="eastAsia" w:ascii="宋体" w:hAnsi="宋体" w:eastAsia="宋体"/>
        </w:rPr>
      </w:r>
      <w:r/>
    </w:p>
    <w:p>
      <w:pPr>
        <w:pStyle w:val="667"/>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660"/>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752"/>
        <w:rPr>
          <w:rFonts w:hint="eastAsia" w:hAnsi="宋体" w:eastAsia="宋体"/>
          <w:sz w:val="24"/>
        </w:rPr>
      </w:pPr>
      <w:r>
        <w:rPr>
          <w:rFonts w:hint="eastAsia" w:hAnsi="宋体" w:eastAsia="宋体"/>
          <w:sz w:val="24"/>
        </w:rPr>
        <w:t xml:space="preserve">投标人：（单位盖章）</w:t>
      </w:r>
      <w:r/>
    </w:p>
    <w:p>
      <w:pPr>
        <w:pStyle w:val="752"/>
        <w:rPr>
          <w:rFonts w:hint="eastAsia" w:hAnsi="宋体" w:eastAsia="宋体"/>
          <w:sz w:val="24"/>
        </w:rPr>
      </w:pPr>
      <w:r>
        <w:rPr>
          <w:rFonts w:hint="eastAsia" w:hAnsi="宋体" w:eastAsia="宋体"/>
          <w:sz w:val="24"/>
        </w:rPr>
        <w:t xml:space="preserve">法定代表人或代理人：（签字或盖章）</w:t>
      </w:r>
      <w:r/>
    </w:p>
    <w:p>
      <w:pPr>
        <w:pStyle w:val="752"/>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spacing w:line="360" w:lineRule="auto"/>
        <w:rPr>
          <w:rFonts w:hint="eastAsia" w:ascii="宋体" w:hAnsi="宋体"/>
          <w:b/>
          <w:bCs/>
          <w:sz w:val="24"/>
          <w:szCs w:val="24"/>
        </w:rPr>
        <w:outlineLvl w:val="1"/>
      </w:pPr>
      <w:r>
        <w:rPr>
          <w:rFonts w:ascii="宋体" w:hAnsi="宋体" w:eastAsia="宋体"/>
          <w:b/>
          <w:sz w:val="24"/>
          <w:szCs w:val="24"/>
        </w:rPr>
        <w:t xml:space="preserve">7</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660"/>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754"/>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754"/>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667"/>
        <w:ind w:firstLine="0"/>
        <w:jc w:val="both"/>
        <w:spacing w:line="360" w:lineRule="auto"/>
        <w:rPr>
          <w:rFonts w:hint="eastAsia" w:ascii="宋体" w:hAnsi="宋体" w:eastAsia="宋体"/>
          <w:b/>
          <w:szCs w:val="24"/>
        </w:rPr>
        <w:outlineLvl w:val="1"/>
      </w:pPr>
      <w:r>
        <w:rPr>
          <w:rFonts w:ascii="宋体" w:hAnsi="宋体" w:eastAsia="宋体" w:cs="宋体"/>
          <w:b/>
          <w:szCs w:val="24"/>
        </w:rPr>
        <w:t xml:space="preserve">8</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660"/>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43"/>
        <w:rPr>
          <w:rFonts w:hint="eastAsia" w:ascii="宋体" w:hAnsi="宋体"/>
        </w:rPr>
      </w:pPr>
      <w:r/>
      <w:bookmarkStart w:id="43" w:name="_Hlk107408152"/>
      <w:r>
        <w:rPr>
          <w:rFonts w:hint="eastAsia" w:ascii="宋体" w:hAnsi="宋体"/>
        </w:rPr>
        <w:t xml:space="preserve">投标人：</w:t>
      </w:r>
      <w:bookmarkEnd w:id="43"/>
      <w:r>
        <w:rPr>
          <w:rFonts w:hint="eastAsia" w:ascii="宋体" w:hAnsi="宋体"/>
        </w:rPr>
        <w:t xml:space="preserve">（盖章）</w:t>
      </w:r>
      <w:r/>
    </w:p>
    <w:p>
      <w:pPr>
        <w:pStyle w:val="843"/>
        <w:rPr>
          <w:rFonts w:hint="eastAsia" w:ascii="宋体" w:hAnsi="宋体"/>
        </w:rPr>
      </w:pPr>
      <w:r>
        <w:rPr>
          <w:rFonts w:hint="eastAsia" w:ascii="宋体" w:hAnsi="宋体"/>
        </w:rPr>
        <w:t xml:space="preserve">法定代表人或代理人：（签字或盖章）</w:t>
      </w:r>
      <w:r/>
    </w:p>
    <w:p>
      <w:pPr>
        <w:pStyle w:val="677"/>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667"/>
        <w:ind w:firstLine="0"/>
        <w:jc w:val="both"/>
        <w:spacing w:line="360" w:lineRule="auto"/>
        <w:rPr>
          <w:rFonts w:hint="eastAsia" w:ascii="宋体" w:hAnsi="宋体" w:eastAsia="宋体"/>
          <w:b/>
        </w:rPr>
        <w:outlineLvl w:val="1"/>
      </w:pPr>
      <w:r>
        <w:rPr>
          <w:rFonts w:hint="eastAsia" w:ascii="宋体" w:hAnsi="宋体" w:eastAsia="宋体"/>
          <w:b/>
        </w:rPr>
        <w:t xml:space="preserve">9、资格证明文件</w:t>
      </w:r>
      <w:r/>
    </w:p>
    <w:p>
      <w:pPr>
        <w:pStyle w:val="667"/>
        <w:ind w:firstLine="0"/>
        <w:jc w:val="both"/>
        <w:spacing w:line="360" w:lineRule="auto"/>
        <w:rPr>
          <w:rFonts w:hint="eastAsia" w:ascii="宋体" w:hAnsi="宋体" w:eastAsia="宋体"/>
          <w:b/>
        </w:rPr>
      </w:pPr>
      <w:r>
        <w:rPr>
          <w:rFonts w:hint="eastAsia" w:ascii="宋体" w:hAnsi="宋体" w:eastAsia="宋体"/>
          <w:b/>
        </w:rPr>
      </w:r>
      <w:r/>
    </w:p>
    <w:p>
      <w:pPr>
        <w:pStyle w:val="667"/>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667"/>
        <w:ind w:firstLine="0"/>
        <w:jc w:val="center"/>
        <w:spacing w:line="360" w:lineRule="auto"/>
        <w:rPr>
          <w:rFonts w:hint="eastAsia" w:ascii="宋体" w:hAnsi="宋体" w:eastAsia="宋体"/>
          <w:b/>
        </w:rPr>
      </w:pPr>
      <w:r>
        <w:rPr>
          <w:rFonts w:hint="eastAsia" w:ascii="宋体" w:hAnsi="宋体" w:eastAsia="宋体"/>
          <w:b/>
        </w:rPr>
      </w:r>
      <w:r/>
    </w:p>
    <w:p>
      <w:pPr>
        <w:pStyle w:val="667"/>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667"/>
        <w:ind w:firstLine="0"/>
        <w:jc w:val="center"/>
        <w:spacing w:line="360" w:lineRule="auto"/>
        <w:rPr>
          <w:rFonts w:hint="eastAsia" w:ascii="宋体" w:hAnsi="宋体" w:eastAsia="宋体"/>
        </w:rPr>
      </w:pPr>
      <w:r>
        <w:rPr>
          <w:rFonts w:hint="eastAsia" w:ascii="宋体" w:hAnsi="宋体" w:eastAsia="宋体"/>
        </w:rPr>
      </w:r>
      <w:r/>
    </w:p>
    <w:p>
      <w:pPr>
        <w:pStyle w:val="667"/>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667"/>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JSZC-320500-SZHX-G2026-0027</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667"/>
        <w:ind w:firstLine="480"/>
        <w:jc w:val="both"/>
        <w:spacing w:line="360" w:lineRule="auto"/>
        <w:rPr>
          <w:rFonts w:hint="eastAsia" w:ascii="宋体" w:hAnsi="宋体" w:eastAsia="宋体"/>
        </w:rPr>
      </w:pPr>
      <w:r>
        <w:rPr>
          <w:rFonts w:hint="eastAsia" w:ascii="宋体" w:hAnsi="宋体" w:eastAsia="宋体"/>
        </w:rPr>
      </w:r>
      <w:r/>
    </w:p>
    <w:p>
      <w:pPr>
        <w:pStyle w:val="667"/>
        <w:ind w:firstLine="480"/>
        <w:jc w:val="both"/>
        <w:spacing w:line="360" w:lineRule="auto"/>
        <w:rPr>
          <w:rFonts w:hint="eastAsia" w:ascii="宋体" w:hAnsi="宋体" w:eastAsia="宋体"/>
        </w:rPr>
      </w:pPr>
      <w:r>
        <w:rPr>
          <w:rFonts w:hint="eastAsia" w:ascii="宋体" w:hAnsi="宋体" w:eastAsia="宋体"/>
        </w:rPr>
      </w:r>
      <w:r/>
    </w:p>
    <w:p>
      <w:pPr>
        <w:pStyle w:val="752"/>
        <w:rPr>
          <w:rFonts w:hint="eastAsia" w:hAnsi="宋体" w:eastAsia="宋体"/>
          <w:sz w:val="24"/>
        </w:rPr>
      </w:pPr>
      <w:r>
        <w:rPr>
          <w:rFonts w:hint="eastAsia" w:hAnsi="宋体" w:eastAsia="宋体"/>
          <w:sz w:val="24"/>
        </w:rPr>
        <w:t xml:space="preserve">投标方：（单位盖章）</w:t>
      </w:r>
      <w:r/>
    </w:p>
    <w:p>
      <w:pPr>
        <w:pStyle w:val="752"/>
        <w:rPr>
          <w:rFonts w:hint="eastAsia" w:hAnsi="宋体" w:eastAsia="宋体"/>
          <w:sz w:val="24"/>
        </w:rPr>
      </w:pPr>
      <w:r>
        <w:rPr>
          <w:rFonts w:hint="eastAsia" w:hAnsi="宋体" w:eastAsia="宋体"/>
          <w:sz w:val="24"/>
        </w:rPr>
        <w:t xml:space="preserve">法定代表人或代理人：（签字或盖章）</w:t>
      </w:r>
      <w:r/>
    </w:p>
    <w:p>
      <w:pPr>
        <w:pStyle w:val="752"/>
        <w:rPr>
          <w:rFonts w:hint="eastAsia" w:hAnsi="宋体" w:eastAsia="宋体"/>
          <w:sz w:val="24"/>
        </w:rPr>
      </w:pPr>
      <w:r>
        <w:rPr>
          <w:rFonts w:hint="eastAsia" w:hAnsi="宋体" w:eastAsia="宋体"/>
          <w:sz w:val="24"/>
        </w:rPr>
        <w:t xml:space="preserve">日期：        年   月   日</w:t>
      </w:r>
      <w:r/>
    </w:p>
    <w:p>
      <w:pPr>
        <w:pStyle w:val="667"/>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667"/>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667"/>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667"/>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667"/>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660"/>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667"/>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667"/>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667"/>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667"/>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667"/>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667"/>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667"/>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667"/>
              <w:ind w:firstLine="96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667"/>
              <w:ind w:firstLine="48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667"/>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667"/>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667"/>
        <w:ind w:firstLine="0"/>
        <w:jc w:val="both"/>
        <w:rPr>
          <w:rFonts w:hint="eastAsia" w:ascii="宋体" w:hAnsi="宋体" w:eastAsia="宋体"/>
        </w:rPr>
      </w:pPr>
      <w:r>
        <w:rPr>
          <w:rFonts w:hint="eastAsia" w:ascii="宋体" w:hAnsi="宋体" w:eastAsia="宋体"/>
        </w:rPr>
      </w:r>
      <w:r/>
    </w:p>
    <w:p>
      <w:pPr>
        <w:pStyle w:val="667"/>
        <w:ind w:firstLine="0"/>
        <w:jc w:val="both"/>
        <w:rPr>
          <w:rFonts w:hint="eastAsia" w:ascii="宋体" w:hAnsi="宋体" w:eastAsia="宋体"/>
        </w:rPr>
      </w:pPr>
      <w:r>
        <w:rPr>
          <w:rFonts w:hint="eastAsia" w:ascii="宋体" w:hAnsi="宋体" w:eastAsia="宋体"/>
        </w:rPr>
      </w:r>
      <w:r/>
    </w:p>
    <w:p>
      <w:pPr>
        <w:pStyle w:val="667"/>
        <w:ind w:firstLine="0"/>
        <w:jc w:val="both"/>
        <w:rPr>
          <w:rFonts w:hint="eastAsia" w:ascii="宋体" w:hAnsi="宋体" w:eastAsia="宋体"/>
        </w:rPr>
      </w:pPr>
      <w:r>
        <w:rPr>
          <w:rFonts w:hint="eastAsia" w:ascii="宋体" w:hAnsi="宋体" w:eastAsia="宋体"/>
        </w:rPr>
      </w:r>
      <w:r/>
    </w:p>
    <w:p>
      <w:pPr>
        <w:pStyle w:val="655"/>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53"/>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pStyle w:val="753"/>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753"/>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753"/>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753"/>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753"/>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w:t>
      </w:r>
      <w:r/>
    </w:p>
    <w:p>
      <w:pPr>
        <w:pStyle w:val="753"/>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753"/>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53"/>
        <w:spacing w:line="360" w:lineRule="auto"/>
        <w:rPr>
          <w:rFonts w:hint="eastAsia" w:hAnsi="宋体" w:eastAsia="宋体"/>
          <w:sz w:val="24"/>
          <w:szCs w:val="24"/>
        </w:rPr>
      </w:pPr>
      <w:r>
        <w:rPr>
          <w:rFonts w:hAnsi="宋体" w:eastAsia="宋体"/>
          <w:sz w:val="24"/>
          <w:szCs w:val="24"/>
        </w:rPr>
        <w:t xml:space="preserve">投标人：（盖章）</w:t>
      </w:r>
      <w:r/>
    </w:p>
    <w:p>
      <w:pPr>
        <w:pStyle w:val="753"/>
        <w:spacing w:line="360" w:lineRule="auto"/>
        <w:rPr>
          <w:rFonts w:hint="eastAsia" w:hAnsi="宋体" w:eastAsia="宋体"/>
          <w:sz w:val="24"/>
          <w:szCs w:val="24"/>
        </w:rPr>
      </w:pPr>
      <w:r>
        <w:rPr>
          <w:rFonts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pStyle w:val="667"/>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44"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662"/>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2"/>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1"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708"/>
          <w:rFonts w:hint="eastAsia" w:ascii="宋体" w:hAnsi="宋体" w:eastAsia="宋体" w:cs="宋体"/>
          <w:i w:val="0"/>
          <w:color w:val="000000"/>
          <w:szCs w:val="24"/>
          <w:u w:val="single"/>
          <w:shd w:val="clear" w:color="auto" w:fill="ffffff"/>
        </w:rPr>
        <w:t xml:space="preserve">（产品名称1）</w:t>
      </w:r>
      <w:r>
        <w:rPr>
          <w:rStyle w:val="708"/>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708"/>
          <w:rFonts w:hint="eastAsia" w:ascii="宋体" w:hAnsi="宋体" w:eastAsia="宋体" w:cs="宋体"/>
          <w:i w:val="0"/>
          <w:color w:val="000000"/>
          <w:szCs w:val="24"/>
          <w:u w:val="single"/>
          <w:shd w:val="clear" w:color="auto" w:fill="ffffff"/>
        </w:rPr>
        <w:t xml:space="preserve">（厂名）</w:t>
      </w:r>
      <w:r>
        <w:rPr>
          <w:rStyle w:val="708"/>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708"/>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708"/>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708"/>
          <w:rFonts w:hint="eastAsia" w:ascii="宋体" w:hAnsi="宋体" w:eastAsia="宋体" w:cs="宋体"/>
          <w:i w:val="0"/>
          <w:color w:val="000000"/>
          <w:szCs w:val="24"/>
          <w:u w:val="single"/>
          <w:shd w:val="clear" w:color="auto" w:fill="ffffff"/>
        </w:rPr>
        <w:t xml:space="preserve">（规定比例）</w:t>
      </w:r>
      <w:r>
        <w:rPr>
          <w:rStyle w:val="708"/>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708"/>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708"/>
          <w:rFonts w:hint="eastAsia" w:ascii="宋体" w:hAnsi="宋体" w:eastAsia="宋体" w:cs="宋体"/>
          <w:i w:val="0"/>
          <w:color w:val="000000"/>
          <w:szCs w:val="24"/>
          <w:u w:val="single"/>
          <w:shd w:val="clear" w:color="auto" w:fill="ffffff"/>
        </w:rPr>
        <w:t xml:space="preserve">（关键组件）</w:t>
      </w:r>
      <w:r>
        <w:rPr>
          <w:rStyle w:val="708"/>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708"/>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708"/>
          <w:rFonts w:hint="eastAsia" w:ascii="宋体" w:hAnsi="宋体" w:eastAsia="宋体" w:cs="宋体"/>
          <w:i w:val="0"/>
          <w:color w:val="000000"/>
          <w:szCs w:val="24"/>
          <w:u w:val="single"/>
          <w:shd w:val="clear" w:color="auto" w:fill="ffffff"/>
        </w:rPr>
        <w:t xml:space="preserve">（关键工序）</w:t>
      </w:r>
      <w:r>
        <w:rPr>
          <w:rStyle w:val="708"/>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662"/>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5"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5"/>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662"/>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672"/>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654"/>
        <w:rPr>
          <w:rFonts w:hint="eastAsia"/>
          <w:sz w:val="24"/>
          <w:szCs w:val="24"/>
        </w:rPr>
      </w:pPr>
      <w:r>
        <w:rPr>
          <w:rFonts w:hint="eastAsia"/>
          <w:sz w:val="24"/>
          <w:szCs w:val="24"/>
        </w:rPr>
        <w:t xml:space="preserve">10、</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44"/>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673"/>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66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46"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47" w:name="OLE_LINK16"/>
      <w:r>
        <w:rPr>
          <w:rFonts w:hint="eastAsia" w:asciiTheme="minorEastAsia" w:hAnsiTheme="minorEastAsia" w:eastAsiaTheme="minorEastAsia"/>
          <w:b/>
          <w:sz w:val="24"/>
          <w:szCs w:val="24"/>
          <w:lang w:val="zh-CN"/>
        </w:rPr>
        <w:t xml:space="preserve">的</w:t>
      </w:r>
      <w:bookmarkEnd w:id="46"/>
      <w:r/>
      <w:bookmarkEnd w:id="47"/>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677"/>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11、政府采购合同信用融资政策告知函（仅为通知内容，不需要做进投标文件组成）</w:t>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政府采购合同信用融资政策告知函</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各政府采购供应商: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欢迎贵公司参加苏州市政府采购活动！</w:t>
      </w:r>
      <w:r/>
    </w:p>
    <w:p>
      <w:pPr>
        <w:pStyle w:val="667"/>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right="96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b/>
          <w:bCs/>
          <w:sz w:val="24"/>
          <w:szCs w:val="24"/>
        </w:rPr>
      </w:pPr>
      <w:r>
        <w:rPr>
          <w:rFonts w:ascii="宋体" w:hAnsi="宋体" w:eastAsia="宋体" w:cs="宋体"/>
          <w:b/>
          <w:bCs/>
          <w:szCs w:val="24"/>
        </w:rPr>
        <w:br w:type="page" w:clear="all"/>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67"/>
        <w:ind w:firstLine="0"/>
        <w:jc w:val="both"/>
        <w:rPr>
          <w:rFonts w:hint="eastAsia" w:ascii="宋体" w:hAnsi="宋体" w:eastAsia="宋体"/>
          <w:sz w:val="32"/>
          <w:szCs w:val="32"/>
        </w:rPr>
      </w:pPr>
      <w:r>
        <w:rPr>
          <w:rFonts w:hint="eastAsia" w:ascii="宋体" w:hAnsi="宋体" w:eastAsia="宋体"/>
          <w:sz w:val="32"/>
          <w:szCs w:val="32"/>
        </w:rPr>
      </w:r>
      <w:r/>
    </w:p>
    <w:p>
      <w:pPr>
        <w:pStyle w:val="653"/>
        <w:jc w:val="center"/>
        <w:rPr>
          <w:rFonts w:hint="eastAsia" w:ascii="宋体" w:hAnsi="宋体" w:eastAsia="宋体"/>
          <w:sz w:val="52"/>
        </w:rPr>
      </w:pPr>
      <w:r/>
      <w:bookmarkStart w:id="48" w:name="_Toc488137108"/>
      <w:r/>
      <w:bookmarkStart w:id="49" w:name="_Toc13642115"/>
      <w:r/>
      <w:bookmarkStart w:id="50" w:name="_Toc22266"/>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48"/>
      <w:r/>
      <w:bookmarkEnd w:id="49"/>
      <w:r/>
      <w:bookmarkEnd w:id="50"/>
      <w:r/>
      <w:r/>
    </w:p>
    <w:p>
      <w:pPr>
        <w:jc w:val="center"/>
        <w:spacing w:line="360" w:lineRule="auto"/>
        <w:rPr>
          <w:rFonts w:hint="eastAsia" w:ascii="宋体" w:hAnsi="宋体" w:eastAsia="宋体"/>
          <w:b/>
          <w:sz w:val="44"/>
          <w:szCs w:val="44"/>
        </w:rPr>
      </w:pPr>
      <w:r/>
      <w:bookmarkStart w:id="51" w:name="_Toc13543212"/>
      <w:r>
        <w:rPr>
          <w:rFonts w:ascii="宋体" w:hAnsi="宋体" w:eastAsia="宋体"/>
          <w:b/>
          <w:sz w:val="44"/>
        </w:rPr>
        <w:br w:type="page" w:clear="all"/>
      </w:r>
      <w:r>
        <w:rPr>
          <w:rFonts w:hint="eastAsia" w:ascii="宋体" w:hAnsi="宋体" w:eastAsia="宋体"/>
          <w:b/>
          <w:sz w:val="44"/>
          <w:szCs w:val="44"/>
        </w:rPr>
        <w:t xml:space="preserve">招标书</w:t>
      </w:r>
      <w:bookmarkEnd w:id="51"/>
      <w:r/>
    </w:p>
    <w:p>
      <w:pPr>
        <w:ind w:firstLine="480"/>
        <w:spacing w:line="360" w:lineRule="auto"/>
        <w:rPr>
          <w:rFonts w:hint="eastAsia" w:ascii="宋体" w:hAnsi="宋体" w:eastAsia="宋体"/>
          <w:sz w:val="24"/>
          <w:szCs w:val="24"/>
          <w:highlight w:val="none"/>
        </w:rPr>
      </w:pPr>
      <w:r/>
      <w:bookmarkStart w:id="52" w:name="OLE_LINK1"/>
      <w:r>
        <w:rPr>
          <w:rFonts w:hint="eastAsia" w:ascii="宋体" w:hAnsi="宋体" w:eastAsia="宋体"/>
          <w:sz w:val="24"/>
          <w:szCs w:val="24"/>
        </w:rPr>
        <w:t xml:space="preserve">苏州鸿鑫工程咨询有限</w:t>
      </w:r>
      <w:r>
        <w:rPr>
          <w:rFonts w:hint="eastAsia" w:ascii="宋体" w:hAnsi="宋体" w:eastAsia="宋体"/>
          <w:sz w:val="24"/>
          <w:szCs w:val="24"/>
          <w:highlight w:val="none"/>
        </w:rPr>
        <w:t xml:space="preserve">公司受</w:t>
      </w:r>
      <w:r>
        <w:rPr>
          <w:rFonts w:hint="eastAsia" w:ascii="宋体" w:hAnsi="宋体" w:eastAsia="宋体"/>
          <w:sz w:val="24"/>
          <w:szCs w:val="24"/>
          <w:highlight w:val="none"/>
          <w:lang w:eastAsia="zh-CN"/>
        </w:rPr>
        <w:t xml:space="preserve">苏州市教育局</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2026苏州市教育局外教课堂项目</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sz w:val="24"/>
          <w:szCs w:val="24"/>
          <w:highlight w:val="none"/>
          <w:lang w:eastAsia="zh-CN"/>
        </w:rPr>
        <w:t xml:space="preserve">JSZC-320500-SZHX-G2026-0027</w:t>
      </w:r>
      <w:r/>
    </w:p>
    <w:p>
      <w:pPr>
        <w:ind w:firstLine="482"/>
        <w:spacing w:line="360" w:lineRule="auto"/>
        <w:rPr>
          <w:rFonts w:hint="eastAsia" w:ascii="宋体" w:hAnsi="宋体" w:eastAsia="宋体"/>
          <w:b/>
          <w:bCs/>
          <w:sz w:val="24"/>
          <w:szCs w:val="24"/>
          <w:highlight w:val="none"/>
          <w:lang w:eastAsia="zh-CN"/>
        </w:rPr>
      </w:pPr>
      <w:r>
        <w:rPr>
          <w:rFonts w:hint="eastAsia" w:ascii="宋体" w:hAnsi="宋体" w:eastAsia="宋体"/>
          <w:b/>
          <w:sz w:val="24"/>
          <w:szCs w:val="24"/>
          <w:highlight w:val="none"/>
        </w:rPr>
        <w:t xml:space="preserve">二</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项目名称：</w:t>
      </w:r>
      <w:r>
        <w:rPr>
          <w:rFonts w:hint="eastAsia" w:ascii="宋体" w:hAnsi="宋体" w:eastAsia="宋体"/>
          <w:b/>
          <w:bCs/>
          <w:sz w:val="24"/>
          <w:szCs w:val="24"/>
          <w:highlight w:val="none"/>
          <w:lang w:eastAsia="zh-CN"/>
        </w:rPr>
        <w:t xml:space="preserve">2026苏州市教育局外教课堂项目</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三、采购要求：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为建设“美丽苏州，教育苏州”，加快推进苏州市教育国际化进程，苏州市教育局引进外籍教师为直属高中、初中、小学及幼儿师范类院校开展语言文化类及专业学科类教学，实施</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项目。苏州市教育局就该项目进行公开招标，合同期限为</w:t>
      </w:r>
      <w:r>
        <w:rPr>
          <w:rFonts w:hint="eastAsia" w:ascii="宋体" w:hAnsi="宋体" w:eastAsia="宋体" w:cs="宋体"/>
          <w:sz w:val="24"/>
          <w:szCs w:val="24"/>
          <w:lang w:eastAsia="zh-CN"/>
        </w:rPr>
        <w:t xml:space="preserve">2026-2027学年，共计10个月</w:t>
      </w:r>
      <w:r>
        <w:rPr>
          <w:rFonts w:hint="eastAsia" w:ascii="宋体" w:hAnsi="宋体" w:eastAsia="宋体" w:cs="宋体"/>
          <w:sz w:val="24"/>
          <w:szCs w:val="24"/>
        </w:rPr>
        <w:t xml:space="preserve">（具体开始时间由采购人确定）。</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（二）合作模式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根据采购人外教课堂的需求，需引进优秀的外籍教师，完成相应的课程设计工作。中标人负责招聘工作并办理外籍教师的引进手续、业务培训、教学管理、薪资发放及住宿管理等日常管理工作。采购人负责对整个</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项目的监督、指导和评估工作，并向中标人支付由此产生的双方所约定的项目费用。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中标人与采购人之间的法律关系属于</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承包关系，外籍教师的劳动人事关系原则上隶属于中标人，采购人与外籍教师不存在任何用人或用工关系，因外籍教师在合作过程中遭受人身损害或致人损害需承担之法律责任全部由中标人或外籍教师个人承担，采购人不承担任何法律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（三）课程范围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实施的相应课程包括科学类，艺术类和语言文化类。结合各项目学校的实际需求及具体学情，通过语言与学科的整合，在提升学生语言水平的同时，培养学生批判性思维、创新性思维、团队合作精神以及解决问题的能力和学术写作的能力。</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（四）外籍教师</w:t>
      </w:r>
      <w:r>
        <w:rPr>
          <w:rFonts w:hint="eastAsia" w:ascii="宋体" w:hAnsi="宋体" w:eastAsia="宋体" w:cs="宋体"/>
          <w:sz w:val="24"/>
          <w:szCs w:val="24"/>
          <w:highlight w:val="none"/>
        </w:rPr>
        <w:t xml:space="preserve">的数量及费用总额</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采购人应及时向中标人下达202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学年所引进外籍教师的职级、人数、月薪标准及费用总额（年总额费用应包含薪酬和福利补助等费用，以及外教个人和中标人所应承担的所有费用）。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学年下达给中标人引进人数为7人，要求外教能教授语言类学科（包括听、说、读、写），涵盖10所学校。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（五）外籍教师应具备的条件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1、招聘的所有外籍教师必须遵守中国的法律、法规，尊重中国人民的风俗习惯，不得从事危害中华人民共和国国家安全和社会公共利益的活动，不得开展宗教活动。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2、语言学科类要求：主要教授以英语学科为主的，包括听，说，读，写等方面，以口语实践为主。</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3、教师需具备其所任教课程的相应教学经验，还需具备以下要求：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（1）国籍：来自美国、加拿大、英国、澳大利亚、新西兰以及南非等以英语为母语的国家。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（2）证书：拥有教师资格证（包括有效期内本国教师资格证书及国际通用的TEFL、TESOL类的语言教育证书）。</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（3）学历：本科及以上学历。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（4）经验：2年以上相关教学经验。</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（5）人品：无犯罪记录及其他不利于从事教育教学活动的不良品行，且提供经中国领馆/使馆认证过的无犯罪记录证明。</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（六）外籍教师工作时间和休息休假</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1、工作时间</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周一至周五上午8:00-12:00；下午1:00–5:00（寒暑假及节假日除外）。工作时间内，外籍教师主要任务为课程筹备、课堂教学、学术研讨并根据学校需求参与学校相关活动。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2、课时要求： </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每名外教每周需完成20课时的教学及相关工作，其中包含但不限于日常学校课堂教学任务、采购人统一安排的送教活动；相关赛事评审及其他教学延伸活动。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各类教学活动的具体课时分配由采购人根据实际需求统筹安排，投标人须确保外教按时按质完成各项教学任务。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任教年级分配：高中段（2名外教）、初中段（4名外教）、小学段（1名外教）。</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根据各校具体需求提供相应的教学内容。</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3、休假</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籍教师工作期间，假期按教育局统一规定的相关制度执行。外籍教师享受带薪假期。中标人利用寒暑假期间，根据教育局要求统一安排岗前培训、岗位培训、课程学习和文化体验等活动；同时，根据外籍教师的国籍和信仰执行国家外国专家所规定圣诞节等节假日休假待遇。</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4、病假、工伤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籍教师请病假，须同时向项目学校及中标人书面提出，超过两天的需递交社保定点医院医生证明。每位外籍教师在一个学期内累计请病假不满3天，苏州市教育局可不扣除中标人相应费用；超过3天（含3天），要求中标人于3个工作日内更换外籍教师，逾期产生的全部责任和相关费用全部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外籍教师因工负伤的，按照劳动合同法等有关法律规定处理，由此产生的费用全部由中标人承担。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5、事假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外籍教师请事假须提前3个工作日提出书面申请，经中标人同意，并通报采购人和项目学校。中标人须调派其他外籍教师替补空缺的课时，以确保项目学校教学的正常进行。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6、扣款</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外籍教师如出现上述条款（4）、条款（5）和因不可抗力原因所导致的空缺情况，中标人须于第三个工作日起临时调派其他外籍教师替补空缺的课时。否则，采购人将按逾期每日1500元的</w:t>
      </w:r>
      <w:r>
        <w:rPr>
          <w:rFonts w:hint="eastAsia" w:ascii="宋体" w:hAnsi="宋体" w:eastAsia="宋体" w:cs="宋体"/>
          <w:sz w:val="24"/>
          <w:szCs w:val="24"/>
          <w:highlight w:val="none"/>
        </w:rPr>
        <w:t xml:space="preserve">标准扣除中标人的费用。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（七）公益送教活动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开展3次公益送教活动。第一学期暂定10月，11月和12月，第二学期暂定3月，4月和5月，每月1次，每次6课时。根据采购人指定的片区学校需求，课时要求，针对性设计教学内容，确保与受助对象语言水平匹配。</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（八）教学研讨与备课管理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1、工作手册：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开学前，项目组根据学期校历统一制定工作手册，内容包含项目管理工作规定，外教岗前培训安排，学年工作内容以及外教授课学校分配等。该工作手册同时下发给外教本人及项目学校。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2、每周教学研讨：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工作手册的安排，定期组织外教团队开展教学研讨活动，要求外教们围绕教学方法创新展开深入交流，优秀外教分享教学中的成功经验和在授课过程中遇到的问题，共同探讨解决方案，由项目组负责记录会议内容，以提升教学质量，促进团队专业成长。</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3、集体备课：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围绕教学大纲与课程标准，细化教学步骤，明确重难点，设计多样化课堂活动。要求对每节课提前做好教学计划，包括重难点单词，长句句型的使用以及通过本堂课预期达成的效果等形成书面的教学计划。</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4、课件审核：</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由项目组在每学期开学前统一设定备课主题，外教根据制定的备课主题及每堂课的教学计划进行备课。每周三之前外教发送完成的课件给项目组审核，项目组对外教课件进行内容准确性、逻辑性、意识形态及呈现形式的全面审核。审核无误后方可投入正常的教学使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（九）文化</w:t>
      </w:r>
      <w:r>
        <w:rPr>
          <w:rFonts w:hint="eastAsia" w:ascii="宋体" w:hAnsi="宋体" w:eastAsia="宋体" w:cs="宋体"/>
          <w:sz w:val="24"/>
          <w:szCs w:val="24"/>
          <w:highlight w:val="none"/>
        </w:rPr>
        <w:t xml:space="preserve">体验活动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每学期组织1次苏州文化体验活动（含团队建设活动），包括但不限于参观拙政园、平江路等历史文化场所，体验苏绣、桃花坞木刻年画等非遗项目。</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每学期不定期开展1-2次汉语文化专题学习，内容涵盖基础语法、日常会话、古典诗词鉴赏及现代文学阅读，由中方教师授课，提升外教汉语水平及文化认同感。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通过组织以上文化交流活动，深化外教对本地文化的理解，加强中外文化课程的教育研究，学年末形成一份跨文化联合教研成果。</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（十）教学反馈与评估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完善的教学质量监控体系，每月实施1次综合教学评估。每月末向项目学校收集学校教师听课评价表和学生评价表，综合外教自评情况，全面收集教学反馈信息，并形成详细的月度评估报告提交甲方。同时安排专人与每位外教进行一对一反馈交流，针对教学中的优势与不足提出具体改进建议并跟进落实。</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（十一）公开课展示</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每月组织至少2次公开课活动，邀请外教及校内教师观摩，课后开展研讨活动并完整记录活动过程（含文字记录及照片视频等），每月5日前整理归档上月活动材料，同步向采购人提交电子版归档材料包。</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（十二）延伸活动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组织开展</w:t>
      </w:r>
      <w:r>
        <w:rPr>
          <w:rFonts w:hint="eastAsia" w:ascii="宋体" w:hAnsi="宋体" w:eastAsia="宋体" w:cs="宋体"/>
          <w:sz w:val="24"/>
          <w:szCs w:val="24"/>
          <w:highlight w:val="none"/>
        </w:rPr>
        <w:t xml:space="preserve">全市初中生“未来之星”英语演讲大赛等外教课堂项目相关延伸活动，确保活动成效。</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（十三）口语综合测评</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每学期末组织外教对项目学校学生进行口语综合测评，按标准公正评分，并按照学校要求及时将考核结果提交学校教务部门。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（十四）期末总结与资料归档</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1、学期工作总结：要求所有外教提交详细的学期工作总结报告，经审核后统一归档保存。</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2、相关资料整理：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（1）按教学主题分类整理优秀教学课件，经专业审核后建立标准化档案库；</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（2）精选典型教学案例，每学期整理归档至网盘，形成优秀教案案例库，作为教学参考资料。</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（3）所有归档资料需同时保存电子版和纸质版，确保资料的完整性和可追溯性。</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六、双方职责：</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（一）中标人的职责：</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1、本项目至少需配备3名管理人员，中标人须全力开展项目工作，提供足够人力、物力，完善服务质量管控机制，健全外事管理制度，建立突发事件应急机制，确保项目安全、有序、高效运作。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人必须对所有外籍教师进行中国的法律法规培训。如外籍教师出现危害中华人民共和国国家安全和社会公共利益的行为，中标人必须立即终止与外籍教师的劳动合同，并承担所有相关的法律责任及相关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3、负责外籍教师的招聘、引进和聘用工作，协助外教办理护照、签证、居留许可及外国人来华工作许可证等有关文件，并签署劳动合同。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4、负责将外籍教师基本情况登记造册并按规定呈报相关部门备案。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5、负责外籍教师的日常管理和住宿安全管理。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6、负责外籍教师的人事管理，每月5日（遇节假日顺延至下一工作日）按时计算并通过银行系统发放薪金。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7、负责办理外籍教师保险工作，完善外籍教师福利保障体系。提供外籍教师在校期间有效的免费医疗服务及医疗保险。</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8、负责外籍</w:t>
      </w:r>
      <w:r>
        <w:rPr>
          <w:rFonts w:hint="eastAsia" w:ascii="宋体" w:hAnsi="宋体" w:eastAsia="宋体" w:cs="宋体"/>
          <w:sz w:val="24"/>
          <w:szCs w:val="24"/>
          <w:highlight w:val="none"/>
        </w:rPr>
        <w:t xml:space="preserve">教师生活管理和后勤服务工作，为外籍教师教学工作提供支持；当地配备精通外语的专职工作人员不少于3人，建立24小时值班制度，确保外事工作安全和后勤服务质量，遇到紧急事务务必2小时内响应，同时向采购人汇报，48小时内解决问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9、负责外籍教师授课讲义、</w:t>
      </w:r>
      <w:r>
        <w:rPr>
          <w:rFonts w:hint="eastAsia" w:ascii="宋体" w:hAnsi="宋体" w:eastAsia="宋体" w:cs="宋体"/>
          <w:sz w:val="24"/>
          <w:szCs w:val="24"/>
        </w:rPr>
        <w:t xml:space="preserve">资料（包含但不限于音视频资料、课件PPT等）的前置审核。一旦发现有危害国家安全、违反法律法规内容，必须立即停止使用，并追究相关外籍教师责任。相关信息第一时间报送采购人。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10、建立外籍教师教学档案，对教学效果不理想或表现不佳的外教提出整改意见，对整改不达标或不理想的外教予以调整岗位或者解聘。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11、负责外籍教师教学工作为中心的教研活动和构建外籍教师质量管理体系。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12、负责开发和研讨该项目的讲义和课件，该项目所形成的讲义（课件）的版权属于采购人。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13、全程负责</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项目的过程性管理包括学术会议，例会总结，每学期的项目期初会议和总结会议，每学期的工作手册及年度工作会议并以书面形式及时上报采购人。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14、负责开展本学年</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项目年度赛事、支教活动、文化交流活动。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15、中标人须确保所有外籍教师为全职教师，仅服务于苏州市</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项目，不得从事与该项目无关的任何工作。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（二）采购人的职责：</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1、审核和统筹采购人直属中学外籍教师需求计划，告知中标人外籍教师及课程年度需求，内容包括授课年级、班数和周课时数等。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2、指导和监督中标人对</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项目的教学开展工作，构建外籍教师教学质量管理体系。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3、健全项目监督机制和专家评审机制，负责项目评审与验收工作。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4、负责提供外籍教师基本工作条件（如办公台椅、办公用品，电脑、工作餐）。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5、负责定期或不定期组织教学检查工作，对教学效果不理想或表现不佳的外教提出改进意见（同时通报中标人）或要求撤换。</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6、外籍教师引进工作提出合理化建议。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7、监督、审查外籍教师来华工作许可证、居留许可证，监督和检查中标人与外籍教师签订的劳动合同执行情况。</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8、按照双方确定的合同金额按时支付给中标人指定的账号。</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七、保密约定</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中标人对于其在与采购人合作过程中获取的项目学校相关的信息（包括但不限于学生、家长、教师个人信息等）、文件及其他相关资料不得对外披露，否则应承担由此产生的全部法律责任。</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1、投标人必须承诺满足招标文件中提出的全部服务要求，同时明确详细的服务方案。如果其中某些条款不响应时，应在文件中逐条列出，未列出的视同响应。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投标总报价一次报定，应包括在服务期内需要的服务管理（含外教住宿费）、所有服务人员薪资、福利补助、各种税费、教育费、招聘费、办证费、培训费、代理服务费、政策性文件规定及合同包含的所有风险、责任等各项应有费用等一切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3、中标人须为管理服务人员购买用工意外伤害保险，服务期间发生的意外伤害事故由中标人负责，采购人不承担任何法律和经济上的责任。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须具备独立完成本项目的能力，具有较强售后服务能力。因此各投标人可在投标前自行进行调研，了解项目情况及详细需求，但投标人不得因此使采购人承担有关的责任和蒙受损失。投标人应承担前期调研的责任和风险。若中标后，不得以不了解项目情况及详细需求为理由而向采购人提出任何索赔的要求，对此采购人不再承担任何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5、中标人在履行合同期间，其服务质量考核如未能达到要求，则采购人有权要求整改到位并不予结算相关费用或终止合同，相关损失和责任由中标人承担。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6、中标人在履行合同期间，若所提供的服务不能令采购人满意，如减少双方约定的服务范围、管理服务人员的素质水平、工作态度等，则采购人有权要求中标人在指定时间内更换管理及服务人员。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中标人必须给管理服务人员按照国家及项目所在地的有关规定支付工资和缴纳正常的社会保险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8、验收标准：根据中国政府颁布的相关国家标准和行业标准的规定；根据招标文件、中标人的投标文件、双方签订的合同文件及其附件，由采购人及相关部门进行验收。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9、伴随服务：中标人在接到采购人通知后2小时内做出响应，4小时内到达现场，48小时内解决问题，不能在规定时间内解决的可与采购人协商后调整。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根据《政府采购促进中小企业发展管理办法》（财库〔2020〕46号）及《中小企业划型标准规定》（工信部联企业〔2011〕300号），本采购标的对应的中小企业划分标准所属行业为：其他未列明行业。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w:t>
      </w:r>
      <w:r>
        <w:rPr>
          <w:rFonts w:hint="eastAsia" w:ascii="宋体" w:hAnsi="宋体" w:eastAsia="宋体" w:cs="宋体"/>
          <w:sz w:val="24"/>
          <w:szCs w:val="24"/>
          <w:highlight w:val="none"/>
        </w:rPr>
        <w:t xml:space="preserve">报价给予</w:t>
      </w:r>
      <w:r>
        <w:rPr>
          <w:rFonts w:hint="eastAsia" w:ascii="宋体" w:hAnsi="宋体" w:eastAsia="宋体" w:cs="宋体"/>
          <w:b/>
          <w:sz w:val="24"/>
          <w:szCs w:val="24"/>
          <w:highlight w:val="none"/>
        </w:rPr>
        <w:t xml:space="preserve">20%</w:t>
      </w:r>
      <w:r>
        <w:rPr>
          <w:rFonts w:hint="eastAsia" w:ascii="宋体" w:hAnsi="宋体" w:eastAsia="宋体" w:cs="宋体"/>
          <w:sz w:val="24"/>
          <w:szCs w:val="24"/>
          <w:highlight w:val="none"/>
        </w:rPr>
        <w:t xml:space="preserve">的扣除，用</w:t>
      </w:r>
      <w:r>
        <w:rPr>
          <w:rFonts w:hint="eastAsia" w:ascii="宋体" w:hAnsi="宋体" w:eastAsia="宋体" w:cs="宋体"/>
          <w:sz w:val="24"/>
          <w:szCs w:val="24"/>
        </w:rPr>
        <w:t xml:space="preserve">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sz w:val="24"/>
          <w:szCs w:val="24"/>
        </w:rPr>
        <w:t xml:space="preserve">服务类项目中供应商若使用退休人员，将不享受中小企业扶持政策。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53" w:name="OLE_LINK13"/>
      <w:r>
        <w:rPr>
          <w:rFonts w:hint="eastAsia" w:ascii="宋体" w:hAnsi="宋体" w:eastAsia="宋体" w:cs="宋体"/>
          <w:sz w:val="24"/>
          <w:szCs w:val="24"/>
          <w:lang w:val="zh-CN"/>
        </w:rPr>
        <w:t xml:space="preserve">（国办发［2025］34号）</w:t>
      </w:r>
      <w:bookmarkEnd w:id="53"/>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w:t>
      </w:r>
      <w:r>
        <w:rPr>
          <w:rFonts w:hint="eastAsia" w:ascii="宋体" w:hAnsi="宋体" w:eastAsia="宋体" w:cs="宋体"/>
          <w:sz w:val="24"/>
          <w:szCs w:val="24"/>
        </w:rPr>
        <w:t xml:space="preserve">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653"/>
        <w:jc w:val="center"/>
        <w:spacing w:line="360" w:lineRule="auto"/>
        <w:rPr>
          <w:rFonts w:hint="eastAsia" w:ascii="宋体" w:hAnsi="宋体" w:eastAsia="宋体"/>
          <w:sz w:val="48"/>
          <w:szCs w:val="48"/>
        </w:rPr>
      </w:pPr>
      <w:r/>
      <w:bookmarkStart w:id="54" w:name="_Toc396747046"/>
      <w:r/>
      <w:bookmarkStart w:id="55" w:name="_Toc10778"/>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54"/>
      <w:r/>
      <w:bookmarkEnd w:id="55"/>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2"/>
      <w:r/>
    </w:p>
    <w:p>
      <w:pPr>
        <w:spacing w:line="360" w:lineRule="auto"/>
        <w:rPr>
          <w:rFonts w:hint="eastAsia" w:ascii="宋体" w:hAnsi="宋体" w:eastAsia="宋体" w:cs="宋体"/>
          <w:bCs/>
          <w:sz w:val="24"/>
          <w:szCs w:val="24"/>
          <w:lang w:val="zh-CN" w:eastAsia="zh-CN"/>
        </w:rPr>
      </w:pPr>
      <w:r/>
      <w:bookmarkStart w:id="56" w:name="_Toc13642118"/>
      <w:r/>
      <w:bookmarkStart w:id="57" w:name="_Toc13889378"/>
      <w:r>
        <w:rPr>
          <w:rFonts w:hint="eastAsia" w:ascii="宋体" w:hAnsi="宋体" w:eastAsia="宋体" w:cs="宋体"/>
          <w:bCs/>
          <w:sz w:val="24"/>
          <w:szCs w:val="24"/>
          <w:lang w:val="zh-CN"/>
        </w:rPr>
        <w:t xml:space="preserve">甲方：</w:t>
      </w:r>
      <w:r>
        <w:rPr>
          <w:rFonts w:hint="eastAsia" w:ascii="宋体" w:hAnsi="宋体" w:eastAsia="宋体" w:cs="宋体"/>
          <w:bCs/>
          <w:sz w:val="24"/>
          <w:szCs w:val="24"/>
          <w:lang w:val="zh-CN" w:eastAsia="zh-CN"/>
        </w:rPr>
        <w:t xml:space="preserve">苏州市教育局</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乙方：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 </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根据甲方申请</w:t>
      </w:r>
      <w:r>
        <w:rPr>
          <w:rFonts w:hint="eastAsia" w:ascii="宋体" w:hAnsi="宋体" w:eastAsia="宋体" w:cs="宋体"/>
          <w:bCs/>
          <w:sz w:val="24"/>
          <w:szCs w:val="24"/>
          <w:u w:val="single"/>
          <w:lang w:val="zh-CN"/>
        </w:rPr>
        <w:t xml:space="preserve">2026苏州市教育局外教课堂项目</w:t>
      </w:r>
      <w:r>
        <w:rPr>
          <w:rFonts w:hint="eastAsia" w:ascii="宋体" w:hAnsi="宋体" w:eastAsia="宋体" w:cs="宋体"/>
          <w:bCs/>
          <w:sz w:val="24"/>
          <w:szCs w:val="24"/>
          <w:lang w:val="zh-CN"/>
        </w:rPr>
        <w:t xml:space="preserve">政府采购计划，并委托苏州鸿鑫工程咨询有限公司进行本项目政府采购（</w:t>
      </w:r>
      <w:r>
        <w:rPr>
          <w:rFonts w:hint="eastAsia" w:ascii="宋体" w:hAnsi="宋体" w:eastAsia="宋体" w:cs="宋体"/>
          <w:bCs/>
          <w:sz w:val="24"/>
          <w:szCs w:val="24"/>
          <w:u w:val="single"/>
          <w:lang w:val="zh-CN"/>
        </w:rPr>
        <w:t xml:space="preserve">采购编号：                 </w:t>
      </w:r>
      <w:r>
        <w:rPr>
          <w:rFonts w:hint="eastAsia" w:ascii="宋体" w:hAnsi="宋体" w:eastAsia="宋体" w:cs="宋体"/>
          <w:bCs/>
          <w:sz w:val="24"/>
          <w:szCs w:val="24"/>
          <w:lang w:val="zh-CN"/>
        </w:rPr>
        <w:t xml:space="preserve">），根据本项目的采购结果确定</w:t>
      </w:r>
      <w:r>
        <w:rPr>
          <w:rFonts w:hint="eastAsia" w:ascii="宋体" w:hAnsi="宋体" w:eastAsia="宋体" w:cs="宋体"/>
          <w:bCs/>
          <w:sz w:val="24"/>
          <w:szCs w:val="24"/>
          <w:u w:val="single"/>
        </w:rPr>
        <w:t xml:space="preserve">    </w:t>
      </w:r>
      <w:r>
        <w:rPr>
          <w:rFonts w:hint="eastAsia" w:ascii="宋体" w:hAnsi="宋体" w:eastAsia="宋体" w:cs="宋体"/>
          <w:bCs/>
          <w:sz w:val="24"/>
          <w:szCs w:val="24"/>
          <w:lang w:val="zh-CN"/>
        </w:rPr>
        <w:t xml:space="preserve">为本</w:t>
      </w:r>
      <w:r>
        <w:rPr>
          <w:rFonts w:hint="eastAsia" w:ascii="宋体" w:hAnsi="宋体" w:eastAsia="宋体" w:cs="宋体"/>
          <w:bCs/>
          <w:sz w:val="24"/>
          <w:szCs w:val="24"/>
        </w:rPr>
        <w:t xml:space="preserve">合同</w:t>
      </w:r>
      <w:r>
        <w:rPr>
          <w:rFonts w:hint="eastAsia" w:ascii="宋体" w:hAnsi="宋体" w:eastAsia="宋体" w:cs="宋体"/>
          <w:bCs/>
          <w:sz w:val="24"/>
          <w:szCs w:val="24"/>
          <w:lang w:val="zh-CN"/>
        </w:rPr>
        <w:t xml:space="preserve">乙方，现依照</w:t>
      </w:r>
      <w:r>
        <w:rPr>
          <w:rFonts w:hint="eastAsia" w:ascii="宋体" w:hAnsi="宋体" w:eastAsia="宋体" w:cs="宋体"/>
          <w:bCs/>
          <w:sz w:val="24"/>
          <w:szCs w:val="24"/>
        </w:rPr>
        <w:t xml:space="preserve">招标</w:t>
      </w:r>
      <w:r>
        <w:rPr>
          <w:rFonts w:hint="eastAsia" w:ascii="宋体" w:hAnsi="宋体" w:eastAsia="宋体" w:cs="宋体"/>
          <w:bCs/>
          <w:sz w:val="24"/>
          <w:szCs w:val="24"/>
          <w:lang w:val="zh-CN"/>
        </w:rPr>
        <w:t xml:space="preserve">文件、乙方的</w:t>
      </w:r>
      <w:r>
        <w:rPr>
          <w:rFonts w:hint="eastAsia" w:ascii="宋体" w:hAnsi="宋体" w:eastAsia="宋体" w:cs="宋体"/>
          <w:bCs/>
          <w:sz w:val="24"/>
          <w:szCs w:val="24"/>
        </w:rPr>
        <w:t xml:space="preserve">投标</w:t>
      </w:r>
      <w:r>
        <w:rPr>
          <w:rFonts w:hint="eastAsia" w:ascii="宋体" w:hAnsi="宋体" w:eastAsia="宋体" w:cs="宋体"/>
          <w:bCs/>
          <w:sz w:val="24"/>
          <w:szCs w:val="24"/>
          <w:lang w:val="zh-CN"/>
        </w:rPr>
        <w:t xml:space="preserve">文件及相关文件的内容，签订本合同书。</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一、合同价格：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1、合同（含税）总金额：人民币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上述金额应包括在服务期内需要的服务管理（含外教住宿费）、所有服务人员薪资、福利补助、各种税费、教育费、招聘费、办证费、培训费、代理服务费、政策性文件规定及合同包含的所有风险、责任等各项应有费用等一切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二、付款方式：</w:t>
      </w:r>
      <w:r/>
    </w:p>
    <w:p>
      <w:pPr>
        <w:pStyle w:val="669"/>
        <w:ind w:firstLine="420"/>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本项目的</w:t>
      </w:r>
      <w:r>
        <w:rPr>
          <w:rFonts w:hint="eastAsia" w:ascii="宋体" w:hAnsi="宋体" w:eastAsia="宋体" w:cs="宋体"/>
          <w:color w:val="auto"/>
          <w:sz w:val="24"/>
          <w:szCs w:val="24"/>
          <w:highlight w:val="none"/>
        </w:rPr>
        <w:t xml:space="preserve">服务期限为202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学年，共计10个月（具体开始时间由甲方确定），合同签订之后按照以下比例结算：</w:t>
      </w:r>
      <w:r/>
    </w:p>
    <w:p>
      <w:pPr>
        <w:ind w:firstLine="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1、支付步骤：外籍教师人员全部到校后20天内支付总金额的80%；本学期结束总结评审后20天内结算总费用，结清余款20%。</w:t>
      </w:r>
      <w:r/>
    </w:p>
    <w:p>
      <w:pPr>
        <w:pStyle w:val="669"/>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2、费用扣除：乙方未能按时足</w:t>
      </w:r>
      <w:r>
        <w:rPr>
          <w:rFonts w:hint="eastAsia" w:ascii="宋体" w:hAnsi="宋体" w:eastAsia="宋体" w:cs="宋体"/>
          <w:color w:val="auto"/>
          <w:sz w:val="24"/>
          <w:szCs w:val="24"/>
        </w:rPr>
        <w:t xml:space="preserve">量提供外籍教师时（包含外籍教师请事假、累计三天以上的病假、单方离职，甲方要求撤换外籍教师等岗位空缺期间等情形），甲方有权按空缺期间1500元/人/天在最终结算时扣除应向乙方支付的相应费用，同时以上费用的扣除无需再次征得乙方同意。服务期内，乙方累计空缺天数达【3】日以上的，甲方有权解除合同并要求乙方承担相应的违约责任。</w:t>
      </w:r>
      <w:r/>
    </w:p>
    <w:p>
      <w:pPr>
        <w:pStyle w:val="669"/>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3、费用包干：甲方支付乙方的项目承包费用，由乙方管理和支配，盈亏与甲方无关，乙方不得以任何理由要求甲方追加合同约定以外的费用。</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4、乙方要求付款时应提供以下资料：</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4.1合格的发票；</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4.2甲方要求乙方提供的其他资料（若有）；</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因乙方未按时提供以上材料的，甲方有权延迟支付对应款项且不视为违约。</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5、支付方式：银行转账等。</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w:t>
      </w:r>
      <w:r>
        <w:rPr>
          <w:rFonts w:hint="eastAsia" w:ascii="宋体" w:hAnsi="宋体" w:eastAsia="宋体" w:cs="宋体"/>
          <w:bCs/>
          <w:sz w:val="24"/>
          <w:szCs w:val="24"/>
        </w:rPr>
        <w:t xml:space="preserve">乙方开户行及账户如下：</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户名：</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账号：</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开户行：</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shd w:val="clear" w:color="auto" w:fill="ffffff" w:themeFill="background1"/>
        <w:rPr>
          <w:rFonts w:hint="eastAsia" w:ascii="宋体" w:hAnsi="宋体" w:eastAsia="宋体" w:cs="宋体"/>
          <w:bCs/>
          <w:sz w:val="24"/>
          <w:szCs w:val="24"/>
          <w:highlight w:val="none"/>
        </w:rPr>
      </w:pPr>
      <w:r>
        <w:rPr>
          <w:rFonts w:hint="eastAsia" w:ascii="宋体" w:hAnsi="宋体" w:eastAsia="宋体" w:cs="宋体"/>
          <w:bCs/>
          <w:sz w:val="24"/>
          <w:szCs w:val="24"/>
        </w:rPr>
        <w:t xml:space="preserve">三、服务内容：</w:t>
      </w:r>
      <w:r/>
    </w:p>
    <w:p>
      <w:pPr>
        <w:ind w:firstLine="420"/>
        <w:spacing w:line="360" w:lineRule="auto"/>
        <w:shd w:val="clear" w:color="auto" w:fill="ffffff" w:themeFill="background1"/>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根据甲方的需求，乙方负责为甲方提供“</w:t>
      </w:r>
      <w:r>
        <w:rPr>
          <w:rFonts w:hint="eastAsia" w:ascii="宋体" w:hAnsi="宋体" w:eastAsia="宋体" w:cs="宋体"/>
          <w:bCs/>
          <w:sz w:val="24"/>
          <w:szCs w:val="24"/>
          <w:highlight w:val="none"/>
          <w:u w:val="single"/>
          <w:lang w:eastAsia="zh-CN"/>
        </w:rPr>
        <w:t xml:space="preserve">2026苏州市教育局外教课堂</w:t>
      </w:r>
      <w:r>
        <w:rPr>
          <w:rFonts w:hint="eastAsia" w:ascii="宋体" w:hAnsi="宋体" w:eastAsia="宋体" w:cs="宋体"/>
          <w:bCs/>
          <w:sz w:val="24"/>
          <w:szCs w:val="24"/>
          <w:highlight w:val="none"/>
          <w:u w:val="single"/>
        </w:rPr>
        <w:t xml:space="preserve">项目</w:t>
      </w:r>
      <w:r>
        <w:rPr>
          <w:rFonts w:hint="eastAsia" w:ascii="宋体" w:hAnsi="宋体" w:eastAsia="宋体" w:cs="宋体"/>
          <w:bCs/>
          <w:sz w:val="24"/>
          <w:szCs w:val="24"/>
          <w:highlight w:val="none"/>
        </w:rPr>
        <w:t xml:space="preserve">”服务，具体内容如下：</w:t>
      </w:r>
      <w:r/>
    </w:p>
    <w:p>
      <w:pPr>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学年乙方需引进外籍教师7人，要求外教能教授语言类学科（包括听、说、读、写），涵盖10所学校。</w:t>
      </w:r>
      <w:r/>
    </w:p>
    <w:p>
      <w:pPr>
        <w:pStyle w:val="669"/>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实施的相应课程包括科学类，艺术类和语言文化类。结合各项目学校的实际需求及具体学情，通过语言与学科的整合，在提升学生语言水平的同时，培养学生批判性思维、创新性思维、团队合作精神以及解决问题的能力和学术写作的能力。</w:t>
      </w:r>
      <w:r/>
    </w:p>
    <w:p>
      <w:pPr>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3、工作时间：周一至周五上午8:00-12:00；下午1:00–5:00（寒暑假及节假日除外）。工作时间内，外籍教师主要任务为课程筹备、课堂教学、学术研讨并根据学校需求参与学校相关活动。</w:t>
      </w:r>
      <w:r/>
    </w:p>
    <w:p>
      <w:pPr>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4、工作时间内，每周授课不超过20学时。</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highlight w:val="none"/>
        </w:rPr>
        <w:t xml:space="preserve">5、乙方至少需配备3名管理人员，乙方需全力开展项目工作，提供足够</w:t>
      </w:r>
      <w:r>
        <w:rPr>
          <w:rFonts w:hint="eastAsia" w:ascii="宋体" w:hAnsi="宋体" w:eastAsia="宋体" w:cs="宋体"/>
          <w:sz w:val="24"/>
          <w:szCs w:val="24"/>
        </w:rPr>
        <w:t xml:space="preserve">人力、物力，完善服务质量管控机制，健全外事管理制度，建立突发事件应急机制，确保项目安全、有序、高效运作。</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6、其他未列事项以</w:t>
      </w:r>
      <w:r>
        <w:rPr>
          <w:rFonts w:hint="eastAsia" w:ascii="宋体" w:hAnsi="宋体" w:eastAsia="宋体" w:cs="宋体"/>
          <w:bCs/>
          <w:sz w:val="24"/>
          <w:szCs w:val="24"/>
        </w:rPr>
        <w:t xml:space="preserve">招标文件及乙方投标文件中的承诺执行。</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四、服务期限及地点</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1、服务期限：202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学年，共计10个月（具体开始时间由甲方确定）；</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2、服务地点：</w:t>
      </w:r>
      <w:r>
        <w:rPr>
          <w:rFonts w:hint="eastAsia" w:ascii="宋体" w:hAnsi="宋体" w:eastAsia="宋体" w:cs="宋体"/>
          <w:bCs/>
          <w:sz w:val="24"/>
          <w:szCs w:val="24"/>
        </w:rPr>
        <w:t xml:space="preserve">甲方指定地点。</w:t>
      </w:r>
      <w:r/>
    </w:p>
    <w:p>
      <w:pPr>
        <w:pStyle w:val="669"/>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五、保密约定</w:t>
      </w:r>
      <w:r/>
    </w:p>
    <w:p>
      <w:pPr>
        <w:pStyle w:val="669"/>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对于其在与甲方合作过程中获取的项目学校相关的信息（包括但不限于学生、家长、教师个人信息等）、文件及其他相关未公开资料不得对外披露，也不得用于项目之外的用途，否则应承担由此产生的全部法律责任。</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2、乙方保证不向任何第三方泄露甲方在本次服务中所提供的任何数据和双方商定的保密内容。除履行本合同之目的以外，乙方不得以任何方式使用前述数据和其他保密信息。乙方</w:t>
      </w:r>
      <w:r>
        <w:rPr>
          <w:rFonts w:hint="eastAsia" w:ascii="宋体" w:hAnsi="宋体" w:eastAsia="宋体" w:cs="宋体"/>
          <w:sz w:val="24"/>
          <w:szCs w:val="24"/>
          <w:lang w:eastAsia="zh-Hans"/>
        </w:rPr>
        <w:t xml:space="preserve">在</w:t>
      </w:r>
      <w:r>
        <w:rPr>
          <w:rFonts w:hint="eastAsia" w:ascii="宋体" w:hAnsi="宋体" w:eastAsia="宋体" w:cs="宋体"/>
          <w:sz w:val="24"/>
          <w:szCs w:val="24"/>
        </w:rPr>
        <w:t xml:space="preserve">提供服务</w:t>
      </w:r>
      <w:r>
        <w:rPr>
          <w:rFonts w:hint="eastAsia" w:ascii="宋体" w:hAnsi="宋体" w:eastAsia="宋体" w:cs="宋体"/>
          <w:sz w:val="24"/>
          <w:szCs w:val="24"/>
          <w:lang w:eastAsia="zh-Hans"/>
        </w:rPr>
        <w:t xml:space="preserve">过程中获得的</w:t>
      </w:r>
      <w:r>
        <w:rPr>
          <w:rFonts w:hint="eastAsia" w:ascii="宋体" w:hAnsi="宋体" w:eastAsia="宋体" w:cs="宋体"/>
          <w:sz w:val="24"/>
          <w:szCs w:val="24"/>
        </w:rPr>
        <w:t xml:space="preserve">任何</w:t>
      </w:r>
      <w:r>
        <w:rPr>
          <w:rFonts w:hint="eastAsia" w:ascii="宋体" w:hAnsi="宋体" w:eastAsia="宋体" w:cs="宋体"/>
          <w:sz w:val="24"/>
          <w:szCs w:val="24"/>
          <w:lang w:eastAsia="zh-Hans"/>
        </w:rPr>
        <w:t xml:space="preserve">信息，除乙方为履行其在合同项下的义务合理使用</w:t>
      </w:r>
      <w:r>
        <w:rPr>
          <w:rFonts w:hint="eastAsia" w:ascii="宋体" w:hAnsi="宋体" w:eastAsia="宋体" w:cs="宋体"/>
          <w:sz w:val="24"/>
          <w:szCs w:val="24"/>
        </w:rPr>
        <w:t xml:space="preserve">外</w:t>
      </w:r>
      <w:r>
        <w:rPr>
          <w:rFonts w:hint="eastAsia" w:ascii="宋体" w:hAnsi="宋体" w:eastAsia="宋体" w:cs="宋体"/>
          <w:sz w:val="24"/>
          <w:szCs w:val="24"/>
          <w:lang w:eastAsia="zh-Hans"/>
        </w:rPr>
        <w:t xml:space="preserve">，任何信息的获得并不意味着甲方授予其使用的权利</w:t>
      </w:r>
      <w:r>
        <w:rPr>
          <w:rFonts w:hint="eastAsia" w:ascii="宋体" w:hAnsi="宋体" w:eastAsia="宋体" w:cs="宋体"/>
          <w:sz w:val="24"/>
          <w:szCs w:val="24"/>
        </w:rPr>
        <w:t xml:space="preserve">，乙方应尽到保密义务</w:t>
      </w:r>
      <w:r>
        <w:rPr>
          <w:rFonts w:hint="eastAsia" w:ascii="宋体" w:hAnsi="宋体" w:eastAsia="宋体" w:cs="宋体"/>
          <w:sz w:val="24"/>
          <w:szCs w:val="24"/>
          <w:lang w:eastAsia="zh-Hans"/>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3、若乙方未能遵守本合同约定的保密义务的，甲方可要求乙方支付本合同总金额20%的违约金，并有权视情节轻重单方解除合同。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4、无论本合同是否变更、解除或者终止，本合同的保密条款不受其限制而继续有效，乙方都应继续承担保密条款约定的保密义务，乙方承担保密义务的期限为永久。</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六、</w:t>
      </w:r>
      <w:r>
        <w:rPr>
          <w:rFonts w:hint="eastAsia" w:ascii="宋体" w:hAnsi="宋体" w:eastAsia="宋体" w:cs="宋体"/>
          <w:bCs/>
          <w:sz w:val="24"/>
          <w:szCs w:val="24"/>
        </w:rPr>
        <w:t xml:space="preserve">甲乙双方权利和义务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（一）甲方的权利和义务：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1、根据甲方服务管理要求及乙方的相关承诺，对乙方提供的服务及履行本合同情况实行验收考核。</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2、甲方有义务在适当的范围内公开考核结果</w:t>
      </w:r>
      <w:r>
        <w:rPr>
          <w:rStyle w:val="711"/>
          <w:rFonts w:hint="eastAsia" w:ascii="宋体" w:hAnsi="宋体" w:eastAsia="宋体" w:cs="宋体"/>
          <w:sz w:val="24"/>
          <w:szCs w:val="24"/>
        </w:rPr>
        <w:t xml:space="preserve">，考核标准及要求详见合同附件</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3、因突发情况，甲方需调动乙方人员和器材设备时，乙方应服从安排予以配合，逾期未配合调动人员的，视为乙方未按时足量提供服务，则按照</w:t>
      </w:r>
      <w:r>
        <w:rPr>
          <w:rFonts w:hint="eastAsia" w:ascii="宋体" w:hAnsi="宋体" w:eastAsia="宋体" w:cs="宋体"/>
          <w:sz w:val="24"/>
          <w:szCs w:val="24"/>
        </w:rPr>
        <w:t xml:space="preserve">空缺期间标准扣除对应服务费用</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（二）乙方的权利和义务：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1、乙方根据国家标准、行业标准和规范要求及标书规定的服务质量标准和有关要求，积极主动保质保量地完成服务工作。</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2、接受并主动配合甲方及行业管理部门的检查。</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3、服务范围之外的突击性、突发性工作，乙方须服从甲方的安排，不得无故拖延。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4、因乙方管理不善而损坏的硬件、设施应负责及时修复，或照价赔偿。</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5、乙方应做好详细的管理台账，建立管理档案，并按双方约定将管理情况汇总报送甲方。</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乙方应当与其外籍教师签订劳动合同，并负责其所有劳动保险、劳动保障及薪资福利，如乙方未按法律规定缴纳社会保险或支付其他费用所引起的纠纷，由乙方自行承担责任，与甲方无关。如给甲方造成损失的，乙方应赔偿甲方一切损失。</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乙方负责其外籍教师的休假安排及调整，但应确保不得影响甲方的工作安排。乙方应将甲方以及项目学校制订的各项纪律、规章制度作为乙方单位规章制度一部分（如有冲突，以甲方规定为准），并督促外籍老师严格遵守</w:t>
      </w:r>
      <w:r>
        <w:rPr>
          <w:rFonts w:hint="eastAsia" w:ascii="宋体" w:hAnsi="宋体" w:eastAsia="宋体" w:cs="宋体"/>
          <w:bCs/>
          <w:sz w:val="24"/>
          <w:szCs w:val="24"/>
        </w:rPr>
        <w:t xml:space="preserve">。如有外教老师违反前述规章制度的，甲方有权要求乙方限期更换，情节严重的，甲方有权立即解除合同。</w:t>
      </w:r>
      <w:r/>
    </w:p>
    <w:p>
      <w:pPr>
        <w:ind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8、鉴于本项目教学服务的特殊性，乙方应严格选拔专业能力和道德品质优秀的外籍老师为甲方提供服务，如乙方外籍老师违反相关法律规定和教师纪律给学生或者其他人员造成损害，或与他人出现纠纷的，由此产生的一切责任均由乙方承担，如给甲方造成损失的，还应赔偿甲方一切损失。</w:t>
      </w:r>
      <w:r/>
    </w:p>
    <w:p>
      <w:pPr>
        <w:ind w:right="-153"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w:t>
      </w:r>
      <w:r>
        <w:rPr>
          <w:rFonts w:hint="eastAsia" w:ascii="宋体" w:hAnsi="宋体" w:eastAsia="宋体" w:cs="宋体"/>
          <w:bCs/>
          <w:sz w:val="24"/>
          <w:szCs w:val="24"/>
        </w:rPr>
        <w:t xml:space="preserve">服务工作管理、检查考核</w:t>
      </w:r>
      <w:r/>
    </w:p>
    <w:p>
      <w:pPr>
        <w:ind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甲方根据考核标准对乙方管理服务工作进行考核</w:t>
      </w:r>
      <w:r>
        <w:rPr>
          <w:rStyle w:val="711"/>
          <w:rFonts w:hint="eastAsia" w:ascii="宋体" w:hAnsi="宋体" w:eastAsia="宋体" w:cs="宋体"/>
          <w:sz w:val="24"/>
          <w:szCs w:val="24"/>
        </w:rPr>
        <w:t xml:space="preserve">，考核标准及要求详见合同附件。</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八、违约责任</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一）乙方需在本合同签订后于开学后的第一周将甲方所需的外籍教师安排到项目学校任职。如未能按时履约，需于本学期开学前15天向甲方递交书面说明并得到甲方的同意。如无法按时提供外籍教师且没有在本学期开学前15天之前</w:t>
      </w:r>
      <w:r>
        <w:rPr>
          <w:rFonts w:hint="eastAsia" w:ascii="宋体" w:hAnsi="宋体" w:eastAsia="宋体" w:cs="宋体"/>
          <w:sz w:val="24"/>
          <w:szCs w:val="24"/>
          <w:highlight w:val="none"/>
        </w:rPr>
        <w:t xml:space="preserve">书面提出并得到甲方同意而影响教学服务的，将视为违约，甲方可终止合同并追究由此带来的经济损失和法律责任。如甲方同意继续履行本合同的，乙方应自甲方同意继续履行本合同之日起3日内安排外籍教师到岗，未安排外籍教师到岗，每逾期一天，应按照空缺期间标准计算扣除相应服务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乙方需提供符合资质的外籍教师。甲方分两次验收资质，对验收不合格的外籍教师予以退返。第一次为外籍教师首次报到时，乙方需提供每位外籍教师的工作签证和苏州市科技局签发的《外国人来华工作许可通知》或《外国人来华工作许可证》。第二次为本学期开学后2个月内，乙方需提供每位外籍教师的《外国人来华工作许可证》（文教类B类或A类）和居留许可证。对于甲方退返的外籍教师，乙方需及时配合更换教师，超过甲方通知期间未予配合的，甲方</w:t>
      </w:r>
      <w:r>
        <w:rPr>
          <w:rFonts w:hint="eastAsia" w:ascii="宋体" w:hAnsi="宋体" w:eastAsia="宋体" w:cs="宋体"/>
          <w:bCs/>
          <w:sz w:val="24"/>
          <w:szCs w:val="24"/>
          <w:highlight w:val="none"/>
        </w:rPr>
        <w:t xml:space="preserve">按照</w:t>
      </w:r>
      <w:r>
        <w:rPr>
          <w:rFonts w:hint="eastAsia" w:ascii="宋体" w:hAnsi="宋体" w:eastAsia="宋体" w:cs="宋体"/>
          <w:sz w:val="24"/>
          <w:szCs w:val="24"/>
          <w:highlight w:val="none"/>
        </w:rPr>
        <w:t xml:space="preserve">空缺期间标准计算扣除对应价款并有权追究乙方因此造成的经济损失。</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需保证教学质量。甲方定期和不定期进行质量评估。如乙方提供的外籍教师教学质量达不到相应学段及教学要求，甲方有权要求乙方对该外籍教师进行重新培训后再上岗。如果培训后仍达不到要求，乙方需在30天内重新提供符合资质或教学要求的合格外籍教师，并确保教学的正常开展。如乙方未能在30天内提供符合要求的外籍教师，超期部分按照空缺期间标准计算扣除对应服务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甲方定期和不定期对乙方和外籍教师履行项目职责进行检查和考核。如乙方服务和管理存在问题，或外籍教师工作质量不合格，甲方向乙方发出限期整改通知，到期后仍不合格者视为违约，甲方可终止合同，结算费用，并追究由此带来的经济损失和法律责任。</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（五）乙方未按本协议之约定向外籍教师提供工资、保险和福利、培训、休假等待遇的，甲方有权要求乙方依照采购合同立即履约。一经再次发现，甲方直接终止合同。</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（六）乙方违反本协议约定之义务，甲方有权视情节轻重程度要求乙方整改或终止协议执行，因乙方原因导致甲方提前终止本合同的，乙方应向甲方支付合同总金额20%的违约金。</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（七）未经甲方书面同意，乙方不得擅自解除合同或将本合同的全部或部分转让给第三方，如有违反，应向甲方支付合同总金额20%的违约金，并赔偿由此给甲方造成的一切损失。</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（八）乙方出现上述违约行为，甲方有权提前终止合同、要求乙方赔偿由此产生的全部损失，并将相关情况通报苏州市政府采购办公室。</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（九）甲方逾期支付服务款项的，须向乙方每日偿付欠款总额万分之四的违约金，最多不超过合同总金额5%。</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（十）如果受到不可抗力因素影响</w:t>
      </w:r>
      <w:r>
        <w:rPr>
          <w:rFonts w:hint="eastAsia" w:ascii="宋体" w:hAnsi="宋体" w:eastAsia="宋体" w:cs="宋体"/>
          <w:sz w:val="24"/>
          <w:szCs w:val="24"/>
        </w:rPr>
        <w:t xml:space="preserve">，例如自然灾害（地震、台风、海啸、雪灾等），政策影响（封锁、政府禁令等），以及社会异常事件（罢工、疫情、传染病、瘟疫等），则此合同自动解除且双方均不用承担任何违约赔偿。</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九、不可抗力</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1、因不可抗力不能履行合同的，根据不可抗力的影响，部分或者全部免除责任。但合同一方延迟履行后发生不可抗力的，不能免除责任。</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2、合同一方因不可抗力不能履行合同的，应当在3日内通知对方，以减轻可能给对方造成的损失，并应当在7日内提供书面证明材料。</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十、合同修改</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1、甲方和乙方都不得擅自变更本合同，但合同继续履行将损害国家和社会公共利益的除外。</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十一、转让和分包</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1、政府采购合同的部分和全部都不得转让。</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十二、合同的解除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2.1因不可抗力致使不能实现合同目的，未受不可抗力影响的一方有权解除合同；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2.2因合同一方违约导致合同不能履行，另一方有权解除合同。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3、有权解除合同的一方，应当在违约事实或不可抗力发生之后及时书面通知对方以主张解除合同，合同在书面通知到达对方时解除。</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十三、争议解决办法</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因本合同或与本合同有关的一切事项发生争议，由双方友好协商解决。协商不成的，任何一方均可选择以下</w:t>
      </w:r>
      <w:r>
        <w:rPr>
          <w:rFonts w:hint="eastAsia" w:ascii="宋体" w:hAnsi="宋体" w:eastAsia="宋体" w:cs="宋体"/>
          <w:sz w:val="24"/>
          <w:szCs w:val="24"/>
          <w:u w:val="single"/>
          <w:lang w:val="en-US"/>
        </w:rPr>
        <w:t xml:space="preserve"> 第二种 </w:t>
      </w:r>
      <w:r>
        <w:rPr>
          <w:rFonts w:hint="eastAsia" w:ascii="宋体" w:hAnsi="宋体" w:eastAsia="宋体" w:cs="宋体"/>
          <w:sz w:val="24"/>
          <w:szCs w:val="24"/>
          <w:lang w:val="en-US"/>
        </w:rPr>
        <w:t xml:space="preserve">方式解决：</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方式一：双方达成仲裁协议，向约定的仲裁委员会申请仲裁，本合同约定的仲裁委员会是合同履行地仲裁机构；</w:t>
      </w:r>
      <w:r/>
    </w:p>
    <w:p>
      <w:pPr>
        <w:pStyle w:val="794"/>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方式二：向甲方所在地的人民法院起诉。</w:t>
      </w:r>
      <w:r/>
    </w:p>
    <w:p>
      <w:pPr>
        <w:pStyle w:val="794"/>
        <w:ind w:firstLine="420"/>
        <w:spacing w:line="360" w:lineRule="auto"/>
        <w:rPr>
          <w:rFonts w:hint="eastAsia" w:ascii="宋体" w:hAnsi="宋体" w:eastAsia="宋体" w:cs="宋体"/>
          <w:sz w:val="24"/>
          <w:szCs w:val="24"/>
          <w:lang w:val="en-US"/>
        </w:rPr>
      </w:pPr>
      <w:r/>
      <w:bookmarkStart w:id="58" w:name="OLE_LINK73"/>
      <w:r/>
      <w:bookmarkStart w:id="59" w:name="OLE_LINK263"/>
      <w:r/>
      <w:bookmarkStart w:id="60" w:name="OLE_LINK170"/>
      <w:r/>
      <w:bookmarkStart w:id="61" w:name="OLE_LINK264"/>
      <w:r/>
      <w:bookmarkStart w:id="62" w:name="OLE_LINK814"/>
      <w:r/>
      <w:bookmarkStart w:id="63" w:name="OLE_LINK815"/>
      <w:r>
        <w:rPr>
          <w:rFonts w:hint="eastAsia" w:ascii="宋体" w:hAnsi="宋体" w:eastAsia="宋体" w:cs="宋体"/>
          <w:sz w:val="24"/>
          <w:szCs w:val="24"/>
          <w:lang w:val="en-US"/>
        </w:rPr>
        <w:t xml:space="preserve">若</w:t>
      </w:r>
      <w:bookmarkStart w:id="64" w:name="OLE_LINK103"/>
      <w:r/>
      <w:bookmarkStart w:id="65" w:name="OLE_LINK102"/>
      <w:r>
        <w:rPr>
          <w:rFonts w:hint="eastAsia" w:ascii="宋体" w:hAnsi="宋体" w:eastAsia="宋体" w:cs="宋体"/>
          <w:sz w:val="24"/>
          <w:szCs w:val="24"/>
          <w:lang w:val="en-US"/>
        </w:rPr>
        <w:t xml:space="preserve">由于乙方违约或乙方追究甲方违约不成立的而产生纠纷的，甲方为处理纠纷产生的费用由乙方承担，该费用包括但不限于保全费、诉讼费、鉴定费、律师费、差旅费等</w:t>
      </w:r>
      <w:bookmarkEnd w:id="58"/>
      <w:r/>
      <w:bookmarkEnd w:id="59"/>
      <w:r/>
      <w:bookmarkEnd w:id="60"/>
      <w:r/>
      <w:bookmarkEnd w:id="61"/>
      <w:r/>
      <w:bookmarkEnd w:id="64"/>
      <w:r/>
      <w:bookmarkEnd w:id="65"/>
      <w:r>
        <w:rPr>
          <w:rFonts w:hint="eastAsia" w:ascii="宋体" w:hAnsi="宋体" w:eastAsia="宋体" w:cs="宋体"/>
          <w:sz w:val="24"/>
          <w:szCs w:val="24"/>
          <w:lang w:val="en-US"/>
        </w:rPr>
        <w:t xml:space="preserve">。</w:t>
      </w:r>
      <w:bookmarkEnd w:id="62"/>
      <w:r/>
      <w:bookmarkEnd w:id="63"/>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十四、合同生效及其他</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1、本合同经双方法定（授权）代表人签字（或盖章）并加盖单位公章（合同章）后生效。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2、下列文件为本合同不可分割部分（与本合同具有同等法律效力）：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2.1中标通知书；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2.2招标文件及其附件；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2.3乙方中标的投标文件；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2.4乙方在招标过程中所作的其他承诺、声明、书面澄清等。</w:t>
      </w:r>
      <w:r/>
    </w:p>
    <w:p>
      <w:pPr>
        <w:ind w:firstLine="420"/>
        <w:spacing w:line="360" w:lineRule="auto"/>
        <w:rPr>
          <w:rFonts w:hint="eastAsia" w:ascii="宋体" w:hAnsi="宋体" w:eastAsia="宋体" w:cs="宋体"/>
          <w:sz w:val="24"/>
          <w:szCs w:val="24"/>
        </w:rPr>
      </w:pPr>
      <w:r/>
      <w:bookmarkStart w:id="66" w:name="OLE_LINK171"/>
      <w:r/>
      <w:bookmarkStart w:id="67" w:name="OLE_LINK172"/>
      <w:r>
        <w:rPr>
          <w:rFonts w:hint="eastAsia" w:ascii="宋体" w:hAnsi="宋体" w:eastAsia="宋体" w:cs="宋体"/>
          <w:sz w:val="24"/>
          <w:szCs w:val="24"/>
        </w:rPr>
        <w:t xml:space="preserve">以上文件与本合同具有同等法律效力，</w:t>
      </w:r>
      <w:bookmarkEnd w:id="66"/>
      <w:r/>
      <w:bookmarkEnd w:id="67"/>
      <w:r/>
      <w:bookmarkStart w:id="68" w:name="OLE_LINK206"/>
      <w:r/>
      <w:bookmarkStart w:id="69" w:name="OLE_LINK207"/>
      <w:r>
        <w:rPr>
          <w:rFonts w:hint="eastAsia" w:ascii="宋体" w:hAnsi="宋体" w:eastAsia="宋体" w:cs="宋体"/>
          <w:sz w:val="24"/>
          <w:szCs w:val="24"/>
        </w:rPr>
        <w:t xml:space="preserve">若与本合同内容有冲突的，则以本合同内容为准。如上述文件之间存在冲突或不一致的，以排列序位在前的文件为准，同一序位的文件以形成时间在后的为准。</w:t>
      </w:r>
      <w:bookmarkEnd w:id="68"/>
      <w:r/>
      <w:bookmarkEnd w:id="69"/>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3、合同在执行过程中出现的未尽事宜，双方在不违背本合同和招标文件的原则下协商解决，协商结果以书面形式盖章记录在案，作为本合同的附件，与本合同具有同等效力，并提交政府采购监督管理部门和</w:t>
      </w:r>
      <w:r>
        <w:rPr>
          <w:rFonts w:hint="eastAsia" w:ascii="宋体" w:hAnsi="宋体" w:eastAsia="宋体" w:cs="宋体"/>
          <w:sz w:val="24"/>
          <w:szCs w:val="24"/>
          <w:lang w:eastAsia="zh-CN"/>
        </w:rPr>
        <w:t xml:space="preserve">苏州鸿鑫工程咨询有限公司</w:t>
      </w:r>
      <w:r>
        <w:rPr>
          <w:rFonts w:hint="eastAsia" w:ascii="宋体" w:hAnsi="宋体" w:eastAsia="宋体" w:cs="宋体"/>
          <w:sz w:val="24"/>
          <w:szCs w:val="24"/>
        </w:rPr>
        <w:t xml:space="preserve">备存。</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十五、未尽事宜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未尽事宜应按照《中华人民共和国民法典》、《中华人民共和国政府采购法》等相关法律法规之规定解释。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十六、附则</w:t>
      </w:r>
      <w:r/>
    </w:p>
    <w:p>
      <w:pPr>
        <w:pStyle w:val="79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份，甲乙双方各执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份，政府采购监督管理部门及招标代理机构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份，具有同等法律效力。</w:t>
      </w:r>
      <w:r/>
    </w:p>
    <w:p>
      <w:pPr>
        <w:pStyle w:val="794"/>
        <w:ind w:firstLine="420"/>
        <w:spacing w:line="360" w:lineRule="auto"/>
        <w:rPr>
          <w:rFonts w:hint="eastAsia" w:ascii="宋体" w:hAnsi="宋体" w:eastAsia="宋体" w:cs="宋体"/>
          <w:sz w:val="24"/>
          <w:szCs w:val="24"/>
          <w:lang w:val="zh-TW"/>
        </w:rPr>
      </w:pPr>
      <w:r>
        <w:rPr>
          <w:rFonts w:hint="eastAsia" w:ascii="宋体" w:hAnsi="宋体" w:eastAsia="宋体" w:cs="宋体"/>
          <w:sz w:val="24"/>
          <w:szCs w:val="24"/>
          <w:lang w:val="en-US"/>
        </w:rPr>
        <w:t xml:space="preserve">2、</w:t>
      </w:r>
      <w:r>
        <w:rPr>
          <w:rFonts w:hint="eastAsia" w:ascii="宋体" w:hAnsi="宋体" w:eastAsia="宋体" w:cs="宋体"/>
          <w:sz w:val="24"/>
          <w:szCs w:val="24"/>
          <w:lang w:val="zh-TW"/>
        </w:rPr>
        <w:t xml:space="preserve">双方所确认的联系人、联系方式及地址（本合同首部载明），如发生变更的，应当提前3日书面通知另一方，未通知的自行承担由此引起的送达不能等不利后果。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          法定（授权）代表人（签字）：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日期：</w:t>
      </w:r>
      <w:r/>
    </w:p>
    <w:p>
      <w:pPr>
        <w:rPr>
          <w:rFonts w:hAnsi="宋体" w:eastAsia="宋体"/>
          <w:sz w:val="32"/>
          <w:szCs w:val="32"/>
        </w:rPr>
      </w:pPr>
      <w:r>
        <w:rPr>
          <w:rFonts w:hAnsi="宋体" w:eastAsia="宋体"/>
          <w:sz w:val="32"/>
          <w:szCs w:val="32"/>
        </w:rPr>
        <w:br w:type="page" w:clear="all"/>
      </w:r>
      <w:r/>
    </w:p>
    <w:p>
      <w:pPr>
        <w:jc w:val="left"/>
        <w:rPr>
          <w:rFonts w:hint="eastAsia" w:ascii="宋体" w:hAnsi="宋体" w:eastAsia="宋体" w:cs="宋体"/>
          <w:sz w:val="24"/>
          <w:szCs w:val="24"/>
        </w:rPr>
      </w:pPr>
      <w:r>
        <w:rPr>
          <w:rFonts w:hint="eastAsia" w:ascii="宋体" w:hAnsi="宋体" w:eastAsia="宋体" w:cs="宋体"/>
          <w:sz w:val="24"/>
          <w:szCs w:val="24"/>
        </w:rPr>
        <w:t xml:space="preserve">附件：</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苏州市教育局对外教课堂项目组的考核内容及标准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一、考核内容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项目规划与实施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方案制定：考核项目组是否制定了明确的工作计划，年度工作手册。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计划落实：检查项目组是否按月度计划落实各项工作，是否有详细的记录和佐证材料。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教学效果与质量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教学目标达成：评估外教课堂是否达到了预期的教学目标，学生的学习兴趣、语言能力及口语成绩，每月是否定期开展公开课及教学研讨。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课堂管理与互动：考察外教在课堂上的组织能力、与学生的互动情况，以及是否能够营造良好的学习氛围。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教师与团队表现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外教专业素养：考核外教的语言能力、教学方法、教学态度等，是否符合教育局对外教的要求。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合法用工：所有外教持证上岗，具备相应的资格证书以及合法的居留权限。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档案管理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档案管理：考核项目组是否及时收档，分类是否清晰，包括方案、计划、总结、简报、音像等资料。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教学资料：所有课件的审核，教学计划等的实施情况。提供相应的教案佐证。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 总结与宣传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总结报告：检查项目组是否按时完成半年或年度总结，内容是否全面、质量是否达标。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信息报送：考核项目组是否及时报送相关信息，宣传工作是否到位。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 其他方面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学生及教师反馈：通过学生问卷调查、访谈等方式，了解学生、学校对外教课堂的满意度。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特色与亮点：评估项目组是否形成了独特的教学特色或亮点，是否在区域内具有示范作用。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考核标准通常会根据具体项目的要求和目标进行细化，并通过定量和定性相结合的方式进行评估。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二、考核时间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1、按月考核：每月对学校递交的学生及教师反馈表进行考核，了解师生对外教课堂的即时感受和意见；同时考核月度的公开课及教学研讨会议，及时掌握教学活动开展情况。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2、按学期考核：每学期对学生的口语成绩及本学期授课成果（如教案、教学资料等）进行考核，综合评估一学期内外教的教学成效和教学资料管理情况。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三、考核方式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料审查：检查项目组制定的工作计划、年度工作手册，以及工作落实的详细记录和佐证材料；审核所有课件、教学计划实施情况的相关资料，查看档案管理中各类资料的收档和分类情况；审查半年或年度总结报告，评估其内容的全面性和质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教学评估：通过评估学生的学习兴趣、语言能力及口语成绩，判断教学目标的达成情况；考察外教在课堂上的组织能力、与学生的互动情况和学习氛围营造效果，评估课堂管理与互动水平；考核外教的语言能力、教学方法、教学态度等专业素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3、调查反馈：通过学生问卷调查、访谈等方式，收集学生、学校对外教课堂的满意度反馈。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四、考核结果影响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1、若乙方未能在考核时提供本合同约定的相关资料，甲方有权根据考核结果拒绝支付合同余款20%的费用。</w:t>
      </w:r>
      <w:r/>
    </w:p>
    <w:p>
      <w:pPr>
        <w:jc w:val="left"/>
        <w:widowControl/>
        <w:rPr>
          <w:rFonts w:hint="eastAsia" w:ascii="宋体" w:hAnsi="宋体" w:eastAsia="宋体"/>
          <w:sz w:val="32"/>
          <w:szCs w:val="32"/>
        </w:rPr>
      </w:pPr>
      <w:r>
        <w:rPr>
          <w:rFonts w:hAnsi="宋体" w:eastAsia="宋体"/>
          <w:sz w:val="32"/>
          <w:szCs w:val="32"/>
        </w:rPr>
        <w:br w:type="page" w:clear="all"/>
      </w:r>
      <w:r/>
    </w:p>
    <w:p>
      <w:pPr>
        <w:pStyle w:val="754"/>
        <w:rPr>
          <w:rFonts w:hint="eastAsia" w:hAnsi="宋体" w:eastAsia="宋体"/>
          <w:sz w:val="32"/>
          <w:szCs w:val="32"/>
        </w:rPr>
      </w:pPr>
      <w:r>
        <w:rPr>
          <w:rFonts w:hint="eastAsia" w:hAnsi="宋体" w:eastAsia="宋体"/>
          <w:sz w:val="32"/>
          <w:szCs w:val="32"/>
        </w:rPr>
      </w:r>
      <w:r/>
    </w:p>
    <w:p>
      <w:pPr>
        <w:pStyle w:val="754"/>
        <w:rPr>
          <w:rFonts w:hint="eastAsia" w:hAnsi="宋体" w:eastAsia="宋体"/>
          <w:sz w:val="32"/>
          <w:szCs w:val="32"/>
        </w:rPr>
      </w:pPr>
      <w:r>
        <w:rPr>
          <w:rFonts w:hint="eastAsia" w:hAnsi="宋体" w:eastAsia="宋体"/>
          <w:sz w:val="32"/>
          <w:szCs w:val="32"/>
        </w:rPr>
      </w:r>
      <w:r/>
    </w:p>
    <w:p>
      <w:pPr>
        <w:pStyle w:val="754"/>
        <w:rPr>
          <w:rFonts w:hint="eastAsia" w:hAnsi="宋体" w:eastAsia="宋体"/>
          <w:sz w:val="32"/>
          <w:szCs w:val="32"/>
        </w:rPr>
      </w:pPr>
      <w:r>
        <w:rPr>
          <w:rFonts w:hint="eastAsia" w:hAnsi="宋体" w:eastAsia="宋体"/>
          <w:sz w:val="32"/>
          <w:szCs w:val="32"/>
        </w:rPr>
      </w:r>
      <w:r/>
    </w:p>
    <w:p>
      <w:pPr>
        <w:pStyle w:val="754"/>
        <w:rPr>
          <w:rFonts w:hint="eastAsia" w:hAnsi="宋体" w:eastAsia="宋体"/>
          <w:sz w:val="32"/>
          <w:szCs w:val="32"/>
        </w:rPr>
      </w:pPr>
      <w:r>
        <w:rPr>
          <w:rFonts w:hint="eastAsia" w:hAnsi="宋体" w:eastAsia="宋体"/>
          <w:sz w:val="32"/>
          <w:szCs w:val="32"/>
        </w:rPr>
      </w:r>
      <w:r/>
    </w:p>
    <w:p>
      <w:pPr>
        <w:pStyle w:val="754"/>
        <w:rPr>
          <w:rFonts w:hint="eastAsia" w:hAnsi="宋体" w:eastAsia="宋体"/>
          <w:sz w:val="32"/>
          <w:szCs w:val="32"/>
        </w:rPr>
      </w:pPr>
      <w:r>
        <w:rPr>
          <w:rFonts w:hint="eastAsia" w:hAnsi="宋体" w:eastAsia="宋体"/>
          <w:sz w:val="32"/>
          <w:szCs w:val="32"/>
        </w:rPr>
      </w:r>
      <w:r/>
    </w:p>
    <w:p>
      <w:pPr>
        <w:pStyle w:val="754"/>
        <w:rPr>
          <w:rFonts w:hint="eastAsia" w:hAnsi="宋体" w:eastAsia="宋体"/>
          <w:sz w:val="32"/>
          <w:szCs w:val="32"/>
        </w:rPr>
      </w:pPr>
      <w:r>
        <w:rPr>
          <w:rFonts w:hint="eastAsia" w:hAnsi="宋体" w:eastAsia="宋体"/>
          <w:sz w:val="32"/>
          <w:szCs w:val="32"/>
        </w:rPr>
      </w:r>
      <w:r/>
    </w:p>
    <w:p>
      <w:pPr>
        <w:pStyle w:val="754"/>
        <w:rPr>
          <w:sz w:val="32"/>
          <w:szCs w:val="32"/>
        </w:rPr>
      </w:pPr>
      <w:r>
        <w:rPr>
          <w:sz w:val="32"/>
          <w:szCs w:val="32"/>
        </w:rPr>
      </w:r>
      <w:r/>
    </w:p>
    <w:p>
      <w:pPr>
        <w:pStyle w:val="653"/>
        <w:jc w:val="center"/>
        <w:spacing w:line="360" w:lineRule="auto"/>
        <w:rPr>
          <w:rFonts w:hint="eastAsia" w:ascii="宋体" w:hAnsi="宋体" w:eastAsia="宋体"/>
          <w:sz w:val="52"/>
        </w:rPr>
      </w:pPr>
      <w:r/>
      <w:bookmarkStart w:id="70" w:name="_Toc18453"/>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56"/>
      <w:r/>
      <w:bookmarkEnd w:id="57"/>
      <w:r>
        <w:rPr>
          <w:rFonts w:hint="eastAsia" w:ascii="宋体" w:hAnsi="宋体" w:eastAsia="宋体"/>
          <w:sz w:val="52"/>
        </w:rPr>
        <w:t xml:space="preserve">标准</w:t>
      </w:r>
      <w:bookmarkEnd w:id="70"/>
      <w:r/>
      <w:r/>
    </w:p>
    <w:p>
      <w:pPr>
        <w:spacing w:line="360" w:lineRule="auto"/>
        <w:rPr>
          <w:rFonts w:hint="eastAsia" w:ascii="宋体" w:hAnsi="宋体" w:eastAsia="宋体"/>
        </w:rPr>
      </w:pPr>
      <w:r/>
      <w:bookmarkStart w:id="71" w:name="OLE_LINK2"/>
      <w:r>
        <w:rPr>
          <w:rFonts w:ascii="宋体" w:hAnsi="宋体" w:eastAsia="宋体"/>
        </w:rPr>
        <w:br w:type="page" w:clear="all"/>
      </w:r>
      <w:bookmarkEnd w:id="71"/>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（一）价格</w:t>
      </w:r>
      <w:r>
        <w:rPr>
          <w:rFonts w:hint="eastAsia" w:ascii="宋体" w:hAnsi="宋体" w:eastAsia="宋体" w:cs="宋体"/>
          <w:b/>
          <w:bCs/>
          <w:sz w:val="24"/>
          <w:szCs w:val="24"/>
          <w:lang w:val="en-US" w:eastAsia="zh-CN"/>
        </w:rPr>
        <w:t xml:space="preserve">分</w:t>
      </w:r>
      <w:r>
        <w:rPr>
          <w:rFonts w:hint="eastAsia" w:ascii="宋体" w:hAnsi="宋体" w:eastAsia="宋体" w:cs="宋体"/>
          <w:b/>
          <w:bCs/>
          <w:sz w:val="24"/>
          <w:szCs w:val="24"/>
        </w:rPr>
        <w:t xml:space="preserve">（20分）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第一步：投标总报价低于或等于预算价格的，为有效投标报价。超预算的投标报价为无效投标报价。无效投标报价的投标文件不进行评审，也不得标。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第二步：价格分采用低价优先法计算，即满足招标文件要求且投标价格最低的投标报价为评标基准价，其价格分为满分20分。其他投标人的价格分统一按照下列公式计算：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投标报价得分=（评标基准价/投标报价）×20％×100（小数点后保留两位）。</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（二）外教管理公司组织及招聘管理方案（26分）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1、针对本项目管理</w:t>
      </w:r>
      <w:r>
        <w:rPr>
          <w:rFonts w:hint="eastAsia" w:ascii="宋体" w:hAnsi="宋体" w:eastAsia="宋体" w:cs="宋体"/>
          <w:sz w:val="24"/>
          <w:szCs w:val="24"/>
          <w:highlight w:val="none"/>
        </w:rPr>
        <w:t xml:space="preserve">制度及组织架构比较（4分）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方案内容应包括但不限于①管理制度；②投标人组织架构的内容。</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方案内容合理且详细的得4分；方案比较内容合理，比较详细的得2分；方案内容笼统的得1分；未提供不得分。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2、拟投入本项目的管理人员配备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4-5人</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得2分；6人及以上</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得4分。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拟投入本项目的管理人员学历比较：管理团队中有海外留学归国人才的，每提供一名得2分；具有硕士及以上学历的，每提供一名得2分；具有本科学历的，每提供一名得1分。以上人员学历不重复计分，仅按最高分得分一次。</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10分。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注：投标文件中需提供以上人员对应的劳动合同、社保、人员简历和学历证书等相关资质证明材料复印件；</w:t>
      </w:r>
      <w:r>
        <w:rPr>
          <w:rFonts w:hint="eastAsia" w:ascii="宋体" w:hAnsi="宋体" w:eastAsia="宋体" w:cs="宋体"/>
          <w:b/>
          <w:bCs/>
          <w:sz w:val="24"/>
          <w:szCs w:val="24"/>
          <w:highlight w:val="none"/>
          <w:lang w:val="en-US" w:eastAsia="zh-CN"/>
        </w:rPr>
        <w:t xml:space="preserve">未提供或提供不全的不得分；</w:t>
      </w:r>
      <w:r>
        <w:rPr>
          <w:rFonts w:hint="eastAsia" w:ascii="宋体" w:hAnsi="宋体" w:eastAsia="宋体" w:cs="宋体"/>
          <w:b/>
          <w:bCs/>
          <w:sz w:val="24"/>
          <w:szCs w:val="24"/>
          <w:highlight w:val="none"/>
        </w:rPr>
        <w:t xml:space="preserve">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4、针对外教人员管理方案比较（8分）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不限于①对外教人员的培训；②管理计划；③招聘计划；④组织实施的内容。</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方案内容详细且可行性强的得8分；方案内容比较详细，可行性比较强的得5分；方案内容笼统，可行性一般的得2分；未提供不得分。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（三）日常管理服务比较（9分）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不限于①外教人员的人事管理；②外教人员的日常生活管理；③外教人员的学术管理。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方案内容详细且可行性强的得9分；方案内容比较详细，可行性比较强的得6分；方案内容笼统，可行性一般的得3分；未提供不得分。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（四）延伸活动承办方案比较（6分）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不限于①承包活动具体流程；②确保活动成效方案；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方案内容详细且可行性强的得6分；方案内容比较详细，可行性比较强的得3分；方案内容笼统，可行性一般的得1分；未提供不得分。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（五）工作协调和人员调配措施（</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不限于①与用人学校的沟通协调工作安排；②人员调配应急措施；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方案内容详细且可行性强的得9分；方案内容比较详细，可行性比较强的得6分；方案内容笼统，可行性一般的得3分；未提供不得分。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）投标人履约能力比较（30分）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1、投标人具有相关国际教育行业背景，从事国际教育低于5年不得分；5-9年得2分；10-15年得3分；16年及以上得5分；本项最高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5分。</w:t>
      </w:r>
      <w:r>
        <w:rPr>
          <w:rFonts w:hint="eastAsia" w:ascii="宋体" w:hAnsi="宋体" w:eastAsia="宋体" w:cs="宋体"/>
          <w:b/>
          <w:bCs/>
          <w:sz w:val="24"/>
          <w:szCs w:val="24"/>
          <w:highlight w:val="none"/>
        </w:rPr>
        <w:t xml:space="preserve">（如证明材料涉及外语的须提供相关翻译说明）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2、投标人现有外教人员数量，少于</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人不得分；</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6-8</w:t>
      </w:r>
      <w:r>
        <w:rPr>
          <w:rFonts w:hint="eastAsia" w:ascii="宋体" w:hAnsi="宋体" w:eastAsia="宋体" w:cs="宋体"/>
          <w:sz w:val="24"/>
          <w:szCs w:val="24"/>
          <w:highlight w:val="none"/>
        </w:rPr>
        <w:t xml:space="preserve">人得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5分。</w:t>
      </w:r>
      <w:r>
        <w:rPr>
          <w:rFonts w:hint="eastAsia" w:ascii="宋体" w:hAnsi="宋体" w:eastAsia="宋体" w:cs="宋体"/>
          <w:b/>
          <w:bCs/>
          <w:sz w:val="24"/>
          <w:szCs w:val="24"/>
          <w:highlight w:val="none"/>
        </w:rPr>
        <w:t xml:space="preserve">（投标文件中需提供相关外教的个人简历及外教来华工作许可证、出入境签发的居留许可证扫描件与投标在有效期内的合同文本，</w:t>
      </w:r>
      <w:r>
        <w:rPr>
          <w:rFonts w:hint="eastAsia" w:ascii="宋体" w:hAnsi="宋体" w:eastAsia="宋体" w:cs="宋体"/>
          <w:b/>
          <w:bCs/>
          <w:sz w:val="24"/>
          <w:szCs w:val="24"/>
          <w:highlight w:val="none"/>
          <w:lang w:val="en-US" w:eastAsia="zh-CN"/>
        </w:rPr>
        <w:t xml:space="preserve">未提供或提供不全的不得分；</w:t>
      </w:r>
      <w:r>
        <w:rPr>
          <w:rFonts w:hint="eastAsia" w:ascii="宋体" w:hAnsi="宋体" w:eastAsia="宋体" w:cs="宋体"/>
          <w:b/>
          <w:bCs/>
          <w:sz w:val="24"/>
          <w:szCs w:val="24"/>
          <w:highlight w:val="none"/>
        </w:rPr>
        <w:t xml:space="preserve">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3、投标人现有外教人员具有硕士及以上学历</w:t>
      </w:r>
      <w:r>
        <w:rPr>
          <w:rFonts w:hint="eastAsia" w:ascii="宋体" w:hAnsi="宋体" w:eastAsia="宋体" w:cs="宋体"/>
          <w:sz w:val="24"/>
          <w:szCs w:val="24"/>
        </w:rPr>
        <w:t xml:space="preserve">的，每有一个得2分。最高8分</w:t>
      </w:r>
      <w:r>
        <w:rPr>
          <w:rFonts w:hint="eastAsia" w:ascii="宋体" w:hAnsi="宋体" w:eastAsia="宋体" w:cs="宋体"/>
          <w:b/>
          <w:bCs/>
          <w:sz w:val="24"/>
          <w:szCs w:val="24"/>
        </w:rPr>
        <w:t xml:space="preserve">（投标文件中提供对应外教人员的学历证书及任职期间外教来华工作许可证及出入境签发的居留许可证扫描件，一年一份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未提供或提供不全的不得分；</w:t>
      </w:r>
      <w:r>
        <w:rPr>
          <w:rFonts w:hint="eastAsia" w:ascii="宋体" w:hAnsi="宋体" w:eastAsia="宋体" w:cs="宋体"/>
          <w:b/>
          <w:bCs/>
          <w:sz w:val="24"/>
          <w:szCs w:val="24"/>
        </w:rPr>
        <w:t xml:space="preserve">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投标人</w:t>
      </w:r>
      <w:r>
        <w:rPr>
          <w:rFonts w:hint="eastAsia" w:ascii="宋体" w:hAnsi="宋体" w:eastAsia="宋体" w:cs="宋体"/>
          <w:bCs/>
          <w:sz w:val="24"/>
          <w:szCs w:val="24"/>
          <w:lang w:val="en-US" w:eastAsia="zh-CN"/>
        </w:rPr>
        <w:t xml:space="preserve">2021年1月1日至今（以合同签订时间为准）</w:t>
      </w:r>
      <w:r>
        <w:rPr>
          <w:rFonts w:hint="eastAsia" w:ascii="宋体" w:hAnsi="宋体" w:eastAsia="宋体" w:cs="宋体"/>
          <w:bCs/>
          <w:sz w:val="24"/>
          <w:szCs w:val="24"/>
        </w:rPr>
        <w:t xml:space="preserve">承接过类似</w:t>
      </w:r>
      <w:r>
        <w:rPr>
          <w:rFonts w:hint="eastAsia" w:ascii="宋体" w:hAnsi="宋体" w:eastAsia="宋体" w:cs="宋体"/>
          <w:bCs/>
          <w:sz w:val="24"/>
          <w:szCs w:val="24"/>
          <w:lang w:val="en-US" w:eastAsia="zh-CN"/>
        </w:rPr>
        <w:t xml:space="preserve">外教服务类</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的项目</w:t>
      </w:r>
      <w:r>
        <w:rPr>
          <w:rFonts w:hint="eastAsia" w:ascii="宋体" w:hAnsi="宋体" w:eastAsia="宋体" w:cs="宋体"/>
          <w:sz w:val="24"/>
          <w:szCs w:val="24"/>
        </w:rPr>
        <w:t xml:space="preserve">业绩评价表，盖章有效，每提供一份得1分，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4分。</w:t>
      </w:r>
      <w:r>
        <w:rPr>
          <w:rFonts w:hint="eastAsia" w:ascii="宋体" w:hAnsi="宋体" w:eastAsia="宋体" w:cs="宋体"/>
          <w:b/>
          <w:bCs/>
          <w:sz w:val="24"/>
          <w:szCs w:val="24"/>
        </w:rPr>
        <w:t xml:space="preserve">（投标</w:t>
      </w:r>
      <w:r>
        <w:rPr>
          <w:rFonts w:hint="eastAsia" w:ascii="宋体" w:hAnsi="宋体" w:eastAsia="宋体" w:cs="宋体"/>
          <w:b/>
          <w:bCs/>
          <w:sz w:val="24"/>
          <w:szCs w:val="24"/>
          <w:highlight w:val="none"/>
        </w:rPr>
        <w:t xml:space="preserve">文件中需提供相关证明材料复印件，如证明材料涉及外语的须提供相关翻译说明）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5、</w:t>
      </w:r>
      <w:r>
        <w:rPr>
          <w:rFonts w:hint="eastAsia" w:ascii="宋体" w:hAnsi="宋体" w:eastAsia="宋体" w:cs="宋体"/>
          <w:bCs/>
          <w:sz w:val="24"/>
          <w:szCs w:val="24"/>
          <w:highlight w:val="none"/>
        </w:rPr>
        <w:t xml:space="preserve">投标人</w:t>
      </w:r>
      <w:r>
        <w:rPr>
          <w:rFonts w:hint="eastAsia" w:ascii="宋体" w:hAnsi="宋体" w:eastAsia="宋体" w:cs="宋体"/>
          <w:bCs/>
          <w:sz w:val="24"/>
          <w:szCs w:val="24"/>
          <w:highlight w:val="none"/>
          <w:lang w:val="en-US" w:eastAsia="zh-CN"/>
        </w:rPr>
        <w:t xml:space="preserve">2021年1月1日至今（以合同签订时间为准）</w:t>
      </w:r>
      <w:r>
        <w:rPr>
          <w:rFonts w:hint="eastAsia" w:ascii="宋体" w:hAnsi="宋体" w:eastAsia="宋体" w:cs="宋体"/>
          <w:bCs/>
          <w:sz w:val="24"/>
          <w:szCs w:val="24"/>
          <w:highlight w:val="none"/>
        </w:rPr>
        <w:t xml:space="preserve">承接过</w:t>
      </w:r>
      <w:r>
        <w:rPr>
          <w:rFonts w:hint="eastAsia" w:ascii="宋体" w:hAnsi="宋体" w:eastAsia="宋体" w:cs="宋体"/>
          <w:bCs/>
          <w:sz w:val="24"/>
          <w:szCs w:val="24"/>
        </w:rPr>
        <w:t xml:space="preserve">类似</w:t>
      </w:r>
      <w:r>
        <w:rPr>
          <w:rFonts w:hint="eastAsia" w:ascii="宋体" w:hAnsi="宋体" w:eastAsia="宋体" w:cs="宋体"/>
          <w:bCs/>
          <w:sz w:val="24"/>
          <w:szCs w:val="24"/>
          <w:lang w:val="en-US" w:eastAsia="zh-CN"/>
        </w:rPr>
        <w:t xml:space="preserve">外教服务类</w:t>
      </w:r>
      <w:r>
        <w:rPr>
          <w:rFonts w:hint="eastAsia" w:ascii="宋体" w:hAnsi="宋体" w:eastAsia="宋体" w:cs="宋体"/>
          <w:bCs/>
          <w:sz w:val="24"/>
          <w:szCs w:val="24"/>
          <w:highlight w:val="none"/>
        </w:rPr>
        <w:t xml:space="preserve">项目的，提供</w:t>
      </w:r>
      <w:r>
        <w:rPr>
          <w:rFonts w:hint="eastAsia" w:ascii="宋体" w:hAnsi="宋体" w:eastAsia="宋体" w:cs="宋体"/>
          <w:bCs/>
          <w:sz w:val="24"/>
          <w:szCs w:val="24"/>
        </w:rPr>
        <w:t xml:space="preserve">相关合同复印件，</w:t>
      </w:r>
      <w:r>
        <w:rPr>
          <w:rFonts w:hint="eastAsia" w:ascii="宋体" w:hAnsi="宋体" w:eastAsia="宋体" w:cs="宋体"/>
          <w:sz w:val="24"/>
          <w:szCs w:val="24"/>
        </w:rPr>
        <w:t xml:space="preserve">每提供一份得2分，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8分。</w:t>
      </w:r>
      <w:r>
        <w:rPr>
          <w:rFonts w:hint="eastAsia" w:ascii="宋体" w:hAnsi="宋体" w:eastAsia="宋体" w:cs="宋体"/>
          <w:b/>
          <w:bCs/>
          <w:sz w:val="24"/>
          <w:szCs w:val="24"/>
        </w:rPr>
        <w:t xml:space="preserve">（投标文件中需提供相关证明材料复印件，如证明材料涉及外语的须提供相关翻译说明）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注：1.报价超过采购预算的将不进入综合评审程序，也不得中标。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宋体">
    <w:panose1 w:val="02010600030101010101"/>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ind w:right="360"/>
    </w:pPr>
    <w:r>
      <w:rPr>
        <w:rFonts w:hint="eastAsia"/>
      </w:rPr>
      <w:t xml:space="preserve">苏州鸿鑫工程咨询有限公司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37</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JSZC-320500-SZHX-G2026-0027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73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2"/>
      <w:numFmt w:val="decimal"/>
      <w:pStyle w:val="77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66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3"/>
    <w:uiPriority w:val="9"/>
    <w:rPr>
      <w:rFonts w:ascii="Arial" w:hAnsi="Arial" w:eastAsia="Arial" w:cs="Arial"/>
      <w:sz w:val="40"/>
      <w:szCs w:val="40"/>
    </w:rPr>
  </w:style>
  <w:style w:type="character" w:styleId="15">
    <w:name w:val="Heading 2 Char"/>
    <w:basedOn w:val="659"/>
    <w:link w:val="654"/>
    <w:uiPriority w:val="9"/>
    <w:rPr>
      <w:rFonts w:ascii="Arial" w:hAnsi="Arial" w:eastAsia="Arial" w:cs="Arial"/>
      <w:sz w:val="34"/>
    </w:rPr>
  </w:style>
  <w:style w:type="character" w:styleId="17">
    <w:name w:val="Heading 3 Char"/>
    <w:basedOn w:val="659"/>
    <w:link w:val="655"/>
    <w:uiPriority w:val="9"/>
    <w:rPr>
      <w:rFonts w:ascii="Arial" w:hAnsi="Arial" w:eastAsia="Arial" w:cs="Arial"/>
      <w:sz w:val="30"/>
      <w:szCs w:val="30"/>
    </w:rPr>
  </w:style>
  <w:style w:type="character" w:styleId="19">
    <w:name w:val="Heading 4 Char"/>
    <w:basedOn w:val="659"/>
    <w:link w:val="656"/>
    <w:uiPriority w:val="9"/>
    <w:rPr>
      <w:rFonts w:ascii="Arial" w:hAnsi="Arial" w:eastAsia="Arial" w:cs="Arial"/>
      <w:b/>
      <w:bCs/>
      <w:sz w:val="26"/>
      <w:szCs w:val="26"/>
    </w:rPr>
  </w:style>
  <w:style w:type="character" w:styleId="21">
    <w:name w:val="Heading 5 Char"/>
    <w:basedOn w:val="659"/>
    <w:link w:val="657"/>
    <w:uiPriority w:val="9"/>
    <w:rPr>
      <w:rFonts w:ascii="Arial" w:hAnsi="Arial" w:eastAsia="Arial" w:cs="Arial"/>
      <w:b/>
      <w:bCs/>
      <w:sz w:val="24"/>
      <w:szCs w:val="24"/>
    </w:rPr>
  </w:style>
  <w:style w:type="character" w:styleId="23">
    <w:name w:val="Heading 6 Char"/>
    <w:basedOn w:val="659"/>
    <w:link w:val="658"/>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59"/>
    <w:link w:val="701"/>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85"/>
    <w:uiPriority w:val="99"/>
  </w:style>
  <w:style w:type="character" w:styleId="44">
    <w:name w:val="Footer Char"/>
    <w:basedOn w:val="659"/>
    <w:link w:val="684"/>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84"/>
    <w:uiPriority w:val="99"/>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90"/>
    <w:uiPriority w:val="99"/>
    <w:rPr>
      <w:sz w:val="18"/>
    </w:rPr>
  </w:style>
  <w:style w:type="character" w:styleId="178">
    <w:name w:val="Endnote Text Char"/>
    <w:link w:val="682"/>
    <w:uiPriority w:val="99"/>
    <w:rPr>
      <w:sz w:val="20"/>
    </w:rPr>
  </w:style>
  <w:style w:type="paragraph" w:styleId="189">
    <w:name w:val="TOC Heading"/>
    <w:uiPriority w:val="39"/>
    <w:unhideWhenUsed/>
  </w:style>
  <w:style w:type="paragraph" w:styleId="652" w:default="1">
    <w:name w:val="Normal"/>
    <w:next w:val="657"/>
    <w:uiPriority w:val="0"/>
    <w:qFormat/>
    <w:pPr>
      <w:jc w:val="both"/>
      <w:widowControl w:val="off"/>
    </w:pPr>
    <w:rPr>
      <w:rFonts w:ascii="Times New Roman" w:hAnsi="Times New Roman" w:eastAsia="楷体_GB2312" w:cs="Times New Roman"/>
      <w:sz w:val="26"/>
      <w:lang w:val="en-US" w:eastAsia="zh-CN" w:bidi="ar-SA"/>
    </w:rPr>
  </w:style>
  <w:style w:type="paragraph" w:styleId="653">
    <w:name w:val="Heading 1"/>
    <w:basedOn w:val="652"/>
    <w:next w:val="652"/>
    <w:link w:val="713"/>
    <w:uiPriority w:val="0"/>
    <w:qFormat/>
    <w:pPr>
      <w:keepLines/>
      <w:keepNext/>
      <w:spacing w:before="340" w:after="330" w:line="578" w:lineRule="auto"/>
      <w:outlineLvl w:val="0"/>
    </w:pPr>
    <w:rPr>
      <w:b/>
      <w:sz w:val="44"/>
    </w:rPr>
  </w:style>
  <w:style w:type="paragraph" w:styleId="654">
    <w:name w:val="Heading 2"/>
    <w:basedOn w:val="652"/>
    <w:next w:val="652"/>
    <w:link w:val="714"/>
    <w:uiPriority w:val="0"/>
    <w:qFormat/>
    <w:pPr>
      <w:jc w:val="left"/>
      <w:keepLines/>
      <w:keepNext/>
      <w:outlineLvl w:val="1"/>
    </w:pPr>
    <w:rPr>
      <w:rFonts w:asciiTheme="minorEastAsia" w:hAnsiTheme="minorEastAsia" w:eastAsiaTheme="minorEastAsia"/>
      <w:b/>
      <w:bCs/>
      <w:sz w:val="21"/>
      <w:szCs w:val="21"/>
    </w:rPr>
  </w:style>
  <w:style w:type="paragraph" w:styleId="655">
    <w:name w:val="Heading 3"/>
    <w:basedOn w:val="652"/>
    <w:next w:val="652"/>
    <w:link w:val="715"/>
    <w:uiPriority w:val="0"/>
    <w:qFormat/>
    <w:pPr>
      <w:jc w:val="left"/>
      <w:keepLines/>
      <w:keepNext/>
      <w:outlineLvl w:val="2"/>
    </w:pPr>
    <w:rPr>
      <w:b/>
    </w:rPr>
  </w:style>
  <w:style w:type="paragraph" w:styleId="656">
    <w:name w:val="Heading 4"/>
    <w:basedOn w:val="652"/>
    <w:next w:val="652"/>
    <w:link w:val="716"/>
    <w:uiPriority w:val="0"/>
    <w:qFormat/>
    <w:pPr>
      <w:keepLines/>
      <w:keepNext/>
      <w:spacing w:before="280" w:after="290" w:line="376" w:lineRule="auto"/>
      <w:outlineLvl w:val="3"/>
    </w:pPr>
    <w:rPr>
      <w:rFonts w:ascii="Arial" w:hAnsi="Arial" w:eastAsia="黑体"/>
      <w:b/>
      <w:bCs/>
      <w:sz w:val="28"/>
      <w:szCs w:val="28"/>
    </w:rPr>
  </w:style>
  <w:style w:type="paragraph" w:styleId="657">
    <w:name w:val="Heading 5"/>
    <w:basedOn w:val="661"/>
    <w:next w:val="662"/>
    <w:link w:val="717"/>
    <w:uiPriority w:val="0"/>
    <w:unhideWhenUsed/>
    <w:qFormat/>
    <w:pPr>
      <w:keepLines/>
      <w:keepNext/>
      <w:spacing w:before="280" w:after="290" w:line="376" w:lineRule="auto"/>
      <w:tabs>
        <w:tab w:val="left" w:pos="780" w:leader="none"/>
      </w:tabs>
      <w:outlineLvl w:val="4"/>
    </w:pPr>
    <w:rPr>
      <w:b/>
      <w:bCs/>
      <w:sz w:val="28"/>
      <w:szCs w:val="28"/>
    </w:rPr>
  </w:style>
  <w:style w:type="paragraph" w:styleId="658">
    <w:name w:val="Heading 6"/>
    <w:basedOn w:val="652"/>
    <w:next w:val="652"/>
    <w:link w:val="718"/>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List Number 2"/>
    <w:basedOn w:val="652"/>
    <w:uiPriority w:val="0"/>
    <w:semiHidden/>
    <w:unhideWhenUsed/>
    <w:qFormat/>
    <w:pPr>
      <w:numPr>
        <w:ilvl w:val="0"/>
        <w:numId w:val="1"/>
      </w:numPr>
    </w:pPr>
  </w:style>
  <w:style w:type="paragraph" w:styleId="662">
    <w:name w:val="Normal (Web)"/>
    <w:basedOn w:val="652"/>
    <w:next w:val="663"/>
    <w:uiPriority w:val="0"/>
    <w:qFormat/>
    <w:pPr>
      <w:jc w:val="left"/>
      <w:spacing w:before="100" w:beforeAutospacing="1" w:after="100" w:afterAutospacing="1"/>
    </w:pPr>
    <w:rPr>
      <w:rFonts w:ascii="Calibri" w:hAnsi="Calibri"/>
      <w:sz w:val="24"/>
      <w:szCs w:val="22"/>
    </w:rPr>
  </w:style>
  <w:style w:type="paragraph" w:styleId="663">
    <w:name w:val="List 2"/>
    <w:basedOn w:val="653"/>
    <w:next w:val="664"/>
    <w:uiPriority w:val="0"/>
    <w:qFormat/>
    <w:pPr>
      <w:ind w:left="100" w:firstLine="3640"/>
      <w:spacing w:before="0" w:after="0"/>
    </w:pPr>
    <w:rPr>
      <w:rFonts w:ascii="Times New Roman" w:hAnsi="Times New Roman" w:eastAsia="宋体" w:cs="Times New Roman"/>
    </w:rPr>
  </w:style>
  <w:style w:type="paragraph" w:styleId="664">
    <w:name w:val="toc 7"/>
    <w:basedOn w:val="653"/>
    <w:next w:val="652"/>
    <w:uiPriority w:val="0"/>
    <w:semiHidden/>
    <w:qFormat/>
    <w:pPr>
      <w:ind w:left="2520"/>
    </w:pPr>
  </w:style>
  <w:style w:type="paragraph" w:styleId="665">
    <w:name w:val="index 8"/>
    <w:basedOn w:val="652"/>
    <w:next w:val="652"/>
    <w:uiPriority w:val="0"/>
    <w:semiHidden/>
    <w:qFormat/>
    <w:pPr>
      <w:ind w:left="2940"/>
    </w:pPr>
  </w:style>
  <w:style w:type="paragraph" w:styleId="666">
    <w:name w:val="List Number"/>
    <w:basedOn w:val="652"/>
    <w:uiPriority w:val="0"/>
    <w:qFormat/>
    <w:pPr>
      <w:ind w:left="502" w:hanging="360"/>
      <w:tabs>
        <w:tab w:val="left" w:pos="420" w:leader="none"/>
      </w:tabs>
    </w:pPr>
    <w:rPr>
      <w:rFonts w:eastAsia="宋体"/>
      <w:sz w:val="21"/>
    </w:rPr>
  </w:style>
  <w:style w:type="paragraph" w:styleId="667">
    <w:name w:val="Normal Indent"/>
    <w:basedOn w:val="652"/>
    <w:link w:val="721"/>
    <w:uiPriority w:val="0"/>
    <w:qFormat/>
    <w:pPr>
      <w:ind w:firstLine="420"/>
      <w:jc w:val="left"/>
    </w:pPr>
    <w:rPr>
      <w:sz w:val="24"/>
    </w:rPr>
  </w:style>
  <w:style w:type="paragraph" w:styleId="668">
    <w:name w:val="index 5"/>
    <w:basedOn w:val="652"/>
    <w:next w:val="652"/>
    <w:uiPriority w:val="0"/>
    <w:semiHidden/>
    <w:qFormat/>
    <w:pPr>
      <w:ind w:left="1680"/>
    </w:pPr>
  </w:style>
  <w:style w:type="paragraph" w:styleId="669">
    <w:name w:val="Document Map"/>
    <w:basedOn w:val="652"/>
    <w:link w:val="722"/>
    <w:uiPriority w:val="0"/>
    <w:qFormat/>
    <w:pPr>
      <w:shd w:val="clear" w:color="auto" w:fill="000080"/>
    </w:pPr>
  </w:style>
  <w:style w:type="paragraph" w:styleId="670">
    <w:name w:val="annotation text"/>
    <w:basedOn w:val="652"/>
    <w:link w:val="719"/>
    <w:uiPriority w:val="0"/>
    <w:qFormat/>
    <w:pPr>
      <w:jc w:val="left"/>
    </w:pPr>
  </w:style>
  <w:style w:type="paragraph" w:styleId="671">
    <w:name w:val="index 6"/>
    <w:basedOn w:val="652"/>
    <w:next w:val="652"/>
    <w:uiPriority w:val="0"/>
    <w:semiHidden/>
    <w:qFormat/>
    <w:pPr>
      <w:ind w:left="2100"/>
    </w:pPr>
  </w:style>
  <w:style w:type="paragraph" w:styleId="672">
    <w:name w:val="Body Text"/>
    <w:basedOn w:val="652"/>
    <w:link w:val="723"/>
    <w:uiPriority w:val="0"/>
    <w:qFormat/>
    <w:pPr>
      <w:spacing w:line="400" w:lineRule="exact"/>
    </w:pPr>
    <w:rPr>
      <w:rFonts w:ascii="楷体_GB2312"/>
      <w:sz w:val="28"/>
    </w:rPr>
  </w:style>
  <w:style w:type="paragraph" w:styleId="673">
    <w:name w:val="Body Text Indent"/>
    <w:basedOn w:val="652"/>
    <w:link w:val="724"/>
    <w:uiPriority w:val="0"/>
    <w:qFormat/>
    <w:pPr>
      <w:ind w:left="570"/>
      <w:spacing w:line="520" w:lineRule="exact"/>
    </w:pPr>
    <w:rPr>
      <w:rFonts w:ascii="方正仿宋简体" w:hAnsi="创艺简仿宋" w:eastAsia="方正仿宋简体"/>
      <w:sz w:val="24"/>
    </w:rPr>
  </w:style>
  <w:style w:type="paragraph" w:styleId="674">
    <w:name w:val="index 4"/>
    <w:basedOn w:val="652"/>
    <w:next w:val="652"/>
    <w:uiPriority w:val="0"/>
    <w:semiHidden/>
    <w:qFormat/>
    <w:pPr>
      <w:ind w:left="1260"/>
    </w:pPr>
  </w:style>
  <w:style w:type="paragraph" w:styleId="675">
    <w:name w:val="toc 5"/>
    <w:basedOn w:val="652"/>
    <w:next w:val="652"/>
    <w:uiPriority w:val="0"/>
    <w:semiHidden/>
    <w:qFormat/>
    <w:pPr>
      <w:ind w:left="1680"/>
    </w:pPr>
  </w:style>
  <w:style w:type="paragraph" w:styleId="676">
    <w:name w:val="toc 3"/>
    <w:basedOn w:val="652"/>
    <w:next w:val="652"/>
    <w:uiPriority w:val="0"/>
    <w:semiHidden/>
    <w:qFormat/>
    <w:pPr>
      <w:ind w:left="840"/>
    </w:pPr>
  </w:style>
  <w:style w:type="paragraph" w:styleId="677">
    <w:name w:val="Plain Text"/>
    <w:basedOn w:val="652"/>
    <w:link w:val="725"/>
    <w:uiPriority w:val="0"/>
    <w:qFormat/>
    <w:rPr>
      <w:rFonts w:ascii="宋体" w:hAnsi="Courier New"/>
    </w:rPr>
  </w:style>
  <w:style w:type="paragraph" w:styleId="678">
    <w:name w:val="toc 8"/>
    <w:basedOn w:val="652"/>
    <w:next w:val="652"/>
    <w:uiPriority w:val="0"/>
    <w:semiHidden/>
    <w:qFormat/>
    <w:pPr>
      <w:ind w:left="2940"/>
    </w:pPr>
  </w:style>
  <w:style w:type="paragraph" w:styleId="679">
    <w:name w:val="index 3"/>
    <w:basedOn w:val="652"/>
    <w:next w:val="652"/>
    <w:uiPriority w:val="0"/>
    <w:semiHidden/>
    <w:qFormat/>
    <w:pPr>
      <w:ind w:left="840"/>
    </w:pPr>
  </w:style>
  <w:style w:type="paragraph" w:styleId="680">
    <w:name w:val="Date"/>
    <w:basedOn w:val="652"/>
    <w:next w:val="652"/>
    <w:link w:val="726"/>
    <w:uiPriority w:val="0"/>
    <w:qFormat/>
    <w:rPr>
      <w:rFonts w:ascii="宋体" w:hAnsi="宋体"/>
      <w:sz w:val="24"/>
    </w:rPr>
  </w:style>
  <w:style w:type="paragraph" w:styleId="681">
    <w:name w:val="Body Text Indent 2"/>
    <w:basedOn w:val="652"/>
    <w:link w:val="727"/>
    <w:uiPriority w:val="0"/>
    <w:qFormat/>
    <w:pPr>
      <w:ind w:firstLine="502"/>
      <w:spacing w:line="360" w:lineRule="auto"/>
      <w:tabs>
        <w:tab w:val="left" w:pos="0" w:leader="none"/>
      </w:tabs>
    </w:pPr>
    <w:rPr>
      <w:rFonts w:ascii="宋体" w:eastAsia="宋体"/>
      <w:b/>
      <w:bCs/>
      <w:sz w:val="24"/>
    </w:rPr>
  </w:style>
  <w:style w:type="paragraph" w:styleId="682">
    <w:name w:val="endnote text"/>
    <w:basedOn w:val="652"/>
    <w:link w:val="728"/>
    <w:uiPriority w:val="0"/>
    <w:qFormat/>
    <w:pPr>
      <w:jc w:val="left"/>
    </w:pPr>
  </w:style>
  <w:style w:type="paragraph" w:styleId="683">
    <w:name w:val="Balloon Text"/>
    <w:basedOn w:val="652"/>
    <w:link w:val="729"/>
    <w:uiPriority w:val="99"/>
    <w:qFormat/>
    <w:rPr>
      <w:sz w:val="18"/>
      <w:szCs w:val="18"/>
    </w:rPr>
  </w:style>
  <w:style w:type="paragraph" w:styleId="684">
    <w:name w:val="Footer"/>
    <w:basedOn w:val="652"/>
    <w:link w:val="730"/>
    <w:uiPriority w:val="99"/>
    <w:qFormat/>
    <w:pPr>
      <w:jc w:val="left"/>
      <w:tabs>
        <w:tab w:val="center" w:pos="4153" w:leader="none"/>
        <w:tab w:val="right" w:pos="8306" w:leader="none"/>
      </w:tabs>
    </w:pPr>
    <w:rPr>
      <w:sz w:val="18"/>
    </w:rPr>
  </w:style>
  <w:style w:type="paragraph" w:styleId="685">
    <w:name w:val="Header"/>
    <w:basedOn w:val="652"/>
    <w:link w:val="731"/>
    <w:uiPriority w:val="99"/>
    <w:qFormat/>
    <w:pPr>
      <w:jc w:val="center"/>
      <w:tabs>
        <w:tab w:val="center" w:pos="4153" w:leader="none"/>
        <w:tab w:val="right" w:pos="8306" w:leader="none"/>
      </w:tabs>
      <w:pBdr>
        <w:bottom w:val="single" w:color="auto" w:sz="6" w:space="1"/>
      </w:pBdr>
    </w:pPr>
    <w:rPr>
      <w:sz w:val="18"/>
    </w:rPr>
  </w:style>
  <w:style w:type="paragraph" w:styleId="686">
    <w:name w:val="toc 1"/>
    <w:basedOn w:val="652"/>
    <w:next w:val="652"/>
    <w:uiPriority w:val="39"/>
    <w:qFormat/>
    <w:pPr>
      <w:jc w:val="left"/>
    </w:pPr>
    <w:rPr>
      <w:sz w:val="24"/>
    </w:rPr>
  </w:style>
  <w:style w:type="paragraph" w:styleId="687">
    <w:name w:val="toc 4"/>
    <w:basedOn w:val="652"/>
    <w:next w:val="652"/>
    <w:uiPriority w:val="0"/>
    <w:semiHidden/>
    <w:qFormat/>
    <w:pPr>
      <w:ind w:left="1260"/>
    </w:pPr>
  </w:style>
  <w:style w:type="paragraph" w:styleId="688">
    <w:name w:val="index heading"/>
    <w:basedOn w:val="652"/>
    <w:next w:val="689"/>
    <w:uiPriority w:val="0"/>
    <w:semiHidden/>
    <w:qFormat/>
  </w:style>
  <w:style w:type="paragraph" w:styleId="689">
    <w:name w:val="index 1"/>
    <w:basedOn w:val="652"/>
    <w:next w:val="652"/>
    <w:uiPriority w:val="0"/>
    <w:semiHidden/>
    <w:qFormat/>
  </w:style>
  <w:style w:type="paragraph" w:styleId="690">
    <w:name w:val="footnote text"/>
    <w:basedOn w:val="652"/>
    <w:link w:val="732"/>
    <w:uiPriority w:val="0"/>
    <w:semiHidden/>
    <w:qFormat/>
    <w:pPr>
      <w:jc w:val="left"/>
    </w:pPr>
    <w:rPr>
      <w:sz w:val="18"/>
    </w:rPr>
  </w:style>
  <w:style w:type="paragraph" w:styleId="691">
    <w:name w:val="toc 6"/>
    <w:basedOn w:val="652"/>
    <w:next w:val="652"/>
    <w:uiPriority w:val="0"/>
    <w:semiHidden/>
    <w:qFormat/>
    <w:pPr>
      <w:ind w:left="2100"/>
    </w:pPr>
  </w:style>
  <w:style w:type="paragraph" w:styleId="692">
    <w:name w:val="Body Text Indent 3"/>
    <w:basedOn w:val="652"/>
    <w:link w:val="733"/>
    <w:uiPriority w:val="0"/>
    <w:qFormat/>
    <w:pPr>
      <w:ind w:firstLine="617"/>
      <w:spacing w:line="360" w:lineRule="auto"/>
    </w:pPr>
    <w:rPr>
      <w:rFonts w:eastAsia="宋体"/>
      <w:sz w:val="24"/>
      <w:szCs w:val="24"/>
    </w:rPr>
  </w:style>
  <w:style w:type="paragraph" w:styleId="693">
    <w:name w:val="index 7"/>
    <w:basedOn w:val="652"/>
    <w:next w:val="652"/>
    <w:uiPriority w:val="0"/>
    <w:semiHidden/>
    <w:qFormat/>
    <w:pPr>
      <w:ind w:left="2520"/>
    </w:pPr>
  </w:style>
  <w:style w:type="paragraph" w:styleId="694">
    <w:name w:val="index 9"/>
    <w:basedOn w:val="652"/>
    <w:next w:val="652"/>
    <w:uiPriority w:val="0"/>
    <w:semiHidden/>
    <w:qFormat/>
    <w:pPr>
      <w:ind w:left="3360"/>
    </w:pPr>
  </w:style>
  <w:style w:type="paragraph" w:styleId="695">
    <w:name w:val="table of figures"/>
    <w:basedOn w:val="652"/>
    <w:next w:val="652"/>
    <w:uiPriority w:val="0"/>
    <w:semiHidden/>
    <w:qFormat/>
    <w:pPr>
      <w:ind w:left="420" w:hanging="420"/>
      <w:jc w:val="left"/>
    </w:pPr>
    <w:rPr>
      <w:smallCaps/>
      <w:sz w:val="24"/>
    </w:rPr>
  </w:style>
  <w:style w:type="paragraph" w:styleId="696">
    <w:name w:val="toc 2"/>
    <w:basedOn w:val="652"/>
    <w:next w:val="652"/>
    <w:uiPriority w:val="0"/>
    <w:semiHidden/>
    <w:qFormat/>
    <w:pPr>
      <w:ind w:left="420"/>
    </w:pPr>
  </w:style>
  <w:style w:type="paragraph" w:styleId="697">
    <w:name w:val="toc 9"/>
    <w:basedOn w:val="652"/>
    <w:next w:val="652"/>
    <w:uiPriority w:val="0"/>
    <w:semiHidden/>
    <w:qFormat/>
    <w:pPr>
      <w:ind w:left="3360"/>
    </w:pPr>
  </w:style>
  <w:style w:type="paragraph" w:styleId="698">
    <w:name w:val="Body Text 2"/>
    <w:basedOn w:val="652"/>
    <w:link w:val="734"/>
    <w:uiPriority w:val="0"/>
    <w:qFormat/>
    <w:pPr>
      <w:jc w:val="center"/>
      <w:spacing w:line="360" w:lineRule="auto"/>
    </w:pPr>
    <w:rPr>
      <w:rFonts w:eastAsia="宋体"/>
      <w:color w:val="ff00ff"/>
      <w:sz w:val="20"/>
    </w:rPr>
  </w:style>
  <w:style w:type="paragraph" w:styleId="699">
    <w:name w:val="HTML Preformatted"/>
    <w:basedOn w:val="652"/>
    <w:link w:val="7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0">
    <w:name w:val="index 2"/>
    <w:basedOn w:val="652"/>
    <w:next w:val="652"/>
    <w:uiPriority w:val="0"/>
    <w:semiHidden/>
    <w:qFormat/>
    <w:pPr>
      <w:ind w:left="420"/>
    </w:pPr>
  </w:style>
  <w:style w:type="paragraph" w:styleId="701">
    <w:name w:val="Title"/>
    <w:basedOn w:val="652"/>
    <w:next w:val="652"/>
    <w:link w:val="736"/>
    <w:uiPriority w:val="0"/>
    <w:qFormat/>
    <w:pPr>
      <w:jc w:val="center"/>
      <w:spacing w:before="240" w:after="60"/>
      <w:outlineLvl w:val="0"/>
    </w:pPr>
    <w:rPr>
      <w:rFonts w:ascii="Cambria" w:hAnsi="Cambria" w:eastAsia="宋体"/>
      <w:b/>
      <w:bCs/>
      <w:sz w:val="32"/>
      <w:szCs w:val="32"/>
    </w:rPr>
  </w:style>
  <w:style w:type="paragraph" w:styleId="702">
    <w:name w:val="annotation subject"/>
    <w:basedOn w:val="670"/>
    <w:next w:val="670"/>
    <w:link w:val="720"/>
    <w:uiPriority w:val="99"/>
    <w:qFormat/>
    <w:rPr>
      <w:b/>
      <w:bCs/>
    </w:rPr>
  </w:style>
  <w:style w:type="paragraph" w:styleId="703">
    <w:name w:val="Body Text First Indent 2"/>
    <w:basedOn w:val="673"/>
    <w:link w:val="852"/>
    <w:uiPriority w:val="0"/>
    <w:semiHidden/>
    <w:unhideWhenUsed/>
    <w:qFormat/>
    <w:pPr>
      <w:ind w:left="420" w:firstLine="420"/>
      <w:spacing w:after="120" w:line="240" w:lineRule="auto"/>
    </w:pPr>
    <w:rPr>
      <w:rFonts w:ascii="Times New Roman" w:hAnsi="Times New Roman" w:eastAsia="楷体_GB2312"/>
      <w:sz w:val="26"/>
    </w:rPr>
  </w:style>
  <w:style w:type="table" w:styleId="704">
    <w:name w:val="Table Grid"/>
    <w:basedOn w:val="66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5">
    <w:name w:val="Strong"/>
    <w:uiPriority w:val="0"/>
    <w:qFormat/>
    <w:rPr>
      <w:b/>
    </w:rPr>
  </w:style>
  <w:style w:type="character" w:styleId="706">
    <w:name w:val="endnote reference"/>
    <w:uiPriority w:val="0"/>
    <w:qFormat/>
    <w:rPr>
      <w:vertAlign w:val="superscript"/>
    </w:rPr>
  </w:style>
  <w:style w:type="character" w:styleId="707">
    <w:name w:val="page number"/>
    <w:basedOn w:val="659"/>
    <w:uiPriority w:val="0"/>
    <w:qFormat/>
  </w:style>
  <w:style w:type="character" w:styleId="708">
    <w:name w:val="Emphasis"/>
    <w:basedOn w:val="659"/>
    <w:uiPriority w:val="20"/>
    <w:qFormat/>
    <w:rPr>
      <w:i/>
      <w:iCs/>
    </w:rPr>
  </w:style>
  <w:style w:type="character" w:styleId="709">
    <w:name w:val="HTML Typewriter"/>
    <w:uiPriority w:val="0"/>
    <w:qFormat/>
    <w:rPr>
      <w:rFonts w:ascii="黑体" w:hAnsi="Courier New" w:eastAsia="黑体" w:cs="Courier New"/>
      <w:sz w:val="14"/>
      <w:szCs w:val="14"/>
    </w:rPr>
  </w:style>
  <w:style w:type="character" w:styleId="710">
    <w:name w:val="Hyperlink"/>
    <w:uiPriority w:val="99"/>
    <w:unhideWhenUsed/>
    <w:qFormat/>
    <w:rPr>
      <w:color w:val="0000ff"/>
      <w:u w:val="single"/>
    </w:rPr>
  </w:style>
  <w:style w:type="character" w:styleId="711">
    <w:name w:val="annotation reference"/>
    <w:basedOn w:val="659"/>
    <w:uiPriority w:val="0"/>
    <w:qFormat/>
    <w:rPr>
      <w:sz w:val="21"/>
      <w:szCs w:val="21"/>
    </w:rPr>
  </w:style>
  <w:style w:type="character" w:styleId="712">
    <w:name w:val="footnote reference"/>
    <w:uiPriority w:val="0"/>
    <w:semiHidden/>
    <w:qFormat/>
    <w:rPr>
      <w:vertAlign w:val="superscript"/>
    </w:rPr>
  </w:style>
  <w:style w:type="character" w:styleId="713" w:customStyle="1">
    <w:name w:val="标题 1 字符"/>
    <w:basedOn w:val="659"/>
    <w:link w:val="653"/>
    <w:uiPriority w:val="0"/>
    <w:qFormat/>
    <w:rPr>
      <w:rFonts w:eastAsia="楷体_GB2312"/>
      <w:b/>
      <w:sz w:val="44"/>
    </w:rPr>
  </w:style>
  <w:style w:type="character" w:styleId="714" w:customStyle="1">
    <w:name w:val="标题 2 字符"/>
    <w:link w:val="654"/>
    <w:uiPriority w:val="0"/>
    <w:qFormat/>
    <w:rPr>
      <w:rFonts w:cs="Times New Roman" w:asciiTheme="minorEastAsia" w:hAnsiTheme="minorEastAsia"/>
      <w:b/>
      <w:bCs/>
      <w:sz w:val="21"/>
      <w:szCs w:val="21"/>
    </w:rPr>
  </w:style>
  <w:style w:type="character" w:styleId="715" w:customStyle="1">
    <w:name w:val="标题 3 字符"/>
    <w:basedOn w:val="659"/>
    <w:link w:val="655"/>
    <w:uiPriority w:val="0"/>
    <w:qFormat/>
    <w:rPr>
      <w:rFonts w:eastAsia="楷体_GB2312"/>
      <w:b/>
      <w:sz w:val="26"/>
    </w:rPr>
  </w:style>
  <w:style w:type="character" w:styleId="716" w:customStyle="1">
    <w:name w:val="标题 4 字符"/>
    <w:basedOn w:val="659"/>
    <w:link w:val="656"/>
    <w:uiPriority w:val="0"/>
    <w:qFormat/>
    <w:rPr>
      <w:rFonts w:ascii="Arial" w:hAnsi="Arial" w:eastAsia="黑体"/>
      <w:b/>
      <w:bCs/>
      <w:sz w:val="28"/>
      <w:szCs w:val="28"/>
    </w:rPr>
  </w:style>
  <w:style w:type="character" w:styleId="717" w:customStyle="1">
    <w:name w:val="标题 5 字符"/>
    <w:link w:val="657"/>
    <w:uiPriority w:val="0"/>
    <w:qFormat/>
    <w:rPr>
      <w:rFonts w:eastAsia="楷体_GB2312"/>
      <w:b/>
      <w:bCs/>
      <w:sz w:val="28"/>
      <w:szCs w:val="28"/>
    </w:rPr>
  </w:style>
  <w:style w:type="character" w:styleId="718" w:customStyle="1">
    <w:name w:val="标题 6 字符"/>
    <w:basedOn w:val="659"/>
    <w:link w:val="658"/>
    <w:uiPriority w:val="0"/>
    <w:semiHidden/>
    <w:qFormat/>
    <w:rPr>
      <w:rFonts w:asciiTheme="majorHAnsi" w:hAnsiTheme="majorHAnsi" w:eastAsiaTheme="majorEastAsia" w:cstheme="majorBidi"/>
      <w:b/>
      <w:bCs/>
      <w:sz w:val="24"/>
      <w:szCs w:val="24"/>
    </w:rPr>
  </w:style>
  <w:style w:type="character" w:styleId="719" w:customStyle="1">
    <w:name w:val="批注文字 字符"/>
    <w:basedOn w:val="659"/>
    <w:link w:val="670"/>
    <w:uiPriority w:val="99"/>
    <w:qFormat/>
    <w:rPr>
      <w:rFonts w:eastAsia="楷体_GB2312"/>
      <w:sz w:val="26"/>
    </w:rPr>
  </w:style>
  <w:style w:type="character" w:styleId="720" w:customStyle="1">
    <w:name w:val="批注主题 字符"/>
    <w:basedOn w:val="719"/>
    <w:link w:val="702"/>
    <w:uiPriority w:val="99"/>
    <w:qFormat/>
    <w:rPr>
      <w:rFonts w:eastAsia="楷体_GB2312"/>
      <w:b/>
      <w:bCs/>
      <w:sz w:val="26"/>
    </w:rPr>
  </w:style>
  <w:style w:type="character" w:styleId="721" w:customStyle="1">
    <w:name w:val="正文缩进 字符"/>
    <w:link w:val="667"/>
    <w:uiPriority w:val="0"/>
    <w:qFormat/>
    <w:rPr>
      <w:rFonts w:eastAsia="楷体_GB2312"/>
      <w:sz w:val="24"/>
      <w:lang w:val="en-US" w:eastAsia="zh-CN" w:bidi="ar-SA"/>
    </w:rPr>
  </w:style>
  <w:style w:type="character" w:styleId="722" w:customStyle="1">
    <w:name w:val="文档结构图 字符"/>
    <w:basedOn w:val="659"/>
    <w:link w:val="669"/>
    <w:uiPriority w:val="0"/>
    <w:qFormat/>
    <w:rPr>
      <w:rFonts w:eastAsia="楷体_GB2312"/>
      <w:sz w:val="26"/>
      <w:shd w:val="clear" w:color="auto" w:fill="000080"/>
    </w:rPr>
  </w:style>
  <w:style w:type="character" w:styleId="723" w:customStyle="1">
    <w:name w:val="正文文本 字符"/>
    <w:link w:val="672"/>
    <w:uiPriority w:val="0"/>
    <w:qFormat/>
    <w:rPr>
      <w:rFonts w:ascii="楷体_GB2312" w:eastAsia="楷体_GB2312"/>
      <w:sz w:val="28"/>
    </w:rPr>
  </w:style>
  <w:style w:type="character" w:styleId="724" w:customStyle="1">
    <w:name w:val="正文文本缩进 字符"/>
    <w:link w:val="673"/>
    <w:uiPriority w:val="0"/>
    <w:qFormat/>
    <w:rPr>
      <w:rFonts w:ascii="方正仿宋简体" w:hAnsi="创艺简仿宋" w:eastAsia="方正仿宋简体"/>
      <w:sz w:val="24"/>
    </w:rPr>
  </w:style>
  <w:style w:type="character" w:styleId="725" w:customStyle="1">
    <w:name w:val="纯文本 字符"/>
    <w:link w:val="677"/>
    <w:uiPriority w:val="0"/>
    <w:qFormat/>
    <w:rPr>
      <w:rFonts w:ascii="宋体" w:hAnsi="Courier New" w:eastAsia="楷体_GB2312"/>
      <w:sz w:val="26"/>
    </w:rPr>
  </w:style>
  <w:style w:type="character" w:styleId="726" w:customStyle="1">
    <w:name w:val="日期 字符"/>
    <w:basedOn w:val="659"/>
    <w:link w:val="680"/>
    <w:uiPriority w:val="0"/>
    <w:qFormat/>
    <w:rPr>
      <w:rFonts w:ascii="宋体" w:hAnsi="宋体" w:eastAsia="楷体_GB2312"/>
      <w:sz w:val="24"/>
    </w:rPr>
  </w:style>
  <w:style w:type="character" w:styleId="727" w:customStyle="1">
    <w:name w:val="正文文本缩进 2 字符"/>
    <w:basedOn w:val="659"/>
    <w:link w:val="681"/>
    <w:uiPriority w:val="0"/>
    <w:qFormat/>
    <w:rPr>
      <w:rFonts w:ascii="宋体"/>
      <w:b/>
      <w:bCs/>
      <w:sz w:val="24"/>
    </w:rPr>
  </w:style>
  <w:style w:type="character" w:styleId="728" w:customStyle="1">
    <w:name w:val="尾注文本 字符"/>
    <w:link w:val="682"/>
    <w:uiPriority w:val="0"/>
    <w:qFormat/>
    <w:rPr>
      <w:rFonts w:eastAsia="楷体_GB2312"/>
      <w:sz w:val="26"/>
    </w:rPr>
  </w:style>
  <w:style w:type="character" w:styleId="729" w:customStyle="1">
    <w:name w:val="批注框文本 字符"/>
    <w:link w:val="683"/>
    <w:uiPriority w:val="99"/>
    <w:qFormat/>
    <w:rPr>
      <w:rFonts w:eastAsia="楷体_GB2312"/>
      <w:sz w:val="18"/>
      <w:szCs w:val="18"/>
    </w:rPr>
  </w:style>
  <w:style w:type="character" w:styleId="730" w:customStyle="1">
    <w:name w:val="页脚 字符"/>
    <w:link w:val="684"/>
    <w:uiPriority w:val="99"/>
    <w:qFormat/>
    <w:rPr>
      <w:rFonts w:eastAsia="楷体_GB2312"/>
      <w:sz w:val="18"/>
    </w:rPr>
  </w:style>
  <w:style w:type="character" w:styleId="731" w:customStyle="1">
    <w:name w:val="页眉 字符"/>
    <w:link w:val="685"/>
    <w:uiPriority w:val="99"/>
    <w:qFormat/>
    <w:rPr>
      <w:rFonts w:eastAsia="楷体_GB2312"/>
      <w:sz w:val="18"/>
    </w:rPr>
  </w:style>
  <w:style w:type="character" w:styleId="732" w:customStyle="1">
    <w:name w:val="脚注文本 字符"/>
    <w:basedOn w:val="659"/>
    <w:link w:val="690"/>
    <w:uiPriority w:val="0"/>
    <w:semiHidden/>
    <w:qFormat/>
    <w:rPr>
      <w:rFonts w:eastAsia="楷体_GB2312"/>
      <w:sz w:val="18"/>
    </w:rPr>
  </w:style>
  <w:style w:type="character" w:styleId="733" w:customStyle="1">
    <w:name w:val="正文文本缩进 3 字符"/>
    <w:link w:val="692"/>
    <w:uiPriority w:val="0"/>
    <w:qFormat/>
    <w:rPr>
      <w:sz w:val="24"/>
      <w:szCs w:val="24"/>
    </w:rPr>
  </w:style>
  <w:style w:type="character" w:styleId="734" w:customStyle="1">
    <w:name w:val="正文文本 2 字符"/>
    <w:basedOn w:val="659"/>
    <w:link w:val="698"/>
    <w:uiPriority w:val="99"/>
    <w:qFormat/>
    <w:rPr>
      <w:rFonts w:eastAsia="楷体_GB2312"/>
      <w:sz w:val="26"/>
    </w:rPr>
  </w:style>
  <w:style w:type="character" w:styleId="735" w:customStyle="1">
    <w:name w:val="HTML 预设格式 字符"/>
    <w:basedOn w:val="659"/>
    <w:link w:val="699"/>
    <w:uiPriority w:val="0"/>
    <w:qFormat/>
    <w:rPr>
      <w:rFonts w:ascii="黑体" w:hAnsi="Courier New" w:eastAsia="黑体" w:cs="楷体_GB2312"/>
    </w:rPr>
  </w:style>
  <w:style w:type="character" w:styleId="736" w:customStyle="1">
    <w:name w:val="标题 字符"/>
    <w:basedOn w:val="659"/>
    <w:link w:val="701"/>
    <w:uiPriority w:val="0"/>
    <w:qFormat/>
    <w:rPr>
      <w:rFonts w:ascii="Cambria" w:hAnsi="Cambria"/>
      <w:b/>
      <w:bCs/>
      <w:sz w:val="32"/>
      <w:szCs w:val="32"/>
    </w:rPr>
  </w:style>
  <w:style w:type="character" w:styleId="737" w:customStyle="1">
    <w:name w:val="访问过的超链接1"/>
    <w:uiPriority w:val="99"/>
    <w:unhideWhenUsed/>
    <w:qFormat/>
    <w:rPr>
      <w:color w:val="800080"/>
      <w:u w:val="single"/>
    </w:rPr>
  </w:style>
  <w:style w:type="character" w:styleId="738" w:customStyle="1">
    <w:name w:val="Andy_2级 Char"/>
    <w:link w:val="739"/>
    <w:uiPriority w:val="0"/>
    <w:qFormat/>
    <w:rPr>
      <w:rFonts w:ascii="Calibri" w:hAnsi="Calibri"/>
      <w:sz w:val="24"/>
    </w:rPr>
  </w:style>
  <w:style w:type="paragraph" w:styleId="739" w:customStyle="1">
    <w:name w:val="Andy_2级"/>
    <w:basedOn w:val="652"/>
    <w:link w:val="738"/>
    <w:uiPriority w:val="0"/>
    <w:qFormat/>
    <w:pPr>
      <w:numPr>
        <w:ilvl w:val="1"/>
        <w:numId w:val="2"/>
      </w:numPr>
      <w:spacing w:line="360" w:lineRule="auto"/>
    </w:pPr>
    <w:rPr>
      <w:rFonts w:ascii="Calibri" w:hAnsi="Calibri" w:eastAsia="宋体"/>
      <w:sz w:val="24"/>
    </w:rPr>
  </w:style>
  <w:style w:type="character" w:styleId="740" w:customStyle="1">
    <w:name w:val="表正文 Char1"/>
    <w:uiPriority w:val="0"/>
    <w:qFormat/>
    <w:rPr>
      <w:rFonts w:eastAsia="楷体_GB2312"/>
      <w:sz w:val="24"/>
      <w:lang w:val="en-US" w:eastAsia="zh-CN" w:bidi="ar-SA"/>
    </w:rPr>
  </w:style>
  <w:style w:type="character" w:styleId="741" w:customStyle="1">
    <w:name w:val="ca-221"/>
    <w:uiPriority w:val="0"/>
    <w:qFormat/>
    <w:rPr>
      <w:rFonts w:hint="eastAsia" w:ascii="宋体" w:hAnsi="宋体" w:eastAsia="宋体"/>
      <w:color w:val="ff0000"/>
      <w:sz w:val="24"/>
      <w:szCs w:val="24"/>
    </w:rPr>
  </w:style>
  <w:style w:type="paragraph" w:styleId="742" w:customStyle="1">
    <w:name w:val="xl94"/>
    <w:basedOn w:val="652"/>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743" w:customStyle="1">
    <w:name w:val="xl68"/>
    <w:basedOn w:val="65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744" w:customStyle="1">
    <w:name w:val="xl70"/>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745" w:customStyle="1">
    <w:name w:val="xl87"/>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746" w:customStyle="1">
    <w:name w:val="xl96"/>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747" w:customStyle="1">
    <w:name w:val="xl91"/>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48" w:customStyle="1">
    <w:name w:val="xl78"/>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74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750" w:customStyle="1">
    <w:name w:val="xl93"/>
    <w:basedOn w:val="65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751" w:customStyle="1">
    <w:name w:val="Char"/>
    <w:basedOn w:val="652"/>
    <w:uiPriority w:val="0"/>
    <w:qFormat/>
    <w:rPr>
      <w:rFonts w:ascii="Tahoma" w:hAnsi="Tahoma" w:eastAsia="宋体"/>
      <w:sz w:val="24"/>
    </w:rPr>
  </w:style>
  <w:style w:type="paragraph" w:styleId="752" w:customStyle="1">
    <w:name w:val="纯文本1"/>
    <w:basedOn w:val="652"/>
    <w:uiPriority w:val="0"/>
    <w:qFormat/>
    <w:rPr>
      <w:rFonts w:ascii="宋体" w:hAnsi="Courier New"/>
    </w:rPr>
  </w:style>
  <w:style w:type="paragraph" w:styleId="753" w:customStyle="1">
    <w:name w:val="纯文本2"/>
    <w:basedOn w:val="652"/>
    <w:uiPriority w:val="0"/>
    <w:qFormat/>
    <w:rPr>
      <w:rFonts w:ascii="宋体" w:hAnsi="Courier New"/>
    </w:rPr>
  </w:style>
  <w:style w:type="paragraph" w:styleId="754" w:customStyle="1">
    <w:name w:val="纯文本3"/>
    <w:basedOn w:val="652"/>
    <w:link w:val="755"/>
    <w:uiPriority w:val="0"/>
    <w:qFormat/>
    <w:rPr>
      <w:rFonts w:ascii="宋体" w:hAnsi="Courier New"/>
    </w:rPr>
  </w:style>
  <w:style w:type="character" w:styleId="755" w:customStyle="1">
    <w:name w:val="Plain Text Char Char"/>
    <w:link w:val="754"/>
    <w:uiPriority w:val="0"/>
    <w:qFormat/>
    <w:rPr>
      <w:rFonts w:ascii="宋体" w:hAnsi="Courier New" w:eastAsia="楷体_GB2312"/>
      <w:sz w:val="26"/>
    </w:rPr>
  </w:style>
  <w:style w:type="paragraph" w:styleId="756" w:customStyle="1">
    <w:name w:val="xl75"/>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757" w:customStyle="1">
    <w:name w:val="xl71"/>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758" w:customStyle="1">
    <w:name w:val="xl97"/>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759">
    <w:name w:val="List Paragraph"/>
    <w:basedOn w:val="652"/>
    <w:uiPriority w:val="99"/>
    <w:qFormat/>
    <w:pPr>
      <w:ind w:firstLine="420"/>
    </w:pPr>
  </w:style>
  <w:style w:type="paragraph" w:styleId="760" w:customStyle="1">
    <w:name w:val="xl80"/>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61" w:customStyle="1">
    <w:name w:val="xl72"/>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762" w:customStyle="1">
    <w:name w:val="xl95"/>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763" w:customStyle="1">
    <w:name w:val="xl85"/>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764" w:customStyle="1">
    <w:name w:val="Char Char3"/>
    <w:basedOn w:val="652"/>
    <w:uiPriority w:val="0"/>
    <w:qFormat/>
    <w:pPr>
      <w:jc w:val="left"/>
      <w:spacing w:after="160" w:line="240" w:lineRule="exact"/>
      <w:widowControl/>
    </w:pPr>
    <w:rPr>
      <w:rFonts w:eastAsia="宋体"/>
      <w:sz w:val="24"/>
      <w:szCs w:val="24"/>
    </w:rPr>
  </w:style>
  <w:style w:type="paragraph" w:styleId="765" w:customStyle="1">
    <w:name w:val="xl89"/>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66" w:customStyle="1">
    <w:name w:val="修订1"/>
    <w:uiPriority w:val="99"/>
    <w:unhideWhenUsed/>
    <w:qFormat/>
    <w:rPr>
      <w:rFonts w:ascii="Times New Roman" w:hAnsi="Times New Roman" w:eastAsia="楷体_GB2312" w:cs="Times New Roman"/>
      <w:sz w:val="26"/>
      <w:lang w:val="en-US" w:eastAsia="zh-CN" w:bidi="ar-SA"/>
    </w:rPr>
  </w:style>
  <w:style w:type="paragraph" w:styleId="767" w:customStyle="1">
    <w:name w:val="Char1"/>
    <w:basedOn w:val="652"/>
    <w:uiPriority w:val="0"/>
    <w:qFormat/>
    <w:pPr>
      <w:jc w:val="left"/>
      <w:spacing w:after="160" w:line="240" w:lineRule="exact"/>
      <w:widowControl/>
    </w:pPr>
    <w:rPr>
      <w:rFonts w:ascii="Verdana" w:hAnsi="Verdana" w:eastAsia="仿宋_GB2312"/>
      <w:sz w:val="24"/>
      <w:lang w:eastAsia="en-US"/>
    </w:rPr>
  </w:style>
  <w:style w:type="paragraph" w:styleId="768" w:customStyle="1">
    <w:name w:val="xl67"/>
    <w:basedOn w:val="652"/>
    <w:uiPriority w:val="0"/>
    <w:qFormat/>
    <w:pPr>
      <w:jc w:val="left"/>
      <w:spacing w:before="100" w:beforeAutospacing="1" w:after="100" w:afterAutospacing="1"/>
      <w:widowControl/>
    </w:pPr>
    <w:rPr>
      <w:rFonts w:ascii="仿宋_GB2312" w:hAnsi="宋体" w:eastAsia="仿宋_GB2312" w:cs="宋体"/>
      <w:sz w:val="20"/>
    </w:rPr>
  </w:style>
  <w:style w:type="paragraph" w:styleId="769" w:customStyle="1">
    <w:name w:val="Char Char Char Char"/>
    <w:basedOn w:val="669"/>
    <w:uiPriority w:val="0"/>
    <w:qFormat/>
    <w:pPr>
      <w:ind w:left="357"/>
      <w:jc w:val="left"/>
      <w:spacing w:line="436" w:lineRule="exact"/>
      <w:outlineLvl w:val="3"/>
    </w:pPr>
    <w:rPr>
      <w:rFonts w:ascii="Tahoma" w:hAnsi="Tahoma" w:eastAsia="宋体"/>
      <w:b/>
      <w:sz w:val="24"/>
      <w:szCs w:val="24"/>
    </w:rPr>
  </w:style>
  <w:style w:type="paragraph" w:styleId="770" w:customStyle="1">
    <w:name w:val="xl69"/>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771" w:customStyle="1">
    <w:name w:val="xl66"/>
    <w:basedOn w:val="65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772" w:customStyle="1">
    <w:name w:val="Char Char Char"/>
    <w:basedOn w:val="652"/>
    <w:uiPriority w:val="0"/>
    <w:qFormat/>
    <w:pPr>
      <w:numPr>
        <w:ilvl w:val="0"/>
        <w:numId w:val="3"/>
      </w:numPr>
    </w:pPr>
    <w:rPr>
      <w:rFonts w:eastAsia="宋体"/>
      <w:sz w:val="24"/>
      <w:szCs w:val="24"/>
    </w:rPr>
  </w:style>
  <w:style w:type="paragraph" w:styleId="773" w:customStyle="1">
    <w:name w:val="xl76"/>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74" w:customStyle="1">
    <w:name w:val="xl74"/>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775" w:customStyle="1">
    <w:name w:val="xl92"/>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776" w:customStyle="1">
    <w:name w:val="xl86"/>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777" w:customStyle="1">
    <w:name w:val="xl77"/>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778" w:customStyle="1">
    <w:name w:val="xl90"/>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779" w:customStyle="1">
    <w:name w:val="xl88"/>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780" w:customStyle="1">
    <w:name w:val="xl83"/>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781" w:customStyle="1">
    <w:name w:val="xl84"/>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782" w:customStyle="1">
    <w:name w:val="xl82"/>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783" w:customStyle="1">
    <w:name w:val="xl73"/>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784" w:customStyle="1">
    <w:name w:val="xl81"/>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785" w:customStyle="1">
    <w:name w:val="xl79"/>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786"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787" w:customStyle="1">
    <w:name w:val="列出段落1"/>
    <w:basedOn w:val="652"/>
    <w:uiPriority w:val="0"/>
    <w:qFormat/>
    <w:pPr>
      <w:ind w:firstLine="420"/>
    </w:pPr>
    <w:rPr>
      <w:rFonts w:ascii="Calibri" w:hAnsi="Calibri" w:eastAsia="宋体"/>
      <w:sz w:val="21"/>
      <w:szCs w:val="22"/>
    </w:rPr>
  </w:style>
  <w:style w:type="character" w:styleId="788" w:customStyle="1">
    <w:name w:val="正文2 Char"/>
    <w:link w:val="789"/>
    <w:uiPriority w:val="0"/>
    <w:qFormat/>
    <w:rPr>
      <w:rFonts w:ascii="Calibri" w:hAnsi="Calibri"/>
      <w:sz w:val="24"/>
    </w:rPr>
  </w:style>
  <w:style w:type="paragraph" w:styleId="789" w:customStyle="1">
    <w:name w:val="正文2"/>
    <w:basedOn w:val="652"/>
    <w:link w:val="788"/>
    <w:uiPriority w:val="0"/>
    <w:qFormat/>
    <w:pPr>
      <w:ind w:firstLine="510"/>
      <w:spacing w:before="156" w:line="360" w:lineRule="auto"/>
    </w:pPr>
    <w:rPr>
      <w:rFonts w:ascii="Calibri" w:hAnsi="Calibri" w:eastAsia="宋体"/>
      <w:sz w:val="24"/>
    </w:rPr>
  </w:style>
  <w:style w:type="paragraph" w:styleId="790" w:customStyle="1">
    <w:name w:val="Andy_二级"/>
    <w:basedOn w:val="787"/>
    <w:uiPriority w:val="0"/>
    <w:qFormat/>
    <w:pPr>
      <w:ind w:firstLine="510"/>
      <w:spacing w:line="360" w:lineRule="auto"/>
    </w:pPr>
    <w:rPr>
      <w:sz w:val="24"/>
    </w:rPr>
  </w:style>
  <w:style w:type="paragraph" w:styleId="791" w:customStyle="1">
    <w:name w:val="Andy_4级"/>
    <w:basedOn w:val="787"/>
    <w:uiPriority w:val="0"/>
    <w:qFormat/>
    <w:pPr>
      <w:ind w:firstLine="510"/>
      <w:spacing w:line="360" w:lineRule="auto"/>
    </w:pPr>
    <w:rPr>
      <w:sz w:val="24"/>
      <w:szCs w:val="20"/>
    </w:rPr>
  </w:style>
  <w:style w:type="paragraph" w:styleId="792" w:customStyle="1">
    <w:name w:val="Andy_3级"/>
    <w:basedOn w:val="652"/>
    <w:uiPriority w:val="0"/>
    <w:qFormat/>
    <w:pPr>
      <w:ind w:firstLine="510"/>
      <w:spacing w:line="360" w:lineRule="auto"/>
    </w:pPr>
    <w:rPr>
      <w:rFonts w:ascii="Calibri" w:hAnsi="Calibri" w:eastAsia="宋体"/>
      <w:sz w:val="24"/>
    </w:rPr>
  </w:style>
  <w:style w:type="paragraph" w:styleId="793" w:customStyle="1">
    <w:name w:val="Andy_一级"/>
    <w:basedOn w:val="787"/>
    <w:uiPriority w:val="0"/>
    <w:qFormat/>
    <w:pPr>
      <w:ind w:firstLine="0"/>
      <w:keepNext/>
      <w:spacing w:line="360" w:lineRule="auto"/>
    </w:pPr>
    <w:rPr>
      <w:b/>
      <w:sz w:val="24"/>
    </w:rPr>
  </w:style>
  <w:style w:type="paragraph" w:styleId="794" w:customStyle="1">
    <w:name w:val="首行缩进"/>
    <w:basedOn w:val="652"/>
    <w:uiPriority w:val="0"/>
    <w:qFormat/>
    <w:pPr>
      <w:ind w:firstLine="480"/>
    </w:pPr>
    <w:rPr>
      <w:rFonts w:eastAsia="宋体"/>
      <w:sz w:val="21"/>
      <w:lang w:val="zh-CN"/>
    </w:rPr>
  </w:style>
  <w:style w:type="paragraph" w:styleId="795" w:customStyle="1">
    <w:name w:val="表格"/>
    <w:basedOn w:val="652"/>
    <w:next w:val="677"/>
    <w:uiPriority w:val="0"/>
    <w:qFormat/>
    <w:rPr>
      <w:rFonts w:ascii="宋体" w:hAnsi="Courier New" w:eastAsia="仿宋_GB2312"/>
      <w:sz w:val="28"/>
      <w:szCs w:val="21"/>
    </w:rPr>
  </w:style>
  <w:style w:type="paragraph" w:styleId="796" w:customStyle="1">
    <w:name w:val="列出段落5"/>
    <w:basedOn w:val="652"/>
    <w:uiPriority w:val="0"/>
    <w:qFormat/>
    <w:pPr>
      <w:ind w:firstLine="420"/>
      <w:jc w:val="left"/>
      <w:widowControl/>
    </w:pPr>
    <w:rPr>
      <w:rFonts w:ascii="Calibri" w:hAnsi="Calibri" w:eastAsia="宋体" w:cs="Arial"/>
      <w:sz w:val="20"/>
    </w:rPr>
  </w:style>
  <w:style w:type="paragraph" w:styleId="797" w:customStyle="1">
    <w:name w:val="列出段落3"/>
    <w:basedOn w:val="652"/>
    <w:uiPriority w:val="99"/>
    <w:qFormat/>
    <w:pPr>
      <w:ind w:firstLine="420"/>
    </w:pPr>
    <w:rPr>
      <w:rFonts w:eastAsia="宋体"/>
      <w:sz w:val="21"/>
      <w:szCs w:val="24"/>
    </w:rPr>
  </w:style>
  <w:style w:type="paragraph" w:styleId="798"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799" w:customStyle="1">
    <w:name w:val="CharAttribute3"/>
    <w:uiPriority w:val="0"/>
    <w:qFormat/>
    <w:rPr>
      <w:rFonts w:hint="default" w:ascii="Times New Roman" w:hAnsi="宋体" w:eastAsia="宋体" w:cs="Times New Roman"/>
      <w:sz w:val="32"/>
    </w:rPr>
  </w:style>
  <w:style w:type="paragraph" w:styleId="800" w:customStyle="1">
    <w:name w:val="List Paragraph1"/>
    <w:basedOn w:val="652"/>
    <w:uiPriority w:val="0"/>
    <w:qFormat/>
    <w:pPr>
      <w:ind w:firstLine="420"/>
    </w:pPr>
    <w:rPr>
      <w:rFonts w:eastAsia="宋体"/>
      <w:sz w:val="21"/>
    </w:rPr>
  </w:style>
  <w:style w:type="paragraph" w:styleId="801" w:customStyle="1">
    <w:name w:val="纯文本31"/>
    <w:basedOn w:val="652"/>
    <w:uiPriority w:val="0"/>
    <w:qFormat/>
    <w:rPr>
      <w:rFonts w:ascii="宋体" w:hAnsi="Courier New"/>
    </w:rPr>
  </w:style>
  <w:style w:type="paragraph" w:styleId="802" w:customStyle="1">
    <w:name w:val="Char Char31"/>
    <w:basedOn w:val="652"/>
    <w:uiPriority w:val="0"/>
    <w:qFormat/>
    <w:pPr>
      <w:jc w:val="left"/>
      <w:spacing w:after="160" w:line="240" w:lineRule="exact"/>
      <w:widowControl/>
    </w:pPr>
    <w:rPr>
      <w:rFonts w:eastAsia="宋体"/>
      <w:sz w:val="24"/>
      <w:szCs w:val="24"/>
    </w:rPr>
  </w:style>
  <w:style w:type="paragraph" w:styleId="803" w:customStyle="1">
    <w:name w:val="Char Char Char Char1"/>
    <w:basedOn w:val="669"/>
    <w:uiPriority w:val="0"/>
    <w:qFormat/>
    <w:pPr>
      <w:ind w:left="357"/>
      <w:jc w:val="left"/>
      <w:spacing w:line="436" w:lineRule="exact"/>
      <w:outlineLvl w:val="3"/>
    </w:pPr>
    <w:rPr>
      <w:rFonts w:ascii="Tahoma" w:hAnsi="Tahoma" w:eastAsia="宋体"/>
      <w:b/>
      <w:sz w:val="24"/>
      <w:szCs w:val="24"/>
    </w:rPr>
  </w:style>
  <w:style w:type="paragraph" w:styleId="804" w:customStyle="1">
    <w:name w:val="Char Char Char1"/>
    <w:basedOn w:val="652"/>
    <w:uiPriority w:val="0"/>
    <w:qFormat/>
    <w:pPr>
      <w:ind w:left="360" w:hanging="360"/>
      <w:tabs>
        <w:tab w:val="left" w:pos="360" w:leader="none"/>
      </w:tabs>
    </w:pPr>
    <w:rPr>
      <w:rFonts w:eastAsia="宋体"/>
      <w:sz w:val="24"/>
      <w:szCs w:val="24"/>
    </w:rPr>
  </w:style>
  <w:style w:type="paragraph" w:styleId="805" w:customStyle="1">
    <w:name w:val="列出段落2"/>
    <w:basedOn w:val="652"/>
    <w:uiPriority w:val="0"/>
    <w:qFormat/>
    <w:pPr>
      <w:ind w:firstLine="420"/>
    </w:pPr>
    <w:rPr>
      <w:rFonts w:eastAsia="宋体"/>
      <w:sz w:val="21"/>
    </w:rPr>
  </w:style>
  <w:style w:type="paragraph" w:styleId="806" w:customStyle="1">
    <w:name w:val="xl27"/>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807" w:customStyle="1">
    <w:name w:val="xl31"/>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808" w:customStyle="1">
    <w:name w:val="正文文本 2 Char"/>
    <w:basedOn w:val="659"/>
    <w:uiPriority w:val="0"/>
    <w:qFormat/>
    <w:rPr>
      <w:color w:val="ff00ff"/>
    </w:rPr>
  </w:style>
  <w:style w:type="character" w:styleId="809" w:customStyle="1">
    <w:name w:val="+正文 Char3"/>
    <w:link w:val="810"/>
    <w:uiPriority w:val="0"/>
    <w:qFormat/>
    <w:rPr>
      <w:sz w:val="24"/>
    </w:rPr>
  </w:style>
  <w:style w:type="paragraph" w:styleId="810" w:customStyle="1">
    <w:name w:val="+正文"/>
    <w:basedOn w:val="652"/>
    <w:link w:val="809"/>
    <w:uiPriority w:val="0"/>
    <w:qFormat/>
    <w:pPr>
      <w:ind w:firstLine="200"/>
      <w:spacing w:line="360" w:lineRule="auto"/>
    </w:pPr>
    <w:rPr>
      <w:rFonts w:eastAsia="宋体"/>
      <w:sz w:val="24"/>
    </w:rPr>
  </w:style>
  <w:style w:type="character" w:styleId="811" w:customStyle="1">
    <w:name w:val="Char Char"/>
    <w:basedOn w:val="659"/>
    <w:uiPriority w:val="0"/>
    <w:qFormat/>
    <w:rPr>
      <w:rFonts w:ascii="宋体" w:hAnsi="Courier New" w:eastAsia="楷体_GB2312"/>
      <w:sz w:val="26"/>
      <w:lang w:val="en-US" w:eastAsia="zh-CN" w:bidi="ar-SA"/>
    </w:rPr>
  </w:style>
  <w:style w:type="character" w:styleId="812" w:customStyle="1">
    <w:name w:val="样式 正文缩进 + 首行缩进:  2 字符 Char Char"/>
    <w:basedOn w:val="659"/>
    <w:link w:val="813"/>
    <w:uiPriority w:val="0"/>
    <w:qFormat/>
    <w:rPr>
      <w:sz w:val="24"/>
    </w:rPr>
  </w:style>
  <w:style w:type="paragraph" w:styleId="813" w:customStyle="1">
    <w:name w:val="样式 正文缩进 + 首行缩进:  2 字符"/>
    <w:basedOn w:val="667"/>
    <w:link w:val="812"/>
    <w:uiPriority w:val="0"/>
    <w:qFormat/>
    <w:pPr>
      <w:ind w:firstLine="480"/>
      <w:jc w:val="both"/>
      <w:spacing w:after="80" w:line="360" w:lineRule="auto"/>
    </w:pPr>
    <w:rPr>
      <w:rFonts w:eastAsia="宋体"/>
    </w:rPr>
  </w:style>
  <w:style w:type="character" w:styleId="814" w:customStyle="1">
    <w:name w:val="style11"/>
    <w:basedOn w:val="659"/>
    <w:uiPriority w:val="0"/>
    <w:qFormat/>
    <w:rPr>
      <w:rFonts w:hint="default" w:ascii="Verdana" w:hAnsi="Verdana"/>
      <w:sz w:val="21"/>
    </w:rPr>
  </w:style>
  <w:style w:type="character" w:styleId="815" w:customStyle="1">
    <w:name w:val="Char Char1"/>
    <w:basedOn w:val="659"/>
    <w:uiPriority w:val="0"/>
    <w:qFormat/>
    <w:rPr>
      <w:rFonts w:eastAsia="宋体"/>
      <w:sz w:val="24"/>
      <w:lang w:val="en-US" w:eastAsia="zh-CN" w:bidi="ar-SA"/>
    </w:rPr>
  </w:style>
  <w:style w:type="character" w:styleId="816" w:customStyle="1">
    <w:name w:val="1.1（特殊） Char Char"/>
    <w:basedOn w:val="659"/>
    <w:link w:val="817"/>
    <w:uiPriority w:val="0"/>
    <w:qFormat/>
    <w:rPr>
      <w:rFonts w:ascii="微软雅黑" w:hAnsi="微软雅黑" w:eastAsia="微软雅黑"/>
      <w:b/>
      <w:sz w:val="28"/>
      <w:szCs w:val="28"/>
    </w:rPr>
  </w:style>
  <w:style w:type="paragraph" w:styleId="817" w:customStyle="1">
    <w:name w:val="1.1（特殊）"/>
    <w:basedOn w:val="652"/>
    <w:link w:val="816"/>
    <w:uiPriority w:val="0"/>
    <w:qFormat/>
    <w:pPr>
      <w:jc w:val="left"/>
      <w:spacing w:before="120"/>
    </w:pPr>
    <w:rPr>
      <w:rFonts w:ascii="微软雅黑" w:hAnsi="微软雅黑" w:eastAsia="微软雅黑"/>
      <w:b/>
      <w:sz w:val="28"/>
      <w:szCs w:val="28"/>
    </w:rPr>
  </w:style>
  <w:style w:type="character" w:styleId="818" w:customStyle="1">
    <w:name w:val="point_normal1"/>
    <w:basedOn w:val="659"/>
    <w:uiPriority w:val="0"/>
    <w:qFormat/>
    <w:rPr>
      <w:rFonts w:hint="default" w:ascii="Arial" w:hAnsi="Arial"/>
      <w:sz w:val="18"/>
    </w:rPr>
  </w:style>
  <w:style w:type="paragraph" w:styleId="819" w:customStyle="1">
    <w:name w:val="段落正文 Char Char"/>
    <w:basedOn w:val="652"/>
    <w:uiPriority w:val="0"/>
    <w:qFormat/>
    <w:pPr>
      <w:ind w:firstLine="461"/>
      <w:spacing w:line="360" w:lineRule="auto"/>
    </w:pPr>
    <w:rPr>
      <w:rFonts w:ascii="宋体" w:hAnsi="宋体" w:eastAsia="宋体"/>
      <w:sz w:val="24"/>
      <w:szCs w:val="24"/>
    </w:rPr>
  </w:style>
  <w:style w:type="paragraph" w:styleId="820" w:customStyle="1">
    <w:name w:val="00"/>
    <w:basedOn w:val="652"/>
    <w:uiPriority w:val="0"/>
    <w:qFormat/>
    <w:pPr>
      <w:jc w:val="left"/>
    </w:pPr>
    <w:rPr>
      <w:rFonts w:ascii="黑体" w:eastAsia="黑体"/>
      <w:b/>
      <w:bCs/>
      <w:sz w:val="20"/>
    </w:rPr>
  </w:style>
  <w:style w:type="paragraph" w:styleId="821" w:customStyle="1">
    <w:name w:val="第三级"/>
    <w:basedOn w:val="655"/>
    <w:next w:val="652"/>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822" w:customStyle="1">
    <w:name w:val="无缩进正文"/>
    <w:basedOn w:val="652"/>
    <w:uiPriority w:val="0"/>
    <w:qFormat/>
    <w:rPr>
      <w:rFonts w:eastAsia="宋体"/>
      <w:sz w:val="21"/>
    </w:rPr>
  </w:style>
  <w:style w:type="paragraph" w:styleId="823" w:customStyle="1">
    <w:name w:val="+正文 Char"/>
    <w:basedOn w:val="652"/>
    <w:uiPriority w:val="0"/>
    <w:qFormat/>
    <w:pPr>
      <w:ind w:firstLine="200"/>
      <w:spacing w:line="360" w:lineRule="auto"/>
    </w:pPr>
    <w:rPr>
      <w:rFonts w:eastAsia="宋体"/>
      <w:sz w:val="24"/>
    </w:rPr>
  </w:style>
  <w:style w:type="paragraph" w:styleId="824" w:customStyle="1">
    <w:name w:val="Char Char Char Char Char Char Char Char Char Char"/>
    <w:basedOn w:val="652"/>
    <w:uiPriority w:val="0"/>
    <w:qFormat/>
    <w:pPr>
      <w:ind w:left="420" w:hanging="420"/>
      <w:tabs>
        <w:tab w:val="left" w:pos="420" w:leader="none"/>
      </w:tabs>
    </w:pPr>
    <w:rPr>
      <w:rFonts w:eastAsia="宋体"/>
      <w:sz w:val="24"/>
      <w:szCs w:val="24"/>
    </w:rPr>
  </w:style>
  <w:style w:type="paragraph" w:styleId="825" w:customStyle="1">
    <w:name w:val="Char Char Char1 Char"/>
    <w:basedOn w:val="652"/>
    <w:uiPriority w:val="0"/>
    <w:qFormat/>
    <w:pPr>
      <w:jc w:val="left"/>
      <w:spacing w:after="160" w:line="240" w:lineRule="exact"/>
      <w:widowControl/>
    </w:pPr>
    <w:rPr>
      <w:rFonts w:eastAsia="宋体"/>
      <w:sz w:val="21"/>
      <w:szCs w:val="24"/>
    </w:rPr>
  </w:style>
  <w:style w:type="paragraph" w:styleId="826" w:customStyle="1">
    <w:name w:val="小四 段落 宋体 Char"/>
    <w:basedOn w:val="666"/>
    <w:uiPriority w:val="0"/>
    <w:qFormat/>
    <w:pPr>
      <w:ind w:left="0" w:right="-33" w:firstLine="480"/>
      <w:jc w:val="left"/>
      <w:spacing w:line="360" w:lineRule="auto"/>
    </w:pPr>
    <w:rPr>
      <w:sz w:val="24"/>
      <w:szCs w:val="24"/>
    </w:rPr>
  </w:style>
  <w:style w:type="paragraph" w:styleId="827" w:customStyle="1">
    <w:name w:val="小点说明"/>
    <w:basedOn w:val="652"/>
    <w:uiPriority w:val="0"/>
    <w:qFormat/>
    <w:pPr>
      <w:ind w:left="360" w:hanging="360"/>
      <w:spacing w:after="80" w:line="360" w:lineRule="auto"/>
      <w:tabs>
        <w:tab w:val="left" w:pos="780" w:leader="none"/>
      </w:tabs>
    </w:pPr>
    <w:rPr>
      <w:rFonts w:eastAsia="宋体"/>
      <w:sz w:val="24"/>
      <w:szCs w:val="24"/>
    </w:rPr>
  </w:style>
  <w:style w:type="paragraph" w:styleId="828" w:customStyle="1">
    <w:name w:val="msolistparagraph"/>
    <w:basedOn w:val="652"/>
    <w:uiPriority w:val="0"/>
    <w:qFormat/>
    <w:pPr>
      <w:jc w:val="left"/>
      <w:spacing w:before="100" w:beforeAutospacing="1" w:after="100" w:afterAutospacing="1"/>
      <w:widowControl/>
    </w:pPr>
    <w:rPr>
      <w:rFonts w:ascii="宋体" w:hAnsi="宋体" w:eastAsia="宋体" w:cs="宋体"/>
      <w:sz w:val="24"/>
      <w:szCs w:val="24"/>
    </w:rPr>
  </w:style>
  <w:style w:type="paragraph" w:styleId="829" w:customStyle="1">
    <w:name w:val="xl44"/>
    <w:basedOn w:val="652"/>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830" w:customStyle="1">
    <w:name w:val="_Style 18"/>
    <w:basedOn w:val="652"/>
    <w:uiPriority w:val="0"/>
    <w:qFormat/>
    <w:rPr>
      <w:rFonts w:eastAsia="宋体"/>
      <w:sz w:val="24"/>
      <w:szCs w:val="24"/>
    </w:rPr>
  </w:style>
  <w:style w:type="paragraph" w:styleId="831" w:customStyle="1">
    <w:name w:val="_Style 13"/>
    <w:basedOn w:val="652"/>
    <w:next w:val="652"/>
    <w:uiPriority w:val="0"/>
    <w:qFormat/>
    <w:rPr>
      <w:rFonts w:eastAsia="宋体"/>
      <w:sz w:val="24"/>
    </w:rPr>
  </w:style>
  <w:style w:type="paragraph" w:styleId="832" w:customStyle="1">
    <w:name w:val="标书正文"/>
    <w:basedOn w:val="672"/>
    <w:uiPriority w:val="0"/>
    <w:qFormat/>
  </w:style>
  <w:style w:type="paragraph" w:styleId="833" w:customStyle="1">
    <w:name w:val="p0"/>
    <w:basedOn w:val="652"/>
    <w:uiPriority w:val="0"/>
    <w:qFormat/>
    <w:pPr>
      <w:widowControl/>
    </w:pPr>
    <w:rPr>
      <w:rFonts w:eastAsia="宋体"/>
      <w:sz w:val="28"/>
      <w:szCs w:val="28"/>
    </w:rPr>
  </w:style>
  <w:style w:type="paragraph" w:styleId="83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35" w:customStyle="1">
    <w:name w:val="textcontents"/>
    <w:basedOn w:val="659"/>
    <w:uiPriority w:val="0"/>
    <w:qFormat/>
  </w:style>
  <w:style w:type="paragraph" w:styleId="836" w:customStyle="1">
    <w:name w:val="纯文本4"/>
    <w:basedOn w:val="652"/>
    <w:uiPriority w:val="0"/>
    <w:qFormat/>
    <w:rPr>
      <w:rFonts w:ascii="宋体" w:hAnsi="Courier New"/>
    </w:rPr>
  </w:style>
  <w:style w:type="paragraph" w:styleId="837" w:customStyle="1">
    <w:name w:val="纯文本5"/>
    <w:basedOn w:val="652"/>
    <w:uiPriority w:val="0"/>
    <w:qFormat/>
    <w:rPr>
      <w:rFonts w:ascii="宋体" w:hAnsi="Courier New"/>
    </w:rPr>
  </w:style>
  <w:style w:type="character" w:styleId="838" w:customStyle="1">
    <w:name w:val="font01"/>
    <w:basedOn w:val="659"/>
    <w:uiPriority w:val="0"/>
    <w:qFormat/>
    <w:rPr>
      <w:rFonts w:hint="default" w:ascii="Times New Roman" w:hAnsi="Times New Roman" w:cs="Times New Roman"/>
      <w:color w:val="000000"/>
      <w:sz w:val="26"/>
      <w:szCs w:val="26"/>
      <w:u w:val="none"/>
    </w:rPr>
  </w:style>
  <w:style w:type="character" w:styleId="839" w:customStyle="1">
    <w:name w:val="font11"/>
    <w:basedOn w:val="659"/>
    <w:uiPriority w:val="0"/>
    <w:qFormat/>
    <w:rPr>
      <w:rFonts w:hint="default" w:ascii="楷体_GB2312" w:eastAsia="楷体_GB2312" w:cs="楷体_GB2312"/>
      <w:color w:val="000000"/>
      <w:sz w:val="26"/>
      <w:szCs w:val="26"/>
      <w:u w:val="none"/>
    </w:rPr>
  </w:style>
  <w:style w:type="character" w:styleId="840" w:customStyle="1">
    <w:name w:val="日期 Char1"/>
    <w:basedOn w:val="659"/>
    <w:uiPriority w:val="0"/>
    <w:qFormat/>
    <w:rPr>
      <w:rFonts w:ascii="宋体" w:hAnsi="宋体" w:eastAsia="楷体_GB2312"/>
      <w:sz w:val="24"/>
    </w:rPr>
  </w:style>
  <w:style w:type="paragraph" w:styleId="841" w:customStyle="1">
    <w:name w:val="Plain Text1"/>
    <w:basedOn w:val="652"/>
    <w:uiPriority w:val="0"/>
    <w:qFormat/>
    <w:rPr>
      <w:rFonts w:ascii="宋体" w:hAnsi="Courier New"/>
    </w:rPr>
  </w:style>
  <w:style w:type="character" w:styleId="842" w:customStyle="1">
    <w:name w:val="Andy_正文 Char"/>
    <w:link w:val="843"/>
    <w:uiPriority w:val="0"/>
    <w:qFormat/>
    <w:rPr>
      <w:rFonts w:ascii="Calibri" w:hAnsi="Calibri"/>
      <w:sz w:val="24"/>
      <w:szCs w:val="24"/>
    </w:rPr>
  </w:style>
  <w:style w:type="paragraph" w:styleId="843" w:customStyle="1">
    <w:name w:val="Andy_正文"/>
    <w:basedOn w:val="652"/>
    <w:link w:val="842"/>
    <w:uiPriority w:val="0"/>
    <w:qFormat/>
    <w:pPr>
      <w:ind w:firstLine="480"/>
      <w:spacing w:line="360" w:lineRule="auto"/>
    </w:pPr>
    <w:rPr>
      <w:rFonts w:ascii="Calibri" w:hAnsi="Calibri" w:eastAsia="宋体"/>
      <w:sz w:val="24"/>
      <w:szCs w:val="24"/>
    </w:rPr>
  </w:style>
  <w:style w:type="character" w:styleId="844" w:customStyle="1">
    <w:name w:val="正文缩进 字符1"/>
    <w:uiPriority w:val="0"/>
    <w:qFormat/>
    <w:rPr>
      <w:rFonts w:eastAsia="楷体_GB2312"/>
      <w:sz w:val="24"/>
      <w:lang w:val="en-US" w:eastAsia="zh-CN" w:bidi="ar-SA"/>
    </w:rPr>
  </w:style>
  <w:style w:type="paragraph" w:styleId="845" w:customStyle="1">
    <w:name w:val="纯文本11"/>
    <w:basedOn w:val="652"/>
    <w:uiPriority w:val="0"/>
    <w:qFormat/>
    <w:rPr>
      <w:rFonts w:ascii="宋体" w:hAnsi="Courier New"/>
    </w:rPr>
  </w:style>
  <w:style w:type="paragraph" w:styleId="846" w:customStyle="1">
    <w:name w:val="正文缩进1"/>
    <w:basedOn w:val="652"/>
    <w:uiPriority w:val="0"/>
    <w:qFormat/>
    <w:pPr>
      <w:ind w:firstLine="420"/>
    </w:pPr>
    <w:rPr>
      <w:rFonts w:eastAsia="宋体"/>
      <w:sz w:val="21"/>
    </w:rPr>
  </w:style>
  <w:style w:type="character" w:styleId="847" w:customStyle="1">
    <w:name w:val="Plain Text Char"/>
    <w:uiPriority w:val="0"/>
    <w:qFormat/>
    <w:rPr>
      <w:rFonts w:ascii="宋体" w:hAnsi="Courier New" w:eastAsia="楷体_GB2312"/>
      <w:sz w:val="26"/>
    </w:rPr>
  </w:style>
  <w:style w:type="paragraph" w:styleId="848" w:customStyle="1">
    <w:name w:val="纯文本6"/>
    <w:basedOn w:val="652"/>
    <w:uiPriority w:val="0"/>
    <w:qFormat/>
    <w:rPr>
      <w:rFonts w:ascii="宋体" w:hAnsi="Courier New"/>
    </w:rPr>
  </w:style>
  <w:style w:type="paragraph" w:styleId="849" w:customStyle="1">
    <w:name w:val="修订2"/>
    <w:hidden/>
    <w:uiPriority w:val="99"/>
    <w:semiHidden/>
    <w:qFormat/>
    <w:rPr>
      <w:rFonts w:ascii="Times New Roman" w:hAnsi="Times New Roman" w:eastAsia="楷体_GB2312" w:cs="Times New Roman"/>
      <w:sz w:val="26"/>
      <w:lang w:val="en-US" w:eastAsia="zh-CN" w:bidi="ar-SA"/>
    </w:rPr>
  </w:style>
  <w:style w:type="paragraph" w:styleId="850" w:customStyle="1">
    <w:name w:val="修订3"/>
    <w:hidden/>
    <w:uiPriority w:val="99"/>
    <w:semiHidden/>
    <w:qFormat/>
    <w:rPr>
      <w:rFonts w:ascii="Times New Roman" w:hAnsi="Times New Roman" w:eastAsia="楷体_GB2312" w:cs="Times New Roman"/>
      <w:sz w:val="26"/>
      <w:lang w:val="en-US" w:eastAsia="zh-CN" w:bidi="ar-SA"/>
    </w:rPr>
  </w:style>
  <w:style w:type="paragraph" w:styleId="851" w:customStyle="1">
    <w:name w:val="修订4"/>
    <w:hidden/>
    <w:uiPriority w:val="99"/>
    <w:semiHidden/>
    <w:qFormat/>
    <w:rPr>
      <w:rFonts w:ascii="Times New Roman" w:hAnsi="Times New Roman" w:eastAsia="楷体_GB2312" w:cs="Times New Roman"/>
      <w:sz w:val="26"/>
      <w:lang w:val="en-US" w:eastAsia="zh-CN" w:bidi="ar-SA"/>
    </w:rPr>
  </w:style>
  <w:style w:type="character" w:styleId="852" w:customStyle="1">
    <w:name w:val="正文文本首行缩进 2 字符"/>
    <w:basedOn w:val="724"/>
    <w:link w:val="703"/>
    <w:uiPriority w:val="0"/>
    <w:semiHidden/>
    <w:qFormat/>
    <w:rPr>
      <w:rFonts w:ascii="Times New Roman" w:hAnsi="Times New Roman" w:eastAsia="楷体_GB2312" w:cs="Times New Roman"/>
      <w:sz w:val="26"/>
    </w:rPr>
  </w:style>
  <w:style w:type="character" w:styleId="853" w:customStyle="1">
    <w:name w:val="未处理的提及1"/>
    <w:basedOn w:val="659"/>
    <w:uiPriority w:val="99"/>
    <w:semiHidden/>
    <w:unhideWhenUsed/>
    <w:qFormat/>
    <w:rPr>
      <w:color w:val="605e5c"/>
      <w:shd w:val="clear" w:color="auto" w:fill="e1dfdd"/>
    </w:rPr>
  </w:style>
  <w:style w:type="paragraph" w:styleId="854" w:customStyle="1">
    <w:name w:val="Revision"/>
    <w:hidden/>
    <w:uiPriority w:val="99"/>
    <w:unhideWhenUsed/>
    <w:qFormat/>
    <w:rPr>
      <w:rFonts w:ascii="Times New Roman" w:hAnsi="Times New Roman" w:eastAsia="楷体_GB2312" w:cs="Times New Roman"/>
      <w:sz w:val="26"/>
      <w:lang w:val="en-US" w:eastAsia="zh-CN" w:bidi="ar-SA"/>
    </w:rPr>
  </w:style>
  <w:style w:type="character" w:styleId="855" w:customStyle="1">
    <w:name w:val="Unresolved Mention"/>
    <w:basedOn w:val="659"/>
    <w:uiPriority w:val="99"/>
    <w:semiHidden/>
    <w:unhideWhenUsed/>
    <w:qFormat/>
    <w:rPr>
      <w:color w:val="605e5c"/>
      <w:shd w:val="clear" w:color="auto" w:fill="e1dfdd"/>
    </w:rPr>
  </w:style>
  <w:style w:type="character" w:styleId="856" w:customStyle="1">
    <w:name w:val="NormalCharacter"/>
    <w:uiPriority w:val="0"/>
    <w:semiHidden/>
    <w:qFormat/>
    <w:rPr>
      <w:rFonts w:ascii="Times New Roman" w:hAnsi="Times New Roman" w:eastAsia="宋体" w:cs="Times New Roman"/>
    </w:rPr>
  </w:style>
  <w:style w:type="paragraph" w:styleId="857" w:customStyle="1">
    <w:name w:val="段"/>
    <w:next w:val="652"/>
    <w:uiPriority w:val="0"/>
    <w:qFormat/>
    <w:pPr>
      <w:ind w:firstLine="200"/>
      <w:jc w:val="both"/>
    </w:pPr>
    <w:rPr>
      <w:rFonts w:ascii="宋体" w:hAnsi="Times New Roman" w:eastAsia="宋体" w:cs="Times New Roman"/>
      <w:sz w:val="21"/>
      <w:lang w:val="en-US" w:eastAsia="zh-CN" w:bidi="ar-SA"/>
    </w:rPr>
  </w:style>
  <w:style w:type="paragraph" w:styleId="858" w:customStyle="1">
    <w:name w:val="正文文本缩进11"/>
    <w:basedOn w:val="652"/>
    <w:next w:val="652"/>
    <w:uiPriority w:val="0"/>
    <w:qFormat/>
    <w:pPr>
      <w:ind w:left="420" w:firstLine="1188"/>
      <w:spacing w:line="360" w:lineRule="exact"/>
    </w:pPr>
    <w:rPr>
      <w:rFonts w:ascii="Times New Roman" w:hAnsi="Times New Roman" w:cs="Times New Roman"/>
    </w:rPr>
  </w:style>
  <w:style w:type="numbering" w:styleId="9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868CB8-6367-4AA4-A3A1-381138FE095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215</cp:revision>
  <dcterms:created xsi:type="dcterms:W3CDTF">2025-04-07T07:47:00Z</dcterms:created>
  <dcterms:modified xsi:type="dcterms:W3CDTF">2026-07-27T01:06:36Z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0C4B605B3BB04204A88477B0D95789B6_13</vt:lpwstr>
  </property>
  <property fmtid="{D5CDD505-2E9C-101B-9397-08002B2CF9AE}" pid="4" name="KSOTemplateDocerSaveRecord">
    <vt:lpwstr>eyJoZGlkIjoiNTc4OTdiYWYwZmQ4ODk5ZDBiZTkxNmE1MjdiMmMwNTMiLCJ1c2VySWQiOiI1NjI3MjA1NTkifQ==</vt:lpwstr>
  </property>
</Properties>
</file>