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hint="eastAsia"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r>
      <w:r/>
    </w:p>
    <w:p>
      <w:pPr>
        <w:jc w:val="center"/>
        <w:spacing w:line="360" w:lineRule="auto"/>
        <w:rPr>
          <w:rFonts w:hint="eastAsia"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苏 州 市 政 府 采 购</w:t>
      </w:r>
      <w:r/>
    </w:p>
    <w:p>
      <w:pPr>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jc w:val="center"/>
        <w:spacing w:line="360" w:lineRule="auto"/>
        <w:rPr>
          <w:rFonts w:hint="eastAsia"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招 标 文 件</w:t>
      </w:r>
      <w:r/>
    </w:p>
    <w:p>
      <w:pPr>
        <w:jc w:val="center"/>
        <w:spacing w:line="360" w:lineRule="auto"/>
        <w:rPr>
          <w:rFonts w:hint="eastAsia" w:ascii="宋体" w:hAnsi="宋体" w:eastAsia="宋体" w:cs="宋体"/>
          <w:sz w:val="26"/>
          <w:szCs w:val="26"/>
        </w:rPr>
      </w:pPr>
      <w:r>
        <w:rPr>
          <w:rFonts w:hint="eastAsia" w:ascii="宋体" w:hAnsi="宋体" w:eastAsia="宋体" w:cs="宋体"/>
          <w:sz w:val="26"/>
          <w:szCs w:val="26"/>
          <w:shd w:val="clear" w:color="auto" w:fill="ffffff"/>
        </w:rPr>
      </w:r>
      <w:r>
        <w:rPr>
          <w:rFonts w:hint="eastAsia" w:ascii="宋体" w:hAnsi="宋体" w:eastAsia="宋体" w:cs="宋体"/>
          <w:sz w:val="26"/>
          <w:szCs w:val="26"/>
          <w:shd w:val="clear" w:color="auto" w:fill="ffffff"/>
        </w:rPr>
      </w:r>
    </w:p>
    <w:p>
      <w:pPr>
        <w:jc w:val="center"/>
        <w:spacing w:line="360" w:lineRule="auto"/>
        <w:rPr>
          <w:rFonts w:hint="eastAsia" w:ascii="宋体" w:hAnsi="宋体" w:eastAsia="宋体" w:cs="宋体"/>
          <w:sz w:val="26"/>
          <w:szCs w:val="26"/>
          <w:shd w:val="clear" w:color="auto" w:fill="ffffff"/>
        </w:rPr>
      </w:pPr>
      <w:r>
        <w:rPr>
          <w:rFonts w:hint="eastAsia" w:ascii="宋体" w:hAnsi="宋体" w:eastAsia="宋体" w:cs="宋体"/>
          <w:sz w:val="26"/>
          <w:szCs w:val="26"/>
          <w:shd w:val="clear" w:color="auto" w:fill="ffffff"/>
        </w:rPr>
      </w:r>
      <w:r/>
    </w:p>
    <w:p>
      <w:pPr>
        <w:pStyle w:val="1031"/>
        <w:ind w:firstLine="0"/>
        <w:jc w:val="center"/>
        <w:spacing w:line="360" w:lineRule="auto"/>
        <w:rPr>
          <w:rFonts w:hint="eastAsia" w:ascii="宋体" w:hAnsi="宋体" w:cs="宋体"/>
        </w:rPr>
      </w:pPr>
      <w:r>
        <w:rPr>
          <w:rFonts w:hint="eastAsia" w:ascii="宋体" w:hAnsi="宋体" w:cs="宋体"/>
        </w:rPr>
      </w:r>
      <w:r/>
    </w:p>
    <w:p>
      <w:pPr>
        <w:ind w:firstLine="1606"/>
        <w:spacing w:line="360" w:lineRule="auto"/>
        <w:rPr>
          <w:rFonts w:hint="eastAsia"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采购编号：</w:t>
      </w:r>
      <w:r>
        <w:rPr>
          <w:rFonts w:ascii="宋体" w:hAnsi="宋体" w:eastAsia="宋体" w:cs="宋体"/>
          <w:b/>
          <w:bCs/>
          <w:sz w:val="32"/>
          <w:szCs w:val="20"/>
          <w:shd w:val="clear" w:color="auto" w:fill="ffffff"/>
        </w:rPr>
        <w:t xml:space="preserve">JSZC-320508-SZCH-G2026-0034</w:t>
      </w:r>
      <w:r/>
    </w:p>
    <w:p>
      <w:pPr>
        <w:ind w:firstLine="1606"/>
        <w:spacing w:line="360" w:lineRule="auto"/>
        <w:rPr>
          <w:rFonts w:hint="eastAsia"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 购 人：</w:t>
      </w:r>
      <w:r>
        <w:rPr>
          <w:rFonts w:ascii="宋体" w:hAnsi="宋体" w:eastAsia="宋体" w:cs="宋体"/>
          <w:b/>
          <w:bCs/>
          <w:sz w:val="32"/>
          <w:szCs w:val="20"/>
          <w:shd w:val="clear" w:color="auto" w:fill="ffffff"/>
        </w:rPr>
        <w:t xml:space="preserve">苏州市姑苏区社会治安综合治理中心</w:t>
      </w:r>
      <w:r/>
    </w:p>
    <w:p>
      <w:pPr>
        <w:ind w:firstLine="1606"/>
        <w:spacing w:line="360" w:lineRule="auto"/>
        <w:rPr>
          <w:rFonts w:hint="eastAsia"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采购内容：姑苏区网格员意外保险</w:t>
      </w:r>
      <w:r/>
    </w:p>
    <w:p>
      <w:pPr>
        <w:ind w:firstLine="1606"/>
        <w:spacing w:line="360" w:lineRule="auto"/>
        <w:rPr>
          <w:rFonts w:hint="eastAsia"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采购类别：服务类</w:t>
      </w:r>
      <w:r/>
    </w:p>
    <w:p>
      <w:pPr>
        <w:pStyle w:val="1018"/>
        <w:ind w:left="0" w:firstLine="0"/>
        <w:jc w:val="center"/>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sz w:val="26"/>
          <w:szCs w:val="26"/>
          <w:shd w:val="clear" w:color="auto" w:fill="ffffff"/>
        </w:rPr>
      </w:pPr>
      <w:r>
        <w:rPr>
          <w:rFonts w:hint="eastAsia" w:ascii="宋体" w:hAnsi="宋体" w:eastAsia="宋体" w:cs="宋体"/>
        </w:rPr>
        <mc:AlternateContent>
          <mc:Choice Requires="wpg">
            <w:drawing>
              <wp:inline xmlns:wp="http://schemas.openxmlformats.org/drawingml/2006/wordprocessingDrawing" distT="0" distB="0" distL="0" distR="0">
                <wp:extent cx="1714500" cy="1364615"/>
                <wp:effectExtent l="0" t="0" r="0" b="6985"/>
                <wp:docPr id="5"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9"/>
                        <a:stretch/>
                      </pic:blipFill>
                      <pic:spPr bwMode="auto">
                        <a:xfrm>
                          <a:off x="0" y="0"/>
                          <a:ext cx="1714500" cy="1364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0pt;height:107.4pt;mso-wrap-distance-left:0.0pt;mso-wrap-distance-top:0.0pt;mso-wrap-distance-right:0.0pt;mso-wrap-distance-bottom:0.0pt;" stroked="f">
                <v:path textboxrect="0,0,0,0"/>
                <v:imagedata r:id="rId19" o:title=""/>
              </v:shape>
            </w:pict>
          </mc:Fallback>
        </mc:AlternateContent>
      </w:r>
      <w:r/>
    </w:p>
    <w:p>
      <w:pPr>
        <w:pStyle w:val="1018"/>
        <w:ind w:left="0" w:firstLine="0"/>
        <w:jc w:val="center"/>
        <w:rPr>
          <w:rFonts w:hint="eastAsia" w:ascii="宋体" w:hAnsi="宋体" w:eastAsia="宋体" w:cs="宋体"/>
        </w:rPr>
      </w:pPr>
      <w:r>
        <w:rPr>
          <w:rFonts w:hint="eastAsia" w:ascii="宋体" w:hAnsi="宋体" w:eastAsia="宋体" w:cs="宋体"/>
        </w:rPr>
      </w:r>
      <w:r/>
    </w:p>
    <w:p>
      <w:pPr>
        <w:pStyle w:val="1018"/>
        <w:ind w:left="0" w:firstLine="0"/>
        <w:jc w:val="center"/>
        <w:rPr>
          <w:rFonts w:hint="eastAsia" w:ascii="宋体" w:hAnsi="宋体" w:eastAsia="宋体" w:cs="宋体"/>
        </w:rPr>
      </w:pPr>
      <w:r>
        <w:rPr>
          <w:rFonts w:hint="eastAsia" w:ascii="宋体" w:hAnsi="宋体" w:eastAsia="宋体" w:cs="宋体"/>
        </w:rPr>
      </w:r>
      <w:r/>
    </w:p>
    <w:p>
      <w:pPr>
        <w:pStyle w:val="1018"/>
        <w:ind w:left="0" w:firstLine="0"/>
        <w:jc w:val="center"/>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sz w:val="26"/>
          <w:szCs w:val="26"/>
          <w:shd w:val="clear" w:color="auto" w:fill="ffffff"/>
        </w:rPr>
      </w:pPr>
      <w:r>
        <w:rPr>
          <w:rFonts w:hint="eastAsia" w:ascii="宋体" w:hAnsi="宋体" w:eastAsia="宋体" w:cs="宋体"/>
          <w:b/>
          <w:sz w:val="32"/>
        </w:rPr>
        <w:t xml:space="preserve">苏州诚和招投标咨询有限公司</w:t>
      </w:r>
      <w:r/>
    </w:p>
    <w:p>
      <w:pPr>
        <w:jc w:val="center"/>
        <w:spacing w:line="360" w:lineRule="auto"/>
        <w:rPr>
          <w:rFonts w:hint="eastAsia" w:ascii="宋体" w:hAnsi="宋体" w:eastAsia="宋体" w:cs="宋体"/>
          <w:b/>
          <w:sz w:val="32"/>
          <w:szCs w:val="20"/>
          <w:shd w:val="clear" w:color="auto" w:fill="ffffff"/>
        </w:rPr>
      </w:pPr>
      <w:r>
        <w:rPr>
          <w:rFonts w:hint="eastAsia" w:ascii="宋体" w:hAnsi="宋体" w:eastAsia="宋体" w:cs="宋体"/>
          <w:b/>
          <w:sz w:val="32"/>
          <w:szCs w:val="20"/>
          <w:shd w:val="clear" w:color="auto" w:fill="ffffff"/>
        </w:rPr>
        <w:t xml:space="preserve">二○二六年七月</w:t>
      </w:r>
      <w:r/>
    </w:p>
    <w:p>
      <w:pPr>
        <w:jc w:val="center"/>
        <w:spacing w:line="360" w:lineRule="auto"/>
        <w:rPr>
          <w:rFonts w:hint="eastAsia"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r>
      <w:r/>
    </w:p>
    <w:p>
      <w:pPr>
        <w:jc w:val="center"/>
        <w:spacing w:line="360" w:lineRule="auto"/>
        <w:rPr>
          <w:rFonts w:hint="eastAsia" w:ascii="宋体" w:hAnsi="宋体" w:eastAsia="宋体" w:cs="宋体"/>
          <w:b/>
          <w:sz w:val="32"/>
          <w:szCs w:val="32"/>
          <w:shd w:val="clear" w:color="auto" w:fill="ffffff"/>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4" w:right="1134" w:bottom="1134" w:left="1134" w:header="851" w:footer="992" w:gutter="0"/>
          <w:pgNumType w:start="1"/>
          <w:cols w:num="1" w:sep="0" w:space="0" w:equalWidth="1"/>
          <w:docGrid w:linePitch="360"/>
          <w:titlePg/>
        </w:sectPr>
      </w:pPr>
      <w:r>
        <w:rPr>
          <w:rFonts w:hint="eastAsia" w:ascii="宋体" w:hAnsi="宋体" w:eastAsia="宋体" w:cs="宋体"/>
          <w:b/>
          <w:sz w:val="32"/>
          <w:szCs w:val="32"/>
          <w:shd w:val="clear" w:color="auto" w:fill="ffffff"/>
        </w:rPr>
      </w:r>
      <w:r/>
    </w:p>
    <w:p>
      <w:pPr>
        <w:jc w:val="center"/>
        <w:spacing w:line="360" w:lineRule="auto"/>
        <w:rPr>
          <w:rFonts w:hint="eastAsia"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t xml:space="preserve">前附表</w:t>
      </w:r>
      <w:r/>
    </w:p>
    <w:tbl>
      <w:tblPr>
        <w:tblStyle w:val="977"/>
        <w:tblW w:w="98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9014"/>
      </w:tblGrid>
      <w:tr>
        <w:trPr>
          <w:jc w:val="center"/>
          <w:trHeight w:val="378"/>
        </w:trPr>
        <w:tc>
          <w:tcPr>
            <w:tcW w:w="794" w:type="dxa"/>
            <w:vAlign w:val="center"/>
            <w:textDirection w:val="lrTb"/>
            <w:noWrap w:val="false"/>
          </w:tcPr>
          <w:p>
            <w:pPr>
              <w:jc w:val="center"/>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序号</w:t>
            </w:r>
            <w:r/>
          </w:p>
        </w:tc>
        <w:tc>
          <w:tcPr>
            <w:tcW w:w="9014" w:type="dxa"/>
            <w:vAlign w:val="center"/>
            <w:textDirection w:val="lrTb"/>
            <w:noWrap w:val="false"/>
          </w:tcPr>
          <w:p>
            <w:pPr>
              <w:jc w:val="center"/>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内容规定</w:t>
            </w:r>
            <w:r/>
          </w:p>
        </w:tc>
      </w:tr>
      <w:tr>
        <w:trPr>
          <w:jc w:val="center"/>
          <w:trHeight w:val="350"/>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w:t>
            </w:r>
            <w:r/>
          </w:p>
        </w:tc>
        <w:tc>
          <w:tcPr>
            <w:tcW w:w="9014"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采购内容：姑苏区网格员意外保险</w:t>
            </w:r>
            <w:r/>
          </w:p>
        </w:tc>
      </w:tr>
      <w:tr>
        <w:trPr>
          <w:jc w:val="center"/>
          <w:trHeight w:val="373"/>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p>
        </w:tc>
        <w:tc>
          <w:tcPr>
            <w:tcW w:w="9014"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投标（响应）有效期：自投标（响应）截止日起</w:t>
            </w:r>
            <w:r>
              <w:rPr>
                <w:rFonts w:hint="eastAsia" w:ascii="宋体" w:hAnsi="宋体" w:eastAsia="宋体" w:cs="宋体"/>
                <w:b/>
                <w:bCs/>
                <w:sz w:val="24"/>
                <w:szCs w:val="24"/>
                <w:shd w:val="clear" w:color="auto" w:fill="ffffff"/>
              </w:rPr>
              <w:t xml:space="preserve">九十天（日历日）</w:t>
            </w:r>
            <w:r/>
          </w:p>
        </w:tc>
      </w:tr>
      <w:tr>
        <w:trPr>
          <w:jc w:val="center"/>
          <w:trHeight w:val="393"/>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w:t>
            </w:r>
            <w:r/>
          </w:p>
        </w:tc>
        <w:tc>
          <w:tcPr>
            <w:tcW w:w="9014"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投标（响应）保证金：</w:t>
            </w:r>
            <w:r/>
          </w:p>
          <w:p>
            <w:pPr>
              <w:rPr>
                <w:rFonts w:hint="eastAsia" w:ascii="宋体" w:hAnsi="宋体" w:eastAsia="宋体" w:cs="宋体"/>
                <w:sz w:val="24"/>
                <w:szCs w:val="24"/>
                <w:shd w:val="clear" w:color="auto" w:fill="ffffff"/>
              </w:rPr>
            </w:pPr>
            <w:r>
              <w:rPr>
                <w:rFonts w:ascii="Wingdings" w:hAnsi="Wingdings" w:eastAsia="Wingdings" w:cs="Wingdings"/>
                <w:sz w:val="24"/>
                <w:szCs w:val="24"/>
                <w:shd w:val="clear" w:color="auto" w:fill="ffffff"/>
              </w:rPr>
              <w:t xml:space="preserve">þ</w:t>
            </w:r>
            <w:r>
              <w:rPr>
                <w:rFonts w:hint="eastAsia" w:ascii="宋体" w:hAnsi="宋体" w:eastAsia="宋体" w:cs="宋体"/>
                <w:sz w:val="24"/>
                <w:szCs w:val="24"/>
                <w:shd w:val="clear" w:color="auto" w:fill="ffffff"/>
              </w:rPr>
              <w:t xml:space="preserve">不需提交，招标文件中有关投标（响应）保证金的规定均不适用。</w:t>
            </w:r>
            <w:r/>
          </w:p>
          <w:p>
            <w:pPr>
              <w:pStyle w:val="986"/>
              <w:ind w:left="0"/>
              <w:spacing w:line="240" w:lineRule="auto"/>
              <w:rPr>
                <w:rFonts w:hint="eastAsia" w:ascii="宋体" w:hAnsi="宋体" w:eastAsia="宋体" w:cs="宋体"/>
                <w:szCs w:val="24"/>
              </w:rPr>
            </w:pPr>
            <w:r>
              <w:rPr>
                <w:rFonts w:ascii="Wingdings" w:hAnsi="Wingdings" w:eastAsia="Wingdings" w:cs="Wingdings"/>
                <w:szCs w:val="24"/>
                <w:shd w:val="clear" w:color="auto" w:fill="ffffff"/>
              </w:rPr>
              <w:t xml:space="preserve">¨</w:t>
            </w:r>
            <w:r>
              <w:rPr>
                <w:rFonts w:hint="eastAsia" w:ascii="宋体" w:hAnsi="宋体" w:eastAsia="宋体" w:cs="宋体"/>
                <w:szCs w:val="24"/>
                <w:shd w:val="clear" w:color="auto" w:fill="ffffff"/>
              </w:rPr>
              <w:t xml:space="preserve">需提交，投标（响应）保证金金额： 元整。</w:t>
            </w:r>
            <w:r/>
          </w:p>
        </w:tc>
      </w:tr>
      <w:tr>
        <w:trPr>
          <w:jc w:val="center"/>
          <w:trHeight w:val="518"/>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w:t>
            </w:r>
            <w:r/>
          </w:p>
        </w:tc>
        <w:tc>
          <w:tcPr>
            <w:tcW w:w="901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投标（响应）文件：</w:t>
            </w:r>
            <w:r>
              <w:rPr>
                <w:rFonts w:hint="eastAsia" w:ascii="宋体" w:hAnsi="宋体" w:eastAsia="宋体" w:cs="宋体"/>
                <w:b/>
                <w:bCs/>
                <w:sz w:val="24"/>
                <w:szCs w:val="24"/>
              </w:rPr>
              <w:t xml:space="preserve">本项目采用网上提交电子投标（响应）文件，不接受纸质投标（响应）文件。</w:t>
            </w:r>
            <w:r/>
          </w:p>
        </w:tc>
      </w:tr>
      <w:tr>
        <w:trPr>
          <w:jc w:val="center"/>
          <w:trHeight w:val="45"/>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w:t>
            </w:r>
            <w:r/>
          </w:p>
        </w:tc>
        <w:tc>
          <w:tcPr>
            <w:tcW w:w="9014" w:type="dxa"/>
            <w:vAlign w:val="center"/>
            <w:textDirection w:val="lrTb"/>
            <w:noWrap w:val="false"/>
          </w:tcPr>
          <w:p>
            <w:pPr>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开标信息</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投标（响应）截止时间：</w:t>
            </w:r>
            <w:r>
              <w:rPr>
                <w:rFonts w:hint="eastAsia" w:ascii="宋体" w:hAnsi="宋体" w:eastAsia="宋体" w:cs="宋体"/>
                <w:sz w:val="24"/>
                <w:szCs w:val="24"/>
                <w:shd w:val="clear" w:color="auto" w:fill="ffffff"/>
                <w:lang w:eastAsia="zh-CN"/>
              </w:rPr>
              <w:t xml:space="preserve">2026年08月05日</w:t>
            </w:r>
            <w:r>
              <w:rPr>
                <w:rFonts w:hint="eastAsia" w:ascii="宋体" w:hAnsi="宋体" w:eastAsia="宋体" w:cs="宋体"/>
                <w:sz w:val="24"/>
                <w:szCs w:val="24"/>
                <w:shd w:val="clear" w:color="auto" w:fill="ffffff"/>
              </w:rPr>
              <w:t xml:space="preserve">13点30分（北京时间）</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开标时间：</w:t>
            </w:r>
            <w:r>
              <w:rPr>
                <w:rFonts w:hint="eastAsia" w:ascii="宋体" w:hAnsi="宋体" w:eastAsia="宋体" w:cs="宋体"/>
                <w:sz w:val="24"/>
                <w:szCs w:val="24"/>
                <w:shd w:val="clear" w:color="auto" w:fill="ffffff"/>
                <w:lang w:eastAsia="zh-CN"/>
              </w:rPr>
              <w:t xml:space="preserve">2026年08月05日</w:t>
            </w:r>
            <w:r>
              <w:rPr>
                <w:rFonts w:hint="eastAsia" w:ascii="宋体" w:hAnsi="宋体" w:eastAsia="宋体" w:cs="宋体"/>
                <w:sz w:val="24"/>
                <w:szCs w:val="24"/>
                <w:shd w:val="clear" w:color="auto" w:fill="ffffff"/>
              </w:rPr>
              <w:t xml:space="preserve">13点30分（北京时间）</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开标地点：“苏采云”系统（网址：http://jszfcg.jsczt.cn/）</w:t>
            </w:r>
            <w:r/>
          </w:p>
          <w:p>
            <w:pPr>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Height w:val="473"/>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w:t>
            </w:r>
            <w:r/>
          </w:p>
        </w:tc>
        <w:tc>
          <w:tcPr>
            <w:tcW w:w="9014" w:type="dxa"/>
            <w:vAlign w:val="center"/>
            <w:textDirection w:val="lrTb"/>
            <w:noWrap w:val="false"/>
          </w:tcPr>
          <w:p>
            <w:pPr>
              <w:ind w:right="-159"/>
              <w:jc w:val="left"/>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履约保证金：</w:t>
            </w:r>
            <w:r/>
          </w:p>
          <w:p>
            <w:pPr>
              <w:rPr>
                <w:rFonts w:hint="eastAsia" w:ascii="宋体" w:hAnsi="宋体" w:eastAsia="宋体" w:cs="宋体"/>
                <w:sz w:val="24"/>
                <w:szCs w:val="24"/>
                <w:shd w:val="clear" w:color="auto" w:fill="ffffff"/>
              </w:rPr>
            </w:pPr>
            <w:r>
              <w:rPr>
                <w:rFonts w:ascii="Wingdings" w:hAnsi="Wingdings" w:eastAsia="Wingdings" w:cs="Wingdings"/>
                <w:sz w:val="24"/>
                <w:szCs w:val="24"/>
                <w:shd w:val="clear" w:color="auto" w:fill="ffffff"/>
              </w:rPr>
              <w:t xml:space="preserve">þ</w:t>
            </w:r>
            <w:r>
              <w:rPr>
                <w:rFonts w:hint="eastAsia" w:ascii="宋体" w:hAnsi="宋体" w:eastAsia="宋体" w:cs="宋体"/>
                <w:sz w:val="24"/>
                <w:szCs w:val="24"/>
                <w:shd w:val="clear" w:color="auto" w:fill="ffffff"/>
              </w:rPr>
              <w:t xml:space="preserve">不需提交，招标文件中有关履约保证金的规定均不适用。</w:t>
            </w:r>
            <w:r/>
          </w:p>
          <w:p>
            <w:pPr>
              <w:ind w:right="-159"/>
              <w:jc w:val="left"/>
              <w:widowControl/>
              <w:rPr>
                <w:rFonts w:hint="eastAsia" w:ascii="宋体" w:hAnsi="宋体" w:eastAsia="宋体" w:cs="宋体"/>
                <w:bCs/>
                <w:sz w:val="24"/>
                <w:szCs w:val="24"/>
              </w:rPr>
            </w:pPr>
            <w:r>
              <w:rPr>
                <w:rFonts w:ascii="Wingdings" w:hAnsi="Wingdings" w:eastAsia="Wingdings" w:cs="Wingdings"/>
                <w:sz w:val="24"/>
                <w:szCs w:val="24"/>
                <w:shd w:val="clear" w:color="auto" w:fill="ffffff"/>
              </w:rPr>
              <w:t xml:space="preserve">¨</w:t>
            </w:r>
            <w:r>
              <w:rPr>
                <w:rFonts w:hint="eastAsia" w:ascii="宋体" w:hAnsi="宋体" w:eastAsia="宋体" w:cs="宋体"/>
                <w:sz w:val="24"/>
                <w:szCs w:val="24"/>
                <w:shd w:val="clear" w:color="auto" w:fill="ffffff"/>
              </w:rPr>
              <w:t xml:space="preserve">需提交，中标金额的5%。（可提供符合《关于在全省政府采购领域推行电子履约保函(保险)的通知》（苏财购</w:t>
            </w:r>
            <w:r>
              <w:rPr>
                <w:rFonts w:ascii="宋体" w:hAnsi="宋体" w:eastAsia="宋体" w:cs="宋体"/>
                <w:sz w:val="24"/>
                <w:szCs w:val="24"/>
                <w:shd w:val="clear" w:color="auto" w:fill="ffffff"/>
              </w:rPr>
              <w:t xml:space="preserve">〔2023〕</w:t>
            </w:r>
            <w:r>
              <w:rPr>
                <w:rFonts w:hint="eastAsia" w:ascii="宋体" w:hAnsi="宋体" w:eastAsia="宋体" w:cs="宋体"/>
                <w:sz w:val="24"/>
                <w:szCs w:val="24"/>
                <w:shd w:val="clear" w:color="auto" w:fill="ffffff"/>
              </w:rPr>
              <w:t xml:space="preserve">150号）要求的电子履约保函）</w:t>
            </w:r>
            <w:r/>
          </w:p>
        </w:tc>
      </w:tr>
      <w:tr>
        <w:trPr>
          <w:jc w:val="center"/>
          <w:trHeight w:val="3711"/>
        </w:trPr>
        <w:tc>
          <w:tcPr>
            <w:tcW w:w="794" w:type="dxa"/>
            <w:vAlign w:val="center"/>
            <w:textDirection w:val="lrTb"/>
            <w:noWrap w:val="false"/>
          </w:tcPr>
          <w:p>
            <w:pPr>
              <w:ind w:right="18"/>
              <w:jc w:val="center"/>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7</w:t>
            </w:r>
            <w:r/>
          </w:p>
        </w:tc>
        <w:tc>
          <w:tcPr>
            <w:tcW w:w="9014"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rPr>
              <w:t xml:space="preserve">代理服务费：</w:t>
            </w:r>
            <w:r/>
          </w:p>
          <w:p>
            <w:pPr>
              <w:rPr>
                <w:rFonts w:hint="eastAsia" w:ascii="宋体" w:hAnsi="宋体" w:eastAsia="宋体" w:cs="宋体"/>
                <w:sz w:val="24"/>
                <w:szCs w:val="24"/>
                <w:shd w:val="clear" w:color="auto" w:fill="ffffff"/>
              </w:rPr>
            </w:pPr>
            <w:r>
              <w:rPr>
                <w:rFonts w:ascii="Wingdings" w:hAnsi="Wingdings" w:eastAsia="Wingdings" w:cs="Wingdings"/>
                <w:sz w:val="24"/>
                <w:szCs w:val="24"/>
                <w:shd w:val="clear" w:color="auto" w:fill="ffffff"/>
              </w:rPr>
              <w:t xml:space="preserve">þ</w:t>
            </w:r>
            <w:r>
              <w:rPr>
                <w:rFonts w:hint="eastAsia" w:ascii="宋体" w:hAnsi="宋体" w:eastAsia="宋体" w:cs="宋体"/>
                <w:sz w:val="24"/>
                <w:szCs w:val="24"/>
              </w:rPr>
              <w:t xml:space="preserve">由采购人承担并直接支付</w:t>
            </w:r>
            <w:r>
              <w:rPr>
                <w:rFonts w:hint="eastAsia" w:ascii="宋体" w:hAnsi="宋体" w:eastAsia="宋体" w:cs="宋体"/>
                <w:sz w:val="24"/>
                <w:szCs w:val="24"/>
                <w:shd w:val="clear" w:color="auto" w:fill="ffffff"/>
              </w:rPr>
              <w:t xml:space="preserve">，采购文件中有关代理服务费的规定均不适用。</w:t>
            </w:r>
            <w:r/>
          </w:p>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ind w:right="18"/>
              <w:jc w:val="left"/>
              <w:tabs>
                <w:tab w:val="left" w:pos="720" w:leader="none"/>
              </w:tabs>
              <w:rPr>
                <w:rFonts w:hint="eastAsia" w:ascii="宋体" w:hAnsi="宋体" w:eastAsia="宋体" w:cs="宋体"/>
                <w:sz w:val="24"/>
                <w:szCs w:val="24"/>
              </w:rPr>
            </w:pPr>
            <w:r>
              <w:rPr>
                <w:rFonts w:ascii="Wingdings" w:hAnsi="Wingdings" w:eastAsia="Wingdings" w:cs="Wingdings"/>
                <w:sz w:val="24"/>
                <w:szCs w:val="24"/>
                <w:shd w:val="clear" w:color="auto" w:fill="ffffff"/>
              </w:rPr>
              <w:t xml:space="preserve">¨</w:t>
            </w:r>
            <w:r>
              <w:rPr>
                <w:rFonts w:hint="eastAsia" w:ascii="宋体" w:hAnsi="宋体" w:eastAsia="宋体" w:cs="宋体"/>
                <w:sz w:val="24"/>
                <w:szCs w:val="24"/>
              </w:rPr>
              <w:t xml:space="preserve">由中标（成交）供应商承担并支付：</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收费标准：代理服务费收费按以下标准的</w:t>
            </w:r>
            <w:r>
              <w:rPr>
                <w:rFonts w:hint="eastAsia" w:ascii="宋体" w:hAnsi="宋体" w:eastAsia="宋体" w:cs="宋体"/>
                <w:sz w:val="24"/>
                <w:szCs w:val="24"/>
                <w:u w:val="single"/>
              </w:rPr>
              <w:t xml:space="preserve"> 100 %</w:t>
            </w:r>
            <w:r>
              <w:rPr>
                <w:rFonts w:hint="eastAsia" w:ascii="宋体" w:hAnsi="宋体" w:eastAsia="宋体" w:cs="宋体"/>
                <w:sz w:val="24"/>
                <w:szCs w:val="24"/>
              </w:rPr>
              <w:t xml:space="preserve">收取：</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预算金额100万元以下部分，费率为该部分预算金额的1.5%；</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预算金额100万元（含）-500万元部分，费率为该部分预算金额的1.1%；</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预算金额500万元（含）-1000万元部分，费率为该部分预算金额的0.8%；</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预算金额1000万元（含）-5000万元部分，费率为该部分预算金额的0.5%；</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预算金额5000万元以上部分，费率为该部分预算金额的0.25%。</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说明：代理服务费以采购预算金额为基数依据，按以上规定的标准和差额定率累进法进行计算收取。例：如预算金额为150万元，则代理服务费＝[100万元以下部分×1.5%＋（150万元-100万元以下部分）×1.1%]×折扣率。如按上述方法计算的金额低于人民币3000元整的，则本项目代理服务费按人民币3000元整计收。</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付款方式：银行转账、现金解款</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服务费收款账号：8314122601346</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账户名：苏州诚和招投标咨询有限公司</w:t>
            </w:r>
            <w:r/>
          </w:p>
          <w:p>
            <w:pPr>
              <w:ind w:right="18"/>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开户行：上海浦东发展银行苏州分行沧浪支行</w:t>
            </w:r>
            <w:r/>
          </w:p>
        </w:tc>
      </w:tr>
      <w:tr>
        <w:trPr>
          <w:jc w:val="center"/>
          <w:trHeight w:val="578"/>
        </w:trPr>
        <w:tc>
          <w:tcPr>
            <w:tcW w:w="794"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8</w:t>
            </w:r>
            <w:r/>
          </w:p>
        </w:tc>
        <w:tc>
          <w:tcPr>
            <w:tcW w:w="9014"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政府采购监督电话：</w:t>
            </w:r>
            <w:r>
              <w:rPr>
                <w:rFonts w:ascii="宋体" w:hAnsi="宋体" w:eastAsia="宋体" w:cs="宋体"/>
                <w:sz w:val="24"/>
                <w:szCs w:val="24"/>
                <w:shd w:val="clear" w:color="auto" w:fill="ffffff"/>
              </w:rPr>
              <w:t xml:space="preserve">0512-68728409</w:t>
            </w:r>
            <w:r/>
          </w:p>
        </w:tc>
      </w:tr>
    </w:tbl>
    <w:p>
      <w:pPr>
        <w:jc w:val="center"/>
        <w:spacing w:line="360" w:lineRule="auto"/>
        <w:rPr>
          <w:rFonts w:hint="eastAsia" w:ascii="宋体" w:hAnsi="宋体" w:eastAsia="宋体" w:cs="宋体"/>
          <w:sz w:val="52"/>
          <w:szCs w:val="52"/>
          <w:shd w:val="clear" w:color="auto" w:fill="ffffff"/>
        </w:rPr>
      </w:pPr>
      <w:r>
        <w:rPr>
          <w:rFonts w:hint="eastAsia" w:ascii="宋体" w:hAnsi="宋体" w:eastAsia="宋体" w:cs="宋体"/>
          <w:sz w:val="52"/>
          <w:szCs w:val="52"/>
          <w:shd w:val="clear" w:color="auto" w:fill="ffffff"/>
        </w:rPr>
      </w:r>
      <w:r/>
    </w:p>
    <w:p>
      <w:pPr>
        <w:jc w:val="center"/>
        <w:spacing w:line="360" w:lineRule="auto"/>
        <w:rPr>
          <w:rFonts w:hint="eastAsia" w:ascii="宋体" w:hAnsi="宋体" w:eastAsia="宋体" w:cs="宋体"/>
          <w:b/>
          <w:sz w:val="48"/>
          <w:szCs w:val="48"/>
          <w:shd w:val="clear" w:color="auto" w:fill="ffffff"/>
        </w:rPr>
      </w:pPr>
      <w:r>
        <w:rPr>
          <w:rFonts w:hint="eastAsia" w:ascii="宋体" w:hAnsi="宋体" w:eastAsia="宋体" w:cs="宋体"/>
          <w:b/>
          <w:sz w:val="48"/>
          <w:szCs w:val="48"/>
          <w:shd w:val="clear" w:color="auto" w:fill="ffffff"/>
        </w:rPr>
        <w:t xml:space="preserve">总目</w:t>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b/>
          <w:bCs/>
          <w:sz w:val="24"/>
          <w:szCs w:val="24"/>
          <w:shd w:val="clear" w:color="auto" w:fill="ffffff"/>
        </w:rPr>
        <w:fldChar w:fldCharType="begin"/>
      </w:r>
      <w:r>
        <w:rPr>
          <w:rFonts w:hint="eastAsia" w:ascii="宋体" w:hAnsi="宋体" w:eastAsia="宋体" w:cs="宋体"/>
          <w:b/>
          <w:bCs/>
          <w:sz w:val="24"/>
          <w:szCs w:val="24"/>
          <w:shd w:val="clear" w:color="auto" w:fill="ffffff"/>
        </w:rPr>
        <w:instrText xml:space="preserve"> TOC \o "1-1"</w:instrText>
      </w:r>
      <w:r>
        <w:rPr>
          <w:rFonts w:hint="eastAsia" w:ascii="宋体" w:hAnsi="宋体" w:eastAsia="宋体" w:cs="宋体"/>
          <w:b/>
          <w:bCs/>
          <w:sz w:val="24"/>
          <w:szCs w:val="24"/>
          <w:shd w:val="clear" w:color="auto" w:fill="ffffff"/>
        </w:rPr>
        <w:fldChar w:fldCharType="separate"/>
      </w:r>
      <w:r>
        <w:rPr>
          <w:rFonts w:hint="eastAsia" w:ascii="宋体" w:hAnsi="宋体" w:eastAsia="宋体" w:cs="宋体"/>
          <w:sz w:val="24"/>
          <w:szCs w:val="20"/>
          <w:shd w:val="clear" w:color="auto" w:fill="ffffff"/>
        </w:rPr>
        <w:t xml:space="preserve">第一章投标邀请函</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_Toc105940237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3</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第二章供应商须知</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_Toc105940238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8</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第三章投标文件格式</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_Toc105940239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24</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第四章招标书</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_Toc105940240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41</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第五章合同主要条款</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_Toc105940241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45</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第六章评分标准</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_Toc105940242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49</w:t>
      </w:r>
      <w:r>
        <w:rPr>
          <w:rFonts w:hint="eastAsia" w:ascii="宋体" w:hAnsi="宋体" w:eastAsia="宋体" w:cs="宋体"/>
          <w:sz w:val="24"/>
          <w:szCs w:val="20"/>
        </w:rPr>
        <w:fldChar w:fldCharType="end"/>
      </w:r>
      <w:r/>
    </w:p>
    <w:p>
      <w:pPr>
        <w:jc w:val="left"/>
        <w:spacing w:line="360" w:lineRule="auto"/>
        <w:tabs>
          <w:tab w:val="right" w:pos="9022" w:leader="dot"/>
        </w:tabs>
        <w:rPr>
          <w:rFonts w:hint="eastAsia" w:ascii="宋体" w:hAnsi="宋体" w:eastAsia="宋体" w:cs="宋体"/>
        </w:rPr>
      </w:pPr>
      <w:r>
        <w:rPr>
          <w:rFonts w:hint="eastAsia" w:ascii="宋体" w:hAnsi="宋体" w:eastAsia="宋体" w:cs="宋体"/>
          <w:sz w:val="24"/>
          <w:szCs w:val="20"/>
          <w:shd w:val="clear" w:color="auto" w:fill="ffffff"/>
        </w:rPr>
        <w:t xml:space="preserve">第七章附件</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_Toc105940243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54</w:t>
      </w:r>
      <w:r>
        <w:rPr>
          <w:rFonts w:hint="eastAsia" w:ascii="宋体" w:hAnsi="宋体" w:eastAsia="宋体" w:cs="宋体"/>
          <w:sz w:val="24"/>
          <w:szCs w:val="20"/>
        </w:rPr>
        <w:fldChar w:fldCharType="end"/>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bCs/>
          <w:sz w:val="24"/>
          <w:szCs w:val="24"/>
          <w:shd w:val="clear" w:color="auto" w:fill="ffffff"/>
        </w:rPr>
        <w:fldChar w:fldCharType="end"/>
      </w:r>
      <w:r/>
    </w:p>
    <w:p>
      <w:pPr>
        <w:spacing w:line="360" w:lineRule="auto"/>
        <w:rPr>
          <w:rFonts w:hint="eastAsia" w:ascii="宋体" w:hAnsi="宋体" w:eastAsia="宋体" w:cs="宋体"/>
          <w:b/>
          <w:sz w:val="30"/>
          <w:szCs w:val="30"/>
          <w:shd w:val="clear" w:color="auto" w:fill="ffffff"/>
        </w:rPr>
      </w:pPr>
      <w:r>
        <w:rPr>
          <w:rFonts w:hint="eastAsia" w:ascii="宋体" w:hAnsi="宋体" w:eastAsia="宋体" w:cs="宋体"/>
          <w:sz w:val="24"/>
          <w:szCs w:val="20"/>
          <w:shd w:val="clear" w:color="auto" w:fill="ffffff"/>
        </w:rPr>
        <w:br w:type="page" w:clear="all"/>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jc w:val="center"/>
        <w:keepLines/>
        <w:keepNext/>
        <w:spacing w:before="340" w:after="330" w:line="360" w:lineRule="auto"/>
        <w:rPr>
          <w:rFonts w:hint="eastAsia" w:ascii="宋体" w:hAnsi="宋体" w:eastAsia="宋体" w:cs="宋体"/>
          <w:b/>
          <w:sz w:val="52"/>
          <w:szCs w:val="20"/>
          <w:shd w:val="clear" w:color="auto" w:fill="ffffff"/>
        </w:rPr>
        <w:outlineLvl w:val="0"/>
      </w:pPr>
      <w:r/>
      <w:bookmarkStart w:id="0" w:name="_Toc105940237"/>
      <w:r>
        <w:rPr>
          <w:rFonts w:hint="eastAsia" w:ascii="宋体" w:hAnsi="宋体" w:eastAsia="宋体" w:cs="宋体"/>
          <w:b/>
          <w:sz w:val="52"/>
          <w:szCs w:val="20"/>
          <w:shd w:val="clear" w:color="auto" w:fill="ffffff"/>
        </w:rPr>
        <w:t xml:space="preserve">第一章 投标邀请函</w:t>
      </w:r>
      <w:bookmarkEnd w:id="0"/>
      <w:r/>
      <w:bookmarkStart w:id="1" w:name="_Hlk117242093"/>
      <w:r/>
      <w:bookmarkEnd w:id="1"/>
      <w:r/>
      <w:r/>
    </w:p>
    <w:p>
      <w:pPr>
        <w:jc w:val="left"/>
        <w:widowControl/>
        <w:rPr>
          <w:rFonts w:hint="eastAsia" w:ascii="宋体" w:hAnsi="宋体" w:eastAsia="宋体" w:cs="宋体"/>
          <w:b/>
          <w:sz w:val="24"/>
        </w:rPr>
      </w:pPr>
      <w:r>
        <w:rPr>
          <w:rFonts w:hint="eastAsia" w:ascii="宋体" w:hAnsi="宋体" w:eastAsia="宋体" w:cs="宋体"/>
          <w:b/>
          <w:sz w:val="24"/>
        </w:rPr>
        <w:br w:type="page" w:clear="all"/>
      </w:r>
      <w:r/>
    </w:p>
    <w:p>
      <w:pPr>
        <w:ind w:firstLine="482"/>
        <w:spacing w:line="360" w:lineRule="auto"/>
        <w:rPr>
          <w:rFonts w:hint="eastAsia" w:ascii="宋体" w:hAnsi="宋体" w:eastAsia="宋体" w:cs="宋体"/>
          <w:b/>
          <w:sz w:val="24"/>
        </w:rPr>
      </w:pPr>
      <w:r>
        <w:rPr>
          <w:rFonts w:hint="eastAsia" w:ascii="宋体" w:hAnsi="宋体" w:eastAsia="宋体" w:cs="宋体"/>
          <w:b/>
          <w:sz w:val="24"/>
        </w:rPr>
      </w:r>
      <w:r/>
    </w:p>
    <w:tbl>
      <w:tblPr>
        <w:tblStyle w:val="97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jc w:val="center"/>
          <w:trHeight w:val="90"/>
        </w:trPr>
        <w:tc>
          <w:tcPr>
            <w:tcW w:w="5000" w:type="pct"/>
            <w:textDirection w:val="lrTb"/>
            <w:noWrap w:val="false"/>
          </w:tcPr>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项目概况：</w:t>
            </w:r>
            <w:r/>
          </w:p>
          <w:p>
            <w:pPr>
              <w:ind w:firstLine="480"/>
              <w:spacing w:line="360" w:lineRule="auto"/>
              <w:rPr>
                <w:rFonts w:hint="eastAsia" w:ascii="宋体" w:hAnsi="宋体" w:eastAsia="宋体" w:cs="宋体"/>
                <w:szCs w:val="21"/>
              </w:rPr>
            </w:pPr>
            <w:r>
              <w:rPr>
                <w:rFonts w:hint="eastAsia" w:ascii="宋体" w:hAnsi="宋体" w:eastAsia="宋体" w:cs="宋体"/>
                <w:sz w:val="24"/>
                <w:szCs w:val="24"/>
                <w:shd w:val="clear" w:color="auto" w:fill="ffffff"/>
              </w:rPr>
              <w:t xml:space="preserve">姑苏区网格员意外保险</w:t>
            </w:r>
            <w:r>
              <w:rPr>
                <w:rFonts w:hint="eastAsia" w:ascii="宋体" w:hAnsi="宋体" w:eastAsia="宋体" w:cs="宋体"/>
                <w:sz w:val="24"/>
              </w:rPr>
              <w:t xml:space="preserve">项目</w:t>
            </w:r>
            <w:r>
              <w:rPr>
                <w:rFonts w:ascii="宋体" w:hAnsi="宋体" w:eastAsia="宋体" w:cs="宋体"/>
                <w:sz w:val="24"/>
              </w:rPr>
              <w:t xml:space="preserve">JSZC-320508-SZCH-G2026-0034</w:t>
            </w:r>
            <w:r>
              <w:rPr>
                <w:rFonts w:hint="eastAsia" w:ascii="宋体" w:hAnsi="宋体" w:eastAsia="宋体" w:cs="宋体"/>
                <w:sz w:val="24"/>
              </w:rPr>
              <w:t xml:space="preserve">的潜在投标人应在江苏省政府采购一体化平台“苏采云”系统自行免费下载招标（采购）文件，并于</w:t>
            </w:r>
            <w:r>
              <w:rPr>
                <w:rFonts w:hint="eastAsia" w:ascii="宋体" w:hAnsi="宋体" w:eastAsia="宋体" w:cs="宋体"/>
                <w:sz w:val="24"/>
                <w:lang w:eastAsia="zh-CN"/>
              </w:rPr>
              <w:t xml:space="preserve">2026年08月05日</w:t>
            </w:r>
            <w:r>
              <w:rPr>
                <w:rFonts w:hint="eastAsia" w:ascii="宋体" w:hAnsi="宋体" w:eastAsia="宋体" w:cs="宋体"/>
                <w:sz w:val="24"/>
              </w:rPr>
              <w:t xml:space="preserve">13点30分（北京时间）前递交投标文件。</w:t>
            </w:r>
            <w:r/>
          </w:p>
        </w:tc>
      </w:tr>
    </w:tbl>
    <w:p>
      <w:pPr>
        <w:ind w:firstLine="482"/>
        <w:spacing w:line="360" w:lineRule="auto"/>
        <w:rPr>
          <w:rFonts w:hint="eastAsia" w:ascii="宋体" w:hAnsi="宋体" w:eastAsia="宋体" w:cs="宋体"/>
          <w:sz w:val="24"/>
        </w:rPr>
      </w:pPr>
      <w:r>
        <w:rPr>
          <w:rFonts w:hint="eastAsia" w:ascii="宋体" w:hAnsi="宋体" w:eastAsia="宋体" w:cs="宋体"/>
          <w:b/>
          <w:sz w:val="24"/>
        </w:rPr>
        <w:t xml:space="preserve">一、项目基本情况</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项目编号：</w:t>
      </w:r>
      <w:r>
        <w:rPr>
          <w:rFonts w:ascii="宋体" w:hAnsi="宋体" w:eastAsia="宋体" w:cs="宋体"/>
          <w:sz w:val="24"/>
        </w:rPr>
        <w:t xml:space="preserve">JSZC-320508-SZCH-G2026-0034</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项目名称：</w:t>
      </w:r>
      <w:r>
        <w:rPr>
          <w:rFonts w:hint="eastAsia" w:ascii="宋体" w:hAnsi="宋体" w:eastAsia="宋体" w:cs="宋体"/>
          <w:sz w:val="24"/>
          <w:szCs w:val="24"/>
          <w:shd w:val="clear" w:color="auto" w:fill="ffffff"/>
        </w:rPr>
        <w:t xml:space="preserve">姑苏区网格员意外保险</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采购方式：公开招标</w:t>
      </w:r>
      <w:r/>
    </w:p>
    <w:p>
      <w:pPr>
        <w:ind w:firstLine="480"/>
        <w:spacing w:line="360" w:lineRule="auto"/>
        <w:rPr>
          <w:rFonts w:hint="eastAsia" w:ascii="宋体" w:hAnsi="宋体" w:eastAsia="宋体" w:cs="宋体"/>
          <w:sz w:val="24"/>
        </w:rPr>
      </w:pPr>
      <w:r/>
      <w:bookmarkStart w:id="2" w:name="_Hlk193370935"/>
      <w:r>
        <w:rPr>
          <w:rFonts w:hint="eastAsia" w:ascii="宋体" w:hAnsi="宋体" w:eastAsia="宋体" w:cs="宋体"/>
          <w:sz w:val="24"/>
        </w:rPr>
        <w:t xml:space="preserve">预算金额：</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人民币（大写）：壹佰肆拾壹万肆仟元整</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人民币（小写）：￥1,414,000.00元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最高限价（如有）：</w:t>
      </w:r>
      <w:bookmarkEnd w:id="2"/>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人民币（大写）：壹佰肆拾壹万肆仟元整</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人民币（小写）：￥1,414,000.00元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采购需求：</w:t>
      </w:r>
      <w:r>
        <w:rPr>
          <w:rFonts w:ascii="宋体" w:hAnsi="宋体" w:eastAsia="宋体" w:cs="宋体"/>
          <w:sz w:val="24"/>
          <w:szCs w:val="24"/>
        </w:rPr>
        <w:t xml:space="preserve">为姑苏区专职网格长、副网格长和兼职网格员购买意外保险。</w:t>
      </w:r>
      <w:r>
        <w:rPr>
          <w:rFonts w:hint="eastAsia" w:ascii="宋体" w:hAnsi="宋体" w:eastAsia="宋体" w:cs="宋体"/>
          <w:sz w:val="24"/>
          <w:szCs w:val="24"/>
        </w:rPr>
        <w:t xml:space="preserve">具体详见招标文件。</w:t>
      </w:r>
      <w:r/>
    </w:p>
    <w:p>
      <w:pPr>
        <w:ind w:firstLine="480"/>
        <w:spacing w:line="360" w:lineRule="auto"/>
        <w:rPr>
          <w:rFonts w:hint="eastAsia" w:ascii="宋体" w:hAnsi="宋体" w:eastAsia="宋体" w:cs="宋体"/>
          <w:sz w:val="24"/>
          <w:szCs w:val="24"/>
        </w:rPr>
      </w:pPr>
      <w:r/>
      <w:bookmarkStart w:id="3" w:name="_Hlk193370988"/>
      <w:r>
        <w:rPr>
          <w:rFonts w:hint="eastAsia" w:ascii="宋体" w:hAnsi="宋体" w:eastAsia="宋体" w:cs="宋体"/>
          <w:sz w:val="24"/>
          <w:szCs w:val="24"/>
        </w:rPr>
        <w:t xml:space="preserve">合同履行期限：</w:t>
      </w:r>
      <w:r>
        <w:rPr>
          <w:rFonts w:ascii="宋体" w:hAnsi="宋体" w:eastAsia="宋体" w:cs="宋体"/>
          <w:sz w:val="24"/>
          <w:szCs w:val="24"/>
        </w:rPr>
        <w:t xml:space="preserve">24个月，具体</w:t>
      </w:r>
      <w:r>
        <w:rPr>
          <w:rFonts w:hint="eastAsia" w:ascii="宋体" w:hAnsi="宋体" w:eastAsia="宋体" w:cs="宋体"/>
          <w:sz w:val="24"/>
          <w:szCs w:val="24"/>
        </w:rPr>
        <w:t xml:space="preserve">以</w:t>
      </w:r>
      <w:r>
        <w:rPr>
          <w:rFonts w:ascii="宋体" w:hAnsi="宋体" w:eastAsia="宋体" w:cs="宋体"/>
          <w:sz w:val="24"/>
          <w:szCs w:val="24"/>
        </w:rPr>
        <w:t xml:space="preserve">保单约定时间为准</w:t>
      </w:r>
      <w:r>
        <w:rPr>
          <w:rFonts w:hint="eastAsia" w:ascii="宋体" w:hAnsi="宋体" w:eastAsia="宋体" w:cs="宋体"/>
          <w:sz w:val="24"/>
          <w:szCs w:val="24"/>
        </w:rPr>
        <w:t xml:space="preserve">（其中</w:t>
      </w:r>
      <w:r>
        <w:rPr>
          <w:rFonts w:ascii="宋体" w:hAnsi="宋体" w:eastAsia="宋体" w:cs="宋体"/>
          <w:sz w:val="24"/>
          <w:szCs w:val="24"/>
        </w:rPr>
        <w:t xml:space="preserve">专职网格长</w:t>
      </w:r>
      <w:r>
        <w:rPr>
          <w:rFonts w:hint="eastAsia" w:ascii="宋体" w:hAnsi="宋体" w:eastAsia="宋体" w:cs="宋体"/>
          <w:sz w:val="24"/>
          <w:szCs w:val="24"/>
        </w:rPr>
        <w:t xml:space="preserve">投保时间4.5个月，</w:t>
      </w:r>
      <w:r>
        <w:rPr>
          <w:rFonts w:ascii="宋体" w:hAnsi="宋体" w:eastAsia="宋体" w:cs="宋体"/>
          <w:sz w:val="24"/>
          <w:szCs w:val="24"/>
        </w:rPr>
        <w:t xml:space="preserve">副网格长</w:t>
      </w:r>
      <w:r>
        <w:rPr>
          <w:rFonts w:hint="eastAsia" w:ascii="宋体" w:hAnsi="宋体" w:eastAsia="宋体" w:cs="宋体"/>
          <w:sz w:val="24"/>
          <w:szCs w:val="24"/>
        </w:rPr>
        <w:t xml:space="preserve">投保时间24个月，</w:t>
      </w:r>
      <w:r>
        <w:rPr>
          <w:rFonts w:ascii="宋体" w:hAnsi="宋体" w:eastAsia="宋体" w:cs="宋体"/>
          <w:sz w:val="24"/>
          <w:szCs w:val="24"/>
        </w:rPr>
        <w:t xml:space="preserve">兼职网格员</w:t>
      </w:r>
      <w:r>
        <w:rPr>
          <w:rFonts w:hint="eastAsia" w:ascii="宋体" w:hAnsi="宋体" w:eastAsia="宋体" w:cs="宋体"/>
          <w:sz w:val="24"/>
          <w:szCs w:val="24"/>
        </w:rPr>
        <w:t xml:space="preserve">投保时间24个月）</w:t>
      </w:r>
      <w:r>
        <w:rPr>
          <w:rFonts w:ascii="宋体" w:hAnsi="宋体" w:eastAsia="宋体" w:cs="宋体"/>
          <w:sz w:val="24"/>
          <w:szCs w:val="24"/>
        </w:rPr>
        <w:t xml:space="preserve">。</w:t>
      </w:r>
      <w:bookmarkEnd w:id="3"/>
      <w:r/>
      <w:r/>
    </w:p>
    <w:p>
      <w:pPr>
        <w:ind w:firstLine="482"/>
        <w:spacing w:line="360" w:lineRule="auto"/>
        <w:rPr>
          <w:rFonts w:hint="eastAsia" w:ascii="宋体" w:hAnsi="宋体" w:eastAsia="宋体" w:cs="宋体"/>
          <w:b/>
          <w:bCs/>
          <w:sz w:val="24"/>
          <w:szCs w:val="20"/>
        </w:rPr>
      </w:pPr>
      <w:r>
        <w:rPr>
          <w:rFonts w:hint="eastAsia" w:ascii="宋体" w:hAnsi="宋体" w:eastAsia="宋体" w:cs="宋体"/>
          <w:b/>
          <w:bCs/>
          <w:sz w:val="24"/>
          <w:szCs w:val="20"/>
        </w:rPr>
        <w:t xml:space="preserve">本项目（是/否）接受联合体：</w:t>
      </w:r>
      <w:r>
        <w:rPr>
          <w:rFonts w:hint="eastAsia" w:ascii="宋体" w:hAnsi="宋体" w:eastAsia="宋体" w:cs="宋体"/>
          <w:b/>
          <w:bCs/>
          <w:sz w:val="24"/>
        </w:rPr>
        <w:t xml:space="preserve">否</w:t>
      </w:r>
      <w:r>
        <w:rPr>
          <w:rFonts w:hint="eastAsia" w:ascii="宋体" w:hAnsi="宋体" w:eastAsia="宋体" w:cs="宋体"/>
          <w:b/>
          <w:bCs/>
          <w:sz w:val="24"/>
          <w:szCs w:val="20"/>
        </w:rPr>
        <w:t xml:space="preserve">。</w:t>
      </w:r>
      <w:r/>
    </w:p>
    <w:p>
      <w:pPr>
        <w:ind w:firstLine="482"/>
        <w:spacing w:line="360" w:lineRule="auto"/>
        <w:rPr>
          <w:rFonts w:hint="eastAsia" w:ascii="宋体" w:hAnsi="宋体" w:eastAsia="宋体" w:cs="宋体"/>
          <w:b/>
          <w:bCs/>
          <w:sz w:val="24"/>
          <w:szCs w:val="20"/>
        </w:rPr>
      </w:pPr>
      <w:r>
        <w:rPr>
          <w:rFonts w:hint="eastAsia" w:ascii="宋体" w:hAnsi="宋体" w:eastAsia="宋体" w:cs="宋体"/>
          <w:b/>
          <w:bCs/>
          <w:sz w:val="24"/>
          <w:szCs w:val="20"/>
        </w:rPr>
        <w:t xml:space="preserve">二、申请人的资格要求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（一）满足《中华人民共和国政府采购法》第二十二条规定：</w:t>
      </w:r>
      <w:r/>
    </w:p>
    <w:p>
      <w:pPr>
        <w:pStyle w:val="980"/>
        <w:ind w:firstLine="480"/>
        <w:jc w:val="both"/>
        <w:spacing w:line="360" w:lineRule="auto"/>
        <w:rPr>
          <w:rFonts w:hint="eastAsia" w:ascii="宋体" w:hAnsi="宋体" w:eastAsia="宋体" w:cs="宋体"/>
          <w:szCs w:val="22"/>
        </w:rPr>
      </w:pPr>
      <w:r/>
      <w:bookmarkStart w:id="4" w:name="_Hlk193371023"/>
      <w:r>
        <w:rPr>
          <w:rFonts w:hint="eastAsia" w:ascii="宋体" w:hAnsi="宋体" w:eastAsia="宋体" w:cs="宋体"/>
          <w:szCs w:val="22"/>
        </w:rPr>
        <w:t xml:space="preserve">1、具有独立承担民事责任的能力。</w:t>
      </w:r>
      <w:r/>
    </w:p>
    <w:p>
      <w:pPr>
        <w:pStyle w:val="980"/>
        <w:ind w:firstLine="480"/>
        <w:jc w:val="both"/>
        <w:spacing w:line="360" w:lineRule="auto"/>
        <w:rPr>
          <w:rFonts w:hint="eastAsia" w:ascii="宋体" w:hAnsi="宋体" w:eastAsia="宋体" w:cs="宋体"/>
          <w:szCs w:val="22"/>
        </w:rPr>
      </w:pPr>
      <w:r>
        <w:rPr>
          <w:rFonts w:hint="eastAsia" w:ascii="宋体" w:hAnsi="宋体" w:eastAsia="宋体" w:cs="宋体"/>
          <w:szCs w:val="22"/>
        </w:rPr>
        <w:t xml:space="preserve">2、具有良好的商业信誉和健全的财务会计制度。</w:t>
      </w:r>
      <w:r/>
    </w:p>
    <w:p>
      <w:pPr>
        <w:pStyle w:val="980"/>
        <w:ind w:firstLine="480"/>
        <w:jc w:val="both"/>
        <w:spacing w:line="360" w:lineRule="auto"/>
        <w:rPr>
          <w:rFonts w:hint="eastAsia" w:ascii="宋体" w:hAnsi="宋体" w:eastAsia="宋体" w:cs="宋体"/>
          <w:szCs w:val="22"/>
        </w:rPr>
      </w:pPr>
      <w:r>
        <w:rPr>
          <w:rFonts w:hint="eastAsia" w:ascii="宋体" w:hAnsi="宋体" w:eastAsia="宋体" w:cs="宋体"/>
          <w:szCs w:val="22"/>
        </w:rPr>
        <w:t xml:space="preserve">3、具有履行合同所必需的设备和专业技术能力。</w:t>
      </w:r>
      <w:r/>
    </w:p>
    <w:p>
      <w:pPr>
        <w:pStyle w:val="980"/>
        <w:ind w:firstLine="480"/>
        <w:jc w:val="both"/>
        <w:spacing w:line="360" w:lineRule="auto"/>
        <w:rPr>
          <w:rFonts w:hint="eastAsia" w:ascii="宋体" w:hAnsi="宋体" w:eastAsia="宋体" w:cs="宋体"/>
          <w:szCs w:val="22"/>
        </w:rPr>
      </w:pPr>
      <w:r>
        <w:rPr>
          <w:rFonts w:hint="eastAsia" w:ascii="宋体" w:hAnsi="宋体" w:eastAsia="宋体" w:cs="宋体"/>
          <w:szCs w:val="22"/>
        </w:rPr>
        <w:t xml:space="preserve">4、有依法缴纳税收和社会保障资金的良好记录。</w:t>
      </w:r>
      <w:r/>
    </w:p>
    <w:p>
      <w:pPr>
        <w:pStyle w:val="980"/>
        <w:ind w:firstLine="480"/>
        <w:jc w:val="both"/>
        <w:spacing w:line="360" w:lineRule="auto"/>
        <w:rPr>
          <w:rFonts w:hint="eastAsia" w:ascii="宋体" w:hAnsi="宋体" w:eastAsia="宋体" w:cs="宋体"/>
          <w:szCs w:val="22"/>
        </w:rPr>
      </w:pPr>
      <w:r>
        <w:rPr>
          <w:rFonts w:hint="eastAsia" w:ascii="宋体" w:hAnsi="宋体" w:eastAsia="宋体" w:cs="宋体"/>
          <w:szCs w:val="22"/>
        </w:rPr>
        <w:t xml:space="preserve">5、参加政府采购活动前三年内，在经营活动中没有重大违法记录。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6、法律、行政法规规定的其他条件。</w:t>
      </w:r>
      <w:bookmarkEnd w:id="4"/>
      <w:r/>
      <w:r/>
    </w:p>
    <w:p>
      <w:pPr>
        <w:pStyle w:val="1014"/>
        <w:ind w:firstLine="480"/>
        <w:jc w:val="both"/>
        <w:spacing w:before="0" w:beforeAutospacing="0" w:after="0" w:afterAutospacing="0" w:line="360" w:lineRule="auto"/>
        <w:widowControl/>
        <w:rPr>
          <w:rFonts w:hint="eastAsia" w:ascii="宋体" w:hAnsi="宋体" w:eastAsia="宋体" w:cs="宋体"/>
        </w:rPr>
      </w:pPr>
      <w:r>
        <w:rPr>
          <w:rFonts w:hint="eastAsia" w:ascii="宋体" w:hAnsi="宋体" w:eastAsia="宋体" w:cs="宋体"/>
        </w:rPr>
        <w:t xml:space="preserve">（二）落实政府采购政策需满足的资格要求：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无。</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（三）本项目的特定资格要求：</w:t>
      </w:r>
      <w:r/>
    </w:p>
    <w:p>
      <w:pPr>
        <w:pStyle w:val="1014"/>
        <w:ind w:firstLine="480"/>
        <w:jc w:val="both"/>
        <w:spacing w:before="0" w:beforeAutospacing="0" w:after="0" w:afterAutospacing="0" w:line="360" w:lineRule="auto"/>
        <w:widowControl/>
        <w:rPr>
          <w:rFonts w:hint="eastAsia" w:ascii="宋体" w:hAnsi="宋体" w:eastAsia="宋体" w:cs="宋体"/>
        </w:rPr>
      </w:pPr>
      <w:r>
        <w:rPr>
          <w:rFonts w:hint="eastAsia" w:ascii="宋体" w:hAnsi="宋体" w:eastAsia="宋体" w:cs="宋体"/>
        </w:rPr>
        <w:t xml:space="preserve">1、投标单位具有经营保险业务许可证。</w:t>
      </w:r>
      <w:r>
        <w:rPr>
          <w:rFonts w:ascii="宋体" w:hAnsi="宋体" w:eastAsia="宋体" w:cs="宋体"/>
        </w:rPr>
        <w:t xml:space="preserve">本项目仅允许法人企业或分公司（中心支公司）进行投标</w:t>
      </w:r>
      <w:r>
        <w:rPr>
          <w:rFonts w:hint="eastAsia" w:ascii="宋体" w:hAnsi="宋体" w:eastAsia="宋体" w:cs="宋体"/>
        </w:rPr>
        <w:t xml:space="preserve">。</w:t>
      </w:r>
      <w:r/>
    </w:p>
    <w:p>
      <w:pPr>
        <w:pStyle w:val="1014"/>
        <w:ind w:firstLine="480"/>
        <w:jc w:val="both"/>
        <w:spacing w:before="0" w:beforeAutospacing="0" w:after="0" w:afterAutospacing="0" w:line="360" w:lineRule="auto"/>
        <w:widowControl/>
        <w:rPr>
          <w:rFonts w:hint="eastAsia" w:ascii="宋体" w:hAnsi="宋体" w:eastAsia="宋体" w:cs="宋体"/>
        </w:rPr>
      </w:pPr>
      <w:r>
        <w:rPr>
          <w:rFonts w:hint="eastAsia" w:ascii="宋体" w:hAnsi="宋体" w:eastAsia="宋体" w:cs="宋体"/>
        </w:rPr>
        <w:t xml:space="preserve">2、未被“信用中国”网站（</w:t>
      </w:r>
      <w:r>
        <w:fldChar w:fldCharType="begin"/>
      </w:r>
      <w:r>
        <w:instrText xml:space="preserve"> HYPERLINK "https://www.creditchina.gov.cn" </w:instrText>
      </w:r>
      <w:r>
        <w:fldChar w:fldCharType="separate"/>
      </w:r>
      <w:r>
        <w:rPr>
          <w:rFonts w:hint="eastAsia" w:ascii="宋体" w:hAnsi="宋体" w:eastAsia="宋体" w:cs="宋体"/>
        </w:rPr>
        <w:t xml:space="preserve">www.creditchina.gov.cn</w:t>
      </w:r>
      <w:r>
        <w:rPr>
          <w:rFonts w:hint="eastAsia" w:ascii="宋体" w:hAnsi="宋体" w:eastAsia="宋体" w:cs="宋体"/>
        </w:rPr>
        <w:fldChar w:fldCharType="end"/>
      </w:r>
      <w:r>
        <w:rPr>
          <w:rFonts w:hint="eastAsia" w:ascii="宋体" w:hAnsi="宋体" w:eastAsia="宋体" w:cs="宋体"/>
        </w:rPr>
        <w:t xml:space="preserve">）列入失信被执行人、重大税收违法案件当事人名单、政府采购严重失信行为记录名单。</w:t>
      </w:r>
      <w:r/>
    </w:p>
    <w:p>
      <w:pPr>
        <w:ind w:firstLine="482"/>
        <w:spacing w:line="360" w:lineRule="auto"/>
        <w:rPr>
          <w:rFonts w:hint="eastAsia" w:ascii="宋体" w:hAnsi="宋体" w:eastAsia="宋体" w:cs="宋体"/>
          <w:b/>
          <w:bCs/>
          <w:sz w:val="24"/>
          <w:szCs w:val="20"/>
        </w:rPr>
      </w:pPr>
      <w:r>
        <w:rPr>
          <w:rFonts w:hint="eastAsia" w:ascii="宋体" w:hAnsi="宋体" w:eastAsia="宋体" w:cs="宋体"/>
          <w:b/>
          <w:bCs/>
          <w:sz w:val="24"/>
          <w:szCs w:val="20"/>
        </w:rPr>
        <w:t xml:space="preserve">三、获取招标文件</w:t>
      </w:r>
      <w:r/>
    </w:p>
    <w:p>
      <w:pPr>
        <w:ind w:firstLine="480"/>
        <w:spacing w:line="360" w:lineRule="auto"/>
        <w:rPr>
          <w:rFonts w:hint="eastAsia" w:ascii="宋体" w:hAnsi="宋体" w:eastAsia="宋体" w:cs="宋体"/>
          <w:sz w:val="24"/>
          <w:szCs w:val="20"/>
        </w:rPr>
      </w:pPr>
      <w:r/>
      <w:bookmarkStart w:id="5" w:name="_Hlk97035982"/>
      <w:r>
        <w:rPr>
          <w:rFonts w:hint="eastAsia" w:ascii="宋体" w:hAnsi="宋体" w:eastAsia="宋体" w:cs="宋体"/>
          <w:sz w:val="24"/>
        </w:rPr>
        <w:t xml:space="preserve">1</w:t>
      </w:r>
      <w:r>
        <w:rPr>
          <w:rFonts w:hint="eastAsia" w:ascii="宋体" w:hAnsi="宋体" w:eastAsia="宋体" w:cs="宋体"/>
          <w:sz w:val="24"/>
          <w:szCs w:val="20"/>
        </w:rPr>
        <w:t xml:space="preserve">、时间：自招标公告发布之日起</w:t>
      </w:r>
      <w:r>
        <w:rPr>
          <w:rFonts w:hint="eastAsia" w:ascii="宋体" w:hAnsi="宋体" w:eastAsia="宋体" w:cs="宋体"/>
          <w:sz w:val="24"/>
          <w:szCs w:val="24"/>
          <w:shd w:val="clear" w:color="auto" w:fill="ffffff"/>
        </w:rPr>
        <w:t xml:space="preserve">5个工作日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0"/>
        </w:rPr>
        <w:t xml:space="preserve">2、</w:t>
      </w:r>
      <w:r>
        <w:rPr>
          <w:rFonts w:hint="eastAsia" w:ascii="宋体" w:hAnsi="宋体" w:eastAsia="宋体" w:cs="宋体"/>
          <w:sz w:val="24"/>
          <w:szCs w:val="24"/>
          <w:shd w:val="clear" w:color="auto" w:fill="ffffff"/>
        </w:rPr>
        <w:t xml:space="preserve">地点：江苏省政府采购一体化平台“苏采云”系统</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3、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w:t>
      </w:r>
      <w:bookmarkStart w:id="6" w:name="_Hlk193371285"/>
      <w:r>
        <w:rPr>
          <w:rFonts w:hint="eastAsia" w:ascii="宋体" w:hAnsi="宋体" w:eastAsia="宋体" w:cs="宋体"/>
          <w:sz w:val="24"/>
          <w:szCs w:val="20"/>
        </w:rPr>
        <w:t xml:space="preserve">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bookmarkEnd w:id="6"/>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4、售价：0.00元</w:t>
      </w:r>
      <w:bookmarkEnd w:id="5"/>
      <w:r/>
      <w:r/>
    </w:p>
    <w:p>
      <w:pPr>
        <w:ind w:firstLine="482"/>
        <w:spacing w:line="360" w:lineRule="auto"/>
        <w:widowControl/>
        <w:rPr>
          <w:rFonts w:hint="eastAsia" w:ascii="宋体" w:hAnsi="宋体" w:eastAsia="宋体" w:cs="宋体"/>
          <w:b/>
          <w:sz w:val="24"/>
        </w:rPr>
      </w:pPr>
      <w:r>
        <w:rPr>
          <w:rFonts w:hint="eastAsia" w:ascii="宋体" w:hAnsi="宋体" w:eastAsia="宋体" w:cs="宋体"/>
          <w:b/>
          <w:sz w:val="24"/>
        </w:rPr>
        <w:t xml:space="preserve">四、提交投标文件截止时间、开标时间和地点</w:t>
      </w:r>
      <w:r/>
    </w:p>
    <w:p>
      <w:pPr>
        <w:ind w:firstLine="480"/>
        <w:spacing w:line="360" w:lineRule="auto"/>
        <w:widowControl/>
        <w:rPr>
          <w:rFonts w:hint="eastAsia" w:ascii="宋体" w:hAnsi="宋体" w:eastAsia="宋体" w:cs="宋体"/>
          <w:sz w:val="24"/>
        </w:rPr>
      </w:pPr>
      <w:r>
        <w:rPr>
          <w:rFonts w:hint="eastAsia" w:ascii="宋体" w:hAnsi="宋体" w:eastAsia="宋体" w:cs="宋体"/>
          <w:sz w:val="24"/>
          <w:lang w:eastAsia="zh-CN"/>
        </w:rPr>
        <w:t xml:space="preserve">2026年08月05日</w:t>
      </w:r>
      <w:r>
        <w:rPr>
          <w:rFonts w:hint="eastAsia" w:ascii="宋体" w:hAnsi="宋体" w:eastAsia="宋体" w:cs="宋体"/>
          <w:sz w:val="24"/>
        </w:rPr>
        <w:t xml:space="preserve">13点30分（北京时间）</w:t>
      </w:r>
      <w:r/>
    </w:p>
    <w:p>
      <w:pPr>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地点：“苏采云”系统（网址：</w:t>
      </w:r>
      <w:r>
        <w:fldChar w:fldCharType="begin"/>
      </w:r>
      <w:r>
        <w:instrText xml:space="preserve"> HYPERLINK "http://jszfcg.jsczt.cn/）" </w:instrText>
      </w:r>
      <w:r>
        <w:fldChar w:fldCharType="separate"/>
      </w:r>
      <w:r>
        <w:rPr>
          <w:rStyle w:val="1023"/>
          <w:rFonts w:hint="eastAsia" w:ascii="宋体" w:hAnsi="宋体" w:eastAsia="宋体" w:cs="宋体"/>
          <w:color w:val="auto"/>
          <w:sz w:val="24"/>
        </w:rPr>
        <w:t xml:space="preserve">http://jszfcg.jsczt.cn/）</w:t>
      </w:r>
      <w:r>
        <w:rPr>
          <w:rStyle w:val="1023"/>
          <w:rFonts w:hint="eastAsia" w:ascii="宋体" w:hAnsi="宋体" w:eastAsia="宋体" w:cs="宋体"/>
          <w:color w:val="auto"/>
          <w:sz w:val="24"/>
        </w:rPr>
        <w:fldChar w:fldCharType="end"/>
      </w:r>
      <w:r/>
    </w:p>
    <w:p>
      <w:pPr>
        <w:ind w:firstLine="482"/>
        <w:spacing w:line="360" w:lineRule="auto"/>
        <w:widowControl/>
        <w:rPr>
          <w:rFonts w:hint="eastAsia" w:ascii="宋体" w:hAnsi="宋体" w:eastAsia="宋体" w:cs="宋体"/>
          <w:sz w:val="24"/>
        </w:rPr>
      </w:pPr>
      <w:r>
        <w:rPr>
          <w:rFonts w:hint="eastAsia" w:ascii="宋体" w:hAnsi="宋体" w:eastAsia="宋体" w:cs="宋体"/>
          <w:b/>
          <w:sz w:val="24"/>
        </w:rPr>
        <w:t xml:space="preserve">五、公告期限：自本公告发布之日起5个工作日。</w:t>
      </w:r>
      <w:r/>
    </w:p>
    <w:p>
      <w:pPr>
        <w:ind w:firstLine="482"/>
        <w:spacing w:line="360" w:lineRule="auto"/>
        <w:widowControl/>
        <w:rPr>
          <w:rFonts w:hint="eastAsia" w:ascii="宋体" w:hAnsi="宋体" w:eastAsia="宋体" w:cs="宋体"/>
          <w:b/>
          <w:sz w:val="24"/>
        </w:rPr>
      </w:pPr>
      <w:r>
        <w:rPr>
          <w:rFonts w:hint="eastAsia" w:ascii="宋体" w:hAnsi="宋体" w:eastAsia="宋体" w:cs="宋体"/>
          <w:b/>
          <w:sz w:val="24"/>
        </w:rPr>
        <w:t xml:space="preserve">六、其他补充事宜</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w:t>
      </w:r>
      <w:r>
        <w:rPr>
          <w:rFonts w:hint="eastAsia" w:ascii="宋体" w:hAnsi="宋体" w:eastAsia="宋体" w:cs="宋体"/>
          <w:bCs/>
          <w:sz w:val="24"/>
          <w:szCs w:val="24"/>
        </w:rPr>
        <w:t xml:space="preserve">为采购项目提供整体设计、规范编制或者项目管理、监理、检测等服务的供应商，不得再参加该采购项目的其他采购活动。</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2、单位负责人为同一人或者存在直接控股、管理关系的不同供应商，不得参加同一合同项下的政府采购活动。</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rPr>
          <w:rFonts w:hint="eastAsia" w:ascii="宋体" w:hAnsi="宋体" w:eastAsia="宋体" w:cs="宋体"/>
          <w:sz w:val="24"/>
        </w:rPr>
      </w:pPr>
      <w:r/>
      <w:bookmarkStart w:id="7" w:name="_Hlk193371515"/>
      <w:r>
        <w:rPr>
          <w:rFonts w:hint="eastAsia" w:ascii="宋体" w:hAnsi="宋体" w:eastAsia="宋体" w:cs="宋体"/>
          <w:sz w:val="24"/>
        </w:rPr>
        <w:t xml:space="preserve">4、CA证书办理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sz w:val="24"/>
        </w:rPr>
        <w:t xml:space="preserve">“苏采云”系统目前仅支持“苏采云”系统下的政务CA证书，江苏省内各地区办理的“苏采云”系统下的政务CA证书全省通用。</w:t>
      </w:r>
      <w:r>
        <w:rPr>
          <w:rFonts w:hint="eastAsia" w:ascii="宋体" w:hAnsi="宋体" w:eastAsia="宋体" w:cs="宋体"/>
          <w:sz w:val="24"/>
        </w:rPr>
        <w:t xml:space="preserve">苏州现场办理地址：</w:t>
      </w:r>
      <w:r>
        <w:rPr>
          <w:rFonts w:hint="eastAsia" w:ascii="宋体" w:hAnsi="宋体" w:eastAsia="宋体" w:cs="宋体"/>
          <w:sz w:val="24"/>
          <w:szCs w:val="24"/>
          <w:shd w:val="clear" w:color="auto" w:fill="ffffff"/>
          <w:lang w:bidi="ar"/>
        </w:rPr>
        <w:t xml:space="preserve">苏州市高新区邓尉路105号狮山科技馆一楼服务大厅，咨询电话：0512-65737699</w:t>
      </w:r>
      <w:r>
        <w:rPr>
          <w:rFonts w:hint="eastAsia" w:ascii="宋体" w:hAnsi="宋体" w:eastAsia="宋体" w:cs="宋体"/>
          <w:sz w:val="24"/>
        </w:rPr>
        <w:t xml:space="preserve">。</w:t>
      </w:r>
      <w:bookmarkEnd w:id="7"/>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5、本项目获取招标文件截止日期之后仍可以下载招标文件，但截止日期之后下载的招标文件，视为非有效方式且不作为供应商权益受到损害的证明材料和依据。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ascii="宋体" w:hAnsi="宋体" w:eastAsia="宋体" w:cs="宋体"/>
          <w:sz w:val="24"/>
        </w:rPr>
      </w:pPr>
      <w:r/>
      <w:bookmarkStart w:id="8" w:name="_Hlk193371550"/>
      <w:r>
        <w:rPr>
          <w:rFonts w:hint="eastAsia" w:ascii="宋体" w:hAnsi="宋体" w:eastAsia="宋体" w:cs="宋体"/>
          <w:sz w:val="24"/>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bookmarkEnd w:id="8"/>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7、如不同投标（响应）文件制作机器码一致，则投标（响应）无效。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8、制作电子投标（响应）文件：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本项目采用电子招投标形式，请供应商按照《苏采云系统供应商操作手册》（链接：http://www.ccgp-jiangsu.gov.cn/jiangsu/zlxz/ee/ee3a4bc5a3454aa2b0d9312230633ce9.html）进行制作、上传电子投标（响应）文件。</w:t>
      </w:r>
      <w:r>
        <w:rPr>
          <w:rFonts w:hint="eastAsia" w:ascii="宋体" w:hAnsi="宋体" w:eastAsia="宋体" w:cs="宋体"/>
          <w:b/>
          <w:bCs/>
          <w:sz w:val="24"/>
          <w:szCs w:val="24"/>
          <w:shd w:val="clear" w:color="auto" w:fill="ffffff"/>
          <w:lang w:bidi="ar"/>
        </w:rPr>
        <w:t xml:space="preserve">电子投标（响应）文件制作完成后请于投标（响应）文件递交截止时间前成功上传至“苏采云”系统，否则视为放弃参加该采购项目。</w:t>
      </w:r>
      <w:r>
        <w:rPr>
          <w:rFonts w:hint="eastAsia" w:ascii="宋体" w:hAnsi="宋体" w:eastAsia="宋体" w:cs="宋体"/>
          <w:sz w:val="24"/>
        </w:rPr>
        <w:t xml:space="preserve">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eastAsia="宋体" w:cs="宋体"/>
          <w:sz w:val="24"/>
        </w:rPr>
      </w:pPr>
      <w:r/>
      <w:bookmarkStart w:id="9" w:name="_Hlk193371673"/>
      <w:r>
        <w:rPr>
          <w:rFonts w:hint="eastAsia" w:ascii="宋体" w:hAnsi="宋体" w:eastAsia="宋体" w:cs="宋体"/>
          <w:sz w:val="24"/>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响应）。</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信畅通，否则导致的对供应商不利的后果由供应商自行承担。</w:t>
      </w:r>
      <w:bookmarkEnd w:id="9"/>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11、技术支持：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CA技术咨询服务电话：400-608-6099</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电子签章技术咨询服务电话：15380932027、15371015030、13675197356、13675197221</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“苏采云”平台技术咨询电话：0519-86722802、13914088964、18261002950</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智能客服：登录苏采云系统后，联系系统右下方智能客服图标进行咨询。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12、根据《政府采购促进中小企业发展管理办法》（财库〔2020〕46号）及《中小企业划型标准规定》（工信部联企业〔2011〕300号），本采购标的对应的中小企业划分标准所属行业为：</w:t>
      </w:r>
      <w:r>
        <w:rPr>
          <w:rFonts w:ascii="宋体" w:hAnsi="宋体" w:eastAsia="宋体"/>
          <w:sz w:val="24"/>
        </w:rPr>
        <w:t xml:space="preserve">其他未列明行业</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13、政府采购监督电话：</w:t>
      </w:r>
      <w:r>
        <w:rPr>
          <w:rFonts w:ascii="宋体" w:hAnsi="宋体" w:eastAsia="宋体"/>
          <w:sz w:val="24"/>
        </w:rPr>
        <w:t xml:space="preserve">0512-68728409</w:t>
      </w:r>
      <w:r>
        <w:rPr>
          <w:rFonts w:hint="eastAsia" w:ascii="宋体" w:hAnsi="宋体" w:eastAsia="宋体" w:cs="宋体"/>
          <w:sz w:val="24"/>
        </w:rPr>
        <w:t xml:space="preserve">。</w:t>
      </w:r>
      <w:r/>
    </w:p>
    <w:p>
      <w:pPr>
        <w:ind w:firstLine="482"/>
        <w:spacing w:line="360" w:lineRule="auto"/>
        <w:widowControl/>
        <w:rPr>
          <w:rFonts w:hint="eastAsia" w:ascii="宋体" w:hAnsi="宋体" w:eastAsia="宋体" w:cs="宋体"/>
          <w:sz w:val="24"/>
        </w:rPr>
      </w:pPr>
      <w:r>
        <w:rPr>
          <w:rFonts w:hint="eastAsia" w:ascii="宋体" w:hAnsi="宋体" w:eastAsia="宋体" w:cs="宋体"/>
          <w:b/>
          <w:sz w:val="24"/>
        </w:rPr>
        <w:t xml:space="preserve">七、对本次招标提出询问，请按以下方式联系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1、采购人信息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单位名称：</w:t>
      </w:r>
      <w:r>
        <w:rPr>
          <w:rFonts w:ascii="宋体" w:hAnsi="宋体" w:eastAsia="宋体" w:cs="宋体"/>
          <w:sz w:val="24"/>
        </w:rPr>
        <w:t xml:space="preserve">苏州市姑苏区社会治安综合治理中心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单位地址：</w:t>
      </w:r>
      <w:r>
        <w:rPr>
          <w:rFonts w:ascii="宋体" w:hAnsi="宋体" w:eastAsia="宋体" w:cs="宋体"/>
          <w:sz w:val="24"/>
        </w:rPr>
        <w:t xml:space="preserve">苏州市姑苏区平川路510号5号楼</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联系人：</w:t>
      </w:r>
      <w:r>
        <w:rPr>
          <w:rFonts w:ascii="宋体" w:hAnsi="宋体" w:eastAsia="宋体"/>
          <w:sz w:val="24"/>
        </w:rPr>
        <w:t xml:space="preserve">陈钮</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联系电话：</w:t>
      </w:r>
      <w:r>
        <w:rPr>
          <w:rFonts w:ascii="宋体" w:hAnsi="宋体" w:eastAsia="宋体" w:cs="宋体"/>
          <w:sz w:val="24"/>
        </w:rPr>
        <w:t xml:space="preserve">0512-68725209</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2、采购代理机构信息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单位名称：</w:t>
      </w:r>
      <w:r>
        <w:rPr>
          <w:rFonts w:hint="eastAsia" w:ascii="宋体" w:hAnsi="宋体" w:eastAsia="宋体"/>
          <w:sz w:val="24"/>
        </w:rPr>
        <w:t xml:space="preserve">苏州诚和招投标咨询有限公司</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单位地址：</w:t>
      </w:r>
      <w:r>
        <w:rPr>
          <w:rFonts w:hint="eastAsia" w:ascii="宋体" w:hAnsi="宋体" w:eastAsia="宋体"/>
          <w:sz w:val="24"/>
        </w:rPr>
        <w:t xml:space="preserve">苏州市竹辉路477号咨询大厦二楼</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联系人：</w:t>
      </w:r>
      <w:r>
        <w:rPr>
          <w:rFonts w:hint="eastAsia" w:ascii="宋体" w:hAnsi="宋体" w:eastAsia="宋体"/>
          <w:sz w:val="24"/>
        </w:rPr>
        <w:t xml:space="preserve">张萱、沈川渝、邬汝超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联系电话：</w:t>
      </w:r>
      <w:r>
        <w:rPr>
          <w:rFonts w:hint="eastAsia" w:ascii="宋体" w:hAnsi="宋体" w:eastAsia="宋体"/>
          <w:sz w:val="24"/>
        </w:rPr>
        <w:t xml:space="preserve">0512-65161797、0512-65161672</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3、项目联系方式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项目联系人：</w:t>
      </w:r>
      <w:r>
        <w:rPr>
          <w:rFonts w:hint="eastAsia" w:ascii="宋体" w:hAnsi="宋体" w:eastAsia="宋体"/>
          <w:sz w:val="24"/>
        </w:rPr>
        <w:t xml:space="preserve">张萱、沈川渝、邬汝超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电话：</w:t>
      </w:r>
      <w:r>
        <w:rPr>
          <w:rFonts w:hint="eastAsia" w:ascii="宋体" w:hAnsi="宋体" w:eastAsia="宋体"/>
          <w:sz w:val="24"/>
        </w:rPr>
        <w:t xml:space="preserve">0512-65161797、0512-65161672</w:t>
      </w:r>
      <w:r/>
    </w:p>
    <w:p>
      <w:pPr>
        <w:rPr>
          <w:rFonts w:hint="eastAsia" w:ascii="宋体" w:hAnsi="宋体" w:eastAsia="宋体" w:cs="宋体"/>
          <w:sz w:val="24"/>
        </w:rPr>
      </w:pPr>
      <w:r>
        <w:rPr>
          <w:rFonts w:hint="eastAsia" w:ascii="宋体" w:hAnsi="宋体" w:eastAsia="宋体" w:cs="宋体"/>
          <w:sz w:val="24"/>
        </w:rPr>
        <w:br w:type="page" w:clear="all"/>
      </w:r>
      <w:r/>
    </w:p>
    <w:p>
      <w:pPr>
        <w:pStyle w:val="986"/>
        <w:rPr>
          <w:rFonts w:hint="eastAsia" w:ascii="宋体" w:hAnsi="宋体" w:eastAsia="宋体" w:cs="宋体"/>
        </w:rPr>
      </w:pPr>
      <w:r>
        <w:rPr>
          <w:rFonts w:hint="eastAsia" w:ascii="宋体" w:hAnsi="宋体" w:eastAsia="宋体" w:cs="宋体"/>
        </w:rPr>
      </w:r>
      <w:r/>
    </w:p>
    <w:p>
      <w:pPr>
        <w:ind w:right="-159" w:firstLine="482"/>
        <w:jc w:val="right"/>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pStyle w:val="987"/>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987"/>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987"/>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987"/>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987"/>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987"/>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r/>
      <w:r/>
    </w:p>
    <w:p>
      <w:pPr>
        <w:pStyle w:val="987"/>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987"/>
        <w:ind w:left="0" w:right="0" w:firstLine="482"/>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jc w:val="center"/>
        <w:keepLines/>
        <w:keepNext/>
        <w:spacing w:before="340" w:after="330" w:line="360" w:lineRule="auto"/>
        <w:rPr>
          <w:rFonts w:hint="eastAsia" w:ascii="宋体" w:hAnsi="宋体" w:eastAsia="宋体" w:cs="宋体"/>
          <w:b/>
          <w:sz w:val="52"/>
          <w:szCs w:val="20"/>
          <w:shd w:val="clear" w:color="auto" w:fill="ffffff"/>
        </w:rPr>
        <w:outlineLvl w:val="0"/>
      </w:pPr>
      <w:r/>
      <w:bookmarkStart w:id="10" w:name="_Toc105940238"/>
      <w:r>
        <w:rPr>
          <w:rFonts w:hint="eastAsia" w:ascii="宋体" w:hAnsi="宋体" w:eastAsia="宋体" w:cs="宋体"/>
          <w:b/>
          <w:sz w:val="52"/>
          <w:szCs w:val="20"/>
          <w:shd w:val="clear" w:color="auto" w:fill="ffffff"/>
        </w:rPr>
        <w:t xml:space="preserve">第二章 供应商须知</w:t>
      </w:r>
      <w:bookmarkEnd w:id="10"/>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br w:type="page" w:clear="all"/>
      </w:r>
      <w:r/>
    </w:p>
    <w:p>
      <w:pPr>
        <w:ind w:firstLine="482"/>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A.说明和释义</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1.说明</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1.1本招标文件仅适用于苏州诚和招投标咨询有限公司组织的招标活动。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1.2本次招标活动及因本次招标产生的合同受中国法律制约和保护。</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1.3本招标文件的解释权属于苏州诚和招投标咨询有限公司。</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2.词语释义</w:t>
      </w:r>
      <w:r/>
    </w:p>
    <w:p>
      <w:pPr>
        <w:ind w:firstLine="480"/>
        <w:spacing w:line="360" w:lineRule="auto"/>
        <w:rPr>
          <w:rFonts w:hint="eastAsia" w:ascii="宋体" w:hAnsi="宋体" w:eastAsia="宋体" w:cs="宋体"/>
          <w:sz w:val="24"/>
          <w:szCs w:val="24"/>
          <w:shd w:val="clear" w:color="auto" w:fill="ffffff"/>
        </w:rPr>
      </w:pPr>
      <w:r/>
      <w:bookmarkStart w:id="11" w:name="_Hlk193372031"/>
      <w:r>
        <w:rPr>
          <w:rFonts w:hint="eastAsia" w:ascii="宋体" w:hAnsi="宋体" w:eastAsia="宋体" w:cs="宋体"/>
          <w:sz w:val="24"/>
          <w:szCs w:val="24"/>
          <w:shd w:val="clear" w:color="auto" w:fill="ffffff"/>
        </w:rPr>
        <w:t xml:space="preserve">2.1采购人：指依法进行政府采购的国家机关、事业单位、团体组织。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2.2采购代理机构：指依法接受采购人委托，从事货物、工程和服务等政府采购代理业务的社会中介机构。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2.3供应商：指响应招标、参加投标竞争的法人、其他组织或者自然人。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2.4响应：供应商根据采购人或采购代理机构发布的招标文件，编制投标（响应）文件并按规定投标（响应）的行为。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2.5合同：采供双方根据招标文件和中标的投标（响应）文件及中标通知书规定的内容签署的以书面形式所达成的协议，包括所有的附件、附录和构成协议的所有文件。</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2.6甲方（采购人）：合同中明确规定的实际购买货物和服务的法人或其他组织和自然人。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2.7乙方（供应商）：合同中规定的向采购人提供货物和服务的法人或其他组织和自然人。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2.8货物：系指乙方按招标文件规定，应向甲方提供的一切设备、备品、备件、工具、手册及其它有关技术资料和材料。</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2.9服务：系指本次招标文件规定乙方应承担的与提供货物和服务有关的辅助服务，比如运输、保险、安装、调试、提供技术援助、培训、配合措施、维修响应及合同中规定乙方应承担的其它义务。</w:t>
      </w:r>
      <w:r/>
    </w:p>
    <w:p>
      <w:pPr>
        <w:ind w:firstLine="484"/>
        <w:spacing w:line="360" w:lineRule="auto"/>
        <w:tabs>
          <w:tab w:val="left" w:pos="54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2.11天：日历天。</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2.12时间：除特别说明，均指北京时间。</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2.13交货地点：合同中明确约定的乙方提交的货物和服务最终到达地点。</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2.14合同价款：根据合同规定，乙方在正确地履行合同义务后甲方应支付乙方的价款。</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2.15产地：货物开采、生长、生产、最终制造、加工或提供服务的来源地。</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2.16不可抗力：不能预见、不能避免并且不能克服的客观情况。</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2.17实质响应：满足有关本次采购标的、数量、质量、价款或者报酬、履行期限、履行地点和方式、违约责任和解决争议方法等要求。</w:t>
      </w:r>
      <w:bookmarkEnd w:id="11"/>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2.18</w:t>
      </w:r>
      <w:r>
        <w:rPr>
          <w:rFonts w:hint="eastAsia" w:ascii="宋体" w:hAnsi="宋体" w:eastAsia="宋体" w:cs="宋体"/>
          <w:sz w:val="24"/>
          <w:szCs w:val="24"/>
        </w:rPr>
        <w:t xml:space="preserve">书面形式：指书面文字、合同书、信件和传真等可以有形地表现所载内容的形式。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2.19</w:t>
      </w:r>
      <w:r>
        <w:rPr>
          <w:rFonts w:hint="eastAsia" w:ascii="宋体" w:hAnsi="宋体" w:eastAsia="宋体" w:cs="宋体"/>
          <w:sz w:val="24"/>
          <w:szCs w:val="24"/>
        </w:rPr>
        <w:t xml:space="preserve">核心产品：根据本项目技术构成、产品价格比重等合理确定的产品。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2.20</w:t>
      </w:r>
      <w:r>
        <w:rPr>
          <w:rFonts w:hint="eastAsia" w:ascii="宋体" w:hAnsi="宋体" w:eastAsia="宋体" w:cs="宋体"/>
          <w:sz w:val="24"/>
          <w:szCs w:val="24"/>
        </w:rPr>
        <w:t xml:space="preserve">进口产品：通过中国海关报关验放进入中国境内且产自关境外的产品。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2.21</w:t>
      </w:r>
      <w:r>
        <w:rPr>
          <w:rFonts w:hint="eastAsia" w:ascii="宋体" w:hAnsi="宋体" w:eastAsia="宋体" w:cs="宋体"/>
          <w:sz w:val="24"/>
          <w:szCs w:val="24"/>
        </w:rPr>
        <w:t xml:space="preserve">本国产品：符合</w:t>
      </w:r>
      <w:r>
        <w:rPr>
          <w:rFonts w:hint="eastAsia" w:ascii="宋体" w:hAnsi="宋体" w:eastAsia="宋体" w:cs="宋体"/>
          <w:sz w:val="24"/>
          <w:szCs w:val="24"/>
          <w:lang w:val="zh-CN"/>
        </w:rPr>
        <w:t xml:space="preserve">《国务院办公厅关于在政府采购中实施本国产品标准及相关政策的通知》（国办发</w:t>
      </w:r>
      <w:r>
        <w:rPr>
          <w:rFonts w:ascii="宋体" w:hAnsi="宋体" w:eastAsia="宋体" w:cs="宋体"/>
          <w:sz w:val="24"/>
          <w:szCs w:val="24"/>
          <w:lang w:val="zh-CN"/>
        </w:rPr>
        <w:t xml:space="preserve">〔2025〕</w:t>
      </w:r>
      <w:r>
        <w:rPr>
          <w:rFonts w:hint="eastAsia" w:ascii="宋体" w:hAnsi="宋体" w:eastAsia="宋体" w:cs="宋体"/>
          <w:sz w:val="24"/>
          <w:szCs w:val="24"/>
          <w:lang w:val="zh-CN"/>
        </w:rPr>
        <w:t xml:space="preserve">34号）规定</w:t>
      </w:r>
      <w:r>
        <w:rPr>
          <w:rFonts w:hint="eastAsia" w:ascii="宋体" w:hAnsi="宋体" w:eastAsia="宋体" w:cs="宋体"/>
          <w:sz w:val="24"/>
          <w:szCs w:val="24"/>
        </w:rPr>
        <w:t xml:space="preserve">的产品视为本国产品。</w:t>
      </w:r>
      <w:r/>
    </w:p>
    <w:p>
      <w:pPr>
        <w:ind w:firstLine="480"/>
        <w:spacing w:line="360" w:lineRule="auto"/>
        <w:rPr>
          <w:rFonts w:hint="eastAsia" w:ascii="宋体" w:hAnsi="宋体" w:eastAsia="宋体" w:cs="宋体"/>
          <w:sz w:val="24"/>
        </w:rPr>
      </w:pPr>
      <w:r>
        <w:rPr>
          <w:rFonts w:hint="eastAsia" w:ascii="宋体" w:hAnsi="宋体" w:eastAsia="宋体" w:cs="宋体"/>
          <w:sz w:val="24"/>
          <w:szCs w:val="24"/>
          <w:shd w:val="clear" w:color="auto" w:fill="ffffff"/>
        </w:rPr>
        <w:t xml:space="preserve">2.22</w:t>
      </w:r>
      <w:r>
        <w:rPr>
          <w:rFonts w:hint="eastAsia" w:ascii="宋体" w:hAnsi="宋体" w:eastAsia="宋体" w:cs="宋体"/>
          <w:sz w:val="24"/>
        </w:rPr>
        <w:t xml:space="preserve">采购本国货物、工程和服务：除有《中华人民共和国政府采购法》第十条规定情形之外，政府采购应当采购本国货物、工程和服务。</w:t>
      </w:r>
      <w:r/>
    </w:p>
    <w:p>
      <w:pPr>
        <w:ind w:firstLine="482"/>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B.供应商</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3.申请人的资格要求</w:t>
      </w:r>
      <w:r/>
    </w:p>
    <w:p>
      <w:pPr>
        <w:ind w:firstLine="480"/>
        <w:spacing w:line="360" w:lineRule="auto"/>
        <w:rPr>
          <w:rFonts w:hint="eastAsia" w:ascii="宋体" w:hAnsi="宋体" w:eastAsia="宋体" w:cs="宋体"/>
          <w:sz w:val="24"/>
          <w:szCs w:val="24"/>
          <w:shd w:val="clear" w:color="auto" w:fill="ffffff"/>
        </w:rPr>
      </w:pPr>
      <w:r/>
      <w:bookmarkStart w:id="12" w:name="_Hlk193372108"/>
      <w:r>
        <w:rPr>
          <w:rFonts w:hint="eastAsia" w:ascii="宋体" w:hAnsi="宋体" w:eastAsia="宋体" w:cs="宋体"/>
          <w:sz w:val="24"/>
          <w:szCs w:val="24"/>
          <w:shd w:val="clear" w:color="auto" w:fill="ffffff"/>
        </w:rPr>
        <w:t xml:space="preserve">详见本项目招标公告中的“申请人的资格要求”。</w:t>
      </w:r>
      <w:bookmarkEnd w:id="12"/>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4.供应商代表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指全权代表供应商参加投标（响应）活动并签署投标（响应）文件的人，如果供应商代表不是法人代表，须持有《法定代表人授权委托书》（</w:t>
      </w:r>
      <w:bookmarkStart w:id="13" w:name="_Hlk193372244"/>
      <w:r>
        <w:rPr>
          <w:rFonts w:hint="eastAsia" w:ascii="宋体" w:hAnsi="宋体" w:eastAsia="宋体" w:cs="宋体"/>
          <w:sz w:val="24"/>
          <w:szCs w:val="24"/>
          <w:shd w:val="clear" w:color="auto" w:fill="ffffff"/>
        </w:rPr>
        <w:t xml:space="preserve">详见统一格式</w:t>
      </w:r>
      <w:bookmarkEnd w:id="13"/>
      <w:r>
        <w:rPr>
          <w:rFonts w:hint="eastAsia" w:ascii="宋体" w:hAnsi="宋体" w:eastAsia="宋体" w:cs="宋体"/>
          <w:sz w:val="24"/>
          <w:szCs w:val="24"/>
          <w:shd w:val="clear" w:color="auto" w:fill="ffffff"/>
        </w:rPr>
        <w:t xml:space="preserve">）。</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5.投标费用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无论投标（响应）过程中的做法和结果如何，供应商自行承担所有与参加投标（响应）有关的全部费用。</w:t>
      </w:r>
      <w:r/>
    </w:p>
    <w:p>
      <w:pPr>
        <w:ind w:firstLine="482"/>
        <w:spacing w:line="360" w:lineRule="auto"/>
        <w:rPr>
          <w:rFonts w:hint="eastAsia" w:ascii="宋体" w:hAnsi="宋体" w:eastAsia="宋体" w:cs="宋体"/>
          <w:b/>
          <w:sz w:val="24"/>
          <w:szCs w:val="24"/>
        </w:rPr>
      </w:pPr>
      <w:r/>
      <w:bookmarkStart w:id="14" w:name="_Hlk193372378"/>
      <w:r>
        <w:rPr>
          <w:rFonts w:hint="eastAsia" w:ascii="宋体" w:hAnsi="宋体" w:eastAsia="宋体" w:cs="宋体"/>
          <w:b/>
          <w:sz w:val="24"/>
          <w:szCs w:val="24"/>
          <w:shd w:val="clear" w:color="auto" w:fill="ffffff"/>
        </w:rPr>
        <w:t xml:space="preserve">6.</w:t>
      </w:r>
      <w:r>
        <w:rPr>
          <w:rFonts w:hint="eastAsia" w:ascii="宋体" w:hAnsi="宋体" w:eastAsia="宋体" w:cs="宋体"/>
          <w:b/>
          <w:sz w:val="24"/>
          <w:szCs w:val="24"/>
        </w:rPr>
        <w:t xml:space="preserve">联合投标（响应）</w:t>
      </w:r>
      <w:r/>
    </w:p>
    <w:p>
      <w:pPr>
        <w:ind w:firstLine="480"/>
        <w:spacing w:line="360" w:lineRule="auto"/>
        <w:rPr>
          <w:rFonts w:hint="eastAsia" w:ascii="宋体" w:hAnsi="宋体" w:eastAsia="宋体" w:cs="宋体"/>
          <w:sz w:val="24"/>
          <w:szCs w:val="24"/>
        </w:rPr>
      </w:pPr>
      <w:r>
        <w:rPr>
          <w:rFonts w:ascii="宋体" w:hAnsi="宋体" w:eastAsia="宋体" w:cs="宋体"/>
          <w:sz w:val="24"/>
          <w:szCs w:val="24"/>
          <w:shd w:val="clear" w:color="auto" w:fill="ffffff"/>
        </w:rPr>
        <w:t xml:space="preserve">6.1本项目不接受联合体投标。</w:t>
      </w:r>
      <w:bookmarkEnd w:id="14"/>
      <w:r/>
      <w:r/>
    </w:p>
    <w:p>
      <w:pPr>
        <w:ind w:firstLine="482"/>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C.招标文件和投标（响应）文件的说明</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7.招标文件</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7.1</w:t>
      </w:r>
      <w:bookmarkStart w:id="15" w:name="_Hlk193372537"/>
      <w:r>
        <w:rPr>
          <w:rFonts w:hint="eastAsia" w:ascii="宋体" w:hAnsi="宋体" w:eastAsia="宋体" w:cs="宋体"/>
          <w:sz w:val="24"/>
          <w:szCs w:val="24"/>
        </w:rPr>
        <w:t xml:space="preserve">招标文件由招标文件总目录所列内容组成，</w:t>
      </w:r>
      <w:bookmarkEnd w:id="15"/>
      <w:r>
        <w:rPr>
          <w:rFonts w:hint="eastAsia" w:ascii="宋体" w:hAnsi="宋体" w:eastAsia="宋体" w:cs="宋体"/>
          <w:sz w:val="24"/>
          <w:szCs w:val="24"/>
        </w:rPr>
        <w:t xml:space="preserve">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响应）文件没有按招标文件要求提交全部资料，或投标（响应）文件没有对招标文件做出实质性响应，其风险由供应商自行承担，并根据有关条款规定，</w:t>
      </w:r>
      <w:bookmarkStart w:id="16" w:name="_Hlk193372564"/>
      <w:r>
        <w:rPr>
          <w:rFonts w:hint="eastAsia" w:ascii="宋体" w:hAnsi="宋体" w:eastAsia="宋体" w:cs="宋体"/>
          <w:b/>
          <w:sz w:val="24"/>
          <w:szCs w:val="24"/>
        </w:rPr>
        <w:t xml:space="preserve">该电子投标（响应）文件将被视为未实质性响应。</w:t>
      </w:r>
      <w:bookmarkEnd w:id="16"/>
      <w:r/>
      <w:r/>
    </w:p>
    <w:p>
      <w:pPr>
        <w:ind w:firstLine="480"/>
        <w:jc w:val="left"/>
        <w:spacing w:line="360" w:lineRule="auto"/>
        <w:rPr>
          <w:rFonts w:hint="eastAsia" w:ascii="宋体" w:hAnsi="宋体" w:eastAsia="宋体" w:cs="宋体"/>
          <w:sz w:val="24"/>
          <w:szCs w:val="20"/>
        </w:rPr>
      </w:pPr>
      <w:r>
        <w:rPr>
          <w:rFonts w:hint="eastAsia" w:ascii="宋体" w:hAnsi="宋体" w:eastAsia="宋体" w:cs="宋体"/>
          <w:sz w:val="24"/>
          <w:szCs w:val="24"/>
        </w:rPr>
        <w:t xml:space="preserve">7.2招标文件及其补充文件</w:t>
      </w:r>
      <w:bookmarkStart w:id="17" w:name="_Hlk193372622"/>
      <w:r>
        <w:rPr>
          <w:rFonts w:hint="eastAsia" w:ascii="宋体" w:hAnsi="宋体" w:eastAsia="宋体" w:cs="宋体"/>
          <w:sz w:val="24"/>
          <w:szCs w:val="24"/>
        </w:rPr>
        <w:t xml:space="preserve">未按规定的方式获得的</w:t>
      </w:r>
      <w:bookmarkEnd w:id="17"/>
      <w:r>
        <w:rPr>
          <w:rFonts w:hint="eastAsia" w:ascii="宋体" w:hAnsi="宋体" w:eastAsia="宋体" w:cs="宋体"/>
          <w:sz w:val="24"/>
          <w:szCs w:val="24"/>
        </w:rPr>
        <w:t xml:space="preserve">，采购代理机构对招标文件及其补遗的真实性、完整性不承担任何责任。</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bookmarkStart w:id="18" w:name="_Hlk193372773"/>
      <w:r>
        <w:rPr>
          <w:rFonts w:hint="eastAsia" w:ascii="宋体" w:hAnsi="宋体" w:eastAsia="宋体" w:cs="宋体"/>
          <w:b/>
          <w:sz w:val="24"/>
          <w:szCs w:val="24"/>
          <w:shd w:val="clear" w:color="auto" w:fill="ffffff"/>
        </w:rPr>
        <w:t xml:space="preserve">8.招标文件的询问</w:t>
      </w:r>
      <w:r/>
    </w:p>
    <w:p>
      <w:pPr>
        <w:ind w:firstLine="484"/>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供应商在收到招标文件后，若有问题需要询问，应于下载招标文件后，可通过公告中的联系方式及时提出，采购人或采购代理机构将予以解答。</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9.现场踏勘</w:t>
      </w:r>
      <w:r/>
    </w:p>
    <w:p>
      <w:pPr>
        <w:ind w:firstLine="484"/>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供应商可自行对有关现场和周围环境进行踏勘，以获取编制投标（响应）文件和签署合同所需的信息，踏勘现场所发生的费用由供应商自己承担。</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10.集中现场考察</w:t>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本项目按以下第</w:t>
      </w:r>
      <w:r>
        <w:rPr>
          <w:rFonts w:hint="eastAsia" w:ascii="宋体" w:hAnsi="宋体" w:eastAsia="宋体" w:cs="宋体"/>
          <w:sz w:val="24"/>
          <w:szCs w:val="24"/>
          <w:u w:val="single"/>
        </w:rPr>
        <w:t xml:space="preserve">①</w:t>
      </w:r>
      <w:r>
        <w:rPr>
          <w:rFonts w:hint="eastAsia" w:ascii="宋体" w:hAnsi="宋体" w:eastAsia="宋体" w:cs="宋体"/>
          <w:sz w:val="24"/>
          <w:szCs w:val="24"/>
        </w:rPr>
        <w:t xml:space="preserve">种方式组织集中现场考察：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①采购人不组织集中现场考察；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②采购人组织集中现场考察，请供应商持在“苏采云”系统中下载本项目采购文件的</w:t>
      </w:r>
      <w:r>
        <w:rPr>
          <w:rFonts w:hint="eastAsia" w:ascii="宋体" w:hAnsi="宋体" w:eastAsia="宋体" w:cs="宋体"/>
          <w:b/>
          <w:sz w:val="24"/>
          <w:szCs w:val="24"/>
        </w:rPr>
        <w:t xml:space="preserve">《投标供应商确认函》</w:t>
      </w:r>
      <w:r>
        <w:rPr>
          <w:rFonts w:hint="eastAsia" w:ascii="宋体" w:hAnsi="宋体" w:eastAsia="宋体" w:cs="宋体"/>
          <w:sz w:val="24"/>
          <w:szCs w:val="24"/>
        </w:rPr>
        <w:t xml:space="preserve">，按以下时间地点参加集中现场考察：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集合时间：</w:t>
      </w:r>
      <w:r>
        <w:rPr>
          <w:rFonts w:hint="eastAsia" w:ascii="宋体" w:hAnsi="宋体" w:eastAsia="宋体" w:cs="宋体"/>
          <w:sz w:val="24"/>
          <w:szCs w:val="24"/>
          <w:u w:val="single"/>
        </w:rPr>
        <w:t xml:space="preserve">/年/月/日/时/分（北京时间）</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集合地点：</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请供应商安排好行程，不得迟到。未提供《投标供应商确认函》或迟到者，恕不接待。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10.1根据自身投标（响应）需要，供应商可对项目相关情况进行考察，以获取编制投标（响应）文件和签署合同所需的信息。考察现场所发生的费用由供应商自己承担。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10.3经采购人允许，供应商可为考察目的进入采购人的项目现场，但供应商不得因此使采购人承担有关的责任和蒙受损失。供应商应承担考察现场的责任和风险。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10.4供应商应在现场考察时，熟悉现场及本项目的背景概况等情况，以获得一切可能影响其投标（响应）的直接资料。供应商中标后，不得以不完全了解情况为理由而向采购人或采购代理机构提出任何索赔的要求，对此采购人或采购代理机构不承担任何责任并将不作任何答复与考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10.5由于未进行现场考察造成的任何问题由供应商自行承担。</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11.招标文件的澄清或修改</w:t>
      </w:r>
      <w:r/>
    </w:p>
    <w:p>
      <w:pPr>
        <w:ind w:firstLine="484"/>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11.1在投标（响应）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4"/>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11.2为保证供应商有足够时间修正投标（响应）文件，或出于其他合理原因，采购代理机构可依法顺延投标（响应）截止时间和开标时间。</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bookmarkEnd w:id="18"/>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12.提示与要求</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12.1供应商应仔细阅读招标文件的所有内容，按招标文件的要求提供投标（响应）文件，并保证所提供的全部资料的真实性，以使其投标（响应）对招标文件作出实质性响应，否则，其投标（响应）可能被拒绝。</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12.2无论是否递交投标（响应）文件，供应商都应将招标文件及以后的所有通知、文件等视为保密文件。</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13.投标（响应）文件计量单位和使用文字</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13.1投标（响应）文件中所使用的计量单位，除招标文件中有特殊要求外，均应使用中华人民共和国法定计量单位。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13.2投标（响应）文件应使用中文编制，投标（响应）文件中必须使用其他文字的，必须附有中文译本。对于未附有中文译本和中文译本不准确的投标（响应）文件可能引起的对供应商不利的后果，</w:t>
      </w:r>
      <w:bookmarkStart w:id="19" w:name="_Hlk193372870"/>
      <w:r>
        <w:rPr>
          <w:rFonts w:hint="eastAsia" w:ascii="宋体" w:hAnsi="宋体" w:eastAsia="宋体" w:cs="宋体"/>
          <w:sz w:val="24"/>
          <w:szCs w:val="24"/>
          <w:shd w:val="clear" w:color="auto" w:fill="ffffff"/>
        </w:rPr>
        <w:t xml:space="preserve">采购人或采购代理机构概不负责。</w:t>
      </w:r>
      <w:bookmarkEnd w:id="19"/>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14.投标（响应）文件的组成</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14.1投标（响应）书：</w:t>
      </w:r>
      <w:r/>
    </w:p>
    <w:p>
      <w:pPr>
        <w:ind w:firstLine="482"/>
        <w:spacing w:line="360" w:lineRule="auto"/>
        <w:rPr>
          <w:rFonts w:hint="eastAsia" w:ascii="宋体" w:hAnsi="宋体" w:eastAsia="宋体" w:cs="宋体"/>
        </w:rPr>
      </w:pPr>
      <w:r>
        <w:rPr>
          <w:rFonts w:hint="eastAsia" w:ascii="宋体" w:hAnsi="宋体" w:eastAsia="宋体" w:cs="宋体"/>
          <w:b/>
          <w:sz w:val="24"/>
        </w:rPr>
        <w:t xml:space="preserve">14.1.1封面；</w:t>
      </w:r>
      <w:r/>
    </w:p>
    <w:p>
      <w:pPr>
        <w:ind w:firstLine="482"/>
        <w:spacing w:line="360" w:lineRule="auto"/>
        <w:tabs>
          <w:tab w:val="left" w:pos="0" w:leader="none"/>
        </w:tabs>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14.1.2开标一览表（格式详见第三章）；</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14.1.3</w:t>
      </w:r>
      <w:r>
        <w:rPr>
          <w:rFonts w:ascii="宋体" w:hAnsi="宋体" w:eastAsia="宋体" w:cs="宋体"/>
          <w:b/>
          <w:bCs/>
          <w:sz w:val="24"/>
          <w:szCs w:val="24"/>
          <w:shd w:val="clear" w:color="auto" w:fill="ffffff"/>
        </w:rPr>
        <w:t xml:space="preserve">分项报价表</w:t>
      </w:r>
      <w:r>
        <w:rPr>
          <w:rFonts w:hint="eastAsia" w:ascii="宋体" w:hAnsi="宋体" w:eastAsia="宋体" w:cs="宋体"/>
          <w:b/>
          <w:bCs/>
          <w:sz w:val="24"/>
          <w:szCs w:val="24"/>
          <w:shd w:val="clear" w:color="auto" w:fill="ffffff"/>
        </w:rPr>
        <w:t xml:space="preserve">（格式详见第三章）；</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14.1.4资格性审查文件</w:t>
      </w:r>
      <w:r/>
    </w:p>
    <w:tbl>
      <w:tblPr>
        <w:tblStyle w:val="977"/>
        <w:tblW w:w="10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4315"/>
        <w:gridCol w:w="4767"/>
      </w:tblGrid>
      <w:tr>
        <w:trPr>
          <w:jc w:val="center"/>
          <w:trHeight w:val="462"/>
        </w:trPr>
        <w:tc>
          <w:tcPr>
            <w:tcW w:w="988" w:type="dxa"/>
            <w:vAlign w:val="center"/>
            <w:textDirection w:val="lrTb"/>
            <w:noWrap w:val="false"/>
          </w:tcPr>
          <w:p>
            <w:pPr>
              <w:pStyle w:val="985"/>
              <w:jc w:val="center"/>
              <w:spacing w:line="240" w:lineRule="auto"/>
              <w:rPr>
                <w:rFonts w:hint="eastAsia" w:ascii="宋体" w:hAnsi="宋体" w:eastAsia="宋体" w:cs="宋体"/>
                <w:sz w:val="21"/>
              </w:rPr>
            </w:pPr>
            <w:r/>
            <w:bookmarkStart w:id="20" w:name="_Hlk193373287"/>
            <w:r>
              <w:rPr>
                <w:rFonts w:hint="eastAsia" w:ascii="宋体" w:hAnsi="宋体" w:eastAsia="宋体" w:cs="宋体"/>
                <w:sz w:val="21"/>
              </w:rPr>
              <w:t xml:space="preserve">序号</w:t>
            </w:r>
            <w:r/>
          </w:p>
        </w:tc>
        <w:tc>
          <w:tcPr>
            <w:tcW w:w="4315" w:type="dxa"/>
            <w:vAlign w:val="center"/>
            <w:textDirection w:val="lrTb"/>
            <w:noWrap w:val="false"/>
          </w:tcPr>
          <w:p>
            <w:pPr>
              <w:pStyle w:val="985"/>
              <w:jc w:val="center"/>
              <w:spacing w:line="240" w:lineRule="auto"/>
              <w:rPr>
                <w:rFonts w:hint="eastAsia" w:ascii="宋体" w:hAnsi="宋体" w:eastAsia="宋体" w:cs="宋体"/>
                <w:sz w:val="21"/>
              </w:rPr>
            </w:pPr>
            <w:r>
              <w:rPr>
                <w:rFonts w:hint="eastAsia" w:ascii="宋体" w:hAnsi="宋体" w:eastAsia="宋体" w:cs="宋体"/>
                <w:sz w:val="21"/>
              </w:rPr>
              <w:t xml:space="preserve">评审项</w:t>
            </w:r>
            <w:r/>
          </w:p>
        </w:tc>
        <w:tc>
          <w:tcPr>
            <w:tcW w:w="4767" w:type="dxa"/>
            <w:vAlign w:val="center"/>
            <w:textDirection w:val="lrTb"/>
            <w:noWrap w:val="false"/>
          </w:tcPr>
          <w:p>
            <w:pPr>
              <w:pStyle w:val="985"/>
              <w:jc w:val="center"/>
              <w:spacing w:line="240" w:lineRule="auto"/>
              <w:rPr>
                <w:rFonts w:hint="eastAsia" w:ascii="宋体" w:hAnsi="宋体" w:eastAsia="宋体" w:cs="宋体"/>
                <w:sz w:val="21"/>
              </w:rPr>
            </w:pPr>
            <w:r>
              <w:rPr>
                <w:rFonts w:hint="eastAsia" w:ascii="宋体" w:hAnsi="宋体" w:eastAsia="宋体" w:cs="宋体"/>
                <w:sz w:val="21"/>
              </w:rPr>
              <w:t xml:space="preserve">评审要求</w:t>
            </w:r>
            <w:r/>
          </w:p>
        </w:tc>
      </w:tr>
      <w:tr>
        <w:trPr>
          <w:jc w:val="center"/>
          <w:trHeight w:val="462"/>
        </w:trPr>
        <w:tc>
          <w:tcPr>
            <w:gridSpan w:val="3"/>
            <w:tcW w:w="10070" w:type="dxa"/>
            <w:vAlign w:val="center"/>
            <w:textDirection w:val="lrTb"/>
            <w:noWrap w:val="false"/>
          </w:tcPr>
          <w:p>
            <w:pPr>
              <w:pStyle w:val="985"/>
              <w:jc w:val="center"/>
              <w:spacing w:line="240" w:lineRule="auto"/>
              <w:rPr>
                <w:rFonts w:hint="eastAsia" w:ascii="宋体" w:hAnsi="宋体" w:eastAsia="宋体" w:cs="宋体"/>
                <w:sz w:val="21"/>
              </w:rPr>
            </w:pPr>
            <w:r>
              <w:rPr>
                <w:rFonts w:hint="eastAsia" w:ascii="宋体" w:hAnsi="宋体" w:eastAsia="宋体" w:cs="宋体"/>
                <w:sz w:val="21"/>
              </w:rPr>
              <w:t xml:space="preserve">一、基本资格条件</w:t>
            </w:r>
            <w:r/>
          </w:p>
        </w:tc>
      </w:tr>
      <w:tr>
        <w:trPr>
          <w:jc w:val="center"/>
          <w:trHeight w:val="23"/>
        </w:trPr>
        <w:tc>
          <w:tcPr>
            <w:tcW w:w="988" w:type="dxa"/>
            <w:vAlign w:val="center"/>
            <w:textDirection w:val="lrTb"/>
            <w:noWrap w:val="false"/>
          </w:tcPr>
          <w:p>
            <w:pPr>
              <w:pStyle w:val="985"/>
              <w:jc w:val="center"/>
              <w:spacing w:line="240" w:lineRule="auto"/>
              <w:rPr>
                <w:rFonts w:hint="eastAsia" w:ascii="宋体" w:hAnsi="宋体" w:eastAsia="宋体" w:cs="宋体"/>
                <w:sz w:val="21"/>
              </w:rPr>
            </w:pPr>
            <w:r>
              <w:rPr>
                <w:rFonts w:hint="eastAsia" w:ascii="宋体" w:hAnsi="宋体" w:eastAsia="宋体" w:cs="宋体"/>
                <w:sz w:val="21"/>
              </w:rPr>
              <w:t xml:space="preserve">1</w:t>
            </w:r>
            <w:r/>
          </w:p>
        </w:tc>
        <w:tc>
          <w:tcPr>
            <w:tcW w:w="4315" w:type="dxa"/>
            <w:vAlign w:val="center"/>
            <w:textDirection w:val="lrTb"/>
            <w:noWrap w:val="false"/>
          </w:tcPr>
          <w:p>
            <w:pPr>
              <w:pStyle w:val="98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具有独立承担民事责任的能力</w:t>
            </w:r>
            <w:r/>
          </w:p>
        </w:tc>
        <w:tc>
          <w:tcPr>
            <w:tcW w:w="4767" w:type="dxa"/>
            <w:vAlign w:val="center"/>
            <w:textDirection w:val="lrTb"/>
            <w:noWrap w:val="false"/>
          </w:tcPr>
          <w:p>
            <w:pPr>
              <w:pStyle w:val="98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供应商提供包括法人或者其他组织的营业执照等证明文件，自然人的身份证明。</w:t>
            </w:r>
            <w:r/>
          </w:p>
        </w:tc>
      </w:tr>
      <w:tr>
        <w:trPr>
          <w:jc w:val="center"/>
          <w:trHeight w:val="23"/>
        </w:trPr>
        <w:tc>
          <w:tcPr>
            <w:tcW w:w="988" w:type="dxa"/>
            <w:vAlign w:val="center"/>
            <w:textDirection w:val="lrTb"/>
            <w:noWrap w:val="false"/>
          </w:tcPr>
          <w:p>
            <w:pPr>
              <w:pStyle w:val="985"/>
              <w:jc w:val="center"/>
              <w:spacing w:line="240" w:lineRule="auto"/>
              <w:rPr>
                <w:rFonts w:hint="eastAsia" w:ascii="宋体" w:hAnsi="宋体" w:eastAsia="宋体" w:cs="宋体"/>
                <w:sz w:val="21"/>
              </w:rPr>
            </w:pPr>
            <w:r>
              <w:rPr>
                <w:rFonts w:hint="eastAsia" w:ascii="宋体" w:hAnsi="宋体" w:eastAsia="宋体" w:cs="宋体"/>
                <w:sz w:val="21"/>
              </w:rPr>
              <w:t xml:space="preserve">2</w:t>
            </w:r>
            <w:r/>
          </w:p>
        </w:tc>
        <w:tc>
          <w:tcPr>
            <w:tcW w:w="4315" w:type="dxa"/>
            <w:vAlign w:val="center"/>
            <w:textDirection w:val="lrTb"/>
            <w:noWrap w:val="false"/>
          </w:tcPr>
          <w:p>
            <w:pPr>
              <w:pStyle w:val="98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具有良好的商业信誉和健全的财务会计制度</w:t>
            </w:r>
            <w:r/>
          </w:p>
        </w:tc>
        <w:tc>
          <w:tcPr>
            <w:tcW w:w="4767" w:type="dxa"/>
            <w:vAlign w:val="center"/>
            <w:textDirection w:val="lrTb"/>
            <w:noWrap w:val="false"/>
          </w:tcPr>
          <w:p>
            <w:pPr>
              <w:pStyle w:val="98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为法人的，应提供最近一期的财务报告（包括但不限于资产负债表、利润表、现金流量表等会计报表），或基本开户银行出具的银行资信证明，或财政部门认可的政府采购专业担保机构出具的投标担保函；部分其他组织、自然人，若没有财务报告，可以提供银行出具的资信证明。</w:t>
            </w:r>
            <w:r/>
          </w:p>
        </w:tc>
      </w:tr>
      <w:tr>
        <w:trPr>
          <w:jc w:val="center"/>
          <w:trHeight w:val="23"/>
        </w:trPr>
        <w:tc>
          <w:tcPr>
            <w:tcW w:w="988" w:type="dxa"/>
            <w:vAlign w:val="center"/>
            <w:textDirection w:val="lrTb"/>
            <w:noWrap w:val="false"/>
          </w:tcPr>
          <w:p>
            <w:pPr>
              <w:pStyle w:val="985"/>
              <w:jc w:val="center"/>
              <w:spacing w:line="240" w:lineRule="auto"/>
              <w:rPr>
                <w:rFonts w:hint="eastAsia" w:ascii="宋体" w:hAnsi="宋体" w:eastAsia="宋体" w:cs="宋体"/>
                <w:sz w:val="21"/>
              </w:rPr>
            </w:pPr>
            <w:r>
              <w:rPr>
                <w:rFonts w:hint="eastAsia" w:ascii="宋体" w:hAnsi="宋体" w:eastAsia="宋体" w:cs="宋体"/>
                <w:sz w:val="21"/>
              </w:rPr>
              <w:t xml:space="preserve">3</w:t>
            </w:r>
            <w:r/>
          </w:p>
        </w:tc>
        <w:tc>
          <w:tcPr>
            <w:tcW w:w="4315" w:type="dxa"/>
            <w:vAlign w:val="center"/>
            <w:textDirection w:val="lrTb"/>
            <w:noWrap w:val="false"/>
          </w:tcPr>
          <w:p>
            <w:pPr>
              <w:pStyle w:val="98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具有履行合同所必需的设备和专业技术能力</w:t>
            </w:r>
            <w:r/>
          </w:p>
        </w:tc>
        <w:tc>
          <w:tcPr>
            <w:tcW w:w="4767" w:type="dxa"/>
            <w:vAlign w:val="center"/>
            <w:textDirection w:val="lrTb"/>
            <w:noWrap w:val="false"/>
          </w:tcPr>
          <w:p>
            <w:pPr>
              <w:pStyle w:val="98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供应商提供设备清单、相关技术人员的职称证书和用工合同或具有履行合同所必需的设备和专业技术能力的承诺书（格式自拟）。</w:t>
            </w:r>
            <w:r/>
          </w:p>
        </w:tc>
      </w:tr>
      <w:tr>
        <w:trPr>
          <w:jc w:val="center"/>
          <w:trHeight w:val="23"/>
        </w:trPr>
        <w:tc>
          <w:tcPr>
            <w:tcW w:w="988" w:type="dxa"/>
            <w:vAlign w:val="center"/>
            <w:textDirection w:val="lrTb"/>
            <w:noWrap w:val="false"/>
          </w:tcPr>
          <w:p>
            <w:pPr>
              <w:pStyle w:val="985"/>
              <w:jc w:val="center"/>
              <w:spacing w:line="240" w:lineRule="auto"/>
              <w:rPr>
                <w:rFonts w:hint="eastAsia" w:ascii="宋体" w:hAnsi="宋体" w:eastAsia="宋体" w:cs="宋体"/>
                <w:sz w:val="21"/>
              </w:rPr>
            </w:pPr>
            <w:r>
              <w:rPr>
                <w:rFonts w:hint="eastAsia" w:ascii="宋体" w:hAnsi="宋体" w:eastAsia="宋体" w:cs="宋体"/>
                <w:sz w:val="21"/>
              </w:rPr>
              <w:t xml:space="preserve">4</w:t>
            </w:r>
            <w:r/>
          </w:p>
        </w:tc>
        <w:tc>
          <w:tcPr>
            <w:tcW w:w="4315" w:type="dxa"/>
            <w:vAlign w:val="center"/>
            <w:textDirection w:val="lrTb"/>
            <w:noWrap w:val="false"/>
          </w:tcPr>
          <w:p>
            <w:pPr>
              <w:pStyle w:val="98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具有依法缴纳税收和社会保障资金的良好记录</w:t>
            </w:r>
            <w:r/>
          </w:p>
        </w:tc>
        <w:tc>
          <w:tcPr>
            <w:tcW w:w="4767" w:type="dxa"/>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供应商提供参加本次政府采购活动前一段时间内依法缴纳税收（供应商如为法人的，包括但不限于企业所得税和增值税）和社会保险的凭据；依法免税或不需要缴纳社会保障资金的供应商，应提供相应文件证明其依法免税或不需要缴纳社会保障资金。</w:t>
            </w:r>
            <w:r/>
          </w:p>
        </w:tc>
      </w:tr>
      <w:tr>
        <w:trPr>
          <w:jc w:val="center"/>
          <w:trHeight w:val="785"/>
        </w:trPr>
        <w:tc>
          <w:tcPr>
            <w:tcW w:w="988" w:type="dxa"/>
            <w:vAlign w:val="center"/>
            <w:textDirection w:val="lrTb"/>
            <w:noWrap w:val="false"/>
          </w:tcPr>
          <w:p>
            <w:pPr>
              <w:pStyle w:val="985"/>
              <w:jc w:val="center"/>
              <w:spacing w:line="240" w:lineRule="auto"/>
              <w:rPr>
                <w:rFonts w:hint="eastAsia" w:ascii="宋体" w:hAnsi="宋体" w:eastAsia="宋体" w:cs="宋体"/>
                <w:sz w:val="21"/>
              </w:rPr>
            </w:pPr>
            <w:r>
              <w:rPr>
                <w:rFonts w:hint="eastAsia" w:ascii="宋体" w:hAnsi="宋体" w:eastAsia="宋体" w:cs="宋体"/>
                <w:sz w:val="21"/>
              </w:rPr>
              <w:t xml:space="preserve">5</w:t>
            </w:r>
            <w:r/>
          </w:p>
        </w:tc>
        <w:tc>
          <w:tcPr>
            <w:tcW w:w="4315" w:type="dxa"/>
            <w:vAlign w:val="center"/>
            <w:textDirection w:val="lrTb"/>
            <w:noWrap w:val="false"/>
          </w:tcPr>
          <w:p>
            <w:pPr>
              <w:pStyle w:val="98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参加政府采购活动前三年内，在经营活动中没有重大违法记录</w:t>
            </w:r>
            <w:r/>
          </w:p>
        </w:tc>
        <w:tc>
          <w:tcPr>
            <w:tcW w:w="4767" w:type="dxa"/>
            <w:vAlign w:val="center"/>
            <w:textDirection w:val="lrTb"/>
            <w:noWrap w:val="false"/>
          </w:tcPr>
          <w:p>
            <w:pPr>
              <w:pStyle w:val="98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供应商提供参加政府采购活动前三年内在经营活动中没有重大违法记录的书面声明。</w:t>
            </w:r>
            <w:r/>
          </w:p>
        </w:tc>
      </w:tr>
      <w:tr>
        <w:trPr>
          <w:jc w:val="center"/>
          <w:trHeight w:val="23"/>
        </w:trPr>
        <w:tc>
          <w:tcPr>
            <w:tcW w:w="988" w:type="dxa"/>
            <w:vAlign w:val="center"/>
            <w:textDirection w:val="lrTb"/>
            <w:noWrap w:val="false"/>
          </w:tcPr>
          <w:p>
            <w:pPr>
              <w:pStyle w:val="985"/>
              <w:jc w:val="center"/>
              <w:spacing w:line="240" w:lineRule="auto"/>
              <w:rPr>
                <w:rFonts w:hint="eastAsia" w:ascii="宋体" w:hAnsi="宋体" w:eastAsia="宋体" w:cs="宋体"/>
                <w:sz w:val="21"/>
              </w:rPr>
            </w:pPr>
            <w:r>
              <w:rPr>
                <w:rFonts w:hint="eastAsia" w:ascii="宋体" w:hAnsi="宋体" w:eastAsia="宋体" w:cs="宋体"/>
                <w:sz w:val="21"/>
              </w:rPr>
              <w:t xml:space="preserve">6</w:t>
            </w:r>
            <w:r/>
          </w:p>
        </w:tc>
        <w:tc>
          <w:tcPr>
            <w:tcW w:w="4315" w:type="dxa"/>
            <w:vAlign w:val="center"/>
            <w:textDirection w:val="lrTb"/>
            <w:noWrap w:val="false"/>
          </w:tcPr>
          <w:p>
            <w:pPr>
              <w:pStyle w:val="98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法律、行政法规规定的其他条件</w:t>
            </w:r>
            <w:r/>
          </w:p>
        </w:tc>
        <w:tc>
          <w:tcPr>
            <w:tcW w:w="4767" w:type="dxa"/>
            <w:vAlign w:val="center"/>
            <w:textDirection w:val="lrTb"/>
            <w:noWrap w:val="false"/>
          </w:tcPr>
          <w:p>
            <w:pPr>
              <w:pStyle w:val="98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符合法律、行政法规规定的其他条件的证明材料或书面声明。</w:t>
            </w:r>
            <w:r/>
          </w:p>
        </w:tc>
      </w:tr>
      <w:tr>
        <w:trPr>
          <w:jc w:val="center"/>
          <w:trHeight w:val="472"/>
        </w:trPr>
        <w:tc>
          <w:tcPr>
            <w:gridSpan w:val="3"/>
            <w:tcW w:w="10070" w:type="dxa"/>
            <w:vAlign w:val="center"/>
            <w:textDirection w:val="lrTb"/>
            <w:noWrap w:val="false"/>
          </w:tcPr>
          <w:p>
            <w:pPr>
              <w:pStyle w:val="985"/>
              <w:jc w:val="center"/>
              <w:spacing w:line="240" w:lineRule="auto"/>
              <w:rPr>
                <w:rFonts w:hint="eastAsia" w:ascii="宋体" w:hAnsi="宋体" w:eastAsia="宋体" w:cs="宋体"/>
                <w:sz w:val="21"/>
              </w:rPr>
            </w:pPr>
            <w:r>
              <w:rPr>
                <w:rFonts w:hint="eastAsia" w:ascii="宋体" w:hAnsi="宋体" w:eastAsia="宋体" w:cs="宋体"/>
                <w:sz w:val="21"/>
              </w:rPr>
              <w:t xml:space="preserve">二、落实政府采购政策需满足的资格要求</w:t>
            </w:r>
            <w:r/>
          </w:p>
        </w:tc>
      </w:tr>
      <w:tr>
        <w:trPr>
          <w:jc w:val="center"/>
          <w:trHeight w:val="23"/>
        </w:trPr>
        <w:tc>
          <w:tcPr>
            <w:tcW w:w="988" w:type="dxa"/>
            <w:vAlign w:val="center"/>
            <w:textDirection w:val="lrTb"/>
            <w:noWrap w:val="false"/>
          </w:tcPr>
          <w:p>
            <w:pPr>
              <w:pStyle w:val="985"/>
              <w:jc w:val="center"/>
              <w:spacing w:line="240" w:lineRule="auto"/>
              <w:rPr>
                <w:rFonts w:hint="eastAsia" w:ascii="宋体" w:hAnsi="宋体" w:eastAsia="宋体" w:cs="宋体"/>
                <w:sz w:val="21"/>
              </w:rPr>
            </w:pPr>
            <w:r>
              <w:rPr>
                <w:rFonts w:hint="eastAsia" w:ascii="宋体" w:hAnsi="宋体" w:eastAsia="宋体" w:cs="宋体"/>
                <w:sz w:val="21"/>
              </w:rPr>
              <w:t xml:space="preserve">1</w:t>
            </w:r>
            <w:r/>
          </w:p>
        </w:tc>
        <w:tc>
          <w:tcPr>
            <w:tcW w:w="4315" w:type="dxa"/>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无</w:t>
            </w:r>
            <w:r/>
          </w:p>
        </w:tc>
        <w:tc>
          <w:tcPr>
            <w:tcW w:w="4767" w:type="dxa"/>
            <w:textDirection w:val="lrTb"/>
            <w:noWrap w:val="false"/>
          </w:tcPr>
          <w:p>
            <w:pPr>
              <w:pStyle w:val="985"/>
              <w:jc w:val="left"/>
              <w:spacing w:line="240" w:lineRule="auto"/>
              <w:rPr>
                <w:rFonts w:hint="eastAsia" w:ascii="宋体" w:hAnsi="宋体" w:eastAsia="宋体" w:cs="宋体"/>
                <w:sz w:val="21"/>
              </w:rPr>
            </w:pPr>
            <w:r>
              <w:rPr>
                <w:rFonts w:hint="eastAsia" w:ascii="宋体" w:hAnsi="宋体" w:eastAsia="宋体" w:cs="宋体"/>
                <w:sz w:val="21"/>
              </w:rPr>
              <w:t xml:space="preserve">无</w:t>
            </w:r>
            <w:r/>
          </w:p>
        </w:tc>
      </w:tr>
      <w:tr>
        <w:trPr>
          <w:jc w:val="center"/>
          <w:trHeight w:val="405"/>
        </w:trPr>
        <w:tc>
          <w:tcPr>
            <w:gridSpan w:val="3"/>
            <w:tcW w:w="10070" w:type="dxa"/>
            <w:vAlign w:val="center"/>
            <w:textDirection w:val="lrTb"/>
            <w:noWrap w:val="false"/>
          </w:tcPr>
          <w:p>
            <w:pPr>
              <w:pStyle w:val="98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三、本项目的特定资格要求</w:t>
            </w:r>
            <w:r/>
          </w:p>
        </w:tc>
      </w:tr>
      <w:tr>
        <w:trPr>
          <w:jc w:val="center"/>
          <w:trHeight w:val="23"/>
        </w:trPr>
        <w:tc>
          <w:tcPr>
            <w:tcW w:w="988" w:type="dxa"/>
            <w:vAlign w:val="center"/>
            <w:textDirection w:val="lrTb"/>
            <w:noWrap w:val="false"/>
          </w:tcPr>
          <w:p>
            <w:pPr>
              <w:pStyle w:val="985"/>
              <w:jc w:val="center"/>
              <w:spacing w:line="240" w:lineRule="auto"/>
              <w:rPr>
                <w:rFonts w:hint="eastAsia" w:ascii="宋体" w:hAnsi="宋体" w:eastAsia="宋体" w:cs="宋体"/>
                <w:sz w:val="21"/>
              </w:rPr>
            </w:pPr>
            <w:r>
              <w:rPr>
                <w:rFonts w:hint="eastAsia" w:ascii="宋体" w:hAnsi="宋体" w:eastAsia="宋体" w:cs="宋体"/>
                <w:sz w:val="21"/>
              </w:rPr>
              <w:t xml:space="preserve">1</w:t>
            </w:r>
            <w:r/>
          </w:p>
        </w:tc>
        <w:tc>
          <w:tcPr>
            <w:tcW w:w="4315" w:type="dxa"/>
            <w:vAlign w:val="center"/>
            <w:textDirection w:val="lrTb"/>
            <w:noWrap w:val="false"/>
          </w:tcPr>
          <w:p>
            <w:pPr>
              <w:pStyle w:val="985"/>
              <w:jc w:val="left"/>
              <w:spacing w:line="240" w:lineRule="auto"/>
              <w:rPr>
                <w:rFonts w:hint="eastAsia" w:ascii="宋体" w:hAnsi="宋体" w:eastAsia="宋体" w:cs="宋体"/>
                <w:sz w:val="21"/>
                <w:szCs w:val="21"/>
              </w:rPr>
            </w:pPr>
            <w:r>
              <w:rPr>
                <w:rFonts w:ascii="宋体" w:hAnsi="宋体" w:eastAsia="宋体" w:cs="宋体"/>
                <w:sz w:val="21"/>
                <w:szCs w:val="21"/>
              </w:rPr>
              <w:t xml:space="preserve">投标单位具有经营保险业务许可证。本项目仅允许法人企业或分公司（中心支公司）进行投标。</w:t>
            </w:r>
            <w:r/>
          </w:p>
        </w:tc>
        <w:tc>
          <w:tcPr>
            <w:tcW w:w="4767" w:type="dxa"/>
            <w:vAlign w:val="center"/>
            <w:textDirection w:val="lrTb"/>
            <w:noWrap w:val="false"/>
          </w:tcPr>
          <w:p>
            <w:pPr>
              <w:pStyle w:val="985"/>
              <w:jc w:val="left"/>
              <w:spacing w:line="240" w:lineRule="auto"/>
              <w:rPr>
                <w:rFonts w:hint="eastAsia" w:ascii="宋体" w:hAnsi="宋体" w:eastAsia="宋体" w:cs="宋体"/>
                <w:sz w:val="21"/>
                <w:szCs w:val="21"/>
              </w:rPr>
            </w:pPr>
            <w:r>
              <w:rPr>
                <w:rFonts w:ascii="宋体" w:hAnsi="宋体" w:eastAsia="宋体" w:cs="宋体"/>
                <w:sz w:val="21"/>
                <w:szCs w:val="21"/>
              </w:rPr>
              <w:t xml:space="preserve">投标单位经营保险业务许可证</w:t>
            </w:r>
            <w:r>
              <w:rPr>
                <w:rFonts w:hint="eastAsia" w:ascii="宋体" w:hAnsi="宋体" w:eastAsia="宋体" w:cs="宋体"/>
                <w:sz w:val="21"/>
                <w:szCs w:val="21"/>
              </w:rPr>
              <w:t xml:space="preserve">扫描件。</w:t>
            </w:r>
            <w:r/>
          </w:p>
        </w:tc>
      </w:tr>
      <w:tr>
        <w:trPr>
          <w:jc w:val="center"/>
          <w:trHeight w:val="23"/>
        </w:trPr>
        <w:tc>
          <w:tcPr>
            <w:tcW w:w="988" w:type="dxa"/>
            <w:vAlign w:val="center"/>
            <w:textDirection w:val="lrTb"/>
            <w:noWrap w:val="false"/>
          </w:tcPr>
          <w:p>
            <w:pPr>
              <w:pStyle w:val="985"/>
              <w:jc w:val="center"/>
              <w:spacing w:line="240" w:lineRule="auto"/>
              <w:rPr>
                <w:rFonts w:hint="eastAsia" w:ascii="宋体" w:hAnsi="宋体" w:eastAsia="宋体" w:cs="宋体"/>
                <w:sz w:val="21"/>
              </w:rPr>
            </w:pPr>
            <w:r>
              <w:rPr>
                <w:rFonts w:hint="eastAsia" w:ascii="宋体" w:hAnsi="宋体" w:eastAsia="宋体" w:cs="宋体"/>
                <w:sz w:val="21"/>
              </w:rPr>
              <w:t xml:space="preserve">2</w:t>
            </w:r>
            <w:r/>
          </w:p>
        </w:tc>
        <w:tc>
          <w:tcPr>
            <w:tcW w:w="4315" w:type="dxa"/>
            <w:vAlign w:val="center"/>
            <w:textDirection w:val="lrTb"/>
            <w:noWrap w:val="false"/>
          </w:tcPr>
          <w:p>
            <w:pPr>
              <w:pStyle w:val="98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未被“信用中国”（www.creditchina.gov.cn）等相关网站列入失信被执行人、重大税收违法案件当事人名单、政府采购严重失信行为记录名单。</w:t>
            </w:r>
            <w:r/>
          </w:p>
        </w:tc>
        <w:tc>
          <w:tcPr>
            <w:tcW w:w="4767" w:type="dxa"/>
            <w:vAlign w:val="center"/>
            <w:textDirection w:val="lrTb"/>
            <w:noWrap w:val="false"/>
          </w:tcPr>
          <w:p>
            <w:pPr>
              <w:pStyle w:val="98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供应商无需提供相关证明资料，由采购代理机构按照招标文件第二章“21.信用查询”要求执行。</w:t>
            </w:r>
            <w:bookmarkEnd w:id="20"/>
            <w:r/>
            <w:r/>
          </w:p>
        </w:tc>
      </w:tr>
    </w:tbl>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以上是资格性审查的要求和必须提供的材料，未按要求提供的投标（响应）无效。</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14.1.5符合性审查响应文件</w:t>
      </w:r>
      <w:r/>
    </w:p>
    <w:tbl>
      <w:tblPr>
        <w:tblStyle w:val="97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4"/>
        <w:gridCol w:w="4170"/>
        <w:gridCol w:w="4990"/>
      </w:tblGrid>
      <w:tr>
        <w:trPr>
          <w:trHeight w:val="452"/>
        </w:trPr>
        <w:tc>
          <w:tcPr>
            <w:tcW w:w="352" w:type="pct"/>
            <w:vAlign w:val="center"/>
            <w:textDirection w:val="lrTb"/>
            <w:noWrap w:val="false"/>
          </w:tcPr>
          <w:p>
            <w:pPr>
              <w:pStyle w:val="98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2116" w:type="pct"/>
            <w:vAlign w:val="center"/>
            <w:textDirection w:val="lrTb"/>
            <w:noWrap w:val="false"/>
          </w:tcPr>
          <w:p>
            <w:pPr>
              <w:pStyle w:val="98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评审项</w:t>
            </w:r>
            <w:r/>
          </w:p>
        </w:tc>
        <w:tc>
          <w:tcPr>
            <w:tcW w:w="2532" w:type="pct"/>
            <w:vAlign w:val="center"/>
            <w:textDirection w:val="lrTb"/>
            <w:noWrap w:val="false"/>
          </w:tcPr>
          <w:p>
            <w:pPr>
              <w:pStyle w:val="98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评审要求</w:t>
            </w:r>
            <w:r/>
          </w:p>
        </w:tc>
      </w:tr>
      <w:tr>
        <w:trPr>
          <w:trHeight w:val="392"/>
        </w:trPr>
        <w:tc>
          <w:tcPr>
            <w:gridSpan w:val="3"/>
            <w:tcW w:w="5000" w:type="pct"/>
            <w:vAlign w:val="center"/>
            <w:textDirection w:val="lrTb"/>
            <w:noWrap w:val="false"/>
          </w:tcPr>
          <w:p>
            <w:pPr>
              <w:pStyle w:val="98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一、报价要求</w:t>
            </w:r>
            <w:r/>
          </w:p>
        </w:tc>
      </w:tr>
      <w:tr>
        <w:trPr>
          <w:trHeight w:val="23"/>
        </w:trPr>
        <w:tc>
          <w:tcPr>
            <w:tcW w:w="352" w:type="pct"/>
            <w:vAlign w:val="center"/>
            <w:textDirection w:val="lrTb"/>
            <w:noWrap w:val="false"/>
          </w:tcPr>
          <w:p>
            <w:pPr>
              <w:pStyle w:val="98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116" w:type="pct"/>
            <w:vAlign w:val="center"/>
            <w:textDirection w:val="lrTb"/>
            <w:noWrap w:val="false"/>
          </w:tcPr>
          <w:p>
            <w:pPr>
              <w:pStyle w:val="985"/>
              <w:jc w:val="left"/>
              <w:spacing w:line="240" w:lineRule="auto"/>
              <w:rPr>
                <w:rFonts w:hint="eastAsia" w:ascii="宋体" w:hAnsi="宋体" w:eastAsia="宋体" w:cs="宋体"/>
                <w:sz w:val="21"/>
                <w:szCs w:val="21"/>
              </w:rPr>
            </w:pPr>
            <w:r>
              <w:rPr>
                <w:rFonts w:ascii="宋体" w:hAnsi="宋体" w:eastAsia="宋体" w:cs="宋体"/>
                <w:sz w:val="21"/>
                <w:szCs w:val="21"/>
              </w:rPr>
              <w:t xml:space="preserve">报价符合性审查</w:t>
            </w:r>
            <w:r/>
          </w:p>
        </w:tc>
        <w:tc>
          <w:tcPr>
            <w:tcW w:w="2532" w:type="pct"/>
            <w:vAlign w:val="center"/>
            <w:textDirection w:val="lrTb"/>
            <w:noWrap w:val="false"/>
          </w:tcPr>
          <w:p>
            <w:pPr>
              <w:pStyle w:val="985"/>
              <w:jc w:val="left"/>
              <w:spacing w:line="240" w:lineRule="auto"/>
              <w:rPr>
                <w:rFonts w:hint="eastAsia" w:ascii="宋体" w:hAnsi="宋体" w:eastAsia="宋体" w:cs="宋体"/>
                <w:sz w:val="21"/>
                <w:szCs w:val="21"/>
              </w:rPr>
            </w:pPr>
            <w:r>
              <w:rPr>
                <w:rFonts w:ascii="宋体" w:hAnsi="宋体" w:eastAsia="宋体" w:cs="宋体"/>
                <w:sz w:val="21"/>
                <w:szCs w:val="21"/>
              </w:rPr>
              <w:t xml:space="preserve">属于投标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报价低于采购项目最高限价45%的，即投标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报价</w:t>
            </w:r>
            <w:r>
              <w:rPr>
                <w:rFonts w:hint="eastAsia" w:ascii="宋体" w:hAnsi="宋体" w:eastAsia="宋体" w:cs="宋体"/>
                <w:sz w:val="21"/>
                <w:szCs w:val="21"/>
              </w:rPr>
              <w:t xml:space="preserve">＜</w:t>
            </w:r>
            <w:r>
              <w:rPr>
                <w:rFonts w:ascii="宋体" w:hAnsi="宋体" w:eastAsia="宋体" w:cs="宋体"/>
                <w:sz w:val="21"/>
                <w:szCs w:val="21"/>
              </w:rPr>
              <w:t xml:space="preserve">采购项目最高限价</w:t>
            </w:r>
            <w:r>
              <w:rPr>
                <w:rFonts w:hint="eastAsia" w:ascii="宋体" w:hAnsi="宋体" w:eastAsia="宋体" w:cs="宋体"/>
                <w:sz w:val="21"/>
                <w:szCs w:val="21"/>
              </w:rPr>
              <w:t xml:space="preserve">×</w:t>
            </w:r>
            <w:r>
              <w:rPr>
                <w:rFonts w:ascii="宋体" w:hAnsi="宋体" w:eastAsia="宋体" w:cs="宋体"/>
                <w:sz w:val="21"/>
                <w:szCs w:val="21"/>
              </w:rPr>
              <w:t xml:space="preserve">45%，供应商可随投标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文件一井提交相关书面说明及必要的证明材料。</w:t>
            </w:r>
            <w:r/>
          </w:p>
        </w:tc>
      </w:tr>
      <w:tr>
        <w:trPr>
          <w:trHeight w:val="23"/>
        </w:trPr>
        <w:tc>
          <w:tcPr>
            <w:tcW w:w="352" w:type="pct"/>
            <w:vAlign w:val="center"/>
            <w:textDirection w:val="lrTb"/>
            <w:noWrap w:val="false"/>
          </w:tcPr>
          <w:p>
            <w:pPr>
              <w:pStyle w:val="98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116" w:type="pct"/>
            <w:vAlign w:val="center"/>
            <w:textDirection w:val="lrTb"/>
            <w:noWrap w:val="false"/>
          </w:tcPr>
          <w:p>
            <w:pPr>
              <w:pStyle w:val="98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供应商报价不得超出采购预算及最高限价</w:t>
            </w:r>
            <w:r/>
          </w:p>
        </w:tc>
        <w:tc>
          <w:tcPr>
            <w:tcW w:w="2532" w:type="pct"/>
            <w:vAlign w:val="center"/>
            <w:textDirection w:val="lrTb"/>
            <w:noWrap w:val="false"/>
          </w:tcPr>
          <w:p>
            <w:pPr>
              <w:pStyle w:val="98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以响应文件报价为准（供应商无须单独提供资料）</w:t>
            </w:r>
            <w:r/>
          </w:p>
        </w:tc>
      </w:tr>
      <w:tr>
        <w:trPr>
          <w:trHeight w:val="412"/>
        </w:trPr>
        <w:tc>
          <w:tcPr>
            <w:gridSpan w:val="3"/>
            <w:tcW w:w="5000" w:type="pct"/>
            <w:vAlign w:val="center"/>
            <w:textDirection w:val="lrTb"/>
            <w:noWrap w:val="false"/>
          </w:tcPr>
          <w:p>
            <w:pPr>
              <w:pStyle w:val="98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二、商务要求</w:t>
            </w:r>
            <w:r/>
          </w:p>
        </w:tc>
      </w:tr>
      <w:tr>
        <w:trPr>
          <w:trHeight w:val="482"/>
        </w:trPr>
        <w:tc>
          <w:tcPr>
            <w:tcW w:w="352" w:type="pct"/>
            <w:vAlign w:val="center"/>
            <w:textDirection w:val="lrTb"/>
            <w:noWrap w:val="false"/>
          </w:tcPr>
          <w:p>
            <w:pPr>
              <w:pStyle w:val="985"/>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tcW w:w="2116" w:type="pct"/>
            <w:vAlign w:val="center"/>
            <w:textDirection w:val="lrTb"/>
            <w:noWrap w:val="false"/>
          </w:tcPr>
          <w:p>
            <w:pPr>
              <w:pStyle w:val="98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投标（响应）函</w:t>
            </w:r>
            <w:r/>
          </w:p>
        </w:tc>
        <w:tc>
          <w:tcPr>
            <w:tcW w:w="2532" w:type="pct"/>
            <w:vAlign w:val="center"/>
            <w:textDirection w:val="lrTb"/>
            <w:noWrap w:val="false"/>
          </w:tcPr>
          <w:p>
            <w:pPr>
              <w:pStyle w:val="98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532"/>
        </w:trPr>
        <w:tc>
          <w:tcPr>
            <w:tcW w:w="352" w:type="pct"/>
            <w:vAlign w:val="center"/>
            <w:textDirection w:val="lrTb"/>
            <w:noWrap w:val="false"/>
          </w:tcPr>
          <w:p>
            <w:pPr>
              <w:pStyle w:val="985"/>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w:t>
            </w:r>
            <w:r/>
          </w:p>
        </w:tc>
        <w:tc>
          <w:tcPr>
            <w:tcW w:w="2116" w:type="pct"/>
            <w:vAlign w:val="center"/>
            <w:textDirection w:val="lrTb"/>
            <w:noWrap w:val="false"/>
          </w:tcPr>
          <w:p>
            <w:pPr>
              <w:pStyle w:val="98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法定代表人（负责人）授权委托书（如有授权）</w:t>
            </w:r>
            <w:r/>
          </w:p>
        </w:tc>
        <w:tc>
          <w:tcPr>
            <w:tcW w:w="2532" w:type="pct"/>
            <w:vAlign w:val="center"/>
            <w:textDirection w:val="lrTb"/>
            <w:noWrap w:val="false"/>
          </w:tcPr>
          <w:p>
            <w:pPr>
              <w:pStyle w:val="98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624"/>
        </w:trPr>
        <w:tc>
          <w:tcPr>
            <w:tcW w:w="352" w:type="pct"/>
            <w:vAlign w:val="center"/>
            <w:textDirection w:val="lrTb"/>
            <w:noWrap w:val="false"/>
          </w:tcPr>
          <w:p>
            <w:pPr>
              <w:pStyle w:val="985"/>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3</w:t>
            </w:r>
            <w:r/>
          </w:p>
        </w:tc>
        <w:tc>
          <w:tcPr>
            <w:tcW w:w="2116" w:type="pct"/>
            <w:vAlign w:val="center"/>
            <w:textDirection w:val="lrTb"/>
            <w:noWrap w:val="false"/>
          </w:tcPr>
          <w:p>
            <w:pPr>
              <w:pStyle w:val="98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供应商法定代表人（负责人）身份证扫描件、供应商代理人身份证扫描件（如有授权）</w:t>
            </w:r>
            <w:r/>
          </w:p>
        </w:tc>
        <w:tc>
          <w:tcPr>
            <w:tcW w:w="2532" w:type="pct"/>
            <w:vAlign w:val="center"/>
            <w:textDirection w:val="lrTb"/>
            <w:noWrap w:val="false"/>
          </w:tcPr>
          <w:p>
            <w:pPr>
              <w:pStyle w:val="98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供应商法定代表人（负责人）身份证扫描件、供应商代理人身份证扫描件（如有授权）</w:t>
            </w:r>
            <w:r/>
          </w:p>
        </w:tc>
      </w:tr>
      <w:tr>
        <w:trPr>
          <w:trHeight w:val="604"/>
        </w:trPr>
        <w:tc>
          <w:tcPr>
            <w:tcW w:w="352" w:type="pct"/>
            <w:vAlign w:val="center"/>
            <w:textDirection w:val="lrTb"/>
            <w:noWrap w:val="false"/>
          </w:tcPr>
          <w:p>
            <w:pPr>
              <w:pStyle w:val="985"/>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4</w:t>
            </w:r>
            <w:r/>
          </w:p>
        </w:tc>
        <w:tc>
          <w:tcPr>
            <w:tcW w:w="2116" w:type="pct"/>
            <w:vAlign w:val="center"/>
            <w:textDirection w:val="lrTb"/>
            <w:noWrap w:val="false"/>
          </w:tcPr>
          <w:p>
            <w:pPr>
              <w:pStyle w:val="98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《供应商基本情况表》《资格文件的声明函》</w:t>
            </w:r>
            <w:r/>
          </w:p>
        </w:tc>
        <w:tc>
          <w:tcPr>
            <w:tcW w:w="2532" w:type="pct"/>
            <w:vAlign w:val="center"/>
            <w:textDirection w:val="lrTb"/>
            <w:noWrap w:val="false"/>
          </w:tcPr>
          <w:p>
            <w:pPr>
              <w:pStyle w:val="98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614"/>
        </w:trPr>
        <w:tc>
          <w:tcPr>
            <w:tcW w:w="352" w:type="pct"/>
            <w:vAlign w:val="center"/>
            <w:textDirection w:val="lrTb"/>
            <w:noWrap w:val="false"/>
          </w:tcPr>
          <w:p>
            <w:pPr>
              <w:pStyle w:val="985"/>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w:t>
            </w:r>
            <w:r/>
          </w:p>
        </w:tc>
        <w:tc>
          <w:tcPr>
            <w:tcW w:w="2116" w:type="pct"/>
            <w:vAlign w:val="center"/>
            <w:textDirection w:val="lrTb"/>
            <w:noWrap w:val="false"/>
          </w:tcPr>
          <w:p>
            <w:pPr>
              <w:pStyle w:val="98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《对投标人（供应商）有直接控股、管理关系的单位情况表》</w:t>
            </w:r>
            <w:r/>
          </w:p>
        </w:tc>
        <w:tc>
          <w:tcPr>
            <w:tcW w:w="2532" w:type="pct"/>
            <w:vAlign w:val="center"/>
            <w:textDirection w:val="lrTb"/>
            <w:noWrap w:val="false"/>
          </w:tcPr>
          <w:p>
            <w:pPr>
              <w:pStyle w:val="98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482"/>
        </w:trPr>
        <w:tc>
          <w:tcPr>
            <w:tcW w:w="352" w:type="pct"/>
            <w:vAlign w:val="center"/>
            <w:textDirection w:val="lrTb"/>
            <w:noWrap w:val="false"/>
          </w:tcPr>
          <w:p>
            <w:pPr>
              <w:pStyle w:val="985"/>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w:t>
            </w:r>
            <w:r/>
          </w:p>
        </w:tc>
        <w:tc>
          <w:tcPr>
            <w:tcW w:w="2116" w:type="pct"/>
            <w:vAlign w:val="center"/>
            <w:textDirection w:val="lrTb"/>
            <w:noWrap w:val="false"/>
          </w:tcPr>
          <w:p>
            <w:pPr>
              <w:pStyle w:val="98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《商务要求偏离表》</w:t>
            </w:r>
            <w:r/>
          </w:p>
        </w:tc>
        <w:tc>
          <w:tcPr>
            <w:tcW w:w="2532" w:type="pct"/>
            <w:vAlign w:val="center"/>
            <w:textDirection w:val="lrTb"/>
            <w:noWrap w:val="false"/>
          </w:tcPr>
          <w:p>
            <w:pPr>
              <w:pStyle w:val="98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512"/>
        </w:trPr>
        <w:tc>
          <w:tcPr>
            <w:tcW w:w="352" w:type="pct"/>
            <w:vAlign w:val="center"/>
            <w:textDirection w:val="lrTb"/>
            <w:noWrap w:val="false"/>
          </w:tcPr>
          <w:p>
            <w:pPr>
              <w:pStyle w:val="985"/>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7</w:t>
            </w:r>
            <w:r/>
          </w:p>
        </w:tc>
        <w:tc>
          <w:tcPr>
            <w:tcW w:w="2116" w:type="pct"/>
            <w:vAlign w:val="center"/>
            <w:textDirection w:val="lrTb"/>
            <w:noWrap w:val="false"/>
          </w:tcPr>
          <w:p>
            <w:pPr>
              <w:pStyle w:val="98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《配备人员一览表》</w:t>
            </w:r>
            <w:r/>
          </w:p>
        </w:tc>
        <w:tc>
          <w:tcPr>
            <w:tcW w:w="2532" w:type="pct"/>
            <w:vAlign w:val="center"/>
            <w:textDirection w:val="lrTb"/>
            <w:noWrap w:val="false"/>
          </w:tcPr>
          <w:p>
            <w:pPr>
              <w:pStyle w:val="98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462"/>
        </w:trPr>
        <w:tc>
          <w:tcPr>
            <w:gridSpan w:val="3"/>
            <w:tcW w:w="5000" w:type="pct"/>
            <w:vAlign w:val="center"/>
            <w:textDirection w:val="lrTb"/>
            <w:noWrap w:val="false"/>
          </w:tcPr>
          <w:p>
            <w:pPr>
              <w:pStyle w:val="98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三、技术要求</w:t>
            </w:r>
            <w:r/>
          </w:p>
        </w:tc>
      </w:tr>
      <w:tr>
        <w:trPr>
          <w:trHeight w:val="482"/>
        </w:trPr>
        <w:tc>
          <w:tcPr>
            <w:tcW w:w="352" w:type="pct"/>
            <w:vAlign w:val="center"/>
            <w:textDirection w:val="lrTb"/>
            <w:noWrap w:val="false"/>
          </w:tcPr>
          <w:p>
            <w:pPr>
              <w:pStyle w:val="98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116" w:type="pct"/>
            <w:vAlign w:val="center"/>
            <w:textDirection w:val="lrTb"/>
            <w:noWrap w:val="false"/>
          </w:tcPr>
          <w:p>
            <w:pPr>
              <w:pStyle w:val="98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《服务或技术要求偏离表》</w:t>
            </w:r>
            <w:r/>
          </w:p>
        </w:tc>
        <w:tc>
          <w:tcPr>
            <w:tcW w:w="2532" w:type="pct"/>
            <w:vAlign w:val="center"/>
            <w:textDirection w:val="lrTb"/>
            <w:noWrap w:val="false"/>
          </w:tcPr>
          <w:p>
            <w:pPr>
              <w:pStyle w:val="98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512"/>
        </w:trPr>
        <w:tc>
          <w:tcPr>
            <w:tcW w:w="352" w:type="pct"/>
            <w:vAlign w:val="center"/>
            <w:textDirection w:val="lrTb"/>
            <w:noWrap w:val="false"/>
          </w:tcPr>
          <w:p>
            <w:pPr>
              <w:pStyle w:val="98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116" w:type="pct"/>
            <w:vAlign w:val="center"/>
            <w:textDirection w:val="lrTb"/>
            <w:noWrap w:val="false"/>
          </w:tcPr>
          <w:p>
            <w:pPr>
              <w:pStyle w:val="98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t xml:space="preserve">保险条款说明</w:t>
            </w:r>
            <w:r>
              <w:rPr>
                <w:rFonts w:hint="eastAsia" w:ascii="宋体" w:hAnsi="宋体" w:eastAsia="宋体" w:cs="宋体"/>
                <w:sz w:val="21"/>
                <w:szCs w:val="21"/>
              </w:rPr>
              <w:t xml:space="preserve">》</w:t>
            </w:r>
            <w:r/>
          </w:p>
        </w:tc>
        <w:tc>
          <w:tcPr>
            <w:tcW w:w="2532" w:type="pct"/>
            <w:vAlign w:val="center"/>
            <w:textDirection w:val="lrTb"/>
            <w:noWrap w:val="false"/>
          </w:tcPr>
          <w:p>
            <w:pPr>
              <w:pStyle w:val="98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512"/>
        </w:trPr>
        <w:tc>
          <w:tcPr>
            <w:tcW w:w="352" w:type="pct"/>
            <w:vAlign w:val="center"/>
            <w:textDirection w:val="lrTb"/>
            <w:noWrap w:val="false"/>
          </w:tcPr>
          <w:p>
            <w:pPr>
              <w:pStyle w:val="985"/>
              <w:jc w:val="center"/>
              <w:spacing w:line="240" w:lineRule="auto"/>
              <w:rPr>
                <w:rFonts w:hint="eastAsia" w:ascii="宋体" w:hAnsi="宋体" w:eastAsia="宋体" w:cs="宋体"/>
                <w:sz w:val="21"/>
                <w:szCs w:val="21"/>
              </w:rPr>
            </w:pPr>
            <w:r/>
            <w:bookmarkStart w:id="21" w:name="_Hlk193373412"/>
            <w:r>
              <w:rPr>
                <w:rFonts w:hint="eastAsia" w:ascii="宋体" w:hAnsi="宋体" w:eastAsia="宋体" w:cs="宋体"/>
                <w:sz w:val="21"/>
                <w:szCs w:val="21"/>
              </w:rPr>
              <w:t xml:space="preserve">3</w:t>
            </w:r>
            <w:r/>
          </w:p>
        </w:tc>
        <w:tc>
          <w:tcPr>
            <w:tcW w:w="2116" w:type="pct"/>
            <w:vAlign w:val="center"/>
            <w:textDirection w:val="lrTb"/>
            <w:noWrap w:val="false"/>
          </w:tcPr>
          <w:p>
            <w:pPr>
              <w:pStyle w:val="985"/>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采购需求中所涉及到的或供应商认为需加以说明或证明的其他有关符合性证明材料、证明（如有）</w:t>
            </w:r>
            <w:r/>
          </w:p>
        </w:tc>
        <w:tc>
          <w:tcPr>
            <w:tcW w:w="2532" w:type="pct"/>
            <w:vAlign w:val="center"/>
            <w:textDirection w:val="lrTb"/>
            <w:noWrap w:val="false"/>
          </w:tcPr>
          <w:p>
            <w:pPr>
              <w:pStyle w:val="985"/>
              <w:jc w:val="left"/>
              <w:spacing w:line="240" w:lineRule="auto"/>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格式自拟</w:t>
            </w:r>
            <w:bookmarkEnd w:id="21"/>
            <w:r/>
            <w:r/>
          </w:p>
        </w:tc>
      </w:tr>
    </w:tbl>
    <w:p>
      <w:pPr>
        <w:ind w:firstLine="482"/>
        <w:spacing w:line="360" w:lineRule="auto"/>
        <w:rPr>
          <w:rFonts w:hint="eastAsia" w:ascii="宋体" w:hAnsi="宋体" w:eastAsia="宋体" w:cs="宋体"/>
          <w:b/>
          <w:bCs/>
          <w:sz w:val="24"/>
          <w:szCs w:val="24"/>
          <w:u w:val="single"/>
          <w:shd w:val="clear" w:color="auto" w:fill="ffffff"/>
        </w:rPr>
      </w:pPr>
      <w:r>
        <w:rPr>
          <w:rFonts w:hint="eastAsia" w:ascii="宋体" w:hAnsi="宋体" w:eastAsia="宋体" w:cs="宋体"/>
          <w:b/>
          <w:bCs/>
          <w:sz w:val="24"/>
          <w:szCs w:val="24"/>
          <w:u w:val="single"/>
          <w:shd w:val="clear" w:color="auto" w:fill="ffffff"/>
        </w:rPr>
        <w:t xml:space="preserve">以上为符合性审查的要求和必须提供的材料，</w:t>
      </w:r>
      <w:bookmarkStart w:id="22" w:name="_Hlk193373771"/>
      <w:r>
        <w:rPr>
          <w:rFonts w:hint="eastAsia" w:ascii="宋体" w:hAnsi="宋体" w:eastAsia="宋体" w:cs="宋体"/>
          <w:b/>
          <w:bCs/>
          <w:sz w:val="24"/>
          <w:szCs w:val="24"/>
          <w:u w:val="single"/>
          <w:shd w:val="clear" w:color="auto" w:fill="ffffff"/>
        </w:rPr>
        <w:t xml:space="preserve">未按要求提供</w:t>
      </w:r>
      <w:bookmarkEnd w:id="22"/>
      <w:r>
        <w:rPr>
          <w:rFonts w:hint="eastAsia" w:ascii="宋体" w:hAnsi="宋体" w:eastAsia="宋体" w:cs="宋体"/>
          <w:b/>
          <w:bCs/>
          <w:sz w:val="24"/>
          <w:szCs w:val="24"/>
          <w:u w:val="single"/>
          <w:shd w:val="clear" w:color="auto" w:fill="ffffff"/>
        </w:rPr>
        <w:t xml:space="preserve">的投标（响应）无效。</w:t>
      </w:r>
      <w:r/>
    </w:p>
    <w:p>
      <w:pPr>
        <w:ind w:firstLine="482"/>
        <w:spacing w:line="360" w:lineRule="auto"/>
        <w:rPr>
          <w:rFonts w:hint="eastAsia" w:ascii="宋体" w:hAnsi="宋体" w:eastAsia="宋体" w:cs="宋体"/>
          <w:b/>
          <w:sz w:val="24"/>
        </w:rPr>
      </w:pPr>
      <w:r>
        <w:rPr>
          <w:rFonts w:ascii="宋体" w:hAnsi="宋体" w:eastAsia="宋体" w:cs="宋体"/>
          <w:b/>
          <w:sz w:val="24"/>
        </w:rPr>
        <w:t xml:space="preserve">14.1.</w:t>
      </w:r>
      <w:r>
        <w:rPr>
          <w:rFonts w:hint="eastAsia" w:ascii="宋体" w:hAnsi="宋体" w:eastAsia="宋体" w:cs="宋体"/>
          <w:b/>
          <w:sz w:val="24"/>
        </w:rPr>
        <w:t xml:space="preserve">6《</w:t>
      </w:r>
      <w:r>
        <w:rPr>
          <w:rFonts w:ascii="宋体" w:hAnsi="宋体" w:eastAsia="宋体" w:cs="宋体"/>
          <w:b/>
          <w:sz w:val="24"/>
        </w:rPr>
        <w:t xml:space="preserve">类似项目一览表</w:t>
      </w:r>
      <w:r>
        <w:rPr>
          <w:rFonts w:hint="eastAsia" w:ascii="宋体" w:hAnsi="宋体" w:eastAsia="宋体" w:cs="宋体"/>
          <w:b/>
          <w:sz w:val="24"/>
        </w:rPr>
        <w:t xml:space="preserve">》</w:t>
      </w:r>
      <w:r>
        <w:rPr>
          <w:rFonts w:ascii="宋体" w:hAnsi="宋体" w:eastAsia="宋体" w:cs="宋体"/>
          <w:b/>
          <w:sz w:val="24"/>
        </w:rPr>
        <w:t xml:space="preserve">《中小企业声明函》《残疾人福利性单位声明函》《监狱企业证明文件》（格式详见第三章）；</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14.1.7综合评审其他文件相关要求详见采购文件第六章评审办法。</w:t>
      </w:r>
      <w:r/>
    </w:p>
    <w:p>
      <w:pPr>
        <w:ind w:firstLine="482"/>
        <w:spacing w:line="360" w:lineRule="auto"/>
        <w:tabs>
          <w:tab w:val="left" w:pos="753" w:leader="none"/>
        </w:tabs>
        <w:rPr>
          <w:rFonts w:hint="eastAsia" w:ascii="宋体" w:hAnsi="宋体" w:eastAsia="宋体" w:cs="宋体"/>
          <w:b/>
          <w:bCs/>
          <w:sz w:val="24"/>
          <w:szCs w:val="24"/>
        </w:rPr>
      </w:pPr>
      <w:r>
        <w:rPr>
          <w:rFonts w:hint="eastAsia" w:ascii="宋体" w:hAnsi="宋体" w:eastAsia="宋体" w:cs="宋体"/>
          <w:b/>
          <w:bCs/>
          <w:sz w:val="24"/>
          <w:szCs w:val="24"/>
        </w:rPr>
        <w:t xml:space="preserve">注：</w:t>
      </w:r>
      <w:r>
        <w:rPr>
          <w:rFonts w:hint="eastAsia" w:ascii="宋体" w:hAnsi="宋体" w:eastAsia="宋体" w:cs="宋体"/>
          <w:b/>
          <w:sz w:val="24"/>
          <w:szCs w:val="24"/>
        </w:rPr>
        <w:t xml:space="preserve">供应商</w:t>
      </w:r>
      <w:r>
        <w:rPr>
          <w:rFonts w:hint="eastAsia" w:ascii="宋体" w:hAnsi="宋体" w:eastAsia="宋体" w:cs="宋体"/>
          <w:b/>
          <w:bCs/>
          <w:sz w:val="24"/>
          <w:szCs w:val="24"/>
        </w:rPr>
        <w:t xml:space="preserve">必须提交上述</w:t>
      </w:r>
      <w:r>
        <w:rPr>
          <w:rFonts w:hint="eastAsia" w:ascii="宋体" w:hAnsi="宋体" w:eastAsia="宋体" w:cs="宋体"/>
          <w:b/>
          <w:sz w:val="24"/>
        </w:rPr>
        <w:t xml:space="preserve">14.1</w:t>
      </w:r>
      <w:r>
        <w:rPr>
          <w:rFonts w:hint="eastAsia" w:ascii="宋体" w:hAnsi="宋体" w:eastAsia="宋体" w:cs="宋体"/>
          <w:b/>
          <w:bCs/>
          <w:sz w:val="24"/>
          <w:szCs w:val="24"/>
        </w:rPr>
        <w:t xml:space="preserve">.1—</w:t>
      </w:r>
      <w:r>
        <w:rPr>
          <w:rFonts w:hint="eastAsia" w:ascii="宋体" w:hAnsi="宋体" w:eastAsia="宋体" w:cs="宋体"/>
          <w:b/>
          <w:sz w:val="24"/>
        </w:rPr>
        <w:t xml:space="preserve">14.1</w:t>
      </w:r>
      <w:r>
        <w:rPr>
          <w:rFonts w:hint="eastAsia" w:ascii="宋体" w:hAnsi="宋体" w:eastAsia="宋体" w:cs="宋体"/>
          <w:b/>
          <w:bCs/>
          <w:sz w:val="24"/>
          <w:szCs w:val="24"/>
        </w:rPr>
        <w:t xml:space="preserve">.5款规定的资料。否则，投标响应文件将被视为因未实质性响应招标文件要求而被拒绝。</w:t>
      </w:r>
      <w:r/>
    </w:p>
    <w:p>
      <w:pPr>
        <w:ind w:firstLine="480"/>
        <w:spacing w:line="360" w:lineRule="auto"/>
        <w:rPr>
          <w:rFonts w:hint="eastAsia" w:ascii="宋体" w:hAnsi="宋体" w:eastAsia="宋体" w:cs="宋体"/>
          <w:sz w:val="24"/>
          <w:szCs w:val="24"/>
          <w:shd w:val="clear" w:color="auto" w:fill="ffffff"/>
        </w:rPr>
      </w:pPr>
      <w:r/>
      <w:bookmarkStart w:id="23" w:name="_Hlk158131259"/>
      <w:r/>
      <w:bookmarkStart w:id="24" w:name="_Hlk193374074"/>
      <w:r>
        <w:rPr>
          <w:rFonts w:hint="eastAsia" w:ascii="宋体" w:hAnsi="宋体" w:eastAsia="宋体" w:cs="宋体"/>
          <w:sz w:val="24"/>
          <w:szCs w:val="24"/>
          <w:shd w:val="clear" w:color="auto" w:fill="ffffff"/>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供应商必须保证全部投标（响应）资料的真实性，如有虚假或对招标文件所要求说明的情况故意隐瞒或虚报，视为不实质性响应招标文件，响应无效。</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如供应商投标（响应）文件中某些条款不响应招标文件提出的全部采购内容与服务要求，须在偏离表中逐条列出，未列出的视同响应。</w:t>
      </w:r>
      <w:bookmarkEnd w:id="23"/>
      <w:r/>
      <w:bookmarkEnd w:id="24"/>
      <w:r/>
      <w:r/>
    </w:p>
    <w:p>
      <w:pPr>
        <w:ind w:firstLine="482"/>
        <w:spacing w:line="360" w:lineRule="auto"/>
        <w:tabs>
          <w:tab w:val="left" w:pos="142"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15.</w:t>
      </w:r>
      <w:r>
        <w:rPr>
          <w:rFonts w:hint="eastAsia" w:ascii="宋体" w:hAnsi="宋体" w:eastAsia="宋体" w:cs="宋体"/>
          <w:b/>
          <w:sz w:val="24"/>
          <w:szCs w:val="24"/>
        </w:rPr>
        <w:t xml:space="preserve">电子投标（响应）文件的制作及递交</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bookmarkStart w:id="25" w:name="_Hlk140247794"/>
      <w:r>
        <w:rPr>
          <w:rFonts w:hint="eastAsia" w:ascii="宋体" w:hAnsi="宋体" w:eastAsia="宋体" w:cs="宋体"/>
          <w:sz w:val="24"/>
          <w:szCs w:val="24"/>
        </w:rPr>
        <w:t xml:space="preserve">15.1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hint="eastAsia" w:ascii="宋体" w:hAnsi="宋体" w:eastAsia="宋体" w:cs="宋体"/>
          <w:b/>
          <w:bCs/>
          <w:sz w:val="24"/>
          <w:szCs w:val="24"/>
        </w:rPr>
      </w:pPr>
      <w:r>
        <w:rPr>
          <w:rFonts w:hint="eastAsia" w:ascii="宋体" w:hAnsi="宋体" w:eastAsia="宋体" w:cs="宋体"/>
          <w:b/>
          <w:bCs/>
          <w:sz w:val="24"/>
          <w:szCs w:val="24"/>
        </w:rPr>
        <w:t xml:space="preserve">15.3投标（响应）文件未按照招标文件要求加盖CA电子公章的，响应无效。</w:t>
      </w:r>
      <w:r/>
    </w:p>
    <w:p>
      <w:pPr>
        <w:ind w:firstLine="482"/>
        <w:jc w:val="left"/>
        <w:spacing w:line="360" w:lineRule="auto"/>
        <w:tabs>
          <w:tab w:val="left" w:pos="142" w:leader="none"/>
          <w:tab w:val="left" w:pos="600" w:leader="none"/>
        </w:tabs>
        <w:rPr>
          <w:rFonts w:hint="eastAsia" w:ascii="宋体" w:hAnsi="宋体" w:eastAsia="宋体" w:cs="宋体"/>
          <w:b/>
          <w:bCs/>
          <w:sz w:val="24"/>
          <w:szCs w:val="24"/>
        </w:rPr>
      </w:pPr>
      <w:r>
        <w:rPr>
          <w:rFonts w:hint="eastAsia" w:ascii="宋体" w:hAnsi="宋体" w:eastAsia="宋体" w:cs="宋体"/>
          <w:b/>
          <w:bCs/>
          <w:sz w:val="24"/>
          <w:szCs w:val="24"/>
        </w:rPr>
        <w:t xml:space="preserve">15.4如不同投标（响应）文件制作机器码一致，则投标（响应）无效。</w:t>
      </w:r>
      <w:bookmarkEnd w:id="25"/>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16.投标（响应）报价（编制）要求的说明</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16.1</w:t>
      </w:r>
      <w:bookmarkStart w:id="26" w:name="_Hlk193374411"/>
      <w:r>
        <w:rPr>
          <w:rFonts w:hint="eastAsia" w:ascii="宋体" w:hAnsi="宋体" w:eastAsia="宋体" w:cs="宋体"/>
          <w:sz w:val="24"/>
          <w:szCs w:val="24"/>
          <w:shd w:val="clear" w:color="auto" w:fill="ffffff"/>
        </w:rPr>
        <w:t xml:space="preserve">投标（响应）报价包括完成本招标项目所需的一切费用。投标（响应）报价为最终报价，除非因特殊原因并经买卖双方协商同意，供应商不得再要求追加任何费用。同时，除非合同条款中另有规定，否则，供应商所报价格在合同实施期间不因市场变化因素而变动。</w:t>
      </w:r>
      <w:bookmarkEnd w:id="26"/>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16.2供应商应对招标文件内所要采购的全部内容进行报价，只投其中部分内容者，其标书将被拒绝。但如果招标文件要求分采购包投标（响应）的，则供应商可以按招标文件要求有选择地只投其中一个或几个采购包，但各采购包应分别计算填写单价和总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16.3一项投标（响应）内容只允许一个报价，采购人或采购代理机构不接受任何有选择性的投标（响应）报价。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16.4投标（响应）文件报价中的单价和总价全部采用人民币表示，除非合同的特殊条款另有规定。</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16.5最低报价不能作为中标的保证。</w:t>
      </w:r>
      <w:r/>
    </w:p>
    <w:p>
      <w:pPr>
        <w:ind w:firstLine="482"/>
        <w:spacing w:line="360" w:lineRule="auto"/>
        <w:rPr>
          <w:rFonts w:hint="eastAsia" w:ascii="宋体" w:hAnsi="宋体" w:eastAsia="宋体" w:cs="宋体"/>
          <w:b/>
          <w:sz w:val="24"/>
          <w:szCs w:val="24"/>
          <w:shd w:val="clear" w:color="auto" w:fill="ffffff"/>
        </w:rPr>
      </w:pPr>
      <w:r/>
      <w:bookmarkStart w:id="27" w:name="_Hlk193374841"/>
      <w:r>
        <w:rPr>
          <w:rFonts w:hint="eastAsia" w:ascii="宋体" w:hAnsi="宋体" w:eastAsia="宋体" w:cs="宋体"/>
          <w:b/>
          <w:sz w:val="24"/>
          <w:szCs w:val="24"/>
          <w:shd w:val="clear" w:color="auto" w:fill="ffffff"/>
        </w:rPr>
        <w:t xml:space="preserve">17.履约保证金</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根据《关于在全省政府采购领域推行电子履约保函（保险）的通知（苏财购</w:t>
      </w:r>
      <w:r>
        <w:rPr>
          <w:rFonts w:ascii="宋体" w:hAnsi="宋体" w:eastAsia="宋体" w:cs="宋体"/>
          <w:sz w:val="24"/>
          <w:szCs w:val="24"/>
          <w:shd w:val="clear" w:color="auto" w:fill="ffffff"/>
        </w:rPr>
        <w:t xml:space="preserve">〔2023〕</w:t>
      </w:r>
      <w:r>
        <w:rPr>
          <w:rFonts w:hint="eastAsia" w:ascii="宋体" w:hAnsi="宋体" w:eastAsia="宋体" w:cs="宋体"/>
          <w:sz w:val="24"/>
          <w:szCs w:val="24"/>
          <w:shd w:val="clear" w:color="auto" w:fill="ffffff"/>
        </w:rPr>
        <w:t xml:space="preserve">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17.1中标的供应商应按前附表的规定提交履约保证金。</w:t>
      </w:r>
      <w:r/>
    </w:p>
    <w:p>
      <w:pPr>
        <w:ind w:firstLine="480"/>
        <w:spacing w:line="360" w:lineRule="auto"/>
        <w:rPr>
          <w:rFonts w:hint="eastAsia" w:ascii="宋体" w:hAnsi="宋体" w:eastAsia="宋体" w:cs="宋体"/>
          <w:sz w:val="24"/>
          <w:szCs w:val="24"/>
          <w:shd w:val="clear" w:color="auto" w:fill="ffffff"/>
        </w:rPr>
      </w:pPr>
      <w:r>
        <w:rPr>
          <w:rFonts w:ascii="宋体" w:hAnsi="宋体" w:eastAsia="宋体" w:cs="宋体"/>
          <w:sz w:val="24"/>
          <w:szCs w:val="24"/>
          <w:shd w:val="clear" w:color="auto" w:fill="ffffff"/>
        </w:rPr>
        <w:t xml:space="preserve">17.2在中标通知书发出的七天内，中标单位应当以支票、汇票、本票或者金融机构、担保机构出具的保函等非现金形式提交履约保证金。如选择转账方式提交履约保证金的，款项转入以下账户：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账  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开户行：</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账  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17.3中标单位无故拖延或拒不提交履约保证金的，视为拒绝与采购人签订合同，采购人可以按照评审报告推荐的中标候选人名单排序，确定下一候选人为中标单位或者重新开展政府采购活动。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17.4履约保证金（无息）在服务期满且服务缺陷更正后，中标方配合采购人和新中标单位办理移交手续，由采购人确认后退还。如中标方对服务缺陷不予更正，采购人有权另请其他单位更正，所发生的费用在履约保证金中扣除。</w:t>
      </w:r>
      <w:bookmarkEnd w:id="27"/>
      <w:r/>
      <w:r/>
    </w:p>
    <w:p>
      <w:pPr>
        <w:ind w:firstLine="482"/>
        <w:spacing w:line="360" w:lineRule="auto"/>
        <w:rPr>
          <w:rFonts w:hint="eastAsia"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18.投标（响应）文件的有效期</w:t>
      </w:r>
      <w:r/>
    </w:p>
    <w:p>
      <w:pPr>
        <w:ind w:firstLine="480"/>
        <w:spacing w:line="360" w:lineRule="auto"/>
        <w:rPr>
          <w:rFonts w:hint="eastAsia" w:ascii="宋体" w:hAnsi="宋体" w:eastAsia="宋体" w:cs="宋体"/>
          <w:b/>
          <w:bCs/>
          <w:sz w:val="24"/>
          <w:szCs w:val="24"/>
          <w:shd w:val="clear" w:color="auto" w:fill="ffffff"/>
        </w:rPr>
      </w:pPr>
      <w:r>
        <w:rPr>
          <w:rFonts w:hint="eastAsia" w:ascii="宋体" w:hAnsi="宋体" w:eastAsia="宋体" w:cs="宋体"/>
          <w:sz w:val="24"/>
          <w:szCs w:val="24"/>
          <w:shd w:val="clear" w:color="auto" w:fill="ffffff"/>
        </w:rPr>
        <w:t xml:space="preserve">18.1自投标（响应）截止日起</w:t>
      </w:r>
      <w:r>
        <w:rPr>
          <w:rFonts w:hint="eastAsia" w:ascii="宋体" w:hAnsi="宋体" w:eastAsia="宋体" w:cs="宋体"/>
          <w:sz w:val="24"/>
          <w:szCs w:val="24"/>
          <w:u w:val="single"/>
          <w:shd w:val="clear" w:color="auto" w:fill="ffffff"/>
        </w:rPr>
        <w:t xml:space="preserve">90</w:t>
      </w:r>
      <w:r>
        <w:rPr>
          <w:rFonts w:hint="eastAsia" w:ascii="宋体" w:hAnsi="宋体" w:eastAsia="宋体" w:cs="宋体"/>
          <w:sz w:val="24"/>
          <w:szCs w:val="24"/>
          <w:shd w:val="clear" w:color="auto" w:fill="ffffff"/>
        </w:rPr>
        <w:t xml:space="preserve">天内，投标（响应）书应保持有效。</w:t>
      </w:r>
      <w:r>
        <w:rPr>
          <w:rFonts w:hint="eastAsia" w:ascii="宋体" w:hAnsi="宋体" w:eastAsia="宋体" w:cs="宋体"/>
          <w:b/>
          <w:bCs/>
          <w:sz w:val="24"/>
          <w:szCs w:val="24"/>
          <w:shd w:val="clear" w:color="auto" w:fill="ffffff"/>
        </w:rPr>
        <w:t xml:space="preserve">有效期短于这个规定期限的投标（响应）将被拒绝。</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18.2在特殊情况下，采购人或采购代理机构可与供应商协商延长投标（响应）书的有效期。这种要求和答复都应以书面形式进行。同意延长有效期的供应商不能修改投标（响应）文件。拒绝接受延期要求的供应商的投标（响应）将被拒绝。</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19.</w:t>
      </w:r>
      <w:r>
        <w:rPr>
          <w:rFonts w:hint="eastAsia" w:ascii="宋体" w:hAnsi="宋体" w:eastAsia="宋体" w:cs="宋体"/>
          <w:b/>
          <w:sz w:val="24"/>
          <w:szCs w:val="24"/>
        </w:rPr>
        <w:t xml:space="preserve">投标（响应）截止时间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19.1电子投标（响应）文件制作完成后请于投标（响应）截止时间前上传，否则视为放弃参加该采购项目。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19.2</w:t>
      </w:r>
      <w:bookmarkStart w:id="28" w:name="_Hlk193375017"/>
      <w:r>
        <w:rPr>
          <w:rFonts w:hint="eastAsia" w:ascii="宋体" w:hAnsi="宋体" w:eastAsia="宋体" w:cs="宋体"/>
          <w:sz w:val="24"/>
          <w:szCs w:val="24"/>
        </w:rPr>
        <w:t xml:space="preserve">采购人或采购代理机构推迟投标（响应）截止时间时，以更正公告形式发布。在这种情况下，采购人或采购代理机构和投标（响应）单位的权利和义务将受到新的截止期的约束。</w:t>
      </w:r>
      <w:bookmarkEnd w:id="28"/>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19.3</w:t>
      </w:r>
      <w:bookmarkStart w:id="29" w:name="_Hlk117242692"/>
      <w:r/>
      <w:bookmarkStart w:id="30" w:name="_Hlk116314345"/>
      <w:r>
        <w:rPr>
          <w:rFonts w:hint="eastAsia" w:ascii="宋体" w:hAnsi="宋体" w:eastAsia="宋体" w:cs="宋体"/>
          <w:sz w:val="24"/>
          <w:szCs w:val="24"/>
        </w:rPr>
        <w:t xml:space="preserve">在投标（递交）截止时间止，采购人或采购代理机构收到的某采购包投标（响应）文件少于三份，采购人或采购代理机构有权宣布该采购包本次招标（采购）失败。</w:t>
      </w:r>
      <w:r/>
    </w:p>
    <w:p>
      <w:pPr>
        <w:ind w:firstLine="480"/>
        <w:spacing w:line="360" w:lineRule="auto"/>
        <w:rPr>
          <w:rFonts w:hint="eastAsia" w:ascii="宋体" w:hAnsi="宋体" w:eastAsia="宋体" w:cs="宋体"/>
        </w:rPr>
      </w:pPr>
      <w:r>
        <w:rPr>
          <w:rFonts w:hint="eastAsia" w:ascii="宋体" w:hAnsi="宋体" w:eastAsia="宋体" w:cs="宋体"/>
          <w:sz w:val="24"/>
          <w:szCs w:val="24"/>
        </w:rPr>
        <w:t xml:space="preserve">19</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4供应商</w:t>
      </w:r>
      <w:r>
        <w:rPr>
          <w:rFonts w:hint="eastAsia" w:ascii="宋体" w:hAnsi="宋体" w:eastAsia="宋体" w:cs="宋体"/>
          <w:sz w:val="24"/>
          <w:szCs w:val="24"/>
          <w:lang w:val="zh-CN"/>
        </w:rPr>
        <w:t xml:space="preserve">在投标（响应）截止</w:t>
      </w:r>
      <w:r>
        <w:rPr>
          <w:rFonts w:hint="eastAsia" w:ascii="宋体" w:hAnsi="宋体" w:eastAsia="宋体" w:cs="宋体"/>
          <w:sz w:val="24"/>
          <w:szCs w:val="24"/>
        </w:rPr>
        <w:t xml:space="preserve">时</w:t>
      </w:r>
      <w:r>
        <w:rPr>
          <w:rFonts w:hint="eastAsia" w:ascii="宋体" w:hAnsi="宋体" w:eastAsia="宋体" w:cs="宋体"/>
          <w:sz w:val="24"/>
          <w:szCs w:val="24"/>
          <w:lang w:val="zh-CN"/>
        </w:rPr>
        <w:t xml:space="preserve">间前，可以对所递交的</w:t>
      </w:r>
      <w:r>
        <w:rPr>
          <w:rFonts w:hint="eastAsia" w:ascii="宋体" w:hAnsi="宋体" w:eastAsia="宋体" w:cs="宋体"/>
          <w:sz w:val="24"/>
          <w:szCs w:val="24"/>
        </w:rPr>
        <w:t xml:space="preserve">投标（响应）</w:t>
      </w:r>
      <w:r>
        <w:rPr>
          <w:rFonts w:hint="eastAsia" w:ascii="宋体" w:hAnsi="宋体" w:eastAsia="宋体" w:cs="宋体"/>
          <w:sz w:val="24"/>
          <w:szCs w:val="24"/>
          <w:lang w:val="zh-CN"/>
        </w:rPr>
        <w:t xml:space="preserve">文件进行补充、修改或者撤回。</w:t>
      </w:r>
      <w:bookmarkEnd w:id="29"/>
      <w:r/>
      <w:bookmarkEnd w:id="30"/>
      <w:r/>
      <w:r/>
    </w:p>
    <w:p>
      <w:pPr>
        <w:ind w:firstLine="482"/>
        <w:spacing w:line="360" w:lineRule="auto"/>
        <w:rPr>
          <w:rFonts w:hint="eastAsia" w:ascii="宋体" w:hAnsi="宋体" w:eastAsia="宋体" w:cs="宋体"/>
        </w:rPr>
      </w:pPr>
      <w:r>
        <w:rPr>
          <w:rFonts w:hint="eastAsia" w:ascii="宋体" w:hAnsi="宋体" w:eastAsia="宋体" w:cs="宋体"/>
          <w:b/>
          <w:bCs/>
          <w:sz w:val="24"/>
          <w:szCs w:val="20"/>
          <w:shd w:val="clear" w:color="auto" w:fill="ffffff"/>
        </w:rPr>
        <w:t xml:space="preserve">D.开标和评标</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20.开标</w:t>
      </w:r>
      <w:r/>
    </w:p>
    <w:p>
      <w:pPr>
        <w:ind w:firstLine="480"/>
        <w:spacing w:line="360" w:lineRule="auto"/>
        <w:widowControl/>
        <w:rPr>
          <w:rFonts w:hint="eastAsia" w:ascii="宋体" w:hAnsi="宋体" w:eastAsia="宋体" w:cs="宋体"/>
          <w:sz w:val="24"/>
          <w:szCs w:val="24"/>
        </w:rPr>
      </w:pPr>
      <w:r/>
      <w:bookmarkStart w:id="31" w:name="_Hlk92794076"/>
      <w:r>
        <w:rPr>
          <w:rFonts w:hint="eastAsia" w:ascii="宋体" w:hAnsi="宋体" w:eastAsia="宋体" w:cs="宋体"/>
          <w:sz w:val="24"/>
          <w:szCs w:val="24"/>
        </w:rPr>
        <w:t xml:space="preserve">20.1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hint="eastAsia" w:ascii="宋体" w:hAnsi="宋体" w:eastAsia="宋体" w:cs="宋体"/>
          <w:sz w:val="24"/>
          <w:szCs w:val="24"/>
        </w:rPr>
      </w:pPr>
      <w:r/>
      <w:bookmarkStart w:id="32" w:name="_Hlk90652960"/>
      <w:r>
        <w:rPr>
          <w:rFonts w:hint="eastAsia" w:ascii="宋体" w:hAnsi="宋体" w:eastAsia="宋体" w:cs="宋体"/>
          <w:sz w:val="24"/>
          <w:szCs w:val="24"/>
        </w:rPr>
        <w:t xml:space="preserve">20.2线上参加（观看）开标（开启）会方式：登录“苏采云”系统，点击“开标大厅”，选择对应项目，点击进入不见面开标系统。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32"/>
      <w:r/>
      <w:r/>
    </w:p>
    <w:p>
      <w:pPr>
        <w:ind w:firstLine="480"/>
        <w:spacing w:line="360" w:lineRule="auto"/>
        <w:rPr>
          <w:rFonts w:hint="eastAsia" w:ascii="宋体" w:hAnsi="宋体" w:eastAsia="宋体" w:cs="宋体"/>
          <w:sz w:val="24"/>
          <w:szCs w:val="24"/>
        </w:rPr>
      </w:pPr>
      <w:r/>
      <w:bookmarkStart w:id="33" w:name="_Hlk158135485"/>
      <w:r>
        <w:rPr>
          <w:rFonts w:hint="eastAsia" w:ascii="宋体" w:hAnsi="宋体" w:eastAsia="宋体" w:cs="宋体"/>
          <w:sz w:val="24"/>
          <w:szCs w:val="24"/>
        </w:rPr>
        <w:t xml:space="preserve">20.4开标时，供应商应当按照《操作手册》规定，在“苏采云”系统规定的时间内对投标（响应）文件进行解密。等待开标流程进入“解锁环境”，点击“点击立即解密”进行标书解密，解锁完成后及时关注开标大厅，等待后续答疑澄清等提示，否则导致的对供应商不利的后果由供应商自行承担</w:t>
      </w:r>
      <w:bookmarkEnd w:id="33"/>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20.5供应商在“苏采云”系统规定的时间内未成功解密电子投标（响应）文件的，投标（响应）无效。</w:t>
      </w:r>
      <w:r/>
    </w:p>
    <w:p>
      <w:pPr>
        <w:ind w:firstLine="480"/>
        <w:spacing w:line="360" w:lineRule="auto"/>
        <w:rPr>
          <w:rFonts w:hint="eastAsia" w:ascii="宋体" w:hAnsi="宋体" w:eastAsia="宋体" w:cs="宋体"/>
        </w:rPr>
      </w:pPr>
      <w:r>
        <w:rPr>
          <w:rFonts w:hint="eastAsia" w:ascii="宋体" w:hAnsi="宋体" w:eastAsia="宋体" w:cs="宋体"/>
          <w:sz w:val="24"/>
          <w:szCs w:val="24"/>
        </w:rPr>
        <w:t xml:space="preserve">20.6开标时，由采购代理机构通过“苏采云”系统在线宣布供应商名称、投标（响应）价格和招标文件规定的需要宣布的其他内容。投标（响应）单位在不见面开标系统中确认投标（响应）价格，如供应商未在线参加开标或未在规定时间内确认价格的，视同认可开标结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20.8至投标（响应）文件提交截止时间，递交投标（响应）文件的供应商不足三家的，不得开标。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20.9开标在招标文件规定的时间、地点进行，由采购人或采购代理机构主持，供应商参加（观看），评标委员会成员不得参加开标活动。</w:t>
      </w:r>
      <w:r/>
    </w:p>
    <w:p>
      <w:pPr>
        <w:ind w:firstLine="480"/>
        <w:spacing w:line="360" w:lineRule="auto"/>
        <w:rPr>
          <w:rFonts w:hint="eastAsia" w:ascii="宋体" w:hAnsi="宋体" w:eastAsia="宋体" w:cs="宋体"/>
        </w:rPr>
      </w:pPr>
      <w:r/>
      <w:bookmarkStart w:id="34" w:name="_Hlk193375492"/>
      <w:r>
        <w:rPr>
          <w:rFonts w:hint="eastAsia" w:ascii="宋体" w:hAnsi="宋体" w:eastAsia="宋体" w:cs="宋体"/>
          <w:sz w:val="24"/>
          <w:szCs w:val="24"/>
        </w:rPr>
        <w:t xml:space="preserve">20.10以上开标活动</w:t>
      </w:r>
      <w:bookmarkStart w:id="35" w:name="_Hlk193375633"/>
      <w:r>
        <w:rPr>
          <w:rFonts w:hint="eastAsia" w:ascii="宋体" w:hAnsi="宋体" w:eastAsia="宋体" w:cs="宋体"/>
          <w:sz w:val="24"/>
          <w:szCs w:val="24"/>
        </w:rPr>
        <w:t xml:space="preserve">所涉及系统操作，以“苏采云”系统最新要求为准</w:t>
      </w:r>
      <w:bookmarkEnd w:id="35"/>
      <w:r>
        <w:rPr>
          <w:rFonts w:hint="eastAsia" w:ascii="宋体" w:hAnsi="宋体" w:eastAsia="宋体" w:cs="宋体"/>
          <w:sz w:val="24"/>
          <w:szCs w:val="24"/>
        </w:rPr>
        <w:t xml:space="preserve">。</w:t>
      </w:r>
      <w:bookmarkEnd w:id="34"/>
      <w:r/>
      <w:bookmarkEnd w:id="31"/>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21.信用查询</w:t>
      </w:r>
      <w:r/>
    </w:p>
    <w:p>
      <w:pPr>
        <w:ind w:firstLine="480"/>
        <w:spacing w:line="360" w:lineRule="auto"/>
        <w:rPr>
          <w:rFonts w:hint="eastAsia" w:ascii="宋体" w:hAnsi="宋体" w:eastAsia="宋体" w:cs="宋体"/>
          <w:sz w:val="24"/>
          <w:szCs w:val="24"/>
        </w:rPr>
      </w:pPr>
      <w:r/>
      <w:bookmarkStart w:id="36" w:name="_Hlk193375658"/>
      <w:r>
        <w:rPr>
          <w:rFonts w:hint="eastAsia" w:ascii="宋体" w:hAnsi="宋体" w:eastAsia="宋体" w:cs="宋体"/>
          <w:sz w:val="24"/>
          <w:szCs w:val="24"/>
        </w:rPr>
        <w:t xml:space="preserve">根据政府采购法及相关法规，以及苏州市财政局《关于印发苏州市市级政府采购信用记录查询和使用工作试行办法的通知》（苏财购</w:t>
      </w:r>
      <w:r>
        <w:rPr>
          <w:rFonts w:ascii="宋体" w:hAnsi="宋体" w:eastAsia="宋体" w:cs="宋体"/>
          <w:sz w:val="24"/>
          <w:szCs w:val="24"/>
        </w:rPr>
        <w:t xml:space="preserve">〔20</w:t>
      </w:r>
      <w:r>
        <w:rPr>
          <w:rFonts w:hint="eastAsia" w:ascii="宋体" w:hAnsi="宋体" w:eastAsia="宋体" w:cs="宋体"/>
          <w:sz w:val="24"/>
          <w:szCs w:val="24"/>
        </w:rPr>
        <w:t xml:space="preserve">17</w:t>
      </w:r>
      <w:r>
        <w:rPr>
          <w:rFonts w:ascii="宋体" w:hAnsi="宋体" w:eastAsia="宋体" w:cs="宋体"/>
          <w:sz w:val="24"/>
          <w:szCs w:val="24"/>
        </w:rPr>
        <w:t xml:space="preserve">〕</w:t>
      </w:r>
      <w:r>
        <w:rPr>
          <w:rFonts w:hint="eastAsia" w:ascii="宋体" w:hAnsi="宋体" w:eastAsia="宋体" w:cs="宋体"/>
          <w:sz w:val="24"/>
          <w:szCs w:val="24"/>
        </w:rPr>
        <w:t xml:space="preserve">11号）文件的规定，采购人对供应商进行信用查询。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21.1查询时间：投标（响应）文件提交截止时间。</w:t>
      </w:r>
      <w:r/>
    </w:p>
    <w:p>
      <w:pPr>
        <w:ind w:firstLine="480"/>
        <w:spacing w:line="360" w:lineRule="auto"/>
        <w:tabs>
          <w:tab w:val="left" w:pos="753" w:leader="none"/>
        </w:tabs>
        <w:rPr>
          <w:rFonts w:hint="eastAsia" w:ascii="宋体" w:hAnsi="宋体" w:eastAsia="宋体" w:cs="宋体"/>
          <w:bCs/>
          <w:sz w:val="24"/>
          <w:szCs w:val="24"/>
        </w:rPr>
      </w:pPr>
      <w:r>
        <w:rPr>
          <w:rFonts w:hint="eastAsia" w:ascii="宋体" w:hAnsi="宋体" w:eastAsia="宋体" w:cs="宋体"/>
          <w:sz w:val="24"/>
          <w:szCs w:val="24"/>
        </w:rPr>
        <w:t xml:space="preserve">21.2查询渠道：</w:t>
      </w:r>
      <w:bookmarkStart w:id="37" w:name="_Hlk92794284"/>
      <w:r>
        <w:rPr>
          <w:rFonts w:hint="eastAsia" w:ascii="宋体" w:hAnsi="宋体" w:eastAsia="宋体" w:cs="宋体"/>
          <w:bCs/>
          <w:sz w:val="24"/>
          <w:szCs w:val="24"/>
        </w:rPr>
        <w:t xml:space="preserve">中国政府采购网（www.ccgp.gov.cn）、信用中国（www.creditchina.gov.cn）、信用江苏（</w:t>
      </w:r>
      <w:r>
        <w:fldChar w:fldCharType="begin"/>
      </w:r>
      <w:r>
        <w:instrText xml:space="preserve"> HYPERLINK "http://www.jscredit.gov.cn/" </w:instrText>
      </w:r>
      <w:r>
        <w:fldChar w:fldCharType="separate"/>
      </w:r>
      <w:r>
        <w:rPr>
          <w:rFonts w:hint="eastAsia" w:ascii="宋体" w:hAnsi="宋体" w:eastAsia="宋体" w:cs="宋体"/>
          <w:bCs/>
          <w:sz w:val="24"/>
          <w:szCs w:val="24"/>
        </w:rPr>
        <w:t xml:space="preserve">www.jscredit.gov.cn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）、诚信苏州（www.szcredit.gov.cn）。</w:t>
      </w:r>
      <w:r/>
    </w:p>
    <w:p>
      <w:pPr>
        <w:ind w:firstLine="480"/>
        <w:jc w:val="left"/>
        <w:spacing w:line="360" w:lineRule="auto"/>
        <w:tabs>
          <w:tab w:val="left" w:pos="753" w:leader="none"/>
        </w:tabs>
        <w:rPr>
          <w:rFonts w:hint="eastAsia" w:ascii="宋体" w:hAnsi="宋体" w:eastAsia="宋体" w:cs="宋体"/>
          <w:bCs/>
          <w:sz w:val="24"/>
          <w:szCs w:val="24"/>
        </w:rPr>
      </w:pPr>
      <w:r>
        <w:rPr>
          <w:rFonts w:hint="eastAsia" w:ascii="宋体" w:hAnsi="宋体" w:eastAsia="宋体" w:cs="宋体"/>
          <w:sz w:val="24"/>
          <w:szCs w:val="24"/>
        </w:rPr>
        <w:t xml:space="preserve">21.3查询证据留存方式：</w:t>
      </w:r>
      <w:bookmarkEnd w:id="37"/>
      <w:r>
        <w:rPr>
          <w:rFonts w:hint="eastAsia" w:ascii="宋体" w:hAnsi="宋体" w:eastAsia="宋体" w:cs="宋体"/>
          <w:bCs/>
          <w:sz w:val="24"/>
          <w:szCs w:val="24"/>
        </w:rPr>
        <w:t xml:space="preserve">对存在失信信息的供应商，由失信供应商进行确认。同时，采购代理机构工作人员应根据评标委员会确认的失信信息，登录到相关来源网站页面进行复核并打印，作为证据留存。</w:t>
      </w:r>
      <w:r/>
    </w:p>
    <w:p>
      <w:pPr>
        <w:ind w:firstLine="480"/>
        <w:jc w:val="left"/>
        <w:spacing w:line="360" w:lineRule="auto"/>
        <w:tabs>
          <w:tab w:val="left" w:pos="753" w:leader="none"/>
        </w:tabs>
        <w:rPr>
          <w:rFonts w:hint="eastAsia" w:ascii="宋体" w:hAnsi="宋体" w:eastAsia="宋体" w:cs="宋体"/>
        </w:rPr>
      </w:pPr>
      <w:r>
        <w:rPr>
          <w:rFonts w:hint="eastAsia" w:ascii="宋体" w:hAnsi="宋体" w:eastAsia="宋体" w:cs="宋体"/>
          <w:sz w:val="24"/>
          <w:szCs w:val="24"/>
        </w:rPr>
        <w:t xml:space="preserve">21.4信用记录使用规则：</w:t>
      </w:r>
      <w:r>
        <w:rPr>
          <w:rFonts w:hint="eastAsia" w:ascii="宋体" w:hAnsi="宋体" w:eastAsia="宋体" w:cs="宋体"/>
          <w:bCs/>
          <w:sz w:val="24"/>
          <w:szCs w:val="24"/>
        </w:rPr>
        <w:t xml:space="preserve">在对供应商进行资格性审查时，应根据查询结果对供应商的不良信用记录逐项甄别确认。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21.4.1政府采购严重违法记录，即供应商被全国各级财政部门列入“政府采购严重违法失信行为记录名单”，且在处罚有效期内的。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21.4.2财政部门与法院、工商、税务等部门联合惩戒的失信信息，包括：</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21.4.2.1被列入失信被执行人名单；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21.4.2.2被列入重大税收违法案件当事人名单；</w:t>
      </w:r>
      <w:r/>
    </w:p>
    <w:p>
      <w:pPr>
        <w:ind w:firstLine="480"/>
        <w:spacing w:line="360" w:lineRule="auto"/>
        <w:rPr>
          <w:rFonts w:hint="eastAsia" w:ascii="宋体" w:hAnsi="宋体" w:eastAsia="宋体" w:cs="宋体"/>
          <w:sz w:val="24"/>
          <w:szCs w:val="24"/>
        </w:rPr>
      </w:pPr>
      <w:r/>
      <w:bookmarkStart w:id="38" w:name="_Hlk92794378"/>
      <w:r>
        <w:rPr>
          <w:rFonts w:hint="eastAsia" w:ascii="宋体" w:hAnsi="宋体" w:eastAsia="宋体" w:cs="宋体"/>
          <w:sz w:val="24"/>
          <w:szCs w:val="24"/>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bookmarkEnd w:id="36"/>
      <w:r/>
      <w:bookmarkEnd w:id="38"/>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22.评标委员会</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22.1评标委员会由采购人或采购代理机构依法组建,由采购单位代表、专家评委组成。</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22.2评标委员会负责具体的评标事务，并独立履行以下职责：</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22.2.1审查、评价投标（响应）文件是否符合招标文件的商务、技术等实质性要求；</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22.2.2要求供应商对投标（响应）文件有关事项作出澄清或者说明；</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22.2.3对投标（响应）文件进行比较和评价；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22.2.4</w:t>
      </w:r>
      <w:r>
        <w:rPr>
          <w:rFonts w:hint="eastAsia" w:ascii="宋体" w:hAnsi="宋体" w:eastAsia="宋体" w:cs="宋体"/>
          <w:sz w:val="24"/>
          <w:szCs w:val="24"/>
          <w:shd w:val="clear" w:color="auto" w:fill="ffffff"/>
          <w:lang w:val="zh-CN"/>
        </w:rPr>
        <w:t xml:space="preserve">按照评标办法和标准推荐不低于3家中标候选人，并根据采购人的委托及评审结果直接确定中标人；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22.2.5向采购人、采购代理机构或者有关部门报告评标中发现的违法行为；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22.3评标委员会成员应当履行下列义务：</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22.3.1遵纪守法，客观、公正、廉洁地履行职责；</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22.3.2按照招标文件规定的评标办法和评标标准进行评标，对评审意见承担个人责任；</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22.3.3对评标过程和结果，以及供应商的商业秘密保密；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22.3.4参与评审报告的起草；</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22.3.5配合相关部门的投诉处理工作；</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22.3.6配合采购人或采购代理机构答复投标（响应）供应商提出的质疑。</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23.评标内容的保密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23.1公开开标后，直到宣布授予中标单位合同为止，凡属于审查、澄清、评价和比较投标（响应）的所有资料，有关授予合同的信息都不应向供应商或与评标无关的其他人泄露。</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23.2在投标（响应）文件的审查、澄清、评价和比较以及授予合同的过程中，供应商对采购人或采购代理机构和评标委员会成员施加影响的任何行为，都将取消其中标资格。</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23.3在评标期间，</w:t>
      </w:r>
      <w:bookmarkStart w:id="39" w:name="_Hlk193376556"/>
      <w:r>
        <w:rPr>
          <w:rFonts w:hint="eastAsia" w:ascii="宋体" w:hAnsi="宋体" w:eastAsia="宋体" w:cs="宋体"/>
          <w:sz w:val="24"/>
          <w:szCs w:val="24"/>
          <w:shd w:val="clear" w:color="auto" w:fill="ffffff"/>
        </w:rPr>
        <w:t xml:space="preserve">采购人或采购代理机构将通过指定联络人与供应商进行联系。</w:t>
      </w:r>
      <w:bookmarkEnd w:id="39"/>
      <w:r/>
      <w:r/>
    </w:p>
    <w:p>
      <w:pPr>
        <w:ind w:firstLine="482"/>
        <w:spacing w:line="360" w:lineRule="auto"/>
        <w:rPr>
          <w:rFonts w:hint="eastAsia"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24.对投标（响应）文件初审</w:t>
      </w:r>
      <w:r/>
    </w:p>
    <w:p>
      <w:pPr>
        <w:ind w:firstLine="476"/>
        <w:spacing w:line="360" w:lineRule="auto"/>
        <w:rPr>
          <w:rFonts w:hint="eastAsia" w:ascii="宋体" w:hAnsi="宋体" w:eastAsia="宋体" w:cs="宋体"/>
          <w:b/>
          <w:sz w:val="24"/>
          <w:szCs w:val="24"/>
          <w:shd w:val="clear" w:color="auto" w:fill="ffffff"/>
        </w:rPr>
      </w:pPr>
      <w:r>
        <w:rPr>
          <w:rFonts w:hint="eastAsia" w:ascii="宋体" w:hAnsi="宋体" w:eastAsia="宋体" w:cs="宋体"/>
          <w:sz w:val="24"/>
          <w:szCs w:val="24"/>
          <w:shd w:val="clear" w:color="auto" w:fill="ffffff"/>
        </w:rPr>
        <w:t xml:space="preserve">24.1开标结束后，采购人依法对供应商的资格进行审查。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24.2资格审查后，评标委员会在初审过程中有权拒绝有下列情况之一的投标（响应）文件：</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24.2.1供应商的投标（响应）文件未按照本须知规定制作的；</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24.2.2与招标文件有重大偏离；</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24.2.3供应商拒绝修正错误；</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24.2.4供应商的报价是选择性的；</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24.2.5供应商的报价只投了部分内容；</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24.2.6供应商的投标（响应）文件出现了评标委员会认为不应当雷同的情况；</w:t>
      </w:r>
      <w:r/>
    </w:p>
    <w:p>
      <w:pPr>
        <w:ind w:firstLine="482"/>
        <w:spacing w:line="360" w:lineRule="auto"/>
        <w:rPr>
          <w:rFonts w:hint="eastAsia" w:ascii="宋体" w:hAnsi="宋体" w:eastAsia="宋体" w:cs="宋体"/>
          <w:b/>
          <w:bCs/>
          <w:sz w:val="24"/>
          <w:szCs w:val="24"/>
          <w:u w:val="single"/>
          <w:shd w:val="clear" w:color="auto" w:fill="ffffff"/>
        </w:rPr>
      </w:pPr>
      <w:r>
        <w:rPr>
          <w:rFonts w:hint="eastAsia" w:ascii="宋体" w:hAnsi="宋体" w:eastAsia="宋体" w:cs="宋体"/>
          <w:b/>
          <w:bCs/>
          <w:sz w:val="24"/>
          <w:szCs w:val="24"/>
          <w:shd w:val="clear" w:color="auto" w:fill="ffffff"/>
        </w:rPr>
        <w:t xml:space="preserve">24.2.7其他被评标委员会认定无效的情况。</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24.3在详细评标之前，评委会将首先审查每份投标（响应）书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24.4评标委员会将允许修改投标（响应）中不构成重大偏离的微小的、非正规、不一致或不规则的地方，但这些修改不能影响任何供应商的名次相应排列。供应商不得对招标文件进行实质性修改，包括但不限于付款方式、付款条件等条款，否则投标（响应）文件将被拒绝。</w:t>
      </w:r>
      <w:r/>
    </w:p>
    <w:p>
      <w:pPr>
        <w:ind w:firstLine="480"/>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24.5评标委员会将拒绝被确定为非实质性响应的投标，供应商不能通过修正或撤销不符之处而使其投标成为实质性响应的投标。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24.6评标委员会将对确定为实质性响应的投标进行审核，看其是否有计算上或累加上的算术错误。投标（响应）文件报价出现前后不一致的，除招标文件另有规定外，按照下列规定修正：</w:t>
      </w:r>
      <w:r/>
    </w:p>
    <w:p>
      <w:pPr>
        <w:ind w:firstLine="480"/>
        <w:spacing w:line="360" w:lineRule="auto"/>
        <w:rPr>
          <w:rFonts w:hint="eastAsia" w:ascii="宋体" w:hAnsi="宋体" w:eastAsia="宋体" w:cs="宋体"/>
          <w:sz w:val="24"/>
          <w:szCs w:val="24"/>
          <w:shd w:val="clear" w:color="auto" w:fill="ffffff"/>
        </w:rPr>
      </w:pPr>
      <w:r/>
      <w:bookmarkStart w:id="40" w:name="_Hlk193377260"/>
      <w:r>
        <w:rPr>
          <w:rFonts w:hint="eastAsia" w:ascii="宋体" w:hAnsi="宋体" w:eastAsia="宋体" w:cs="宋体"/>
          <w:sz w:val="24"/>
          <w:szCs w:val="24"/>
          <w:shd w:val="clear" w:color="auto" w:fill="ffffff"/>
        </w:rPr>
        <w:t xml:space="preserve">24.6.1投标（响应）文件中开标一览表（报价表）内容与投标（响应）文件中相应内容不一致的，以开标一览表（报价表）为准；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24.6.2大写金额和小写金额不一致的，以大写金额为准；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24.6.3单价金额小数点或者百分比有明显错位的，以开标一览表的总价为准，并修改单价；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24.6.4总价金额与按单价汇总金额不一致的，以单价金额计算结果为准。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同时出现两种以上不一致的，按照前款规定的顺序修正。修正后的报价按照本须知25.1条的规定经供应商确认后产生约束力，供应商不确认的，其投标（响应）无效。</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24.7供应商不同意以上修正，则其投标（响应）将被拒绝。</w:t>
      </w:r>
      <w:bookmarkEnd w:id="40"/>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24.8评标委员会认为供应商的报价明显低于其他通过符合性审查供应商的报价，有可能影响产品质量或者不能诚信履约的，应当要求其在评标现场合理的时间内提供书面说明</w:t>
      </w:r>
      <w:bookmarkStart w:id="41" w:name="_Hlk158140341"/>
      <w:r>
        <w:rPr>
          <w:rFonts w:hint="eastAsia" w:ascii="宋体" w:hAnsi="宋体" w:eastAsia="宋体" w:cs="宋体"/>
          <w:sz w:val="24"/>
          <w:szCs w:val="24"/>
          <w:shd w:val="clear" w:color="auto" w:fill="ffffff"/>
        </w:rPr>
        <w:t xml:space="preserve">（线上开评标项目可通过“苏采云”系统要求其提供）</w:t>
      </w:r>
      <w:bookmarkEnd w:id="41"/>
      <w:r>
        <w:rPr>
          <w:rFonts w:hint="eastAsia" w:ascii="宋体" w:hAnsi="宋体" w:eastAsia="宋体" w:cs="宋体"/>
          <w:sz w:val="24"/>
          <w:szCs w:val="24"/>
          <w:shd w:val="clear" w:color="auto" w:fill="ffffff"/>
        </w:rPr>
        <w:t xml:space="preserve">，必要时提交相关证明材料；供应商不能证明其报价合理性的，评标委员会将其作为无效投标（响应）处理。</w:t>
      </w:r>
      <w:r/>
    </w:p>
    <w:p>
      <w:pPr>
        <w:ind w:firstLine="480"/>
        <w:spacing w:line="360" w:lineRule="auto"/>
        <w:tabs>
          <w:tab w:val="left" w:pos="0" w:leader="none"/>
        </w:tabs>
        <w:rPr>
          <w:rFonts w:hint="eastAsia" w:ascii="宋体" w:hAnsi="宋体" w:eastAsia="宋体" w:cs="宋体"/>
          <w:sz w:val="24"/>
          <w:szCs w:val="24"/>
          <w:shd w:val="clear" w:color="auto" w:fill="ffffff"/>
        </w:rPr>
      </w:pPr>
      <w:r/>
      <w:bookmarkStart w:id="42" w:name="_Hlk193377421"/>
      <w:r>
        <w:rPr>
          <w:rFonts w:hint="eastAsia" w:ascii="宋体" w:hAnsi="宋体" w:eastAsia="宋体" w:cs="宋体"/>
          <w:sz w:val="24"/>
          <w:szCs w:val="24"/>
          <w:shd w:val="clear" w:color="auto" w:fill="ffffff"/>
        </w:rPr>
        <w:t xml:space="preserve">24.9评标委员会对投标（响应）文件的判定，只依据投标（响应）内容本身，不依靠开标后的任何外来证明。</w:t>
      </w:r>
      <w:bookmarkEnd w:id="42"/>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25.投标的澄清</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对于投标（响应）文件中含义不明确、同类问题表述不一致或者有明显文字和计算错误的内容，评标委员会应当要求供应商作出必要的澄清、说明或者补正。供应商的澄清、说明或者补正不得超出投标（响应）文件的范围或者改变投标（响应）文件的实质性内容。</w:t>
      </w:r>
      <w:r/>
    </w:p>
    <w:p>
      <w:pPr>
        <w:ind w:firstLine="480"/>
        <w:spacing w:line="360" w:lineRule="auto"/>
        <w:rPr>
          <w:rFonts w:hint="eastAsia" w:ascii="宋体" w:hAnsi="宋体" w:eastAsia="宋体" w:cs="宋体"/>
          <w:sz w:val="24"/>
          <w:szCs w:val="24"/>
          <w:shd w:val="clear" w:color="auto" w:fill="ffffff"/>
        </w:rPr>
      </w:pPr>
      <w:r/>
      <w:bookmarkStart w:id="43" w:name="_Hlk158140503"/>
      <w:r/>
      <w:bookmarkStart w:id="44" w:name="_Hlk158140452"/>
      <w:r/>
      <w:bookmarkStart w:id="45" w:name="_Hlk90656398"/>
      <w:r/>
      <w:bookmarkStart w:id="46" w:name="_Hlk193377538"/>
      <w:r>
        <w:rPr>
          <w:rFonts w:hint="eastAsia" w:ascii="宋体" w:hAnsi="宋体" w:eastAsia="宋体" w:cs="宋体"/>
          <w:sz w:val="24"/>
          <w:szCs w:val="24"/>
          <w:shd w:val="clear" w:color="auto" w:fill="ffffff"/>
        </w:rPr>
        <w:t xml:space="preserve">25.2本项目采用线上澄清</w:t>
      </w:r>
      <w:bookmarkEnd w:id="43"/>
      <w:r>
        <w:rPr>
          <w:rFonts w:hint="eastAsia" w:ascii="宋体" w:hAnsi="宋体" w:eastAsia="宋体" w:cs="宋体"/>
          <w:sz w:val="24"/>
          <w:szCs w:val="24"/>
          <w:shd w:val="clear" w:color="auto" w:fill="ffffff"/>
        </w:rPr>
        <w:t xml:space="preserve">。</w:t>
      </w:r>
      <w:bookmarkEnd w:id="44"/>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25.2.2接到评标委员会澄清、说明和更正要求的供应商如未按规定作出澄清、说明和更正，其风险由供应商自行承担。</w:t>
      </w:r>
      <w:bookmarkEnd w:id="45"/>
      <w:r/>
      <w:bookmarkEnd w:id="46"/>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26.废标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26.1在招标过程中，出现下列情况之一的，应予废标：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26.1.1符合专业条件的供应商或者对招标文件作实质响应的供应商不足三家的；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26.1.2出现影响采购公正的违法、违规行为的；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26.1.3供应商的报价均超过了采购预算，采购人不能支付的；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26.1.4因重大变故，采购任务取消的；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26.2废标后，采购代理机构将把废标的理由通知所有供应商。</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27.投标（响应）文件的评价和比较</w:t>
      </w:r>
      <w:r/>
    </w:p>
    <w:p>
      <w:pPr>
        <w:ind w:firstLine="480"/>
        <w:spacing w:line="360" w:lineRule="auto"/>
        <w:tabs>
          <w:tab w:val="left" w:pos="142" w:leader="none"/>
          <w:tab w:val="left" w:pos="60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27.1评标委员会应当严格按照招标文件的要求、条件、评分标准，对符合性审查合格的投标（响应）文件进行商务和技术评估，综合比较与评价。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27.2本项目采用综合评分法，即指投标（响应）文件满足招标文件全部实质性要求，且按照评审因素的量化指标评审得分最高的供应商为排名第一的中标候选人的评标方法。</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27.2.1投标（响应）者的资信情况和履约能力；</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27.2.2投标（响应）者提供的其他优惠条件；</w:t>
      </w:r>
      <w:r/>
    </w:p>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27.3最低的投标（响应）报价或最高的折扣比例是中标的重要条件，但不是唯一条件。</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28.中标单位的确认</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28.1评标委员会根据供应商资格审查情况，以及对投标（响应）文件进行评价和比较，按照评标办法和标准进行评标，并根据采购人的委托，按照中标候选人的顺序在中标候选人中直接确定成交人。</w:t>
      </w:r>
      <w:r/>
    </w:p>
    <w:p>
      <w:pPr>
        <w:ind w:firstLine="480"/>
        <w:spacing w:line="360" w:lineRule="auto"/>
        <w:widowControl/>
        <w:rPr>
          <w:rFonts w:hint="eastAsia" w:ascii="宋体" w:hAnsi="宋体" w:eastAsia="宋体" w:cs="宋体"/>
        </w:rPr>
      </w:pPr>
      <w:r>
        <w:rPr>
          <w:rFonts w:hint="eastAsia" w:ascii="宋体" w:hAnsi="宋体" w:eastAsia="宋体" w:cs="宋体"/>
          <w:sz w:val="24"/>
          <w:szCs w:val="24"/>
          <w:shd w:val="clear" w:color="auto" w:fill="ffffff"/>
        </w:rPr>
        <w:t xml:space="preserve">28.2经评</w:t>
      </w:r>
      <w:r>
        <w:rPr>
          <w:rFonts w:hint="eastAsia" w:ascii="宋体" w:hAnsi="宋体" w:eastAsia="宋体" w:cs="宋体"/>
          <w:sz w:val="24"/>
          <w:szCs w:val="24"/>
          <w:shd w:val="clear" w:color="auto" w:fill="ffffff"/>
        </w:rPr>
        <w:t xml:space="preserve">标委员会评审并确定中标单位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响应）的代理人签署。采购代理机构将在收到经供应商法定代表人或参加投标（响应）的代理人签署的书面质疑后七个工作日内，对质疑内容作出答复。如供应商未在中标公告期满后七个工作日内向采购代理机构提出质疑或质疑未经供应商法定代表人或参加投标（响应）的代理人签署，采购代理机构有权对该质疑不予答复。</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bCs/>
          <w:sz w:val="24"/>
          <w:szCs w:val="20"/>
          <w:shd w:val="clear" w:color="auto" w:fill="ffffff"/>
        </w:rPr>
        <w:t xml:space="preserve">E.授予合同</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29.合同授予标准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29.1采购人将把合同授予其投标（响应）文件在实质上响应招标文件要求和按本须知规定评选出的供应商。确定为中标的供应商必须具有实施本合同的能力和资源。</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30.中标通知书</w:t>
      </w:r>
      <w:r/>
    </w:p>
    <w:p>
      <w:pPr>
        <w:ind w:firstLine="480"/>
        <w:spacing w:line="360" w:lineRule="auto"/>
        <w:rPr>
          <w:rFonts w:hint="eastAsia" w:ascii="宋体" w:hAnsi="宋体" w:eastAsia="宋体" w:cs="宋体"/>
          <w:sz w:val="24"/>
          <w:szCs w:val="24"/>
          <w:shd w:val="clear" w:color="auto" w:fill="ffffff"/>
        </w:rPr>
      </w:pPr>
      <w:r/>
      <w:bookmarkStart w:id="47" w:name="_Hlk193377906"/>
      <w:r>
        <w:rPr>
          <w:rFonts w:hint="eastAsia" w:ascii="宋体" w:hAnsi="宋体" w:eastAsia="宋体" w:cs="宋体"/>
          <w:sz w:val="24"/>
          <w:szCs w:val="24"/>
          <w:shd w:val="clear" w:color="auto" w:fill="ffffff"/>
        </w:rPr>
        <w:t xml:space="preserve">30.1在公告中标结果的同时，采购人或者采购代理机构应当向中标人发出中标通知书（中标通知书将在“苏采云”系统中发出，中标通知书发出之日视为中标供应商领取之日），请中标人在中标结果公告届满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sz w:val="24"/>
          <w:szCs w:val="24"/>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30.2采购人或采购代理机构对未中标单位不承担解释未中标原因的义务。</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30.3中标通知书将成为合同的组成部分。</w:t>
      </w:r>
      <w:bookmarkEnd w:id="47"/>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31.合同的签订</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31.1中标单位应按中标通知书中规定的时间和地点，由法定代表人或授权代理人与甲方代表签订合同。</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31.2签订合同及合同条款应以招标文件和中标单位的投标（响应）文件及其澄清文件为依据。</w:t>
      </w:r>
      <w:r/>
    </w:p>
    <w:p>
      <w:pPr>
        <w:ind w:firstLine="482"/>
        <w:spacing w:line="360" w:lineRule="auto"/>
        <w:rPr>
          <w:rFonts w:hint="eastAsia" w:ascii="宋体" w:hAnsi="宋体" w:eastAsia="宋体" w:cs="宋体"/>
          <w:b/>
          <w:sz w:val="24"/>
          <w:szCs w:val="24"/>
          <w:shd w:val="clear" w:color="auto" w:fill="ffffff"/>
        </w:rPr>
      </w:pPr>
      <w:r/>
      <w:bookmarkStart w:id="48" w:name="_Hlk193378097"/>
      <w:r>
        <w:rPr>
          <w:rFonts w:hint="eastAsia" w:ascii="宋体" w:hAnsi="宋体" w:eastAsia="宋体" w:cs="宋体"/>
          <w:b/>
          <w:bCs/>
          <w:sz w:val="24"/>
          <w:szCs w:val="20"/>
          <w:shd w:val="clear" w:color="auto" w:fill="ffffff"/>
        </w:rPr>
        <w:t xml:space="preserve">F.其他事项</w:t>
      </w:r>
      <w:bookmarkEnd w:id="48"/>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32.质疑</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32.1质疑及答复遵守《政府采购质疑和投诉办法》（中华人民共和国财政部令第94号）规定。</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32.2.1对可以质疑的招标文件提出质疑的，为收到招标文件之日或者招标文件公告期限届满之日；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32.2.2对采购过程提出质疑的，为各采购程序环节结束之日；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32.2.3对中标结果提出质疑的，为中标结果公告期限届满之日。</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32.6接收质疑函的方式为书面形式（当场送达或邮寄方式）。供应商质疑函范本格式请参照“苏州市政府采购”网站——“下载中心”——“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hint="eastAsia" w:ascii="宋体" w:hAnsi="宋体" w:eastAsia="宋体" w:cs="宋体"/>
          <w:sz w:val="24"/>
          <w:szCs w:val="24"/>
          <w:shd w:val="clear" w:color="auto" w:fill="ffffff"/>
        </w:rPr>
        <w:t xml:space="preserve">政府采购供应商质疑函范本</w:t>
      </w:r>
      <w:r>
        <w:rPr>
          <w:rFonts w:hint="eastAsia" w:ascii="宋体" w:hAnsi="宋体" w:eastAsia="宋体" w:cs="宋体"/>
          <w:sz w:val="24"/>
          <w:szCs w:val="24"/>
          <w:shd w:val="clear" w:color="auto" w:fill="ffffff"/>
        </w:rPr>
        <w:fldChar w:fldCharType="end"/>
      </w:r>
      <w:r>
        <w:rPr>
          <w:rFonts w:hint="eastAsia" w:ascii="宋体" w:hAnsi="宋体" w:eastAsia="宋体" w:cs="宋体"/>
          <w:sz w:val="24"/>
          <w:szCs w:val="24"/>
          <w:shd w:val="clear" w:color="auto" w:fill="ffffff"/>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32.7</w:t>
      </w:r>
      <w:r>
        <w:rPr>
          <w:rFonts w:hint="eastAsia" w:ascii="宋体" w:hAnsi="宋体" w:eastAsia="宋体" w:cs="宋体"/>
          <w:sz w:val="24"/>
          <w:szCs w:val="24"/>
        </w:rPr>
        <w:t xml:space="preserve">供应商提出书面质疑必须有理、有据，不得捏造事实、提供虚假材料进行恶意质疑。否则，一经查实，将报请政府采购监管部门按照政府采购相关法规规定，依法进行处罚和失信记录。</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shd w:val="clear" w:color="auto" w:fill="ffffff"/>
        </w:rPr>
        <w:t xml:space="preserve">32.8</w:t>
      </w:r>
      <w:r>
        <w:rPr>
          <w:rFonts w:hint="eastAsia" w:ascii="宋体" w:hAnsi="宋体" w:eastAsia="宋体" w:cs="宋体"/>
          <w:sz w:val="24"/>
          <w:szCs w:val="24"/>
          <w:lang w:val="zh-CN"/>
        </w:rPr>
        <w:t xml:space="preserve">质疑递交信息：详见第一章采购人及采购代理机构联系信息。</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33.监督和公证</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33.1有关监督部门将对招投标全过程进行监督。</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33.2开、评标过程将通过公证机关进行公证（如有）。</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34.未尽事宜</w:t>
      </w:r>
      <w:r/>
    </w:p>
    <w:p>
      <w:pPr>
        <w:ind w:firstLine="480"/>
        <w:spacing w:line="360" w:lineRule="auto"/>
        <w:rPr>
          <w:rFonts w:hint="eastAsia" w:ascii="宋体" w:hAnsi="宋体" w:eastAsia="宋体" w:cs="宋体"/>
          <w:sz w:val="24"/>
          <w:szCs w:val="24"/>
          <w:shd w:val="clear" w:color="auto" w:fill="ffffff"/>
        </w:rPr>
      </w:pPr>
      <w:r/>
      <w:bookmarkStart w:id="49" w:name="_Hlk193378690"/>
      <w:r>
        <w:rPr>
          <w:rFonts w:hint="eastAsia" w:ascii="宋体" w:hAnsi="宋体" w:eastAsia="宋体" w:cs="宋体"/>
          <w:sz w:val="24"/>
          <w:szCs w:val="24"/>
          <w:shd w:val="clear" w:color="auto" w:fill="ffffff"/>
        </w:rPr>
        <w:t xml:space="preserve">未尽事宜应按《中华人民共和国民法典》《中华人民共和国政府采购法》以及其它相关法律、法规之规定解释。</w:t>
      </w:r>
      <w:bookmarkEnd w:id="49"/>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26"/>
          <w:szCs w:val="20"/>
          <w:shd w:val="clear" w:color="auto" w:fill="ffffff"/>
        </w:rPr>
        <w:br w:type="page" w:clear="all"/>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spacing w:line="360" w:lineRule="auto"/>
        <w:rPr>
          <w:rFonts w:hint="eastAsia" w:ascii="宋体" w:hAnsi="宋体" w:eastAsia="宋体" w:cs="宋体"/>
          <w:sz w:val="32"/>
          <w:szCs w:val="32"/>
          <w:shd w:val="clear" w:color="auto" w:fill="ffffff"/>
        </w:rPr>
      </w:pPr>
      <w:r>
        <w:rPr>
          <w:rFonts w:hint="eastAsia" w:ascii="宋体" w:hAnsi="宋体" w:eastAsia="宋体" w:cs="宋体"/>
          <w:sz w:val="32"/>
          <w:szCs w:val="32"/>
          <w:shd w:val="clear" w:color="auto" w:fill="ffffff"/>
        </w:rPr>
      </w:r>
      <w:r/>
    </w:p>
    <w:p>
      <w:pPr>
        <w:jc w:val="center"/>
        <w:keepLines/>
        <w:keepNext/>
        <w:spacing w:before="340" w:after="330" w:line="360" w:lineRule="auto"/>
        <w:rPr>
          <w:rFonts w:hint="eastAsia" w:ascii="宋体" w:hAnsi="宋体" w:eastAsia="宋体" w:cs="宋体"/>
          <w:sz w:val="52"/>
          <w:szCs w:val="20"/>
          <w:shd w:val="clear" w:color="auto" w:fill="ffffff"/>
        </w:rPr>
        <w:outlineLvl w:val="0"/>
      </w:pPr>
      <w:r/>
      <w:bookmarkStart w:id="50" w:name="_Toc105940239"/>
      <w:r>
        <w:rPr>
          <w:rFonts w:hint="eastAsia" w:ascii="宋体" w:hAnsi="宋体" w:eastAsia="宋体" w:cs="宋体"/>
          <w:b/>
          <w:sz w:val="52"/>
          <w:szCs w:val="20"/>
          <w:shd w:val="clear" w:color="auto" w:fill="ffffff"/>
        </w:rPr>
        <w:t xml:space="preserve">第三章 投标（响应）文件格式</w:t>
      </w:r>
      <w:bookmarkEnd w:id="50"/>
      <w:r/>
      <w:r/>
    </w:p>
    <w:p>
      <w:pPr>
        <w:jc w:val="left"/>
        <w:spacing w:line="360" w:lineRule="auto"/>
        <w:rPr>
          <w:rFonts w:hint="eastAsia"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t xml:space="preserve">说明：</w:t>
      </w:r>
      <w:r/>
    </w:p>
    <w:p>
      <w:pPr>
        <w:ind w:firstLine="482"/>
        <w:jc w:val="left"/>
        <w:spacing w:line="360" w:lineRule="auto"/>
        <w:rPr>
          <w:rFonts w:hint="eastAsia" w:ascii="宋体" w:hAnsi="宋体" w:eastAsia="宋体" w:cs="宋体"/>
          <w:b/>
          <w:sz w:val="24"/>
          <w:szCs w:val="20"/>
          <w:shd w:val="clear" w:color="auto" w:fill="ffffff"/>
        </w:rPr>
      </w:pPr>
      <w:r>
        <w:rPr>
          <w:rFonts w:hint="eastAsia" w:ascii="宋体" w:hAnsi="宋体" w:eastAsia="宋体" w:cs="宋体"/>
          <w:b/>
          <w:sz w:val="24"/>
          <w:szCs w:val="21"/>
          <w:shd w:val="clear" w:color="auto" w:fill="ffffff"/>
        </w:rPr>
        <w:t xml:space="preserve">对本章所有的投标（响应）文件格式，除注明允许修改的文件外，供应商均应按照本章提供的格式填写，否则作为无效标。允许修改的文件，投标（响应）方可根据自身情况进行补充和修改，但补充和修改不得造成与原格式内容有实质性的违背</w:t>
      </w:r>
      <w:r>
        <w:rPr>
          <w:rFonts w:hint="eastAsia" w:ascii="宋体" w:hAnsi="宋体" w:eastAsia="宋体" w:cs="宋体"/>
          <w:b/>
          <w:sz w:val="24"/>
          <w:szCs w:val="20"/>
          <w:shd w:val="clear" w:color="auto" w:fill="ffffff"/>
        </w:rPr>
        <w:t xml:space="preserve">。</w:t>
      </w:r>
      <w:r/>
    </w:p>
    <w:p>
      <w:pPr>
        <w:spacing w:line="360" w:lineRule="auto"/>
        <w:rPr>
          <w:rFonts w:hint="eastAsia" w:ascii="宋体" w:hAnsi="宋体" w:eastAsia="宋体" w:cs="宋体"/>
          <w:b/>
          <w:sz w:val="24"/>
          <w:szCs w:val="20"/>
          <w:shd w:val="clear" w:color="auto" w:fill="ffffff"/>
        </w:rPr>
        <w:outlineLvl w:val="1"/>
      </w:pPr>
      <w:r>
        <w:rPr>
          <w:rFonts w:hint="eastAsia" w:ascii="宋体" w:hAnsi="宋体" w:eastAsia="宋体" w:cs="宋体"/>
          <w:b/>
          <w:sz w:val="28"/>
          <w:szCs w:val="20"/>
          <w:shd w:val="clear" w:color="auto" w:fill="ffffff"/>
        </w:rPr>
        <w:br w:type="page" w:clear="all"/>
      </w:r>
      <w:r>
        <w:rPr>
          <w:rFonts w:hint="eastAsia" w:ascii="宋体" w:hAnsi="宋体" w:eastAsia="宋体" w:cs="宋体"/>
          <w:b/>
          <w:sz w:val="24"/>
          <w:szCs w:val="20"/>
          <w:shd w:val="clear" w:color="auto" w:fill="ffffff"/>
        </w:rPr>
        <w:t xml:space="preserve">1、（供应商）法定代表人（负责人）授权委托书</w:t>
      </w:r>
      <w:r/>
    </w:p>
    <w:p>
      <w:pPr>
        <w:jc w:val="cente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0"/>
        </w:rPr>
        <w:t xml:space="preserve">授权委托书</w:t>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firstLine="480"/>
        <w:spacing w:line="360" w:lineRule="auto"/>
        <w:rPr>
          <w:rFonts w:hint="eastAsia" w:ascii="宋体" w:hAnsi="宋体" w:eastAsia="宋体" w:cs="宋体"/>
          <w:sz w:val="24"/>
          <w:szCs w:val="20"/>
        </w:rPr>
      </w:pPr>
      <w:r/>
      <w:bookmarkStart w:id="51" w:name="_Hlk117242496"/>
      <w:r>
        <w:rPr>
          <w:rFonts w:hint="eastAsia" w:ascii="宋体" w:hAnsi="宋体" w:eastAsia="宋体" w:cs="宋体"/>
          <w:sz w:val="24"/>
          <w:szCs w:val="20"/>
        </w:rPr>
        <w:t xml:space="preserve">本授权委托书声明：我</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（姓名）系</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（供应商名称）的法定代表人（负责人），现授权委托</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（供应商名称）的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（姓名+手机号码）为本公司代理人，以本公司的名义参加苏州诚和招投标咨询有限公司组织实施的编号为</w:t>
      </w:r>
      <w:r>
        <w:rPr>
          <w:rFonts w:ascii="宋体" w:hAnsi="宋体" w:eastAsia="宋体" w:cs="宋体"/>
          <w:sz w:val="24"/>
          <w:szCs w:val="20"/>
          <w:u w:val="single"/>
        </w:rPr>
        <w:t xml:space="preserve">JSZC-320508-SZCH-G2026-0034</w:t>
      </w:r>
      <w:r>
        <w:rPr>
          <w:rFonts w:hint="eastAsia" w:ascii="宋体" w:hAnsi="宋体" w:eastAsia="宋体" w:cs="宋体"/>
          <w:sz w:val="24"/>
          <w:szCs w:val="20"/>
        </w:rPr>
        <w:t xml:space="preserve">号的招标活动。代理人在开标、评标、合同招标过程中所签署的一切文件和处理与这有关的一切事务，我均予以承认。</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代理人在授权委托书有效期内签署的所有文件不因授权委托的撤销而失效，除非有撤销授权委托的书面通知，本授权委托书自投标之日起至合同履行完毕止。</w:t>
      </w:r>
      <w:bookmarkStart w:id="78" w:name="_GoBack"/>
      <w:r/>
      <w:bookmarkEnd w:id="78"/>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代理人无转委托权。特此委托。</w:t>
      </w:r>
      <w:bookmarkEnd w:id="51"/>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0"/>
        </w:rPr>
        <w:t xml:space="preserve">（负责人）</w:t>
      </w:r>
      <w:r>
        <w:rPr>
          <w:rFonts w:hint="eastAsia" w:ascii="宋体" w:hAnsi="宋体" w:eastAsia="宋体" w:cs="宋体"/>
          <w:sz w:val="24"/>
          <w:szCs w:val="24"/>
        </w:rPr>
        <w:t xml:space="preserve">（签字或盖章）</w:t>
      </w:r>
      <w:r/>
    </w:p>
    <w:p>
      <w:pPr>
        <w:ind w:right="18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
          <w:sz w:val="24"/>
          <w:szCs w:val="20"/>
        </w:rPr>
      </w:pPr>
      <w:r>
        <w:rPr>
          <w:rFonts w:hint="eastAsia" w:ascii="宋体" w:hAnsi="宋体" w:eastAsia="宋体" w:cs="宋体"/>
          <w:b/>
          <w:sz w:val="24"/>
          <w:szCs w:val="20"/>
        </w:rPr>
        <w:br w:type="page" w:clear="all"/>
      </w:r>
      <w:r/>
    </w:p>
    <w:p>
      <w:pPr>
        <w:jc w:val="left"/>
        <w:spacing w:line="360" w:lineRule="auto"/>
        <w:rPr>
          <w:rFonts w:hint="eastAsia" w:ascii="宋体" w:hAnsi="宋体" w:eastAsia="宋体" w:cs="宋体"/>
          <w:b/>
          <w:sz w:val="24"/>
          <w:szCs w:val="20"/>
        </w:rPr>
        <w:outlineLvl w:val="1"/>
      </w:pPr>
      <w:r>
        <w:rPr>
          <w:rFonts w:hint="eastAsia" w:ascii="宋体" w:hAnsi="宋体" w:eastAsia="宋体" w:cs="宋体"/>
          <w:b/>
          <w:sz w:val="24"/>
          <w:szCs w:val="20"/>
        </w:rPr>
        <w:t xml:space="preserve">2、投标（响应）函</w:t>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投标（响应）函</w:t>
      </w:r>
      <w:r/>
    </w:p>
    <w:p>
      <w:pPr>
        <w:jc w:val="center"/>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rPr>
          <w:rFonts w:hint="eastAsia" w:ascii="宋体" w:hAnsi="宋体" w:eastAsia="宋体" w:cs="宋体"/>
          <w:sz w:val="24"/>
          <w:szCs w:val="24"/>
          <w:u w:val="single"/>
        </w:rPr>
      </w:pPr>
      <w:r>
        <w:rPr>
          <w:rFonts w:hint="eastAsia" w:ascii="宋体" w:hAnsi="宋体" w:eastAsia="宋体" w:cs="宋体"/>
          <w:sz w:val="24"/>
          <w:szCs w:val="24"/>
          <w:u w:val="single"/>
          <w:shd w:val="clear" w:color="auto" w:fill="ffffff"/>
        </w:rPr>
        <w:t xml:space="preserve">苏州诚和招投标咨询有限公司</w:t>
      </w:r>
      <w:r>
        <w:rPr>
          <w:rFonts w:hint="eastAsia" w:ascii="宋体" w:hAnsi="宋体" w:eastAsia="宋体" w:cs="宋体"/>
          <w:sz w:val="24"/>
          <w:szCs w:val="24"/>
          <w:u w:val="single"/>
        </w:rPr>
        <w:t xml:space="preserve">：</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本公司收到贵司</w:t>
      </w:r>
      <w:r>
        <w:rPr>
          <w:rFonts w:ascii="宋体" w:hAnsi="宋体" w:eastAsia="宋体" w:cs="宋体"/>
          <w:sz w:val="24"/>
          <w:szCs w:val="20"/>
          <w:u w:val="single"/>
          <w:shd w:val="clear" w:color="auto" w:fill="ffffff"/>
        </w:rPr>
        <w:t xml:space="preserve">JSZC-320508-SZCH-G2026-0034</w:t>
      </w:r>
      <w:r>
        <w:rPr>
          <w:rFonts w:hint="eastAsia" w:ascii="宋体" w:hAnsi="宋体" w:eastAsia="宋体" w:cs="宋体"/>
          <w:sz w:val="24"/>
          <w:szCs w:val="20"/>
          <w:shd w:val="clear" w:color="auto" w:fill="ffffff"/>
        </w:rPr>
        <w:t xml:space="preserve">号招标文件，经仔细阅读和研究，本公司决定参加投标（响应）。</w:t>
      </w:r>
      <w:r/>
    </w:p>
    <w:p>
      <w:pPr>
        <w:ind w:firstLine="480"/>
        <w:rPr>
          <w:rFonts w:hint="eastAsia"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1、本公司愿意按照招标文件的一切要求，提供完成该项目的全部内容，本公司的投标（响应）报价</w:t>
      </w:r>
      <w:r>
        <w:rPr>
          <w:rFonts w:ascii="宋体" w:hAnsi="宋体" w:eastAsia="宋体" w:cs="宋体"/>
          <w:sz w:val="24"/>
          <w:szCs w:val="24"/>
          <w:shd w:val="clear" w:color="auto" w:fill="ffffff"/>
        </w:rPr>
        <w:t xml:space="preserve">包括完成本项工作所需的一切应有费用</w:t>
      </w:r>
      <w:r>
        <w:rPr>
          <w:rFonts w:hint="eastAsia" w:ascii="宋体" w:hAnsi="宋体" w:eastAsia="宋体" w:cs="宋体"/>
          <w:sz w:val="24"/>
          <w:szCs w:val="24"/>
          <w:shd w:val="clear" w:color="auto" w:fill="ffffff"/>
        </w:rPr>
        <w:t xml:space="preserve">。</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2、如果本公司的投标（响应）书被接受，本公司将严格履行招标文件中规定的每一项要求，按期、按质、按量履行合同的义务。</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3、本公司已详细审查全部招标文件，包括补充文件（更正公告，如有）。本公司完全理解并同意放弃对这方面有不明及误解的权力。</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4、本公司同意按招标文件中的规定，本投标（响应）书的有效期限为投标（响应）截止日起</w:t>
      </w:r>
      <w:r>
        <w:rPr>
          <w:rFonts w:hint="eastAsia" w:ascii="宋体" w:hAnsi="宋体" w:eastAsia="宋体" w:cs="宋体"/>
          <w:sz w:val="24"/>
          <w:szCs w:val="20"/>
          <w:u w:val="single"/>
          <w:shd w:val="clear" w:color="auto" w:fill="ffffff"/>
        </w:rPr>
        <w:t xml:space="preserve">90</w:t>
      </w:r>
      <w:r>
        <w:rPr>
          <w:rFonts w:hint="eastAsia" w:ascii="宋体" w:hAnsi="宋体" w:eastAsia="宋体" w:cs="宋体"/>
          <w:sz w:val="24"/>
          <w:szCs w:val="20"/>
          <w:shd w:val="clear" w:color="auto" w:fill="ffffff"/>
        </w:rPr>
        <w:t xml:space="preserve">天。</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5、本公司愿意提供采购人或采购代理机构在招标文件中要求的所有资料。</w:t>
      </w:r>
      <w:r/>
    </w:p>
    <w:p>
      <w:pPr>
        <w:ind w:firstLine="480"/>
        <w:rPr>
          <w:rFonts w:hint="eastAsia"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6、</w:t>
      </w:r>
      <w:r>
        <w:rPr>
          <w:rFonts w:hint="eastAsia" w:ascii="宋体" w:hAnsi="宋体" w:eastAsia="宋体" w:cs="宋体"/>
          <w:sz w:val="24"/>
          <w:szCs w:val="24"/>
          <w:shd w:val="clear" w:color="auto" w:fill="ffffff"/>
        </w:rPr>
        <w:t xml:space="preserve">本公司声明：本公司在参加本次政府采购活动前3年内在经营活动中没有重大违法记录。</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7、本公司愿意遵守招标公告及招标文件中所列的收费标准。</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8、本公司承诺该项投标（响应）在开标后的全过程中保持有效，不作任何更改和变动。</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9、如果本公司中标（成交），本公司愿意按采购文件规定支付履约保证金（如有）。</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10、本公司承诺符合</w:t>
      </w:r>
      <w:r>
        <w:rPr>
          <w:rFonts w:hint="eastAsia" w:ascii="宋体" w:hAnsi="宋体" w:eastAsia="宋体" w:cs="宋体"/>
          <w:sz w:val="24"/>
          <w:szCs w:val="24"/>
        </w:rPr>
        <w:t xml:space="preserve">招标公告中的“申请人的资格要求”</w:t>
      </w:r>
      <w:r>
        <w:rPr>
          <w:rFonts w:hint="eastAsia" w:ascii="宋体" w:hAnsi="宋体" w:eastAsia="宋体" w:cs="宋体"/>
          <w:sz w:val="24"/>
          <w:szCs w:val="20"/>
          <w:shd w:val="clear" w:color="auto" w:fill="ffffff"/>
        </w:rPr>
        <w:t xml:space="preserve">的要求，若与真实情况不符，本公司愿意承担由此而产生的一切后果。</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11、综合说明：</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（1）伴随服务及配合措施；</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（2）要求甲方提供的配合；</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（3）对招标文件有不同意见的偏离说明；</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（4）其它说明。</w:t>
      </w:r>
      <w:r/>
    </w:p>
    <w:p>
      <w:pPr>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所有有关</w:t>
      </w:r>
      <w:r>
        <w:rPr>
          <w:rFonts w:hint="eastAsia" w:ascii="宋体" w:hAnsi="宋体" w:eastAsia="宋体" w:cs="宋体"/>
          <w:sz w:val="24"/>
          <w:szCs w:val="24"/>
        </w:rPr>
        <w:t xml:space="preserve">投标（响应）文件</w:t>
      </w:r>
      <w:r>
        <w:rPr>
          <w:rFonts w:hint="eastAsia" w:ascii="宋体" w:hAnsi="宋体" w:eastAsia="宋体" w:cs="宋体"/>
          <w:sz w:val="24"/>
          <w:szCs w:val="20"/>
          <w:shd w:val="clear" w:color="auto" w:fill="ffffff"/>
        </w:rPr>
        <w:t xml:space="preserve">的函电，请按下列地址联系：</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                     联系人：                 地址：</w:t>
      </w:r>
      <w:r/>
    </w:p>
    <w:p>
      <w:pPr>
        <w:ind w:firstLine="480"/>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邮政编码：                 联系电话：               传真：</w:t>
      </w:r>
      <w:r/>
    </w:p>
    <w:p>
      <w:pPr>
        <w:ind w:firstLine="48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公司电子邮箱：</w:t>
      </w:r>
      <w:r/>
    </w:p>
    <w:p>
      <w:pPr>
        <w:ind w:firstLine="480"/>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银行账号：</w:t>
      </w:r>
      <w:r/>
    </w:p>
    <w:p>
      <w:pPr>
        <w:ind w:firstLine="480"/>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银行开户行：</w:t>
      </w:r>
      <w:r/>
    </w:p>
    <w:p>
      <w:pPr>
        <w:ind w:firstLine="480"/>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数字人民币开户行（如有）：</w:t>
      </w:r>
      <w:r/>
    </w:p>
    <w:p>
      <w:pPr>
        <w:ind w:firstLine="480"/>
        <w:rPr>
          <w:rFonts w:hint="eastAsia" w:ascii="宋体" w:hAnsi="宋体" w:eastAsia="宋体" w:cs="宋体"/>
          <w:sz w:val="24"/>
          <w:szCs w:val="24"/>
          <w:shd w:val="clear" w:color="auto" w:fill="ffffff"/>
        </w:rPr>
      </w:pPr>
      <w:r>
        <w:rPr>
          <w:rFonts w:hint="eastAsia" w:ascii="宋体" w:hAnsi="宋体" w:eastAsia="宋体" w:cs="宋体"/>
          <w:sz w:val="24"/>
          <w:shd w:val="clear" w:color="auto" w:fill="ffffff"/>
        </w:rPr>
        <w:t xml:space="preserve">数字人民币账户（数币钱包ID）：</w:t>
      </w:r>
      <w:r/>
    </w:p>
    <w:p>
      <w:pPr>
        <w:pStyle w:val="1018"/>
        <w:ind w:firstLine="520"/>
        <w:rPr>
          <w:rFonts w:hint="eastAsia" w:ascii="宋体" w:hAnsi="宋体" w:eastAsia="宋体" w:cs="宋体"/>
        </w:rPr>
      </w:pPr>
      <w:r>
        <w:rPr>
          <w:rFonts w:hint="eastAsia" w:ascii="宋体" w:hAnsi="宋体" w:eastAsia="宋体" w:cs="宋体"/>
        </w:rPr>
      </w:r>
      <w:r/>
    </w:p>
    <w:p>
      <w:pPr>
        <w:ind w:firstLine="210"/>
        <w:jc w:val="right"/>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240" w:firstLine="210"/>
        <w:jc w:val="righ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
          <w:szCs w:val="24"/>
        </w:rPr>
      </w:pPr>
      <w:r>
        <w:rPr>
          <w:rFonts w:hint="eastAsia" w:ascii="宋体" w:hAnsi="宋体" w:eastAsia="宋体" w:cs="宋体"/>
          <w:b/>
          <w:szCs w:val="24"/>
        </w:rPr>
        <w:br w:type="page" w:clear="all"/>
      </w:r>
      <w:r/>
    </w:p>
    <w:p>
      <w:pPr>
        <w:pStyle w:val="980"/>
        <w:ind w:firstLine="0"/>
        <w:jc w:val="both"/>
        <w:spacing w:line="360" w:lineRule="auto"/>
        <w:rPr>
          <w:rFonts w:hint="eastAsia" w:ascii="宋体" w:hAnsi="宋体" w:eastAsia="宋体" w:cs="宋体"/>
          <w:b/>
          <w:szCs w:val="24"/>
        </w:rPr>
        <w:outlineLvl w:val="1"/>
      </w:pPr>
      <w:r>
        <w:rPr>
          <w:rFonts w:hint="eastAsia" w:ascii="宋体" w:hAnsi="宋体" w:eastAsia="宋体" w:cs="宋体"/>
          <w:b/>
          <w:szCs w:val="24"/>
        </w:rPr>
        <w:t xml:space="preserve">3、开标一览表</w:t>
      </w:r>
      <w:r/>
    </w:p>
    <w:p>
      <w:pPr>
        <w:pStyle w:val="1122"/>
        <w:jc w:val="center"/>
        <w:spacing w:line="360" w:lineRule="auto"/>
        <w:rPr>
          <w:rFonts w:hint="eastAsia" w:hAnsi="宋体" w:eastAsia="宋体" w:cs="宋体"/>
          <w:b/>
          <w:sz w:val="24"/>
          <w:szCs w:val="24"/>
        </w:rPr>
      </w:pPr>
      <w:r>
        <w:rPr>
          <w:rFonts w:hint="eastAsia" w:hAnsi="宋体" w:eastAsia="宋体" w:cs="宋体"/>
          <w:b/>
          <w:sz w:val="24"/>
          <w:szCs w:val="24"/>
        </w:rPr>
      </w:r>
      <w:r/>
    </w:p>
    <w:p>
      <w:pPr>
        <w:pStyle w:val="1122"/>
        <w:jc w:val="center"/>
        <w:spacing w:line="360" w:lineRule="auto"/>
        <w:rPr>
          <w:rFonts w:hint="eastAsia" w:hAnsi="宋体" w:eastAsia="宋体" w:cs="宋体"/>
          <w:b/>
          <w:sz w:val="24"/>
          <w:szCs w:val="24"/>
        </w:rPr>
      </w:pPr>
      <w:r>
        <w:rPr>
          <w:rFonts w:hint="eastAsia" w:hAnsi="宋体" w:eastAsia="宋体" w:cs="宋体"/>
          <w:b/>
          <w:sz w:val="24"/>
          <w:szCs w:val="24"/>
        </w:rPr>
        <w:t xml:space="preserve">开标一览表（总报价）</w:t>
      </w:r>
      <w:r/>
    </w:p>
    <w:p>
      <w:pPr>
        <w:pStyle w:val="1122"/>
        <w:jc w:val="center"/>
        <w:spacing w:line="360" w:lineRule="auto"/>
        <w:rPr>
          <w:rFonts w:hint="eastAsia" w:hAnsi="宋体" w:eastAsia="宋体" w:cs="宋体"/>
          <w:b/>
          <w:sz w:val="24"/>
          <w:szCs w:val="24"/>
        </w:rPr>
      </w:pPr>
      <w:r>
        <w:rPr>
          <w:rFonts w:hint="eastAsia" w:hAnsi="宋体" w:eastAsia="宋体" w:cs="宋体"/>
          <w:b/>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投标人全称（加盖公章）：</w:t>
      </w:r>
      <w:r/>
    </w:p>
    <w:p>
      <w:pPr>
        <w:rPr>
          <w:rFonts w:hint="eastAsia" w:ascii="宋体" w:hAnsi="宋体" w:eastAsia="宋体" w:cs="宋体"/>
          <w:sz w:val="24"/>
          <w:szCs w:val="24"/>
        </w:rPr>
      </w:pPr>
      <w:r>
        <w:rPr>
          <w:rFonts w:hint="eastAsia" w:ascii="宋体" w:hAnsi="宋体" w:eastAsia="宋体" w:cs="宋体"/>
          <w:sz w:val="24"/>
          <w:szCs w:val="24"/>
        </w:rPr>
        <w:t xml:space="preserve">项目编号：</w:t>
      </w:r>
      <w:r>
        <w:rPr>
          <w:rFonts w:ascii="宋体" w:hAnsi="宋体" w:eastAsia="宋体" w:cs="宋体"/>
          <w:sz w:val="24"/>
          <w:szCs w:val="24"/>
        </w:rPr>
        <w:t xml:space="preserve">JSZC-320508-SZCH-G2026-0034</w:t>
      </w:r>
      <w:r/>
    </w:p>
    <w:p>
      <w:pPr>
        <w:rPr>
          <w:rFonts w:hint="eastAsia" w:ascii="宋体" w:hAnsi="宋体" w:eastAsia="宋体" w:cs="宋体"/>
          <w:sz w:val="24"/>
          <w:szCs w:val="24"/>
        </w:rPr>
      </w:pPr>
      <w:r>
        <w:rPr>
          <w:rFonts w:hint="eastAsia" w:ascii="宋体" w:hAnsi="宋体" w:eastAsia="宋体" w:cs="宋体"/>
          <w:sz w:val="24"/>
          <w:szCs w:val="24"/>
        </w:rPr>
        <w:t xml:space="preserve">分包号：                                                    采购包1</w:t>
      </w:r>
      <w:r/>
    </w:p>
    <w:tbl>
      <w:tblPr>
        <w:tblStyle w:val="97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61"/>
        <w:gridCol w:w="5493"/>
      </w:tblGrid>
      <w:tr>
        <w:trPr>
          <w:cantSplit/>
          <w:jc w:val="center"/>
          <w:trHeight w:val="1098"/>
        </w:trPr>
        <w:tc>
          <w:tcPr>
            <w:tcBorders>
              <w:top w:val="single" w:color="auto" w:sz="4" w:space="0"/>
              <w:left w:val="single" w:color="auto" w:sz="4" w:space="0"/>
              <w:bottom w:val="single" w:color="auto" w:sz="4" w:space="0"/>
              <w:right w:val="single" w:color="auto" w:sz="4" w:space="0"/>
            </w:tcBorders>
            <w:tcW w:w="2213" w:type="pct"/>
            <w:vAlign w:val="center"/>
            <w:textDirection w:val="lrTb"/>
            <w:noWrap w:val="false"/>
          </w:tcPr>
          <w:p>
            <w:pPr>
              <w:jc w:val="center"/>
              <w:spacing w:line="60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2787" w:type="pct"/>
            <w:vAlign w:val="center"/>
            <w:textDirection w:val="lrTb"/>
            <w:noWrap w:val="false"/>
          </w:tcPr>
          <w:p>
            <w:pPr>
              <w:jc w:val="center"/>
              <w:spacing w:line="60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投标总报价</w:t>
            </w:r>
            <w:r/>
          </w:p>
        </w:tc>
      </w:tr>
      <w:tr>
        <w:trPr>
          <w:cantSplit/>
          <w:jc w:val="center"/>
          <w:trHeight w:val="1088"/>
        </w:trPr>
        <w:tc>
          <w:tcPr>
            <w:tcBorders>
              <w:top w:val="single" w:color="auto" w:sz="4" w:space="0"/>
              <w:left w:val="single" w:color="auto" w:sz="4" w:space="0"/>
              <w:bottom w:val="single" w:color="auto" w:sz="4" w:space="0"/>
              <w:right w:val="single" w:color="auto" w:sz="4" w:space="0"/>
            </w:tcBorders>
            <w:tcW w:w="2213" w:type="pct"/>
            <w:vAlign w:val="center"/>
            <w:textDirection w:val="lrTb"/>
            <w:noWrap w:val="false"/>
          </w:tcPr>
          <w:p>
            <w:pPr>
              <w:jc w:val="center"/>
              <w:widowControl/>
              <w:rPr>
                <w:rFonts w:hint="eastAsia" w:ascii="宋体" w:hAnsi="宋体" w:eastAsia="宋体" w:cs="宋体"/>
                <w:sz w:val="24"/>
                <w:szCs w:val="24"/>
              </w:rPr>
            </w:pPr>
            <w:r/>
            <w:bookmarkStart w:id="52" w:name="XMMC"/>
            <w:r/>
            <w:bookmarkEnd w:id="52"/>
            <w:r>
              <w:rPr>
                <w:rFonts w:ascii="宋体" w:hAnsi="宋体" w:eastAsia="宋体" w:cs="宋体"/>
                <w:sz w:val="24"/>
                <w:szCs w:val="24"/>
                <w:shd w:val="clear" w:color="auto" w:fill="ffffff"/>
              </w:rPr>
              <w:t xml:space="preserve">姑苏区网格员意外保险</w:t>
            </w:r>
            <w:r/>
          </w:p>
        </w:tc>
        <w:tc>
          <w:tcPr>
            <w:tcBorders>
              <w:top w:val="single" w:color="auto" w:sz="4" w:space="0"/>
              <w:left w:val="single" w:color="auto" w:sz="4" w:space="0"/>
              <w:bottom w:val="single" w:color="auto" w:sz="4" w:space="0"/>
              <w:right w:val="single" w:color="auto" w:sz="4" w:space="0"/>
            </w:tcBorders>
            <w:tcW w:w="2787" w:type="pct"/>
            <w:vAlign w:val="center"/>
            <w:textDirection w:val="lrTb"/>
            <w:noWrap w:val="false"/>
          </w:tcPr>
          <w:p>
            <w:pPr>
              <w:jc w:val="center"/>
              <w:spacing w:line="600" w:lineRule="exact"/>
              <w:widowControl/>
              <w:rPr>
                <w:rFonts w:hint="eastAsia" w:ascii="宋体" w:hAnsi="宋体" w:eastAsia="宋体" w:cs="宋体"/>
                <w:sz w:val="24"/>
                <w:szCs w:val="24"/>
              </w:rPr>
            </w:pPr>
            <w:r>
              <w:rPr>
                <w:rFonts w:hint="eastAsia" w:ascii="宋体" w:hAnsi="宋体" w:eastAsia="宋体" w:cs="宋体"/>
                <w:sz w:val="24"/>
                <w:szCs w:val="24"/>
              </w:rPr>
              <w:t xml:space="preserve">小写：</w:t>
            </w:r>
            <w:bookmarkStart w:id="53" w:name="JEXX"/>
            <w:r/>
            <w:bookmarkEnd w:id="53"/>
            <w:r>
              <w:rPr>
                <w:rFonts w:hint="eastAsia" w:ascii="宋体" w:hAnsi="宋体" w:eastAsia="宋体" w:cs="宋体"/>
                <w:sz w:val="24"/>
                <w:szCs w:val="24"/>
              </w:rPr>
              <w:t xml:space="preserve">      （元人民币）</w:t>
            </w:r>
            <w:r/>
          </w:p>
        </w:tc>
      </w:tr>
      <w:tr>
        <w:trPr>
          <w:cantSplit/>
          <w:jc w:val="center"/>
          <w:trHeight w:val="1361"/>
        </w:trPr>
        <w:tc>
          <w:tcPr>
            <w:tcBorders>
              <w:top w:val="single" w:color="auto" w:sz="4" w:space="0"/>
              <w:left w:val="single" w:color="auto" w:sz="4" w:space="0"/>
              <w:bottom w:val="single" w:color="auto" w:sz="4" w:space="0"/>
              <w:right w:val="single" w:color="auto" w:sz="4" w:space="0"/>
            </w:tcBorders>
            <w:tcW w:w="2213" w:type="pct"/>
            <w:vAlign w:val="center"/>
            <w:textDirection w:val="lrTb"/>
            <w:noWrap w:val="false"/>
          </w:tcPr>
          <w:p>
            <w:pPr>
              <w:jc w:val="center"/>
              <w:spacing w:line="60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投标报价大写金额</w:t>
            </w:r>
            <w:r/>
          </w:p>
        </w:tc>
        <w:tc>
          <w:tcPr>
            <w:tcBorders>
              <w:top w:val="single" w:color="auto" w:sz="4" w:space="0"/>
              <w:left w:val="single" w:color="auto" w:sz="4" w:space="0"/>
              <w:bottom w:val="single" w:color="auto" w:sz="4" w:space="0"/>
              <w:right w:val="single" w:color="auto" w:sz="4" w:space="0"/>
            </w:tcBorders>
            <w:tcW w:w="2787" w:type="pct"/>
            <w:vAlign w:val="center"/>
            <w:textDirection w:val="lrTb"/>
            <w:noWrap w:val="false"/>
          </w:tcPr>
          <w:p>
            <w:pPr>
              <w:jc w:val="center"/>
              <w:spacing w:line="600" w:lineRule="exact"/>
              <w:widowControl/>
              <w:rPr>
                <w:rFonts w:hint="eastAsia" w:ascii="宋体" w:hAnsi="宋体" w:eastAsia="宋体" w:cs="宋体"/>
                <w:sz w:val="24"/>
                <w:szCs w:val="24"/>
              </w:rPr>
            </w:pPr>
            <w:r/>
            <w:bookmarkStart w:id="54" w:name="JEDX"/>
            <w:r/>
            <w:bookmarkEnd w:id="54"/>
            <w:r/>
            <w:r/>
          </w:p>
        </w:tc>
      </w:tr>
    </w:tbl>
    <w:p>
      <w:pPr>
        <w:ind w:left="1024"/>
        <w:spacing w:line="600" w:lineRule="exact"/>
        <w:widowControl/>
        <w:rPr>
          <w:rFonts w:hint="eastAsia" w:ascii="宋体" w:hAnsi="宋体" w:eastAsia="宋体" w:cs="宋体"/>
          <w:sz w:val="24"/>
          <w:szCs w:val="24"/>
        </w:rPr>
      </w:pPr>
      <w:r>
        <w:rPr>
          <w:rFonts w:hint="eastAsia" w:ascii="宋体" w:hAnsi="宋体" w:eastAsia="宋体" w:cs="宋体"/>
          <w:sz w:val="24"/>
          <w:szCs w:val="24"/>
        </w:rPr>
      </w:r>
      <w:r/>
    </w:p>
    <w:p>
      <w:pPr>
        <w:ind w:right="420" w:firstLine="21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p>
    <w:p>
      <w:pPr>
        <w:pStyle w:val="1018"/>
        <w:ind w:left="0" w:firstLine="480"/>
        <w:spacing w:after="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填写说明:</w:t>
      </w:r>
      <w:r/>
    </w:p>
    <w:p>
      <w:pPr>
        <w:pStyle w:val="1018"/>
        <w:ind w:left="0" w:firstLine="480"/>
        <w:spacing w:after="0"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zh-CN"/>
        </w:rPr>
        <w:t xml:space="preserve">1、开标一览表必须加盖投标</w:t>
      </w:r>
      <w:r>
        <w:rPr>
          <w:rFonts w:hint="eastAsia" w:ascii="宋体" w:hAnsi="宋体" w:eastAsia="宋体" w:cs="宋体"/>
          <w:sz w:val="24"/>
          <w:szCs w:val="24"/>
          <w:u w:val="single"/>
        </w:rPr>
        <w:t xml:space="preserve">人公章（复印件无效）。</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u w:val="single"/>
          <w:lang w:val="zh-CN"/>
        </w:rPr>
        <w:t xml:space="preserve">2、如有分包，投标人投任何</w:t>
      </w:r>
      <w:r>
        <w:rPr>
          <w:rFonts w:hint="eastAsia" w:ascii="宋体" w:hAnsi="宋体" w:eastAsia="宋体" w:cs="宋体"/>
          <w:sz w:val="24"/>
          <w:szCs w:val="24"/>
          <w:u w:val="single"/>
        </w:rPr>
        <w:t xml:space="preserve">一个</w:t>
      </w:r>
      <w:r>
        <w:rPr>
          <w:rFonts w:hint="eastAsia" w:ascii="宋体" w:hAnsi="宋体" w:eastAsia="宋体" w:cs="宋体"/>
          <w:sz w:val="24"/>
          <w:szCs w:val="24"/>
          <w:u w:val="single"/>
          <w:lang w:val="zh-CN"/>
        </w:rPr>
        <w:t xml:space="preserve">包的标的，</w:t>
      </w:r>
      <w:r>
        <w:rPr>
          <w:rFonts w:hint="eastAsia" w:ascii="宋体" w:hAnsi="宋体" w:eastAsia="宋体" w:cs="宋体"/>
          <w:sz w:val="24"/>
          <w:szCs w:val="24"/>
          <w:u w:val="single"/>
        </w:rPr>
        <w:t xml:space="preserve">都需单</w:t>
      </w:r>
      <w:r>
        <w:rPr>
          <w:rFonts w:hint="eastAsia" w:ascii="宋体" w:hAnsi="宋体" w:eastAsia="宋体" w:cs="宋体"/>
          <w:sz w:val="24"/>
          <w:szCs w:val="24"/>
          <w:u w:val="single"/>
          <w:lang w:val="zh-CN"/>
        </w:rPr>
        <w:t xml:space="preserve">独填写开标一览表。</w:t>
      </w:r>
      <w:r/>
    </w:p>
    <w:p>
      <w:pP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jc w:val="left"/>
        <w:widowControl/>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jc w:val="left"/>
        <w:widowControl/>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br w:type="page" w:clear="all"/>
      </w:r>
      <w:r/>
    </w:p>
    <w:p>
      <w:pPr>
        <w:spacing w:line="360" w:lineRule="auto"/>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4、分项报价表</w:t>
      </w:r>
      <w:r/>
    </w:p>
    <w:p>
      <w:pP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分项报价表</w:t>
      </w:r>
      <w:r/>
    </w:p>
    <w:p>
      <w:pP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tbl>
      <w:tblPr>
        <w:tblStyle w:val="10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276"/>
        <w:gridCol w:w="1134"/>
        <w:gridCol w:w="1276"/>
        <w:gridCol w:w="2126"/>
        <w:gridCol w:w="1922"/>
        <w:gridCol w:w="1445"/>
      </w:tblGrid>
      <w:tr>
        <w:trPr>
          <w:trHeight w:val="567"/>
        </w:trPr>
        <w:tc>
          <w:tcPr>
            <w:tcW w:w="675" w:type="dxa"/>
            <w:vAlign w:val="center"/>
            <w:textDirection w:val="lrTb"/>
            <w:noWrap w:val="false"/>
          </w:tcPr>
          <w:p>
            <w:pPr>
              <w:jc w:val="center"/>
              <w:rPr>
                <w:rFonts w:hint="eastAsia" w:ascii="宋体" w:hAnsi="宋体" w:eastAsia="宋体" w:cs="宋体"/>
                <w:bCs/>
                <w:sz w:val="20"/>
                <w:szCs w:val="20"/>
                <w:shd w:val="clear" w:color="auto" w:fill="ffffff"/>
              </w:rPr>
            </w:pPr>
            <w:r>
              <w:rPr>
                <w:rFonts w:hint="eastAsia" w:ascii="宋体" w:hAnsi="宋体" w:eastAsia="宋体" w:cs="宋体"/>
                <w:bCs/>
                <w:sz w:val="20"/>
                <w:szCs w:val="20"/>
                <w:shd w:val="clear" w:color="auto" w:fill="ffffff"/>
              </w:rPr>
              <w:t xml:space="preserve">序号</w:t>
            </w:r>
            <w:r/>
          </w:p>
        </w:tc>
        <w:tc>
          <w:tcPr>
            <w:tcW w:w="1276" w:type="dxa"/>
            <w:vAlign w:val="center"/>
            <w:textDirection w:val="lrTb"/>
            <w:noWrap w:val="false"/>
          </w:tcPr>
          <w:p>
            <w:pPr>
              <w:jc w:val="center"/>
              <w:rPr>
                <w:rFonts w:hint="eastAsia" w:ascii="宋体" w:hAnsi="宋体" w:eastAsia="宋体" w:cs="宋体"/>
                <w:bCs/>
                <w:sz w:val="20"/>
                <w:szCs w:val="20"/>
                <w:shd w:val="clear" w:color="auto" w:fill="ffffff"/>
              </w:rPr>
            </w:pPr>
            <w:r>
              <w:rPr>
                <w:rFonts w:hint="eastAsia" w:ascii="宋体" w:hAnsi="宋体" w:eastAsia="宋体" w:cs="宋体"/>
                <w:bCs/>
                <w:sz w:val="20"/>
                <w:szCs w:val="20"/>
                <w:shd w:val="clear" w:color="auto" w:fill="ffffff"/>
              </w:rPr>
              <w:t xml:space="preserve">对象</w:t>
            </w:r>
            <w:r/>
          </w:p>
        </w:tc>
        <w:tc>
          <w:tcPr>
            <w:tcW w:w="1134" w:type="dxa"/>
            <w:vAlign w:val="center"/>
            <w:textDirection w:val="lrTb"/>
            <w:noWrap w:val="false"/>
          </w:tcPr>
          <w:p>
            <w:pPr>
              <w:jc w:val="center"/>
              <w:rPr>
                <w:rFonts w:hint="eastAsia" w:ascii="宋体" w:hAnsi="宋体" w:eastAsia="宋体" w:cs="宋体"/>
                <w:bCs/>
                <w:sz w:val="20"/>
                <w:szCs w:val="20"/>
                <w:shd w:val="clear" w:color="auto" w:fill="ffffff"/>
              </w:rPr>
            </w:pPr>
            <w:r>
              <w:rPr>
                <w:rFonts w:hint="eastAsia" w:ascii="宋体" w:hAnsi="宋体" w:eastAsia="宋体" w:cs="宋体"/>
                <w:bCs/>
                <w:sz w:val="20"/>
                <w:szCs w:val="20"/>
                <w:shd w:val="clear" w:color="auto" w:fill="ffffff"/>
              </w:rPr>
              <w:t xml:space="preserve">预估人数</w:t>
            </w:r>
            <w:r/>
          </w:p>
          <w:p>
            <w:pPr>
              <w:jc w:val="center"/>
              <w:rPr>
                <w:rFonts w:hint="eastAsia" w:ascii="宋体" w:hAnsi="宋体" w:eastAsia="宋体" w:cs="宋体"/>
                <w:bCs/>
                <w:sz w:val="20"/>
                <w:szCs w:val="20"/>
                <w:shd w:val="clear" w:color="auto" w:fill="ffffff"/>
              </w:rPr>
            </w:pPr>
            <w:r>
              <w:rPr>
                <w:rFonts w:hint="eastAsia" w:ascii="宋体" w:hAnsi="宋体" w:eastAsia="宋体" w:cs="宋体"/>
                <w:bCs/>
                <w:sz w:val="20"/>
                <w:szCs w:val="20"/>
                <w:shd w:val="clear" w:color="auto" w:fill="ffffff"/>
              </w:rPr>
              <w:t xml:space="preserve">（人）</w:t>
            </w:r>
            <w:r/>
          </w:p>
        </w:tc>
        <w:tc>
          <w:tcPr>
            <w:tcW w:w="1276" w:type="dxa"/>
            <w:vAlign w:val="center"/>
            <w:textDirection w:val="lrTb"/>
            <w:noWrap w:val="false"/>
          </w:tcPr>
          <w:p>
            <w:pPr>
              <w:jc w:val="center"/>
              <w:rPr>
                <w:rFonts w:hint="eastAsia" w:ascii="宋体" w:hAnsi="宋体" w:eastAsia="宋体" w:cs="宋体"/>
                <w:bCs/>
                <w:sz w:val="20"/>
                <w:szCs w:val="20"/>
                <w:shd w:val="clear" w:color="auto" w:fill="ffffff"/>
              </w:rPr>
            </w:pPr>
            <w:r>
              <w:rPr>
                <w:rFonts w:hint="eastAsia" w:ascii="宋体" w:hAnsi="宋体" w:eastAsia="宋体" w:cs="宋体"/>
                <w:bCs/>
                <w:sz w:val="20"/>
                <w:szCs w:val="20"/>
                <w:shd w:val="clear" w:color="auto" w:fill="ffffff"/>
              </w:rPr>
              <w:t xml:space="preserve">参保时间</w:t>
            </w:r>
            <w:r/>
          </w:p>
          <w:p>
            <w:pPr>
              <w:jc w:val="center"/>
              <w:rPr>
                <w:rFonts w:hint="eastAsia" w:ascii="宋体" w:hAnsi="宋体" w:eastAsia="宋体" w:cs="宋体"/>
                <w:bCs/>
                <w:sz w:val="20"/>
                <w:szCs w:val="20"/>
                <w:shd w:val="clear" w:color="auto" w:fill="ffffff"/>
              </w:rPr>
            </w:pPr>
            <w:r>
              <w:rPr>
                <w:rFonts w:hint="eastAsia" w:ascii="宋体" w:hAnsi="宋体" w:eastAsia="宋体" w:cs="宋体"/>
                <w:bCs/>
                <w:sz w:val="20"/>
                <w:szCs w:val="20"/>
                <w:shd w:val="clear" w:color="auto" w:fill="ffffff"/>
              </w:rPr>
              <w:t xml:space="preserve">（年）</w:t>
            </w:r>
            <w:r/>
          </w:p>
        </w:tc>
        <w:tc>
          <w:tcPr>
            <w:tcW w:w="2126" w:type="dxa"/>
            <w:vAlign w:val="center"/>
            <w:textDirection w:val="lrTb"/>
            <w:noWrap w:val="false"/>
          </w:tcPr>
          <w:p>
            <w:pPr>
              <w:jc w:val="center"/>
              <w:rPr>
                <w:rFonts w:hint="eastAsia" w:ascii="宋体" w:hAnsi="宋体" w:eastAsia="宋体" w:cs="宋体"/>
                <w:bCs/>
                <w:sz w:val="20"/>
                <w:szCs w:val="20"/>
                <w:shd w:val="clear" w:color="auto" w:fill="ffffff"/>
              </w:rPr>
            </w:pPr>
            <w:r>
              <w:rPr>
                <w:rFonts w:hint="eastAsia" w:ascii="宋体" w:hAnsi="宋体" w:eastAsia="宋体" w:cs="宋体"/>
                <w:bCs/>
                <w:sz w:val="20"/>
                <w:szCs w:val="20"/>
                <w:shd w:val="clear" w:color="auto" w:fill="ffffff"/>
              </w:rPr>
              <w:t xml:space="preserve">单价</w:t>
            </w:r>
            <w:r/>
          </w:p>
        </w:tc>
        <w:tc>
          <w:tcPr>
            <w:tcW w:w="1922" w:type="dxa"/>
            <w:vAlign w:val="center"/>
            <w:textDirection w:val="lrTb"/>
            <w:noWrap w:val="false"/>
          </w:tcPr>
          <w:p>
            <w:pPr>
              <w:jc w:val="center"/>
              <w:rPr>
                <w:rFonts w:hint="eastAsia" w:ascii="宋体" w:hAnsi="宋体" w:eastAsia="宋体" w:cs="宋体"/>
                <w:bCs/>
                <w:sz w:val="20"/>
                <w:szCs w:val="20"/>
                <w:shd w:val="clear" w:color="auto" w:fill="ffffff"/>
              </w:rPr>
            </w:pPr>
            <w:r>
              <w:rPr>
                <w:rFonts w:hint="eastAsia" w:ascii="宋体" w:hAnsi="宋体" w:eastAsia="宋体" w:cs="宋体"/>
                <w:bCs/>
                <w:sz w:val="20"/>
                <w:szCs w:val="20"/>
                <w:shd w:val="clear" w:color="auto" w:fill="ffffff"/>
              </w:rPr>
              <w:t xml:space="preserve">单价最高限价</w:t>
            </w:r>
            <w:r/>
          </w:p>
        </w:tc>
        <w:tc>
          <w:tcPr>
            <w:tcW w:w="1445" w:type="dxa"/>
            <w:vAlign w:val="center"/>
            <w:textDirection w:val="lrTb"/>
            <w:noWrap w:val="false"/>
          </w:tcPr>
          <w:p>
            <w:pPr>
              <w:jc w:val="center"/>
              <w:rPr>
                <w:rFonts w:hint="eastAsia" w:ascii="宋体" w:hAnsi="宋体" w:eastAsia="宋体" w:cs="宋体"/>
                <w:bCs/>
                <w:sz w:val="20"/>
                <w:szCs w:val="20"/>
                <w:shd w:val="clear" w:color="auto" w:fill="ffffff"/>
              </w:rPr>
            </w:pPr>
            <w:r>
              <w:rPr>
                <w:rFonts w:hint="eastAsia" w:ascii="宋体" w:hAnsi="宋体" w:eastAsia="宋体" w:cs="宋体"/>
                <w:bCs/>
                <w:sz w:val="20"/>
                <w:szCs w:val="20"/>
                <w:shd w:val="clear" w:color="auto" w:fill="ffffff"/>
              </w:rPr>
              <w:t xml:space="preserve">总价（元）</w:t>
            </w:r>
            <w:r/>
          </w:p>
        </w:tc>
      </w:tr>
      <w:tr>
        <w:trPr>
          <w:trHeight w:val="567"/>
        </w:trPr>
        <w:tc>
          <w:tcPr>
            <w:tcW w:w="675" w:type="dxa"/>
            <w:vAlign w:val="center"/>
            <w:textDirection w:val="lrTb"/>
            <w:noWrap w:val="false"/>
          </w:tcPr>
          <w:p>
            <w:pPr>
              <w:jc w:val="center"/>
              <w:rPr>
                <w:rFonts w:hint="eastAsia" w:ascii="宋体" w:hAnsi="宋体" w:eastAsia="宋体" w:cs="宋体"/>
                <w:bCs/>
                <w:sz w:val="20"/>
                <w:szCs w:val="20"/>
                <w:shd w:val="clear" w:color="auto" w:fill="ffffff"/>
              </w:rPr>
            </w:pPr>
            <w:r>
              <w:rPr>
                <w:rFonts w:hint="eastAsia" w:ascii="宋体" w:hAnsi="宋体" w:eastAsia="宋体" w:cs="宋体"/>
                <w:bCs/>
                <w:sz w:val="20"/>
                <w:szCs w:val="20"/>
                <w:shd w:val="clear" w:color="auto" w:fill="ffffff"/>
              </w:rPr>
              <w:t xml:space="preserve">1</w:t>
            </w:r>
            <w:r/>
          </w:p>
        </w:tc>
        <w:tc>
          <w:tcPr>
            <w:tcW w:w="1276" w:type="dxa"/>
            <w:vAlign w:val="center"/>
            <w:textDirection w:val="lrTb"/>
            <w:noWrap w:val="false"/>
          </w:tcPr>
          <w:p>
            <w:pPr>
              <w:jc w:val="center"/>
              <w:rPr>
                <w:rFonts w:hint="eastAsia" w:ascii="宋体" w:hAnsi="宋体" w:eastAsia="宋体" w:cs="宋体"/>
                <w:bCs/>
                <w:sz w:val="20"/>
                <w:szCs w:val="20"/>
                <w:shd w:val="clear" w:color="auto" w:fill="ffffff"/>
              </w:rPr>
            </w:pPr>
            <w:r>
              <w:rPr>
                <w:rFonts w:ascii="宋体" w:hAnsi="宋体" w:eastAsia="宋体" w:cs="宋体"/>
                <w:bCs/>
                <w:sz w:val="20"/>
                <w:szCs w:val="20"/>
                <w:shd w:val="clear" w:color="auto" w:fill="ffffff"/>
              </w:rPr>
              <w:t xml:space="preserve">专职网格长</w:t>
            </w:r>
            <w:r/>
          </w:p>
        </w:tc>
        <w:tc>
          <w:tcPr>
            <w:tcW w:w="1134" w:type="dxa"/>
            <w:vAlign w:val="center"/>
            <w:textDirection w:val="lrTb"/>
            <w:noWrap w:val="false"/>
          </w:tcPr>
          <w:p>
            <w:pPr>
              <w:jc w:val="center"/>
              <w:rPr>
                <w:rFonts w:hint="eastAsia" w:ascii="宋体" w:hAnsi="宋体" w:eastAsia="宋体" w:cs="宋体"/>
                <w:bCs/>
                <w:sz w:val="20"/>
                <w:szCs w:val="20"/>
                <w:shd w:val="clear" w:color="auto" w:fill="ffffff"/>
              </w:rPr>
            </w:pPr>
            <w:r>
              <w:rPr>
                <w:rFonts w:hint="eastAsia" w:ascii="宋体" w:hAnsi="宋体" w:eastAsia="宋体" w:cs="宋体"/>
                <w:bCs/>
                <w:sz w:val="20"/>
                <w:szCs w:val="20"/>
                <w:shd w:val="clear" w:color="auto" w:fill="ffffff"/>
              </w:rPr>
              <w:t xml:space="preserve">507</w:t>
            </w:r>
            <w:r/>
          </w:p>
        </w:tc>
        <w:tc>
          <w:tcPr>
            <w:tcW w:w="1276" w:type="dxa"/>
            <w:vAlign w:val="center"/>
            <w:textDirection w:val="lrTb"/>
            <w:noWrap w:val="false"/>
          </w:tcPr>
          <w:p>
            <w:pPr>
              <w:jc w:val="center"/>
              <w:rPr>
                <w:rFonts w:hint="eastAsia" w:ascii="宋体" w:hAnsi="宋体" w:eastAsia="宋体" w:cs="宋体"/>
                <w:bCs/>
                <w:sz w:val="20"/>
                <w:szCs w:val="20"/>
                <w:shd w:val="clear" w:color="auto" w:fill="ffffff"/>
              </w:rPr>
            </w:pPr>
            <w:r>
              <w:rPr>
                <w:rFonts w:hint="eastAsia" w:ascii="宋体" w:hAnsi="宋体" w:eastAsia="宋体" w:cs="宋体"/>
                <w:bCs/>
                <w:sz w:val="20"/>
                <w:szCs w:val="20"/>
                <w:shd w:val="clear" w:color="auto" w:fill="ffffff"/>
              </w:rPr>
              <w:t xml:space="preserve">/</w:t>
            </w:r>
            <w:r/>
          </w:p>
        </w:tc>
        <w:tc>
          <w:tcPr>
            <w:tcW w:w="2126" w:type="dxa"/>
            <w:vAlign w:val="center"/>
            <w:textDirection w:val="lrTb"/>
            <w:noWrap w:val="false"/>
          </w:tcPr>
          <w:p>
            <w:pPr>
              <w:jc w:val="right"/>
              <w:rPr>
                <w:rFonts w:hint="eastAsia" w:ascii="宋体" w:hAnsi="宋体" w:eastAsia="宋体" w:cs="宋体"/>
                <w:bCs/>
                <w:sz w:val="20"/>
                <w:szCs w:val="20"/>
                <w:shd w:val="clear" w:color="auto" w:fill="ffffff"/>
              </w:rPr>
            </w:pPr>
            <w:r>
              <w:rPr>
                <w:rFonts w:hint="eastAsia" w:ascii="宋体" w:hAnsi="宋体" w:eastAsia="宋体" w:cs="宋体"/>
                <w:bCs/>
                <w:sz w:val="20"/>
                <w:szCs w:val="20"/>
                <w:shd w:val="clear" w:color="auto" w:fill="ffffff"/>
              </w:rPr>
              <w:t xml:space="preserve">元/人/4.5个月</w:t>
            </w:r>
            <w:r/>
          </w:p>
        </w:tc>
        <w:tc>
          <w:tcPr>
            <w:tcW w:w="1922" w:type="dxa"/>
            <w:vAlign w:val="center"/>
            <w:textDirection w:val="lrTb"/>
            <w:noWrap w:val="false"/>
          </w:tcPr>
          <w:p>
            <w:pPr>
              <w:jc w:val="center"/>
              <w:rPr>
                <w:rFonts w:hint="eastAsia" w:ascii="宋体" w:hAnsi="宋体" w:eastAsia="宋体" w:cs="宋体"/>
                <w:bCs/>
                <w:sz w:val="20"/>
                <w:szCs w:val="20"/>
                <w:shd w:val="clear" w:color="auto" w:fill="ffffff"/>
              </w:rPr>
            </w:pPr>
            <w:r>
              <w:rPr>
                <w:rFonts w:hint="eastAsia" w:ascii="宋体" w:hAnsi="宋体" w:eastAsia="宋体" w:cs="宋体"/>
                <w:bCs/>
                <w:sz w:val="20"/>
                <w:szCs w:val="20"/>
                <w:shd w:val="clear" w:color="auto" w:fill="ffffff"/>
              </w:rPr>
              <w:t xml:space="preserve">114元/人/4.5个月</w:t>
            </w:r>
            <w:r/>
          </w:p>
        </w:tc>
        <w:tc>
          <w:tcPr>
            <w:tcW w:w="1445" w:type="dxa"/>
            <w:vAlign w:val="center"/>
            <w:textDirection w:val="lrTb"/>
            <w:noWrap w:val="false"/>
          </w:tcPr>
          <w:p>
            <w:pPr>
              <w:jc w:val="center"/>
              <w:rPr>
                <w:rFonts w:hint="eastAsia" w:ascii="宋体" w:hAnsi="宋体" w:eastAsia="宋体" w:cs="宋体"/>
                <w:bCs/>
                <w:sz w:val="20"/>
                <w:szCs w:val="20"/>
                <w:shd w:val="clear" w:color="auto" w:fill="ffffff"/>
              </w:rPr>
            </w:pPr>
            <w:r>
              <w:rPr>
                <w:rFonts w:hint="eastAsia" w:ascii="宋体" w:hAnsi="宋体" w:eastAsia="宋体" w:cs="宋体"/>
                <w:bCs/>
                <w:sz w:val="20"/>
                <w:szCs w:val="20"/>
                <w:shd w:val="clear" w:color="auto" w:fill="ffffff"/>
              </w:rPr>
            </w:r>
            <w:r/>
          </w:p>
        </w:tc>
      </w:tr>
      <w:tr>
        <w:trPr>
          <w:trHeight w:val="567"/>
        </w:trPr>
        <w:tc>
          <w:tcPr>
            <w:tcW w:w="675" w:type="dxa"/>
            <w:vAlign w:val="center"/>
            <w:textDirection w:val="lrTb"/>
            <w:noWrap w:val="false"/>
          </w:tcPr>
          <w:p>
            <w:pPr>
              <w:jc w:val="center"/>
              <w:rPr>
                <w:rFonts w:hint="eastAsia" w:ascii="宋体" w:hAnsi="宋体" w:eastAsia="宋体" w:cs="宋体"/>
                <w:bCs/>
                <w:sz w:val="20"/>
                <w:szCs w:val="20"/>
                <w:shd w:val="clear" w:color="auto" w:fill="ffffff"/>
              </w:rPr>
            </w:pPr>
            <w:r>
              <w:rPr>
                <w:rFonts w:hint="eastAsia" w:ascii="宋体" w:hAnsi="宋体" w:eastAsia="宋体" w:cs="宋体"/>
                <w:bCs/>
                <w:sz w:val="20"/>
                <w:szCs w:val="20"/>
                <w:shd w:val="clear" w:color="auto" w:fill="ffffff"/>
              </w:rPr>
              <w:t xml:space="preserve">2</w:t>
            </w:r>
            <w:r/>
          </w:p>
        </w:tc>
        <w:tc>
          <w:tcPr>
            <w:tcW w:w="1276" w:type="dxa"/>
            <w:vAlign w:val="center"/>
            <w:textDirection w:val="lrTb"/>
            <w:noWrap w:val="false"/>
          </w:tcPr>
          <w:p>
            <w:pPr>
              <w:jc w:val="center"/>
              <w:rPr>
                <w:rFonts w:hint="eastAsia" w:ascii="宋体" w:hAnsi="宋体" w:eastAsia="宋体" w:cs="宋体"/>
                <w:bCs/>
                <w:sz w:val="20"/>
                <w:szCs w:val="20"/>
                <w:shd w:val="clear" w:color="auto" w:fill="ffffff"/>
              </w:rPr>
            </w:pPr>
            <w:r>
              <w:rPr>
                <w:rFonts w:ascii="宋体" w:hAnsi="宋体" w:eastAsia="宋体" w:cs="宋体"/>
                <w:bCs/>
                <w:sz w:val="20"/>
                <w:szCs w:val="20"/>
                <w:shd w:val="clear" w:color="auto" w:fill="ffffff"/>
              </w:rPr>
              <w:t xml:space="preserve">副网格长</w:t>
            </w:r>
            <w:r/>
          </w:p>
        </w:tc>
        <w:tc>
          <w:tcPr>
            <w:tcW w:w="1134" w:type="dxa"/>
            <w:vAlign w:val="center"/>
            <w:textDirection w:val="lrTb"/>
            <w:noWrap w:val="false"/>
          </w:tcPr>
          <w:p>
            <w:pPr>
              <w:jc w:val="center"/>
              <w:rPr>
                <w:rFonts w:hint="eastAsia" w:ascii="宋体" w:hAnsi="宋体" w:eastAsia="宋体" w:cs="宋体"/>
                <w:bCs/>
                <w:sz w:val="20"/>
                <w:szCs w:val="20"/>
                <w:shd w:val="clear" w:color="auto" w:fill="ffffff"/>
              </w:rPr>
            </w:pPr>
            <w:r>
              <w:rPr>
                <w:rFonts w:hint="eastAsia" w:ascii="宋体" w:hAnsi="宋体" w:eastAsia="宋体" w:cs="宋体"/>
                <w:bCs/>
                <w:sz w:val="20"/>
                <w:szCs w:val="20"/>
                <w:shd w:val="clear" w:color="auto" w:fill="ffffff"/>
              </w:rPr>
              <w:t xml:space="preserve">1076</w:t>
            </w:r>
            <w:r/>
          </w:p>
        </w:tc>
        <w:tc>
          <w:tcPr>
            <w:tcW w:w="1276" w:type="dxa"/>
            <w:vAlign w:val="center"/>
            <w:textDirection w:val="lrTb"/>
            <w:noWrap w:val="false"/>
          </w:tcPr>
          <w:p>
            <w:pPr>
              <w:jc w:val="center"/>
              <w:rPr>
                <w:rFonts w:hint="eastAsia" w:ascii="宋体" w:hAnsi="宋体" w:eastAsia="宋体" w:cs="宋体"/>
                <w:bCs/>
                <w:sz w:val="20"/>
                <w:szCs w:val="20"/>
                <w:shd w:val="clear" w:color="auto" w:fill="ffffff"/>
              </w:rPr>
            </w:pPr>
            <w:r>
              <w:rPr>
                <w:rFonts w:hint="eastAsia" w:ascii="宋体" w:hAnsi="宋体" w:eastAsia="宋体" w:cs="宋体"/>
                <w:bCs/>
                <w:sz w:val="20"/>
                <w:szCs w:val="20"/>
                <w:shd w:val="clear" w:color="auto" w:fill="ffffff"/>
              </w:rPr>
              <w:t xml:space="preserve">2</w:t>
            </w:r>
            <w:r/>
          </w:p>
        </w:tc>
        <w:tc>
          <w:tcPr>
            <w:tcW w:w="2126" w:type="dxa"/>
            <w:vAlign w:val="center"/>
            <w:textDirection w:val="lrTb"/>
            <w:noWrap w:val="false"/>
          </w:tcPr>
          <w:p>
            <w:pPr>
              <w:jc w:val="right"/>
              <w:rPr>
                <w:rFonts w:hint="eastAsia" w:ascii="宋体" w:hAnsi="宋体" w:eastAsia="宋体" w:cs="宋体"/>
                <w:bCs/>
                <w:sz w:val="20"/>
                <w:szCs w:val="20"/>
                <w:shd w:val="clear" w:color="auto" w:fill="ffffff"/>
              </w:rPr>
            </w:pPr>
            <w:r>
              <w:rPr>
                <w:rFonts w:hint="eastAsia" w:ascii="宋体" w:hAnsi="宋体" w:eastAsia="宋体" w:cs="宋体"/>
                <w:bCs/>
                <w:sz w:val="20"/>
                <w:szCs w:val="20"/>
                <w:shd w:val="clear" w:color="auto" w:fill="ffffff"/>
              </w:rPr>
              <w:t xml:space="preserve">元/人/年</w:t>
            </w:r>
            <w:r/>
          </w:p>
        </w:tc>
        <w:tc>
          <w:tcPr>
            <w:tcW w:w="1922" w:type="dxa"/>
            <w:vAlign w:val="center"/>
            <w:textDirection w:val="lrTb"/>
            <w:noWrap w:val="false"/>
          </w:tcPr>
          <w:p>
            <w:pPr>
              <w:jc w:val="center"/>
              <w:rPr>
                <w:rFonts w:hint="eastAsia" w:ascii="宋体" w:hAnsi="宋体" w:eastAsia="宋体" w:cs="宋体"/>
                <w:bCs/>
                <w:sz w:val="20"/>
                <w:szCs w:val="20"/>
                <w:shd w:val="clear" w:color="auto" w:fill="ffffff"/>
              </w:rPr>
            </w:pPr>
            <w:r>
              <w:rPr>
                <w:rFonts w:hint="eastAsia" w:ascii="宋体" w:hAnsi="宋体" w:eastAsia="宋体" w:cs="宋体"/>
                <w:bCs/>
                <w:sz w:val="20"/>
                <w:szCs w:val="20"/>
                <w:shd w:val="clear" w:color="auto" w:fill="ffffff"/>
              </w:rPr>
              <w:t xml:space="preserve">150元/人/年</w:t>
            </w:r>
            <w:r/>
          </w:p>
        </w:tc>
        <w:tc>
          <w:tcPr>
            <w:tcW w:w="1445" w:type="dxa"/>
            <w:vAlign w:val="center"/>
            <w:textDirection w:val="lrTb"/>
            <w:noWrap w:val="false"/>
          </w:tcPr>
          <w:p>
            <w:pPr>
              <w:jc w:val="center"/>
              <w:rPr>
                <w:rFonts w:hint="eastAsia" w:ascii="宋体" w:hAnsi="宋体" w:eastAsia="宋体" w:cs="宋体"/>
                <w:bCs/>
                <w:sz w:val="20"/>
                <w:szCs w:val="20"/>
                <w:shd w:val="clear" w:color="auto" w:fill="ffffff"/>
              </w:rPr>
            </w:pPr>
            <w:r>
              <w:rPr>
                <w:rFonts w:hint="eastAsia" w:ascii="宋体" w:hAnsi="宋体" w:eastAsia="宋体" w:cs="宋体"/>
                <w:bCs/>
                <w:sz w:val="20"/>
                <w:szCs w:val="20"/>
                <w:shd w:val="clear" w:color="auto" w:fill="ffffff"/>
              </w:rPr>
            </w:r>
            <w:r/>
          </w:p>
        </w:tc>
      </w:tr>
      <w:tr>
        <w:trPr>
          <w:trHeight w:val="567"/>
        </w:trPr>
        <w:tc>
          <w:tcPr>
            <w:tcW w:w="675" w:type="dxa"/>
            <w:vAlign w:val="center"/>
            <w:textDirection w:val="lrTb"/>
            <w:noWrap w:val="false"/>
          </w:tcPr>
          <w:p>
            <w:pPr>
              <w:jc w:val="center"/>
              <w:rPr>
                <w:rFonts w:hint="eastAsia" w:ascii="宋体" w:hAnsi="宋体" w:eastAsia="宋体" w:cs="宋体"/>
                <w:bCs/>
                <w:sz w:val="20"/>
                <w:szCs w:val="20"/>
                <w:shd w:val="clear" w:color="auto" w:fill="ffffff"/>
              </w:rPr>
            </w:pPr>
            <w:r>
              <w:rPr>
                <w:rFonts w:hint="eastAsia" w:ascii="宋体" w:hAnsi="宋体" w:eastAsia="宋体" w:cs="宋体"/>
                <w:bCs/>
                <w:sz w:val="20"/>
                <w:szCs w:val="20"/>
                <w:shd w:val="clear" w:color="auto" w:fill="ffffff"/>
              </w:rPr>
              <w:t xml:space="preserve">3</w:t>
            </w:r>
            <w:r/>
          </w:p>
        </w:tc>
        <w:tc>
          <w:tcPr>
            <w:tcW w:w="1276" w:type="dxa"/>
            <w:vAlign w:val="center"/>
            <w:textDirection w:val="lrTb"/>
            <w:noWrap w:val="false"/>
          </w:tcPr>
          <w:p>
            <w:pPr>
              <w:jc w:val="center"/>
              <w:rPr>
                <w:rFonts w:hint="eastAsia" w:ascii="宋体" w:hAnsi="宋体" w:eastAsia="宋体" w:cs="宋体"/>
                <w:bCs/>
                <w:sz w:val="20"/>
                <w:szCs w:val="20"/>
                <w:shd w:val="clear" w:color="auto" w:fill="ffffff"/>
              </w:rPr>
            </w:pPr>
            <w:r>
              <w:rPr>
                <w:rFonts w:ascii="宋体" w:hAnsi="宋体" w:eastAsia="宋体" w:cs="宋体"/>
                <w:bCs/>
                <w:sz w:val="20"/>
                <w:szCs w:val="20"/>
                <w:shd w:val="clear" w:color="auto" w:fill="ffffff"/>
              </w:rPr>
              <w:t xml:space="preserve">兼职网格员</w:t>
            </w:r>
            <w:r/>
          </w:p>
        </w:tc>
        <w:tc>
          <w:tcPr>
            <w:tcW w:w="1134" w:type="dxa"/>
            <w:vAlign w:val="center"/>
            <w:textDirection w:val="lrTb"/>
            <w:noWrap w:val="false"/>
          </w:tcPr>
          <w:p>
            <w:pPr>
              <w:jc w:val="center"/>
              <w:rPr>
                <w:rFonts w:hint="eastAsia" w:ascii="宋体" w:hAnsi="宋体" w:eastAsia="宋体" w:cs="宋体"/>
                <w:bCs/>
                <w:sz w:val="20"/>
                <w:szCs w:val="20"/>
                <w:shd w:val="clear" w:color="auto" w:fill="ffffff"/>
              </w:rPr>
            </w:pPr>
            <w:r>
              <w:rPr>
                <w:rFonts w:ascii="宋体" w:hAnsi="宋体" w:eastAsia="宋体" w:cs="宋体"/>
                <w:bCs/>
                <w:sz w:val="20"/>
                <w:szCs w:val="20"/>
                <w:shd w:val="clear" w:color="auto" w:fill="ffffff"/>
              </w:rPr>
              <w:t xml:space="preserve">4304</w:t>
            </w:r>
            <w:r/>
          </w:p>
        </w:tc>
        <w:tc>
          <w:tcPr>
            <w:tcW w:w="1276" w:type="dxa"/>
            <w:vAlign w:val="center"/>
            <w:textDirection w:val="lrTb"/>
            <w:noWrap w:val="false"/>
          </w:tcPr>
          <w:p>
            <w:pPr>
              <w:jc w:val="center"/>
              <w:rPr>
                <w:rFonts w:hint="eastAsia" w:ascii="宋体" w:hAnsi="宋体" w:eastAsia="宋体" w:cs="宋体"/>
                <w:bCs/>
                <w:sz w:val="20"/>
                <w:szCs w:val="20"/>
                <w:shd w:val="clear" w:color="auto" w:fill="ffffff"/>
              </w:rPr>
            </w:pPr>
            <w:r>
              <w:rPr>
                <w:rFonts w:hint="eastAsia" w:ascii="宋体" w:hAnsi="宋体" w:eastAsia="宋体" w:cs="宋体"/>
                <w:bCs/>
                <w:sz w:val="20"/>
                <w:szCs w:val="20"/>
                <w:shd w:val="clear" w:color="auto" w:fill="ffffff"/>
              </w:rPr>
              <w:t xml:space="preserve">2</w:t>
            </w:r>
            <w:r/>
          </w:p>
        </w:tc>
        <w:tc>
          <w:tcPr>
            <w:tcW w:w="2126" w:type="dxa"/>
            <w:vAlign w:val="center"/>
            <w:textDirection w:val="lrTb"/>
            <w:noWrap w:val="false"/>
          </w:tcPr>
          <w:p>
            <w:pPr>
              <w:jc w:val="right"/>
              <w:rPr>
                <w:rFonts w:hint="eastAsia" w:ascii="宋体" w:hAnsi="宋体" w:eastAsia="宋体" w:cs="宋体"/>
                <w:bCs/>
                <w:sz w:val="20"/>
                <w:szCs w:val="20"/>
                <w:shd w:val="clear" w:color="auto" w:fill="ffffff"/>
              </w:rPr>
            </w:pPr>
            <w:r>
              <w:rPr>
                <w:rFonts w:hint="eastAsia" w:ascii="宋体" w:hAnsi="宋体" w:eastAsia="宋体" w:cs="宋体"/>
                <w:bCs/>
                <w:sz w:val="20"/>
                <w:szCs w:val="20"/>
                <w:shd w:val="clear" w:color="auto" w:fill="ffffff"/>
              </w:rPr>
              <w:t xml:space="preserve">元/人/年</w:t>
            </w:r>
            <w:r/>
          </w:p>
        </w:tc>
        <w:tc>
          <w:tcPr>
            <w:tcW w:w="1922" w:type="dxa"/>
            <w:vAlign w:val="center"/>
            <w:textDirection w:val="lrTb"/>
            <w:noWrap w:val="false"/>
          </w:tcPr>
          <w:p>
            <w:pPr>
              <w:jc w:val="center"/>
              <w:rPr>
                <w:rFonts w:hint="eastAsia" w:ascii="宋体" w:hAnsi="宋体" w:eastAsia="宋体" w:cs="宋体"/>
                <w:bCs/>
                <w:sz w:val="20"/>
                <w:szCs w:val="20"/>
                <w:shd w:val="clear" w:color="auto" w:fill="ffffff"/>
              </w:rPr>
            </w:pPr>
            <w:r>
              <w:rPr>
                <w:rFonts w:hint="eastAsia" w:ascii="宋体" w:hAnsi="宋体" w:eastAsia="宋体" w:cs="宋体"/>
                <w:bCs/>
                <w:sz w:val="20"/>
                <w:szCs w:val="20"/>
                <w:shd w:val="clear" w:color="auto" w:fill="ffffff"/>
              </w:rPr>
              <w:t xml:space="preserve">120元/人/年</w:t>
            </w:r>
            <w:r/>
          </w:p>
        </w:tc>
        <w:tc>
          <w:tcPr>
            <w:tcW w:w="1445" w:type="dxa"/>
            <w:vAlign w:val="center"/>
            <w:textDirection w:val="lrTb"/>
            <w:noWrap w:val="false"/>
          </w:tcPr>
          <w:p>
            <w:pPr>
              <w:jc w:val="center"/>
              <w:rPr>
                <w:rFonts w:hint="eastAsia" w:ascii="宋体" w:hAnsi="宋体" w:eastAsia="宋体" w:cs="宋体"/>
                <w:bCs/>
                <w:sz w:val="20"/>
                <w:szCs w:val="20"/>
                <w:shd w:val="clear" w:color="auto" w:fill="ffffff"/>
              </w:rPr>
            </w:pPr>
            <w:r>
              <w:rPr>
                <w:rFonts w:hint="eastAsia" w:ascii="宋体" w:hAnsi="宋体" w:eastAsia="宋体" w:cs="宋体"/>
                <w:bCs/>
                <w:sz w:val="20"/>
                <w:szCs w:val="20"/>
                <w:shd w:val="clear" w:color="auto" w:fill="ffffff"/>
              </w:rPr>
            </w:r>
            <w:r/>
          </w:p>
        </w:tc>
      </w:tr>
      <w:tr>
        <w:trPr>
          <w:trHeight w:val="567"/>
        </w:trPr>
        <w:tc>
          <w:tcPr>
            <w:gridSpan w:val="6"/>
            <w:tcW w:w="8409" w:type="dxa"/>
            <w:vAlign w:val="center"/>
            <w:textDirection w:val="lrTb"/>
            <w:noWrap w:val="false"/>
          </w:tcPr>
          <w:p>
            <w:pPr>
              <w:jc w:val="center"/>
              <w:rPr>
                <w:rFonts w:hint="eastAsia" w:ascii="宋体" w:hAnsi="宋体" w:eastAsia="宋体" w:cs="宋体"/>
                <w:bCs/>
                <w:sz w:val="20"/>
                <w:szCs w:val="20"/>
                <w:shd w:val="clear" w:color="auto" w:fill="ffffff"/>
              </w:rPr>
            </w:pPr>
            <w:r>
              <w:rPr>
                <w:rFonts w:hint="eastAsia" w:ascii="宋体" w:hAnsi="宋体" w:eastAsia="宋体" w:cs="宋体"/>
                <w:bCs/>
                <w:sz w:val="20"/>
                <w:szCs w:val="20"/>
                <w:shd w:val="clear" w:color="auto" w:fill="ffffff"/>
              </w:rPr>
              <w:t xml:space="preserve">合计</w:t>
            </w:r>
            <w:r/>
          </w:p>
        </w:tc>
        <w:tc>
          <w:tcPr>
            <w:tcW w:w="1445" w:type="dxa"/>
            <w:vAlign w:val="center"/>
            <w:textDirection w:val="lrTb"/>
            <w:noWrap w:val="false"/>
          </w:tcPr>
          <w:p>
            <w:pPr>
              <w:jc w:val="center"/>
              <w:rPr>
                <w:rFonts w:hint="eastAsia" w:ascii="宋体" w:hAnsi="宋体" w:eastAsia="宋体" w:cs="宋体"/>
                <w:bCs/>
                <w:sz w:val="20"/>
                <w:szCs w:val="20"/>
                <w:shd w:val="clear" w:color="auto" w:fill="ffffff"/>
              </w:rPr>
            </w:pPr>
            <w:r>
              <w:rPr>
                <w:rFonts w:hint="eastAsia" w:ascii="宋体" w:hAnsi="宋体" w:eastAsia="宋体" w:cs="宋体"/>
                <w:bCs/>
                <w:sz w:val="20"/>
                <w:szCs w:val="20"/>
                <w:shd w:val="clear" w:color="auto" w:fill="ffffff"/>
              </w:rPr>
            </w:r>
            <w:r/>
          </w:p>
        </w:tc>
      </w:tr>
    </w:tbl>
    <w:p>
      <w:pP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注：投标单价不得超过各项单价最高限价金额。</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spacing w:line="360" w:lineRule="auto"/>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br w:type="page" w:clear="all"/>
      </w:r>
      <w:r/>
    </w:p>
    <w:p>
      <w:pPr>
        <w:spacing w:line="360" w:lineRule="auto"/>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5、</w:t>
      </w:r>
      <w:r>
        <w:rPr>
          <w:rFonts w:ascii="宋体" w:hAnsi="宋体" w:eastAsia="宋体" w:cs="宋体"/>
          <w:b/>
          <w:sz w:val="24"/>
          <w:szCs w:val="24"/>
          <w:shd w:val="clear" w:color="auto" w:fill="ffffff"/>
        </w:rPr>
        <w:t xml:space="preserve">保险条款说明</w:t>
      </w:r>
      <w:r/>
    </w:p>
    <w:p>
      <w:pPr>
        <w:jc w:val="center"/>
        <w:spacing w:before="240"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jc w:val="center"/>
        <w:spacing w:before="240" w:line="360" w:lineRule="auto"/>
        <w:rPr>
          <w:rFonts w:hint="eastAsia" w:ascii="宋体" w:hAnsi="宋体" w:eastAsia="宋体" w:cs="宋体"/>
          <w:b/>
          <w:sz w:val="24"/>
          <w:szCs w:val="24"/>
          <w:shd w:val="clear" w:color="auto" w:fill="ffffff"/>
        </w:rPr>
      </w:pPr>
      <w:r>
        <w:rPr>
          <w:rFonts w:ascii="宋体" w:hAnsi="宋体" w:eastAsia="宋体" w:cs="宋体"/>
          <w:b/>
          <w:sz w:val="24"/>
          <w:szCs w:val="24"/>
          <w:shd w:val="clear" w:color="auto" w:fill="ffffff"/>
        </w:rPr>
        <w:t xml:space="preserve">保险条款说明</w:t>
      </w:r>
      <w:r/>
    </w:p>
    <w:p>
      <w:pPr>
        <w:jc w:val="center"/>
        <w:spacing w:before="240"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致：</w:t>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1、对于采购文件中涉及的险种条款及相关措辞，完全符合承保条件的要求，现附如下：</w:t>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2、特别说明：</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spacing w:line="360" w:lineRule="auto"/>
        <w:rPr>
          <w:rFonts w:hint="eastAsia" w:ascii="宋体" w:hAnsi="宋体" w:eastAsia="宋体" w:cs="宋体"/>
          <w:bCs/>
          <w:sz w:val="24"/>
          <w:szCs w:val="24"/>
          <w:shd w:val="clear" w:color="auto" w:fill="ffffff"/>
          <w:lang w:val="zh-CN"/>
        </w:rPr>
        <w:outlineLvl w:val="1"/>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6、服务或技术要求偏离表</w:t>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服务或技术要求偏离表</w:t>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tbl>
      <w:tblPr>
        <w:tblStyle w:val="97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t xml:space="preserve">序号</w:t>
            </w:r>
            <w:r/>
          </w:p>
        </w:tc>
        <w:tc>
          <w:tcPr>
            <w:tcW w:w="748"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t xml:space="preserve">采购内容</w:t>
            </w:r>
            <w:r/>
          </w:p>
        </w:tc>
        <w:tc>
          <w:tcPr>
            <w:tcW w:w="938"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t xml:space="preserve">采购要求</w:t>
            </w:r>
            <w:r/>
          </w:p>
        </w:tc>
        <w:tc>
          <w:tcPr>
            <w:tcW w:w="834"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t xml:space="preserve">响应情况</w:t>
            </w:r>
            <w:r/>
          </w:p>
        </w:tc>
        <w:tc>
          <w:tcPr>
            <w:tcW w:w="984"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t xml:space="preserve">偏离/响应</w:t>
            </w:r>
            <w:r/>
          </w:p>
        </w:tc>
        <w:tc>
          <w:tcPr>
            <w:tcW w:w="1017"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479"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r>
    </w:tbl>
    <w:p>
      <w:pPr>
        <w:pStyle w:val="1018"/>
        <w:ind w:firstLine="520"/>
        <w:rPr>
          <w:rFonts w:hint="eastAsia" w:ascii="宋体" w:hAnsi="宋体" w:eastAsia="宋体" w:cs="宋体"/>
        </w:rPr>
      </w:pPr>
      <w:r>
        <w:rPr>
          <w:rFonts w:hint="eastAsia" w:ascii="宋体" w:hAnsi="宋体" w:eastAsia="宋体" w:cs="宋体"/>
        </w:rPr>
      </w:r>
      <w:r/>
    </w:p>
    <w:p>
      <w:pPr>
        <w:ind w:firstLine="482"/>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注：</w:t>
      </w:r>
      <w:r/>
    </w:p>
    <w:p>
      <w:pPr>
        <w:ind w:firstLine="482"/>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lang w:eastAsia="zh"/>
        </w:rPr>
        <w:t xml:space="preserve">、本表不作为响应单位对所响应标的物</w:t>
      </w:r>
      <w:r>
        <w:rPr>
          <w:rFonts w:hint="eastAsia" w:ascii="宋体" w:hAnsi="宋体" w:eastAsia="宋体" w:cs="宋体"/>
          <w:b/>
          <w:sz w:val="24"/>
          <w:szCs w:val="24"/>
          <w:shd w:val="clear" w:color="auto" w:fill="ffffff"/>
        </w:rPr>
        <w:t xml:space="preserve">服务</w:t>
      </w:r>
      <w:r>
        <w:rPr>
          <w:rFonts w:hint="eastAsia" w:ascii="宋体" w:hAnsi="宋体" w:eastAsia="宋体" w:cs="宋体"/>
          <w:b/>
          <w:sz w:val="24"/>
          <w:szCs w:val="24"/>
          <w:shd w:val="clear" w:color="auto" w:fill="ffffff"/>
          <w:lang w:eastAsia="zh"/>
        </w:rPr>
        <w:t xml:space="preserve">条款详细描述和说明的替代。</w:t>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br w:type="page" w:clear="all"/>
      </w:r>
      <w:r/>
    </w:p>
    <w:p>
      <w:pPr>
        <w:spacing w:line="360" w:lineRule="auto"/>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7、商务要求偏离表</w:t>
      </w:r>
      <w:r/>
    </w:p>
    <w:p>
      <w:pPr>
        <w:jc w:val="center"/>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r>
      <w:r/>
    </w:p>
    <w:p>
      <w:pPr>
        <w:jc w:val="center"/>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商务要求偏离表</w:t>
      </w:r>
      <w:r/>
    </w:p>
    <w:p>
      <w:pPr>
        <w:jc w:val="center"/>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bl>
      <w:tblPr>
        <w:tblStyle w:val="97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t xml:space="preserve">序号</w:t>
            </w:r>
            <w:r/>
          </w:p>
        </w:tc>
        <w:tc>
          <w:tcPr>
            <w:tcW w:w="748"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t xml:space="preserve">采购内容</w:t>
            </w:r>
            <w:r/>
          </w:p>
        </w:tc>
        <w:tc>
          <w:tcPr>
            <w:tcW w:w="938"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t xml:space="preserve">采购要求</w:t>
            </w:r>
            <w:r/>
          </w:p>
        </w:tc>
        <w:tc>
          <w:tcPr>
            <w:tcW w:w="834"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t xml:space="preserve">响应情况</w:t>
            </w:r>
            <w:r/>
          </w:p>
        </w:tc>
        <w:tc>
          <w:tcPr>
            <w:tcW w:w="984"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t xml:space="preserve">偏离/响应</w:t>
            </w:r>
            <w:r/>
          </w:p>
        </w:tc>
        <w:tc>
          <w:tcPr>
            <w:tcW w:w="1017"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479"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1139"/>
              <w:ind w:firstLine="0"/>
              <w:jc w:val="center"/>
              <w:rPr>
                <w:rFonts w:hint="eastAsia" w:ascii="宋体" w:hAnsi="宋体" w:eastAsia="宋体" w:cs="宋体"/>
                <w:szCs w:val="24"/>
              </w:rPr>
            </w:pPr>
            <w:r>
              <w:rPr>
                <w:rFonts w:hint="eastAsia" w:ascii="宋体" w:hAnsi="宋体" w:eastAsia="宋体" w:cs="宋体"/>
                <w:szCs w:val="24"/>
              </w:rPr>
            </w:r>
            <w:r/>
          </w:p>
        </w:tc>
      </w:tr>
    </w:tbl>
    <w:p>
      <w:pPr>
        <w:ind w:firstLine="482"/>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ind w:firstLine="482"/>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注：</w:t>
      </w:r>
      <w:r/>
    </w:p>
    <w:p>
      <w:pPr>
        <w:ind w:firstLine="482"/>
        <w:rPr>
          <w:rFonts w:hint="eastAsia"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lang w:eastAsia="zh"/>
        </w:rPr>
        <w:t xml:space="preserve">、本表不作为响应单位对所响应标的物商务条款详细描述和说明的替代。</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sz w:val="24"/>
          <w:szCs w:val="20"/>
        </w:rPr>
      </w:pPr>
      <w:r>
        <w:rPr>
          <w:rFonts w:hint="eastAsia" w:ascii="宋体" w:hAnsi="宋体" w:eastAsia="宋体" w:cs="宋体"/>
          <w:sz w:val="24"/>
          <w:szCs w:val="20"/>
        </w:rPr>
        <w:br w:type="page" w:clear="all"/>
      </w:r>
      <w:r/>
    </w:p>
    <w:p>
      <w:pPr>
        <w:spacing w:line="360" w:lineRule="auto"/>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8、</w:t>
      </w:r>
      <w:r>
        <w:rPr>
          <w:rFonts w:ascii="宋体" w:hAnsi="宋体" w:eastAsia="宋体" w:cs="宋体"/>
          <w:b/>
          <w:sz w:val="24"/>
          <w:szCs w:val="24"/>
          <w:shd w:val="clear" w:color="auto" w:fill="ffffff"/>
        </w:rPr>
        <w:t xml:space="preserve">配备人员一览表</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rPr>
          <w:rFonts w:hint="eastAsia" w:ascii="宋体" w:hAnsi="宋体" w:eastAsia="宋体" w:cs="宋体"/>
          <w:b/>
          <w:bCs/>
          <w:sz w:val="24"/>
          <w:szCs w:val="24"/>
        </w:rPr>
      </w:pPr>
      <w:r>
        <w:rPr>
          <w:rFonts w:ascii="宋体" w:hAnsi="宋体" w:eastAsia="宋体" w:cs="宋体"/>
          <w:b/>
          <w:bCs/>
          <w:sz w:val="24"/>
          <w:szCs w:val="24"/>
        </w:rPr>
        <w:t xml:space="preserve">配备人员一览表</w:t>
      </w:r>
      <w:r/>
    </w:p>
    <w:p>
      <w:pPr>
        <w:jc w:val="center"/>
        <w:spacing w:line="360" w:lineRule="auto"/>
        <w:rPr>
          <w:rFonts w:hint="eastAsia" w:ascii="宋体" w:hAnsi="宋体" w:eastAsia="宋体" w:cs="宋体"/>
          <w:b/>
          <w:bCs/>
          <w:sz w:val="26"/>
          <w:szCs w:val="20"/>
        </w:rPr>
      </w:pPr>
      <w:r>
        <w:rPr>
          <w:rFonts w:hint="eastAsia" w:ascii="宋体" w:hAnsi="宋体" w:eastAsia="宋体" w:cs="宋体"/>
          <w:b/>
          <w:bCs/>
          <w:sz w:val="26"/>
          <w:szCs w:val="20"/>
        </w:rPr>
      </w:r>
      <w:r/>
    </w:p>
    <w:tbl>
      <w:tblPr>
        <w:tblStyle w:val="977"/>
        <w:tblW w:w="5000"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74"/>
        <w:gridCol w:w="1545"/>
        <w:gridCol w:w="2004"/>
        <w:gridCol w:w="1190"/>
        <w:gridCol w:w="1265"/>
        <w:gridCol w:w="1198"/>
        <w:gridCol w:w="1678"/>
      </w:tblGrid>
      <w:tr>
        <w:trPr>
          <w:jc w:val="center"/>
          <w:trHeight w:val="980"/>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t xml:space="preserve">岗位</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t xml:space="preserve">项目组所任职务</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t xml:space="preserve">性别</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t xml:space="preserve">联系电话</w:t>
            </w:r>
            <w:r/>
          </w:p>
        </w:tc>
      </w:tr>
      <w:tr>
        <w:trPr>
          <w:jc w:val="center"/>
          <w:trHeight w:val="603"/>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r>
      <w:tr>
        <w:trPr>
          <w:jc w:val="center"/>
          <w:trHeight w:val="603"/>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r>
      <w:tr>
        <w:trPr>
          <w:jc w:val="center"/>
          <w:trHeight w:val="603"/>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r>
      <w:tr>
        <w:trPr>
          <w:jc w:val="center"/>
          <w:trHeight w:val="603"/>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r>
      <w:tr>
        <w:trPr>
          <w:jc w:val="center"/>
          <w:trHeight w:val="603"/>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t xml:space="preserve">5</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r>
      <w:tr>
        <w:trPr>
          <w:jc w:val="center"/>
          <w:trHeight w:val="603"/>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t xml:space="preserve">6</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r>
      <w:tr>
        <w:trPr>
          <w:jc w:val="center"/>
          <w:trHeight w:val="603"/>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t xml:space="preserve">7</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r>
      <w:tr>
        <w:trPr>
          <w:jc w:val="center"/>
          <w:trHeight w:val="603"/>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t xml:space="preserve">8</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r>
      <w:tr>
        <w:trPr>
          <w:jc w:val="center"/>
          <w:trHeight w:val="603"/>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t xml:space="preserve">9</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r>
            <w:r/>
          </w:p>
        </w:tc>
      </w:tr>
      <w:tr>
        <w:trPr>
          <w:jc w:val="center"/>
          <w:trHeight w:val="603"/>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widowControl/>
              <w:rPr>
                <w:rFonts w:hint="eastAsia" w:cs="宋体" w:asciiTheme="minorEastAsia" w:hAnsiTheme="minorEastAsia"/>
                <w:sz w:val="24"/>
                <w:szCs w:val="24"/>
              </w:rPr>
            </w:pPr>
            <w:r>
              <w:rPr>
                <w:rFonts w:hint="eastAsia" w:cs="宋体" w:asciiTheme="minorEastAsia" w:hAnsiTheme="minorEastAsia"/>
                <w:sz w:val="24"/>
                <w:szCs w:val="24"/>
              </w:rPr>
            </w:r>
            <w:r/>
          </w:p>
        </w:tc>
      </w:tr>
      <w:tr>
        <w:trPr>
          <w:jc w:val="center"/>
          <w:trHeight w:val="603"/>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widowControl/>
              <w:rPr>
                <w:rFonts w:hint="eastAsia" w:cs="宋体" w:asciiTheme="minorEastAsia" w:hAnsiTheme="minorEastAsia"/>
                <w:sz w:val="24"/>
                <w:szCs w:val="24"/>
              </w:rPr>
            </w:pPr>
            <w:r>
              <w:rPr>
                <w:rFonts w:hint="eastAsia" w:cs="宋体" w:asciiTheme="minorEastAsia" w:hAnsiTheme="minorEastAsia"/>
                <w:sz w:val="24"/>
                <w:szCs w:val="24"/>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widowControl/>
              <w:rPr>
                <w:rFonts w:hint="eastAsia" w:cs="宋体" w:asciiTheme="minorEastAsia" w:hAnsiTheme="minorEastAsia"/>
                <w:sz w:val="24"/>
                <w:szCs w:val="24"/>
              </w:rPr>
            </w:pPr>
            <w:r>
              <w:rPr>
                <w:rFonts w:hint="eastAsia" w:cs="宋体" w:asciiTheme="minorEastAsia" w:hAnsiTheme="minorEastAsia"/>
                <w:sz w:val="24"/>
                <w:szCs w:val="24"/>
              </w:rPr>
              <w:t xml:space="preserve">…</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widowControl/>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widowControl/>
              <w:rPr>
                <w:rFonts w:hint="eastAsia" w:cs="宋体" w:asciiTheme="minorEastAsia" w:hAnsiTheme="minorEastAsia"/>
                <w:sz w:val="24"/>
                <w:szCs w:val="24"/>
              </w:rPr>
            </w:pPr>
            <w:r>
              <w:rPr>
                <w:rFonts w:hint="eastAsia" w:cs="宋体" w:asciiTheme="minorEastAsia" w:hAnsiTheme="minorEastAsia"/>
                <w:sz w:val="24"/>
                <w:szCs w:val="24"/>
              </w:rPr>
            </w:r>
            <w:r/>
          </w:p>
        </w:tc>
      </w:tr>
    </w:tbl>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b/>
          <w:sz w:val="24"/>
          <w:szCs w:val="21"/>
        </w:rPr>
      </w:pPr>
      <w:r>
        <w:rPr>
          <w:rFonts w:hint="eastAsia" w:ascii="宋体" w:hAnsi="宋体" w:eastAsia="宋体" w:cs="宋体"/>
          <w:sz w:val="24"/>
          <w:szCs w:val="24"/>
        </w:rPr>
        <w:t xml:space="preserve">日期：　　　年　　月　　日</w:t>
      </w:r>
      <w:r>
        <w:rPr>
          <w:rFonts w:hint="eastAsia" w:ascii="宋体" w:hAnsi="宋体" w:eastAsia="宋体" w:cs="宋体"/>
          <w:b/>
          <w:sz w:val="24"/>
          <w:szCs w:val="21"/>
        </w:rPr>
        <w:br w:type="page" w:clear="all"/>
      </w:r>
      <w:r/>
    </w:p>
    <w:p>
      <w:pPr>
        <w:spacing w:line="360" w:lineRule="auto"/>
        <w:rPr>
          <w:rFonts w:hint="eastAsia" w:ascii="宋体" w:hAnsi="宋体" w:eastAsia="宋体" w:cs="宋体"/>
          <w:b/>
          <w:sz w:val="24"/>
          <w:szCs w:val="24"/>
        </w:rPr>
        <w:outlineLvl w:val="1"/>
      </w:pPr>
      <w:r>
        <w:rPr>
          <w:rFonts w:hint="eastAsia" w:ascii="宋体" w:hAnsi="宋体" w:eastAsia="宋体" w:cs="宋体"/>
          <w:b/>
          <w:sz w:val="24"/>
          <w:szCs w:val="21"/>
        </w:rPr>
        <w:t xml:space="preserve">9、</w:t>
      </w:r>
      <w:r>
        <w:rPr>
          <w:rFonts w:ascii="宋体" w:hAnsi="宋体" w:eastAsia="宋体" w:cs="宋体"/>
          <w:b/>
          <w:sz w:val="24"/>
          <w:szCs w:val="21"/>
        </w:rPr>
        <w:t xml:space="preserve">类似项目一览表</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auto"/>
        <w:rPr>
          <w:rFonts w:hint="eastAsia" w:ascii="宋体" w:hAnsi="宋体" w:eastAsia="宋体" w:cs="宋体"/>
          <w:b/>
          <w:sz w:val="24"/>
          <w:szCs w:val="24"/>
        </w:rPr>
      </w:pPr>
      <w:r>
        <w:rPr>
          <w:rFonts w:ascii="宋体" w:hAnsi="宋体" w:eastAsia="宋体" w:cs="宋体"/>
          <w:b/>
          <w:sz w:val="24"/>
          <w:szCs w:val="24"/>
        </w:rPr>
        <w:t xml:space="preserve">类似项目一览表</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tbl>
      <w:tblPr>
        <w:tblStyle w:val="97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1"/>
        <w:gridCol w:w="2081"/>
        <w:gridCol w:w="1673"/>
        <w:gridCol w:w="2038"/>
        <w:gridCol w:w="1793"/>
        <w:gridCol w:w="1228"/>
      </w:tblGrid>
      <w:tr>
        <w:trPr>
          <w:trHeight w:val="636"/>
        </w:trPr>
        <w:tc>
          <w:tcPr>
            <w:tcW w:w="528"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序号</w:t>
            </w:r>
            <w:r/>
          </w:p>
        </w:tc>
        <w:tc>
          <w:tcPr>
            <w:tcW w:w="1056"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承保项目名称</w:t>
            </w:r>
            <w:r/>
          </w:p>
        </w:tc>
        <w:tc>
          <w:tcPr>
            <w:tcW w:w="849"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保费规模</w:t>
            </w:r>
            <w:r/>
          </w:p>
        </w:tc>
        <w:tc>
          <w:tcPr>
            <w:tcW w:w="1034"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承保险种</w:t>
            </w:r>
            <w:r/>
          </w:p>
        </w:tc>
        <w:tc>
          <w:tcPr>
            <w:tcW w:w="910"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承保时间</w:t>
            </w:r>
            <w:r/>
          </w:p>
        </w:tc>
        <w:tc>
          <w:tcPr>
            <w:tcW w:w="623"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备注</w:t>
            </w:r>
            <w:r/>
          </w:p>
        </w:tc>
      </w:tr>
      <w:tr>
        <w:trPr>
          <w:trHeight w:val="636"/>
        </w:trPr>
        <w:tc>
          <w:tcPr>
            <w:tcW w:w="528"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tcW w:w="1056"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849"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1034"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910"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623"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trHeight w:val="636"/>
        </w:trPr>
        <w:tc>
          <w:tcPr>
            <w:tcW w:w="528"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w:t>
            </w:r>
            <w:r/>
          </w:p>
        </w:tc>
        <w:tc>
          <w:tcPr>
            <w:tcW w:w="1056"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849"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1034"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910"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623"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trHeight w:val="636"/>
        </w:trPr>
        <w:tc>
          <w:tcPr>
            <w:tcW w:w="528"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w:t>
            </w:r>
            <w:r/>
          </w:p>
        </w:tc>
        <w:tc>
          <w:tcPr>
            <w:tcW w:w="1056"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849"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1034"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910"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623"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trHeight w:val="636"/>
        </w:trPr>
        <w:tc>
          <w:tcPr>
            <w:tcW w:w="528"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4</w:t>
            </w:r>
            <w:r/>
          </w:p>
        </w:tc>
        <w:tc>
          <w:tcPr>
            <w:tcW w:w="1056"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849"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1034"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910"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623"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trHeight w:val="636"/>
        </w:trPr>
        <w:tc>
          <w:tcPr>
            <w:tcW w:w="528"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5</w:t>
            </w:r>
            <w:r/>
          </w:p>
        </w:tc>
        <w:tc>
          <w:tcPr>
            <w:tcW w:w="1056"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849"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1034"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910"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623"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trHeight w:val="636"/>
        </w:trPr>
        <w:tc>
          <w:tcPr>
            <w:tcW w:w="528" w:type="pct"/>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w:t>
            </w:r>
            <w:r/>
          </w:p>
        </w:tc>
        <w:tc>
          <w:tcPr>
            <w:tcW w:w="1056"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849"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1034"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910"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623"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bl>
    <w:p>
      <w:pPr>
        <w:pStyle w:val="987"/>
        <w:rPr>
          <w:rFonts w:ascii="宋体" w:hAnsi="宋体" w:eastAsia="宋体" w:cs="宋体"/>
        </w:rPr>
      </w:pPr>
      <w:r>
        <w:rPr>
          <w:rFonts w:ascii="宋体" w:hAnsi="宋体" w:eastAsia="宋体" w:cs="宋体"/>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
          <w:sz w:val="24"/>
          <w:szCs w:val="21"/>
        </w:rPr>
      </w:pPr>
      <w:r>
        <w:rPr>
          <w:rFonts w:hint="eastAsia" w:ascii="宋体" w:hAnsi="宋体" w:eastAsia="宋体" w:cs="宋体"/>
          <w:b/>
          <w:sz w:val="24"/>
          <w:szCs w:val="21"/>
        </w:rPr>
        <w:br w:type="page" w:clear="all"/>
      </w:r>
      <w:r/>
    </w:p>
    <w:p>
      <w:pPr>
        <w:spacing w:line="360" w:lineRule="auto"/>
        <w:rPr>
          <w:rFonts w:hint="eastAsia" w:ascii="宋体" w:hAnsi="宋体" w:eastAsia="宋体" w:cs="宋体"/>
          <w:b/>
          <w:sz w:val="24"/>
          <w:szCs w:val="20"/>
          <w:shd w:val="clear" w:color="auto" w:fill="ffffff"/>
        </w:rPr>
        <w:outlineLvl w:val="1"/>
      </w:pPr>
      <w:r>
        <w:rPr>
          <w:rFonts w:hint="eastAsia" w:ascii="宋体" w:hAnsi="宋体" w:eastAsia="宋体" w:cs="宋体"/>
          <w:b/>
          <w:sz w:val="24"/>
          <w:szCs w:val="21"/>
        </w:rPr>
        <w:t xml:space="preserve">10、资格证明文件</w:t>
      </w:r>
      <w:r/>
    </w:p>
    <w:p>
      <w:pPr>
        <w:spacing w:line="360" w:lineRule="auto"/>
        <w:rPr>
          <w:rFonts w:hint="eastAsia"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r>
      <w:r/>
    </w:p>
    <w:p>
      <w:pPr>
        <w:spacing w:line="360" w:lineRule="auto"/>
        <w:rPr>
          <w:rFonts w:hint="eastAsia"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（1）资格文件的声明函</w:t>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资格文件的声明函</w:t>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4"/>
          <w:u w:val="single"/>
          <w:shd w:val="clear" w:color="auto" w:fill="ffffff"/>
        </w:rPr>
        <w:t xml:space="preserve">苏州诚和招投标咨询有限公司</w:t>
      </w:r>
      <w:r>
        <w:rPr>
          <w:rFonts w:hint="eastAsia" w:ascii="宋体" w:hAnsi="宋体" w:eastAsia="宋体" w:cs="宋体"/>
          <w:sz w:val="24"/>
          <w:szCs w:val="24"/>
          <w:u w:val="single"/>
        </w:rPr>
        <w:t xml:space="preserve">：</w:t>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本公司愿就由贵司组织实施的编号为</w:t>
      </w:r>
      <w:r>
        <w:rPr>
          <w:rFonts w:ascii="宋体" w:hAnsi="宋体" w:eastAsia="宋体" w:cs="宋体"/>
          <w:sz w:val="24"/>
          <w:szCs w:val="20"/>
          <w:u w:val="single"/>
          <w:shd w:val="clear" w:color="auto" w:fill="ffffff"/>
        </w:rPr>
        <w:t xml:space="preserve">JSZC-320508-SZCH-G2026-0034</w:t>
      </w:r>
      <w:r>
        <w:rPr>
          <w:rFonts w:hint="eastAsia" w:ascii="宋体" w:hAnsi="宋体" w:eastAsia="宋体" w:cs="宋体"/>
          <w:sz w:val="24"/>
          <w:szCs w:val="20"/>
          <w:shd w:val="clear" w:color="auto" w:fill="ffffff"/>
        </w:rPr>
        <w:t xml:space="preserve">号的招标活动进行投标（响应）。本公司所提交的投标（响应）文件中所有关于投标（响应）资格的文件、证明和陈述均是真实的、准确的。若与真实情况不符，本公司愿意承担由此而产生的一切后果。</w:t>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rPr>
          <w:rFonts w:hint="eastAsia"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br w:type="page" w:clear="all"/>
      </w:r>
      <w:r/>
    </w:p>
    <w:p>
      <w:pPr>
        <w:spacing w:line="360" w:lineRule="auto"/>
        <w:rPr>
          <w:rFonts w:hint="eastAsia" w:ascii="宋体" w:hAnsi="宋体" w:eastAsia="宋体" w:cs="宋体"/>
          <w:b/>
          <w:sz w:val="24"/>
          <w:szCs w:val="20"/>
          <w:shd w:val="clear" w:color="auto" w:fill="ffffff"/>
        </w:rPr>
        <w:outlineLvl w:val="2"/>
      </w:pPr>
      <w:r/>
      <w:bookmarkStart w:id="55" w:name="_Hlk193378870"/>
      <w:r>
        <w:rPr>
          <w:rFonts w:hint="eastAsia" w:ascii="宋体" w:hAnsi="宋体" w:eastAsia="宋体" w:cs="宋体"/>
          <w:b/>
          <w:sz w:val="24"/>
          <w:szCs w:val="20"/>
          <w:shd w:val="clear" w:color="auto" w:fill="ffffff"/>
        </w:rPr>
        <w:t xml:space="preserve">（2）供应商基本情况表</w:t>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供应商基本情况表</w:t>
      </w:r>
      <w:r/>
    </w:p>
    <w:p>
      <w:pPr>
        <w:jc w:val="center"/>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单位名称：</w:t>
      </w:r>
      <w:r/>
    </w:p>
    <w:tbl>
      <w:tblPr>
        <w:tblStyle w:val="97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50"/>
        <w:gridCol w:w="2042"/>
        <w:gridCol w:w="1563"/>
        <w:gridCol w:w="2158"/>
        <w:gridCol w:w="1041"/>
      </w:tblGrid>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法定代表人（负责人）</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成立日期</w:t>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企业地址</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注册资本</w:t>
            </w:r>
            <w:r/>
          </w:p>
        </w:tc>
        <w:tc>
          <w:tcPr>
            <w:gridSpan w:val="2"/>
            <w:tcW w:w="1623" w:type="pct"/>
            <w:vAlign w:val="center"/>
            <w:textDirection w:val="lrTb"/>
            <w:noWrap w:val="false"/>
          </w:tcPr>
          <w:p>
            <w:pPr>
              <w:ind w:firstLine="2160"/>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万元</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经营范围</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职工人数</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gridSpan w:val="2"/>
            <w:tcW w:w="188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其中：有中高级以上职称的人数</w:t>
            </w:r>
            <w:r/>
          </w:p>
        </w:tc>
        <w:tc>
          <w:tcPr>
            <w:tcW w:w="52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资产总计</w:t>
            </w:r>
            <w:r/>
          </w:p>
        </w:tc>
        <w:tc>
          <w:tcPr>
            <w:tcW w:w="1036"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793"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净资产</w:t>
            </w:r>
            <w:r/>
          </w:p>
        </w:tc>
        <w:tc>
          <w:tcPr>
            <w:gridSpan w:val="2"/>
            <w:tcW w:w="1623" w:type="pct"/>
            <w:vAlign w:val="center"/>
            <w:textDirection w:val="lrTb"/>
            <w:noWrap w:val="false"/>
          </w:tcPr>
          <w:p>
            <w:pPr>
              <w:ind w:firstLine="96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r>
      <w:tr>
        <w:trPr>
          <w:cantSplit/>
          <w:jc w:val="center"/>
          <w:trHeight w:val="363"/>
        </w:trPr>
        <w:tc>
          <w:tcPr>
            <w:tcW w:w="1548"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股东权益</w:t>
            </w:r>
            <w:r/>
          </w:p>
        </w:tc>
        <w:tc>
          <w:tcPr>
            <w:tcW w:w="1036"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793"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销售收入</w:t>
            </w:r>
            <w:r/>
          </w:p>
        </w:tc>
        <w:tc>
          <w:tcPr>
            <w:gridSpan w:val="2"/>
            <w:tcW w:w="1623"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2025年    万元</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实现利润</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2025年  万元</w:t>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营业面积（含厂房面积）</w:t>
            </w:r>
            <w:r/>
          </w:p>
        </w:tc>
        <w:tc>
          <w:tcPr>
            <w:tcW w:w="1036" w:type="pct"/>
            <w:vAlign w:val="center"/>
            <w:textDirection w:val="lrTb"/>
            <w:noWrap w:val="false"/>
          </w:tcPr>
          <w:p>
            <w:pPr>
              <w:ind w:firstLine="96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平方米</w:t>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w:t>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自有面积      平方米</w:t>
            </w:r>
            <w:r/>
          </w:p>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承租面积      平方米</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单位简历及内设机构情况</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单位优势及特长</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是否处于被行政或司法机关责令停业或停止承接项目或停止投标（响应）资格</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最近2年内在经营过程中受到何种奖励或处分（包括情况和结果）</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最近3年内有无因售假、售劣或是其他原因被消费者投诉或起诉的情况及说明（包括解决方式和结果）</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最近3年内主要负责人有无因经济犯罪被司法机关追究的情况及说明</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获得技术认证的工程师及简介</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其他需要说明的情况</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bl>
    <w:p>
      <w:pPr>
        <w:ind w:right="105"/>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bookmarkEnd w:id="55"/>
      <w:r/>
      <w:r/>
    </w:p>
    <w:p>
      <w:pPr>
        <w:rPr>
          <w:rFonts w:hint="eastAsia"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br w:type="page" w:clear="all"/>
      </w:r>
      <w:r/>
    </w:p>
    <w:p>
      <w:pPr>
        <w:spacing w:line="360" w:lineRule="auto"/>
        <w:rPr>
          <w:rFonts w:hint="eastAsia"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（3）关于符合本国产品标准的声明函</w:t>
      </w:r>
      <w:r/>
    </w:p>
    <w:p>
      <w:pPr>
        <w:ind w:firstLine="200"/>
        <w:spacing w:line="360" w:lineRule="auto"/>
        <w:rPr>
          <w:rFonts w:hint="eastAsia" w:ascii="宋体" w:hAnsi="宋体" w:eastAsia="宋体" w:cs="宋体"/>
          <w:sz w:val="24"/>
          <w:szCs w:val="24"/>
        </w:rPr>
      </w:pPr>
      <w:r/>
      <w:bookmarkStart w:id="56" w:name="OLE_LINK6"/>
      <w:r/>
      <w:bookmarkStart w:id="57" w:name="OLE_LINK5"/>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关于符合本国产品标准的声明函</w:t>
      </w:r>
      <w:bookmarkEnd w:id="56"/>
      <w:r/>
      <w:bookmarkEnd w:id="57"/>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14"/>
        <w:ind w:firstLine="480"/>
        <w:jc w:val="both"/>
        <w:spacing w:beforeAutospacing="0" w:afterAutospacing="0" w:line="360" w:lineRule="auto"/>
        <w:rPr>
          <w:rFonts w:hint="eastAsia" w:ascii="宋体" w:hAnsi="宋体" w:eastAsia="宋体" w:cs="宋体"/>
          <w:color w:val="000000" w:themeColor="text1"/>
          <w:szCs w:val="24"/>
          <w14:textFill>
            <w14:solidFill>
              <w14:schemeClr w14:val="tx1"/>
            </w14:solidFill>
          </w14:textFill>
        </w:rPr>
      </w:pPr>
      <w:r/>
      <w:bookmarkStart w:id="58" w:name="OLE_LINK12"/>
      <w:r>
        <w:rPr>
          <w:rFonts w:hint="eastAsia" w:ascii="宋体" w:hAnsi="宋体" w:eastAsia="宋体" w:cs="宋体"/>
          <w:color w:val="000000" w:themeColor="text1"/>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4"/>
        <w:ind w:firstLine="480"/>
        <w:jc w:val="both"/>
        <w:spacing w:beforeAutospacing="0" w:afterAutospacing="0"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429260</wp:posOffset>
                </wp:positionH>
                <wp:positionV relativeFrom="paragraph">
                  <wp:posOffset>624840</wp:posOffset>
                </wp:positionV>
                <wp:extent cx="788035" cy="121920"/>
                <wp:effectExtent l="635" t="4445" r="11430" b="6985"/>
                <wp:wrapNone/>
                <wp:docPr id="6" name="直接箭头连接符 16"/>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3.8pt;mso-position-horizontal:absolute;mso-position-vertical-relative:text;margin-top:49.2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1630680</wp:posOffset>
                </wp:positionH>
                <wp:positionV relativeFrom="paragraph">
                  <wp:posOffset>633730</wp:posOffset>
                </wp:positionV>
                <wp:extent cx="876300" cy="120015"/>
                <wp:effectExtent l="635" t="4445" r="18415" b="8890"/>
                <wp:wrapNone/>
                <wp:docPr id="7"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28.4pt;mso-position-horizontal:absolute;mso-position-vertical-relative:text;margin-top:49.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4341495</wp:posOffset>
                </wp:positionH>
                <wp:positionV relativeFrom="paragraph">
                  <wp:posOffset>339090</wp:posOffset>
                </wp:positionV>
                <wp:extent cx="742950" cy="114300"/>
                <wp:effectExtent l="635" t="4445" r="18415" b="14604"/>
                <wp:wrapNone/>
                <wp:docPr id="8" name="直接箭头连接符 1"/>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41.8pt;mso-position-horizontal:absolute;mso-position-vertical-relative:text;margin-top:26.7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3339465</wp:posOffset>
                </wp:positionH>
                <wp:positionV relativeFrom="paragraph">
                  <wp:posOffset>361315</wp:posOffset>
                </wp:positionV>
                <wp:extent cx="816610" cy="103505"/>
                <wp:effectExtent l="635" t="4445" r="1905" b="6350"/>
                <wp:wrapNone/>
                <wp:docPr id="9" name="直接箭头连接符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262.9pt;mso-position-horizontal:absolute;mso-position-vertical-relative:text;margin-top:28.4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2089150</wp:posOffset>
                </wp:positionH>
                <wp:positionV relativeFrom="paragraph">
                  <wp:posOffset>358775</wp:posOffset>
                </wp:positionV>
                <wp:extent cx="816610" cy="76200"/>
                <wp:effectExtent l="635" t="4445" r="1905" b="14604"/>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164.5pt;mso-position-horizontal:absolute;mso-position-vertical-relative:text;margin-top:28.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4976495</wp:posOffset>
                </wp:positionH>
                <wp:positionV relativeFrom="paragraph">
                  <wp:posOffset>48895</wp:posOffset>
                </wp:positionV>
                <wp:extent cx="577215" cy="92075"/>
                <wp:effectExtent l="635" t="4445" r="12700" b="17780"/>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391.8pt;mso-position-horizontal:absolute;mso-position-vertical-relative:text;margin-top:3.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shd w:val="clear" w:color="auto" w:fill="ffffff"/>
          <w14:textFill>
            <w14:solidFill>
              <w14:schemeClr w14:val="tx1"/>
            </w14:solidFill>
          </w14:textFill>
        </w:rPr>
        <w:t xml:space="preserve">1.</w:t>
      </w:r>
      <w:r>
        <w:rPr>
          <w:rStyle w:val="1024"/>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w:t>
      </w:r>
      <w:r>
        <w:rPr>
          <w:rStyle w:val="1024"/>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szCs w:val="24"/>
          <w:shd w:val="clear" w:color="auto" w:fill="ffffff"/>
          <w14:textFill>
            <w14:solidFill>
              <w14:schemeClr w14:val="tx1"/>
            </w14:solidFill>
          </w14:textFill>
        </w:rPr>
        <w:t xml:space="preserve">，生产厂为</w:t>
      </w:r>
      <w:r>
        <w:rPr>
          <w:rStyle w:val="1024"/>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（厂名）</w:t>
      </w:r>
      <w:r>
        <w:rPr>
          <w:rStyle w:val="1024"/>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szCs w:val="24"/>
          <w:shd w:val="clear" w:color="auto" w:fill="ffffff"/>
          <w14:textFill>
            <w14:solidFill>
              <w14:schemeClr w14:val="tx1"/>
            </w14:solidFill>
          </w14:textFill>
        </w:rPr>
        <w:t xml:space="preserve">，厂址为</w:t>
      </w:r>
      <w:r>
        <w:rPr>
          <w:rStyle w:val="1024"/>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Cs w:val="24"/>
          <w:shd w:val="clear" w:color="auto" w:fill="ffffff"/>
          <w14:textFill>
            <w14:solidFill>
              <w14:schemeClr w14:val="tx1"/>
            </w14:solidFill>
          </w14:textFill>
        </w:rPr>
        <w:t xml:space="preserve">。</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 </w:t>
      </w:r>
      <w:r>
        <w:rPr>
          <w:rStyle w:val="1024"/>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 </w:t>
      </w:r>
      <w:r>
        <w:rPr>
          <w:rFonts w:hint="eastAsia" w:ascii="宋体" w:hAnsi="宋体" w:eastAsia="宋体" w:cs="宋体"/>
          <w:color w:val="000000" w:themeColor="text1"/>
          <w:szCs w:val="24"/>
          <w:shd w:val="clear" w:color="auto" w:fill="ffffff"/>
          <w14:textFill>
            <w14:solidFill>
              <w14:schemeClr w14:val="tx1"/>
            </w14:solidFill>
          </w14:textFill>
        </w:rPr>
        <w:t xml:space="preserve">的中国境内生产的组件成本占比≥</w:t>
      </w:r>
      <w:r>
        <w:rPr>
          <w:rStyle w:val="1024"/>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（规定比例）</w:t>
      </w:r>
      <w:r>
        <w:rPr>
          <w:rStyle w:val="1024"/>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3</w:t>
      </w:r>
      <w:r>
        <w:rPr>
          <w:rFonts w:hint="eastAsia" w:ascii="宋体" w:hAnsi="宋体" w:eastAsia="宋体" w:cs="宋体"/>
          <w:color w:val="000000" w:themeColor="text1"/>
          <w:szCs w:val="24"/>
          <w:shd w:val="clear" w:color="auto" w:fill="ffffff"/>
          <w14:textFill>
            <w14:solidFill>
              <w14:schemeClr w14:val="tx1"/>
            </w14:solidFill>
          </w14:textFill>
        </w:rPr>
        <w:t xml:space="preserve">。</w:t>
      </w:r>
      <w:r>
        <w:rPr>
          <w:rStyle w:val="1024"/>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Cs w:val="24"/>
          <w:shd w:val="clear" w:color="auto" w:fill="ffffff"/>
          <w14:textFill>
            <w14:solidFill>
              <w14:schemeClr w14:val="tx1"/>
            </w14:solidFill>
          </w14:textFill>
        </w:rPr>
        <w:t xml:space="preserve">的</w:t>
      </w:r>
      <w:r>
        <w:rPr>
          <w:rStyle w:val="1024"/>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（关键组件）</w:t>
      </w:r>
      <w:r>
        <w:rPr>
          <w:rStyle w:val="1024"/>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4</w:t>
      </w:r>
      <w:r>
        <w:rPr>
          <w:rFonts w:hint="eastAsia" w:ascii="宋体" w:hAnsi="宋体" w:eastAsia="宋体" w:cs="宋体"/>
          <w:color w:val="000000" w:themeColor="text1"/>
          <w:szCs w:val="24"/>
          <w:shd w:val="clear" w:color="auto" w:fill="ffffff"/>
          <w14:textFill>
            <w14:solidFill>
              <w14:schemeClr w14:val="tx1"/>
            </w14:solidFill>
          </w14:textFill>
        </w:rPr>
        <w:t xml:space="preserve">在中国境内生产。</w:t>
      </w:r>
      <w:r>
        <w:rPr>
          <w:rStyle w:val="1024"/>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Cs w:val="24"/>
          <w:shd w:val="clear" w:color="auto" w:fill="ffffff"/>
          <w14:textFill>
            <w14:solidFill>
              <w14:schemeClr w14:val="tx1"/>
            </w14:solidFill>
          </w14:textFill>
        </w:rPr>
        <w:t xml:space="preserve">的</w:t>
      </w:r>
      <w:r>
        <w:rPr>
          <w:rStyle w:val="1024"/>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（关键工序）</w:t>
      </w:r>
      <w:r>
        <w:rPr>
          <w:rStyle w:val="1024"/>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5</w:t>
      </w:r>
      <w:r>
        <w:rPr>
          <w:rFonts w:hint="eastAsia" w:ascii="宋体" w:hAnsi="宋体" w:eastAsia="宋体" w:cs="宋体"/>
          <w:color w:val="000000" w:themeColor="text1"/>
          <w:szCs w:val="24"/>
          <w:shd w:val="clear" w:color="auto" w:fill="ffffff"/>
          <w14:textFill>
            <w14:solidFill>
              <w14:schemeClr w14:val="tx1"/>
            </w14:solidFill>
          </w14:textFill>
        </w:rPr>
        <w:t xml:space="preserve">在中国境内完成。</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posOffset>115570</wp:posOffset>
                </wp:positionH>
                <wp:positionV relativeFrom="paragraph">
                  <wp:posOffset>624205</wp:posOffset>
                </wp:positionV>
                <wp:extent cx="806450" cy="107315"/>
                <wp:effectExtent l="635" t="4445" r="12065" b="21590"/>
                <wp:wrapNone/>
                <wp:docPr id="13" name="直接箭头连接符 7"/>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margin;margin-left:9.1pt;mso-position-horizontal:absolute;mso-position-vertical-relative:text;margin-top:49.1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4047490</wp:posOffset>
                </wp:positionH>
                <wp:positionV relativeFrom="paragraph">
                  <wp:posOffset>338455</wp:posOffset>
                </wp:positionV>
                <wp:extent cx="751205" cy="120015"/>
                <wp:effectExtent l="635" t="4445" r="10160" b="8890"/>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18.7pt;mso-position-horizontal:absolute;mso-position-vertical-relative:text;margin-top:26.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2861310</wp:posOffset>
                </wp:positionH>
                <wp:positionV relativeFrom="paragraph">
                  <wp:posOffset>353695</wp:posOffset>
                </wp:positionV>
                <wp:extent cx="849630" cy="120015"/>
                <wp:effectExtent l="635" t="4445" r="6985" b="8890"/>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25.3pt;mso-position-horizontal:absolute;mso-position-vertical-relative:text;margin-top:27.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1754505</wp:posOffset>
                </wp:positionH>
                <wp:positionV relativeFrom="paragraph">
                  <wp:posOffset>339725</wp:posOffset>
                </wp:positionV>
                <wp:extent cx="843915" cy="125730"/>
                <wp:effectExtent l="635" t="4445" r="12700" b="2222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138.2pt;mso-position-horizontal:absolute;mso-position-vertical-relative:text;margin-top:26.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7" name="直接箭头连接符 2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70528;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w:t xml:space="preserve">2.</w:t>
      </w:r>
      <w:r>
        <w:rPr>
          <w:rStyle w:val="1024"/>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，生产厂为</w:t>
      </w:r>
      <w:r>
        <w:rPr>
          <w:rStyle w:val="1024"/>
          <w:rFonts w:hint="eastAsia" w:ascii="宋体" w:hAnsi="宋体" w:eastAsia="宋体" w:cs="宋体"/>
          <w:i w:val="0"/>
          <w:color w:val="000000" w:themeColor="text1"/>
          <w:sz w:val="24"/>
          <w:szCs w:val="24"/>
          <w:u w:val="single"/>
          <w14:textFill>
            <w14:solidFill>
              <w14:schemeClr w14:val="tx1"/>
            </w14:solidFill>
          </w14:textFill>
        </w:rPr>
        <w:t xml:space="preserve">（厂名）</w:t>
      </w:r>
      <w:r>
        <w:rPr>
          <w:rFonts w:hint="eastAsia" w:ascii="宋体" w:hAnsi="宋体" w:eastAsia="宋体" w:cs="宋体"/>
          <w:color w:val="000000" w:themeColor="text1"/>
          <w:sz w:val="24"/>
          <w:szCs w:val="24"/>
          <w14:textFill>
            <w14:solidFill>
              <w14:schemeClr w14:val="tx1"/>
            </w14:solidFill>
          </w14:textFill>
        </w:rPr>
        <w:t xml:space="preserve">，厂址为</w:t>
      </w:r>
      <w:r>
        <w:rPr>
          <w:rStyle w:val="1024"/>
          <w:rFonts w:hint="eastAsia" w:ascii="宋体" w:hAnsi="宋体" w:eastAsia="宋体" w:cs="宋体"/>
          <w:i w:val="0"/>
          <w:color w:val="000000" w:themeColor="text1"/>
          <w:sz w:val="24"/>
          <w:szCs w:val="24"/>
          <w:u w:val="single"/>
          <w14:textFill>
            <w14:solidFill>
              <w14:schemeClr w14:val="tx1"/>
            </w14:solidFill>
          </w14:textFill>
        </w:rPr>
        <w:t xml:space="preserve">（生产厂址）</w:t>
      </w:r>
      <w:r>
        <w:rPr>
          <w:rFonts w:hint="eastAsia" w:ascii="宋体" w:hAnsi="宋体" w:eastAsia="宋体" w:cs="宋体"/>
          <w:color w:val="000000" w:themeColor="text1"/>
          <w:sz w:val="24"/>
          <w:szCs w:val="24"/>
          <w14:textFill>
            <w14:solidFill>
              <w14:schemeClr w14:val="tx1"/>
            </w14:solidFill>
          </w14:textFill>
        </w:rPr>
        <w:t xml:space="preserve">。</w:t>
      </w:r>
      <w:r>
        <w:rPr>
          <w:rStyle w:val="1024"/>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的中国境内生产的组件成本占比≥</w:t>
      </w:r>
      <w:r>
        <w:rPr>
          <w:rStyle w:val="1024"/>
          <w:rFonts w:hint="eastAsia" w:ascii="宋体" w:hAnsi="宋体" w:eastAsia="宋体" w:cs="宋体"/>
          <w:i w:val="0"/>
          <w:color w:val="000000" w:themeColor="text1"/>
          <w:sz w:val="24"/>
          <w:szCs w:val="24"/>
          <w:u w:val="single"/>
          <w14:textFill>
            <w14:solidFill>
              <w14:schemeClr w14:val="tx1"/>
            </w14:solidFill>
          </w14:textFill>
        </w:rPr>
        <w:t xml:space="preserve">（规定比例）</w:t>
      </w:r>
      <w:r>
        <w:rPr>
          <w:rFonts w:hint="eastAsia" w:ascii="宋体" w:hAnsi="宋体" w:eastAsia="宋体" w:cs="宋体"/>
          <w:color w:val="000000" w:themeColor="text1"/>
          <w:sz w:val="24"/>
          <w:szCs w:val="24"/>
          <w14:textFill>
            <w14:solidFill>
              <w14:schemeClr w14:val="tx1"/>
            </w14:solidFill>
          </w14:textFill>
        </w:rPr>
        <w:t xml:space="preserve">。</w:t>
      </w:r>
      <w:r>
        <w:rPr>
          <w:rStyle w:val="1024"/>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的</w:t>
      </w:r>
      <w:r>
        <w:rPr>
          <w:rStyle w:val="1024"/>
          <w:rFonts w:hint="eastAsia" w:ascii="宋体" w:hAnsi="宋体" w:eastAsia="宋体" w:cs="宋体"/>
          <w:i w:val="0"/>
          <w:color w:val="000000" w:themeColor="text1"/>
          <w:sz w:val="24"/>
          <w:szCs w:val="24"/>
          <w:u w:val="single"/>
          <w14:textFill>
            <w14:solidFill>
              <w14:schemeClr w14:val="tx1"/>
            </w14:solidFill>
          </w14:textFill>
        </w:rPr>
        <w:t xml:space="preserve">（关键组件）</w:t>
      </w:r>
      <w:r>
        <w:rPr>
          <w:rFonts w:hint="eastAsia" w:ascii="宋体" w:hAnsi="宋体" w:eastAsia="宋体" w:cs="宋体"/>
          <w:color w:val="000000" w:themeColor="text1"/>
          <w:sz w:val="24"/>
          <w:szCs w:val="24"/>
          <w14:textFill>
            <w14:solidFill>
              <w14:schemeClr w14:val="tx1"/>
            </w14:solidFill>
          </w14:textFill>
        </w:rPr>
        <w:t xml:space="preserve">在中国境内生产。</w:t>
      </w:r>
      <w:r>
        <w:rPr>
          <w:rStyle w:val="1024"/>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的</w:t>
      </w:r>
      <w:r>
        <w:rPr>
          <w:rStyle w:val="1024"/>
          <w:rFonts w:hint="eastAsia" w:ascii="宋体" w:hAnsi="宋体" w:eastAsia="宋体" w:cs="宋体"/>
          <w:i w:val="0"/>
          <w:color w:val="000000" w:themeColor="text1"/>
          <w:sz w:val="24"/>
          <w:szCs w:val="24"/>
          <w:u w:val="single"/>
          <w14:textFill>
            <w14:solidFill>
              <w14:schemeClr w14:val="tx1"/>
            </w14:solidFill>
          </w14:textFill>
        </w:rPr>
        <w:t xml:space="preserve">（关键工序）</w:t>
      </w:r>
      <w:r>
        <w:rPr>
          <w:rFonts w:hint="eastAsia" w:ascii="宋体" w:hAnsi="宋体" w:eastAsia="宋体" w:cs="宋体"/>
          <w:color w:val="000000" w:themeColor="text1"/>
          <w:sz w:val="24"/>
          <w:szCs w:val="24"/>
          <w14:textFill>
            <w14:solidFill>
              <w14:schemeClr w14:val="tx1"/>
            </w14:solidFill>
          </w14:textFill>
        </w:rPr>
        <w:t xml:space="preserve">在中国境内完成。</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__________________</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59" w:name="OLE_LINK11"/>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59"/>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4.该产品的关键组件要求实施前，“关键组件”栏可不填，下同。</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5.该产品的关键工序要求实施前，“关键工序”栏可不填，下同。</w:t>
      </w:r>
      <w:r/>
    </w:p>
    <w:p>
      <w:pPr>
        <w:pStyle w:val="1014"/>
        <w:ind w:firstLine="480"/>
        <w:jc w:val="both"/>
        <w:spacing w:before="0" w:beforeAutospacing="0" w:after="0" w:afterAutospacing="0" w:line="360" w:lineRule="auto"/>
        <w:rPr>
          <w:rFonts w:hint="eastAsia" w:ascii="宋体" w:hAnsi="宋体" w:eastAsia="宋体" w:cs="宋体"/>
          <w:color w:val="000000" w:themeColor="text1"/>
          <w:szCs w:val="24"/>
          <w:shd w:val="clear" w:color="auto" w:fill="ffffff"/>
          <w14:textFill>
            <w14:solidFill>
              <w14:schemeClr w14:val="tx1"/>
            </w14:solidFill>
          </w14:textFill>
        </w:rPr>
      </w:pPr>
      <w:r>
        <w:rPr>
          <w:rFonts w:hint="eastAsia" w:ascii="宋体" w:hAnsi="宋体" w:eastAsia="宋体" w:cs="宋体"/>
          <w:color w:val="000000" w:themeColor="text1"/>
          <w:szCs w:val="24"/>
          <w:shd w:val="clear" w:color="auto" w:fill="ffffff"/>
          <w14:textFill>
            <w14:solidFill>
              <w14:schemeClr w14:val="tx1"/>
            </w14:solidFill>
          </w14:textFill>
        </w:rPr>
        <w:t xml:space="preserve">6.用斜线划除的地方无需填写。</w:t>
      </w:r>
      <w:r/>
    </w:p>
    <w:p>
      <w:pPr>
        <w:pStyle w:val="985"/>
        <w:rPr>
          <w:rFonts w:hint="eastAsia" w:ascii="宋体" w:hAnsi="宋体" w:eastAsia="宋体" w:cs="宋体"/>
        </w:rPr>
      </w:pPr>
      <w:r>
        <w:rPr>
          <w:rFonts w:hint="eastAsia" w:ascii="宋体" w:hAnsi="宋体" w:eastAsia="宋体" w:cs="宋体"/>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本公司（单位）对上述声明内容的真实性负责。如有虚假，愿承担相应法律责任。</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公司（单位）名称（盖章）：</w:t>
      </w:r>
      <w:r/>
    </w:p>
    <w:p>
      <w:pPr>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     月     日</w:t>
      </w:r>
      <w:bookmarkEnd w:id="58"/>
      <w:r/>
      <w:r/>
    </w:p>
    <w:p>
      <w:pPr>
        <w:pStyle w:val="985"/>
        <w:rPr>
          <w:rFonts w:hint="eastAsia" w:ascii="宋体" w:hAnsi="宋体" w:eastAsia="宋体" w:cs="宋体"/>
          <w:sz w:val="24"/>
          <w:lang w:val="zh-CN"/>
        </w:rPr>
      </w:pPr>
      <w:r>
        <w:rPr>
          <w:rFonts w:hint="eastAsia" w:ascii="宋体" w:hAnsi="宋体" w:eastAsia="宋体" w:cs="宋体"/>
          <w:sz w:val="24"/>
          <w:lang w:val="zh-CN"/>
        </w:rPr>
        <w:br w:type="page" w:clear="all"/>
      </w:r>
      <w:r/>
    </w:p>
    <w:p>
      <w:pPr>
        <w:spacing w:line="360" w:lineRule="auto"/>
        <w:rPr>
          <w:rFonts w:hint="eastAsia"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（4）关于本国产品成本占比的声明函（采购项目含有多种产品时适用）</w:t>
      </w:r>
      <w:r/>
    </w:p>
    <w:p>
      <w:pPr>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关于本国产品成本占比的声明函</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单位</w:t>
      </w:r>
      <w:r>
        <w:rPr>
          <w:rFonts w:hint="eastAsia" w:ascii="宋体" w:hAnsi="宋体" w:eastAsia="宋体" w:cs="宋体"/>
          <w:sz w:val="24"/>
          <w:szCs w:val="24"/>
          <w:lang w:val="zh-CN"/>
        </w:rPr>
        <w:t xml:space="preserve">）郑重声明，根据《国务院办公厅关于在政府采购中实施本国产品标准及相关政策的通知》（国办发</w:t>
      </w:r>
      <w:r>
        <w:rPr>
          <w:rFonts w:ascii="宋体" w:hAnsi="宋体" w:eastAsia="宋体" w:cs="宋体"/>
          <w:sz w:val="24"/>
          <w:szCs w:val="24"/>
          <w:lang w:val="zh-CN"/>
        </w:rPr>
        <w:t xml:space="preserve">〔2025〕</w:t>
      </w:r>
      <w:r>
        <w:rPr>
          <w:rFonts w:hint="eastAsia" w:ascii="宋体" w:hAnsi="宋体" w:eastAsia="宋体" w:cs="宋体"/>
          <w:sz w:val="24"/>
          <w:szCs w:val="24"/>
          <w:lang w:val="zh-CN"/>
        </w:rPr>
        <w:t xml:space="preserve">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本公司（单位）对上表内容的真实性负责。如有虚假，愿承担相应法律责任。</w:t>
      </w:r>
      <w:r/>
    </w:p>
    <w:p>
      <w:pPr>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公司（单位）名称（盖章）：</w:t>
      </w:r>
      <w:r/>
    </w:p>
    <w:p>
      <w:pPr>
        <w:rPr>
          <w:rFonts w:hint="eastAsia" w:ascii="宋体" w:hAnsi="宋体" w:eastAsia="宋体" w:cs="宋体"/>
          <w:sz w:val="24"/>
        </w:rPr>
      </w:pPr>
      <w:r>
        <w:rPr>
          <w:rFonts w:hint="eastAsia" w:ascii="宋体" w:hAnsi="宋体" w:eastAsia="宋体" w:cs="宋体"/>
          <w:sz w:val="24"/>
        </w:rPr>
        <w:t xml:space="preserve">日 期：       年     月     日</w:t>
      </w:r>
      <w:r/>
    </w:p>
    <w:p>
      <w:pPr>
        <w:rPr>
          <w:rFonts w:hint="eastAsia"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br w:type="page" w:clear="all"/>
      </w:r>
      <w:r/>
    </w:p>
    <w:p>
      <w:pPr>
        <w:spacing w:line="360" w:lineRule="auto"/>
        <w:rPr>
          <w:rFonts w:hint="eastAsia"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（5）中小企业声明函</w:t>
      </w:r>
      <w:r/>
    </w:p>
    <w:p>
      <w:pPr>
        <w:jc w:val="center"/>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ind w:firstLine="482"/>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中小企业声明函（服务）</w:t>
      </w:r>
      <w:r/>
    </w:p>
    <w:p>
      <w:pPr>
        <w:ind w:left="57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本公司（联合体）郑重声明，根据《政府采购促进中小企业发展管理办法》（财库﹝2020﹞46号）的规定，本公司（联合体）参加</w:t>
      </w:r>
      <w:r>
        <w:rPr>
          <w:rFonts w:ascii="宋体" w:hAnsi="宋体" w:eastAsia="宋体" w:cs="宋体"/>
          <w:sz w:val="24"/>
          <w:szCs w:val="20"/>
          <w:u w:val="single"/>
          <w:shd w:val="clear" w:color="auto" w:fill="ffffff"/>
        </w:rPr>
        <w:t xml:space="preserve">苏州市姑苏区社会治安综合治理中心</w:t>
      </w:r>
      <w:r>
        <w:rPr>
          <w:rFonts w:hint="eastAsia" w:ascii="宋体" w:hAnsi="宋体" w:eastAsia="宋体" w:cs="宋体"/>
          <w:sz w:val="24"/>
          <w:szCs w:val="20"/>
          <w:shd w:val="clear" w:color="auto" w:fill="ffffff"/>
        </w:rPr>
        <w:t xml:space="preserve">的</w:t>
      </w:r>
      <w:r>
        <w:rPr>
          <w:rFonts w:ascii="宋体" w:hAnsi="宋体" w:eastAsia="宋体" w:cs="宋体"/>
          <w:sz w:val="24"/>
          <w:szCs w:val="20"/>
          <w:u w:val="single"/>
          <w:shd w:val="clear" w:color="auto" w:fill="ffffff"/>
        </w:rPr>
        <w:t xml:space="preserve">姑苏区网格员意外保险</w:t>
      </w:r>
      <w:r>
        <w:rPr>
          <w:rFonts w:hint="eastAsia" w:ascii="宋体" w:hAnsi="宋体" w:eastAsia="宋体" w:cs="宋体"/>
          <w:sz w:val="24"/>
          <w:szCs w:val="20"/>
          <w:shd w:val="clear" w:color="auto" w:fill="ffffff"/>
        </w:rPr>
        <w:t xml:space="preserve">采购活动，服务全部由符合政策要求的中小企业承接。相关企业（含联合体中的中小企业、签订分包意向协议的中小企业）的具体情况如下：</w:t>
      </w:r>
      <w:r/>
    </w:p>
    <w:p>
      <w:pPr>
        <w:numPr>
          <w:ilvl w:val="0"/>
          <w:numId w:val="3"/>
        </w:numPr>
        <w:ind w:firstLine="480"/>
        <w:spacing w:line="360" w:lineRule="auto"/>
        <w:rPr>
          <w:rFonts w:hint="eastAsia" w:ascii="宋体" w:hAnsi="宋体" w:eastAsia="宋体" w:cs="宋体"/>
          <w:sz w:val="24"/>
          <w:szCs w:val="20"/>
          <w:shd w:val="clear" w:color="auto" w:fill="ffffff"/>
        </w:rPr>
      </w:pPr>
      <w:r>
        <w:rPr>
          <w:rFonts w:ascii="宋体" w:hAnsi="宋体" w:eastAsia="宋体" w:cs="宋体"/>
          <w:sz w:val="24"/>
          <w:szCs w:val="24"/>
          <w:u w:val="single"/>
        </w:rPr>
        <w:t xml:space="preserve">姑苏区网格员意外保险</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ascii="宋体" w:hAnsi="宋体" w:eastAsia="宋体" w:cs="宋体"/>
          <w:sz w:val="24"/>
          <w:szCs w:val="24"/>
          <w:u w:val="single"/>
        </w:rPr>
        <w:t xml:space="preserve">其他未列明行业</w:t>
      </w:r>
      <w:r>
        <w:rPr>
          <w:rFonts w:hint="eastAsia" w:ascii="宋体" w:hAnsi="宋体" w:eastAsia="宋体" w:cs="宋体"/>
          <w:sz w:val="24"/>
          <w:szCs w:val="20"/>
          <w:shd w:val="clear" w:color="auto" w:fill="ffffff"/>
        </w:rPr>
        <w:t xml:space="preserve">；承建（承接）企业为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人，营业收入为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万元，资产总额为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numPr>
          <w:ilvl w:val="0"/>
          <w:numId w:val="3"/>
        </w:num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4"/>
          <w:u w:val="single"/>
        </w:rPr>
        <w:t xml:space="preserve">标的名称</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sz w:val="24"/>
          <w:szCs w:val="20"/>
          <w:shd w:val="clear" w:color="auto" w:fill="ffffff"/>
        </w:rPr>
        <w:t xml:space="preserve">；承建（承接）企业为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人，营业收入为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万元，资产总额为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w:t>
      </w:r>
      <w:r/>
    </w:p>
    <w:p>
      <w:pPr>
        <w:ind w:firstLine="480"/>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以上企业，不属于大企业的分支机构，不存在控股股东</w:t>
      </w:r>
      <w:r>
        <w:rPr>
          <w:rFonts w:hint="eastAsia" w:ascii="宋体" w:hAnsi="宋体" w:eastAsia="宋体" w:cs="宋体"/>
          <w:sz w:val="24"/>
          <w:szCs w:val="24"/>
          <w:shd w:val="clear" w:color="auto" w:fill="ffffff"/>
        </w:rPr>
        <w:t xml:space="preserve">为大企业的情形，也不存在与大企业的负责人为同一人的情形。</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本企业对上述声明内容的真实性负责。如有虚假，将依法承担相应责任。</w:t>
      </w:r>
      <w:r/>
    </w:p>
    <w:p>
      <w:pPr>
        <w:ind w:firstLine="480"/>
        <w:jc w:val="left"/>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r>
      <w:r/>
    </w:p>
    <w:p>
      <w:pPr>
        <w:ind w:firstLine="52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企业名称（盖章）：</w:t>
      </w:r>
      <w:r/>
    </w:p>
    <w:p>
      <w:pPr>
        <w:ind w:firstLine="52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日期：</w:t>
      </w:r>
      <w:r/>
    </w:p>
    <w:p>
      <w:pPr>
        <w:ind w:firstLine="422"/>
        <w:spacing w:line="380" w:lineRule="exact"/>
        <w:rPr>
          <w:rFonts w:hint="eastAsia" w:ascii="宋体" w:hAnsi="宋体" w:eastAsia="宋体" w:cs="宋体"/>
          <w:sz w:val="24"/>
          <w:szCs w:val="24"/>
          <w:shd w:val="clear" w:color="auto" w:fill="ffffff"/>
        </w:rPr>
      </w:pPr>
      <w:r>
        <w:rPr>
          <w:rFonts w:hint="eastAsia" w:ascii="宋体" w:hAnsi="宋体" w:eastAsia="宋体" w:cs="宋体"/>
          <w:b/>
          <w:szCs w:val="21"/>
        </w:rPr>
        <w:t xml:space="preserve">备注：</w:t>
      </w:r>
      <w:r/>
    </w:p>
    <w:p>
      <w:pPr>
        <w:numPr>
          <w:ilvl w:val="255"/>
          <w:numId w:val="0"/>
        </w:numPr>
        <w:ind w:firstLine="420"/>
        <w:spacing w:line="380" w:lineRule="exact"/>
        <w:rPr>
          <w:rFonts w:hint="eastAsia" w:ascii="宋体" w:hAnsi="宋体" w:eastAsia="宋体" w:cs="宋体"/>
          <w:szCs w:val="21"/>
          <w:lang w:val="zh-CN"/>
        </w:rPr>
      </w:pPr>
      <w:r>
        <w:rPr>
          <w:rFonts w:hint="eastAsia" w:ascii="宋体" w:hAnsi="宋体" w:eastAsia="宋体" w:cs="宋体"/>
          <w:szCs w:val="21"/>
          <w:lang w:val="zh-CN"/>
        </w:rPr>
        <w:t xml:space="preserve">1、从业人员、营业收入、资产总额填报上一年度数据，无上一年度数据的新成立企业可不填报。</w:t>
      </w:r>
      <w:r/>
    </w:p>
    <w:p>
      <w:pPr>
        <w:spacing w:line="380" w:lineRule="exact"/>
        <w:rPr>
          <w:rFonts w:hint="eastAsia" w:ascii="宋体" w:hAnsi="宋体" w:eastAsia="宋体" w:cs="宋体"/>
          <w:szCs w:val="21"/>
          <w:lang w:val="zh-CN"/>
        </w:rPr>
      </w:pPr>
      <w:r>
        <w:rPr>
          <w:rFonts w:hint="eastAsia" w:ascii="宋体" w:hAnsi="宋体" w:eastAsia="宋体" w:cs="宋体"/>
          <w:szCs w:val="21"/>
          <w:lang w:val="zh-CN"/>
        </w:rPr>
        <w:br w:type="page" w:clear="all"/>
      </w:r>
      <w:r/>
    </w:p>
    <w:p>
      <w:pPr>
        <w:spacing w:line="360" w:lineRule="auto"/>
        <w:rPr>
          <w:rFonts w:hint="eastAsia"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（6）残疾人福利性单位声明函</w:t>
      </w:r>
      <w:r/>
    </w:p>
    <w:p>
      <w:pPr>
        <w:jc w:val="center"/>
        <w:spacing w:before="100" w:after="100" w:line="360" w:lineRule="auto"/>
        <w:widowControl/>
        <w:rPr>
          <w:rFonts w:hint="eastAsia" w:ascii="宋体" w:hAnsi="宋体" w:eastAsia="宋体" w:cs="宋体"/>
          <w:b/>
          <w:sz w:val="24"/>
          <w:shd w:val="clear" w:color="auto" w:fill="ffffff"/>
        </w:rPr>
      </w:pPr>
      <w:r>
        <w:rPr>
          <w:rFonts w:hint="eastAsia" w:ascii="宋体" w:hAnsi="宋体" w:eastAsia="宋体" w:cs="宋体"/>
          <w:b/>
          <w:sz w:val="24"/>
          <w:shd w:val="clear" w:color="auto" w:fill="ffffff"/>
        </w:rPr>
      </w:r>
      <w:r/>
    </w:p>
    <w:p>
      <w:pPr>
        <w:jc w:val="center"/>
        <w:spacing w:before="100" w:after="100" w:line="360" w:lineRule="auto"/>
        <w:widowControl/>
        <w:rPr>
          <w:rFonts w:hint="eastAsia" w:ascii="宋体" w:hAnsi="宋体" w:eastAsia="宋体" w:cs="宋体"/>
          <w:b/>
          <w:sz w:val="24"/>
          <w:shd w:val="clear" w:color="auto" w:fill="ffffff"/>
        </w:rPr>
      </w:pPr>
      <w:r>
        <w:rPr>
          <w:rFonts w:hint="eastAsia" w:ascii="宋体" w:hAnsi="宋体" w:eastAsia="宋体" w:cs="宋体"/>
          <w:b/>
          <w:sz w:val="24"/>
          <w:shd w:val="clear" w:color="auto" w:fill="ffffff"/>
        </w:rPr>
        <w:t xml:space="preserve">残疾人福利性单位声明函</w:t>
      </w:r>
      <w:r/>
    </w:p>
    <w:p>
      <w:pPr>
        <w:ind w:firstLine="4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ind w:firstLine="480"/>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本单位对上述声明的真实性负责。如有虚假，将依法承担相应责任。</w:t>
      </w:r>
      <w:r/>
    </w:p>
    <w:p>
      <w:pPr>
        <w:ind w:firstLine="4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ind w:firstLine="4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ind w:firstLine="52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单位名称（盖章）：</w:t>
      </w:r>
      <w:r/>
    </w:p>
    <w:p>
      <w:pPr>
        <w:ind w:firstLine="5280"/>
        <w:jc w:val="left"/>
        <w:spacing w:before="100" w:after="100"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日期：</w:t>
      </w:r>
      <w:r/>
    </w:p>
    <w:p>
      <w:pPr>
        <w:ind w:firstLine="422"/>
        <w:rPr>
          <w:rFonts w:hint="eastAsia" w:ascii="宋体" w:hAnsi="宋体" w:eastAsia="宋体" w:cs="宋体"/>
          <w:b/>
          <w:szCs w:val="21"/>
        </w:rPr>
      </w:pPr>
      <w:r>
        <w:rPr>
          <w:rFonts w:hint="eastAsia" w:ascii="宋体" w:hAnsi="宋体" w:eastAsia="宋体" w:cs="宋体"/>
          <w:b/>
          <w:szCs w:val="21"/>
        </w:rPr>
        <w:t xml:space="preserve">注：</w:t>
      </w:r>
      <w:bookmarkStart w:id="60" w:name="_Hlk158140990"/>
      <w:r>
        <w:rPr>
          <w:rFonts w:hint="eastAsia" w:ascii="宋体" w:hAnsi="宋体" w:eastAsia="宋体" w:cs="宋体"/>
          <w:b/>
          <w:szCs w:val="21"/>
        </w:rPr>
        <w:t xml:space="preserve">投标文件中的电子签章视为供应商对本声明进行了签署盖章并承担相应责任</w:t>
      </w:r>
      <w:bookmarkEnd w:id="60"/>
      <w:r>
        <w:rPr>
          <w:rFonts w:hint="eastAsia" w:ascii="宋体" w:hAnsi="宋体" w:eastAsia="宋体" w:cs="宋体"/>
          <w:b/>
          <w:szCs w:val="21"/>
        </w:rPr>
        <w:t xml:space="preserve">。</w:t>
      </w:r>
      <w:r/>
    </w:p>
    <w:p>
      <w:pPr>
        <w:rPr>
          <w:rFonts w:hint="eastAsia" w:ascii="宋体" w:hAnsi="宋体" w:eastAsia="宋体" w:cs="宋体"/>
          <w:b/>
          <w:szCs w:val="21"/>
        </w:rPr>
      </w:pPr>
      <w:r>
        <w:rPr>
          <w:rFonts w:hint="eastAsia" w:ascii="宋体" w:hAnsi="宋体" w:eastAsia="宋体" w:cs="宋体"/>
          <w:b/>
          <w:szCs w:val="21"/>
        </w:rPr>
        <w:br w:type="page" w:clear="all"/>
      </w:r>
      <w:r/>
    </w:p>
    <w:p>
      <w:pPr>
        <w:jc w:val="left"/>
        <w:spacing w:line="360" w:lineRule="auto"/>
        <w:rPr>
          <w:rFonts w:hint="eastAsia" w:ascii="宋体" w:hAnsi="宋体" w:eastAsia="宋体" w:cs="宋体"/>
          <w:b/>
          <w:sz w:val="24"/>
          <w:shd w:val="clear" w:color="auto" w:fill="ffffff"/>
        </w:rPr>
        <w:outlineLvl w:val="2"/>
      </w:pPr>
      <w:r>
        <w:rPr>
          <w:rFonts w:hint="eastAsia" w:ascii="宋体" w:hAnsi="宋体" w:eastAsia="宋体" w:cs="宋体"/>
          <w:b/>
          <w:sz w:val="24"/>
          <w:szCs w:val="20"/>
          <w:shd w:val="clear" w:color="auto" w:fill="ffffff"/>
        </w:rPr>
        <w:t xml:space="preserve">（7）</w:t>
      </w:r>
      <w:r>
        <w:rPr>
          <w:rFonts w:hint="eastAsia" w:ascii="宋体" w:hAnsi="宋体" w:eastAsia="宋体" w:cs="宋体"/>
          <w:b/>
          <w:bCs/>
          <w:sz w:val="24"/>
          <w:shd w:val="clear" w:color="auto" w:fill="ffffff"/>
        </w:rPr>
        <w:t xml:space="preserve">对投标人（供应商）有直接控股、管理关系的单位情况表</w:t>
      </w:r>
      <w:r/>
    </w:p>
    <w:p>
      <w:pPr>
        <w:jc w:val="center"/>
        <w:spacing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jc w:val="center"/>
        <w:spacing w:line="360" w:lineRule="auto"/>
        <w:widowControl/>
        <w:rPr>
          <w:rFonts w:hint="eastAsia" w:ascii="宋体" w:hAnsi="宋体" w:eastAsia="宋体" w:cs="宋体"/>
          <w:b/>
          <w:bCs/>
          <w:sz w:val="24"/>
          <w:shd w:val="clear" w:color="auto" w:fill="ffffff"/>
        </w:rPr>
      </w:pPr>
      <w:r>
        <w:rPr>
          <w:rFonts w:hint="eastAsia" w:ascii="宋体" w:hAnsi="宋体" w:eastAsia="宋体" w:cs="宋体"/>
          <w:b/>
          <w:bCs/>
          <w:sz w:val="24"/>
          <w:shd w:val="clear" w:color="auto" w:fill="ffffff"/>
        </w:rPr>
        <w:t xml:space="preserve">对投标人（供应商）有直接控股、管理关系的单位情况表</w:t>
      </w:r>
      <w:r/>
    </w:p>
    <w:p>
      <w:pPr>
        <w:jc w:val="center"/>
        <w:spacing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ind w:firstLine="420"/>
        <w:rPr>
          <w:rFonts w:hint="eastAsia" w:ascii="宋体" w:hAnsi="宋体" w:eastAsia="宋体" w:cs="宋体"/>
          <w:shd w:val="clear" w:color="auto" w:fill="ffffff"/>
        </w:rPr>
      </w:pPr>
      <w:r>
        <w:rPr>
          <w:rFonts w:hint="eastAsia" w:ascii="宋体" w:hAnsi="宋体" w:eastAsia="宋体" w:cs="宋体"/>
          <w:shd w:val="clear" w:color="auto" w:fill="ffffff"/>
        </w:rPr>
        <w:t xml:space="preserve">单位名称：</w:t>
      </w:r>
      <w:r/>
    </w:p>
    <w:tbl>
      <w:tblPr>
        <w:tblStyle w:val="977"/>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2310"/>
        <w:gridCol w:w="2025"/>
        <w:gridCol w:w="1470"/>
        <w:gridCol w:w="1980"/>
        <w:gridCol w:w="1610"/>
      </w:tblGrid>
      <w:tr>
        <w:trPr>
          <w:jc w:val="center"/>
          <w:trHeight w:val="766"/>
        </w:trPr>
        <w:tc>
          <w:tcPr>
            <w:gridSpan w:val="3"/>
            <w:tcW w:w="574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对投标人（供应商）有直接控股关系的单位</w:t>
            </w:r>
            <w:r/>
          </w:p>
        </w:tc>
        <w:tc>
          <w:tcPr>
            <w:gridSpan w:val="3"/>
            <w:tcW w:w="506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对投标人（供应商）有直接管理关系的单位</w:t>
            </w:r>
            <w:r/>
          </w:p>
        </w:tc>
      </w:tr>
      <w:tr>
        <w:trPr>
          <w:jc w:val="center"/>
          <w:trHeight w:val="768"/>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单位名称</w:t>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是否为大型企业</w:t>
            </w:r>
            <w:r/>
          </w:p>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2025" w:type="dxa"/>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直接控股关系情况说明</w:t>
            </w:r>
            <w:r>
              <w:rPr>
                <w:rFonts w:hint="eastAsia" w:ascii="宋体" w:hAnsi="宋体" w:eastAsia="宋体" w:cs="宋体"/>
                <w:b/>
                <w:sz w:val="18"/>
                <w:szCs w:val="18"/>
                <w:shd w:val="clear" w:color="auto" w:fill="ffffff"/>
              </w:rPr>
              <w:t xml:space="preserve">（持股比例等）</w:t>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单位名称</w:t>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是否为大型企业</w:t>
            </w:r>
            <w:r/>
          </w:p>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t xml:space="preserve">直接管理关系情况说明</w:t>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rPr>
            </w:r>
            <w:r/>
          </w:p>
        </w:tc>
      </w:tr>
    </w:tbl>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注：1、本表仅需填写对投标人（供应商）有直接控股、管理关系的单位情况。投标人（供应商）应按上表要求据实填写</w:t>
      </w:r>
      <w:r>
        <w:rPr>
          <w:rFonts w:hint="eastAsia" w:ascii="宋体" w:hAnsi="宋体" w:eastAsia="宋体" w:cs="宋体"/>
          <w:b/>
          <w:sz w:val="24"/>
          <w:shd w:val="clear" w:color="auto" w:fill="ffffff"/>
        </w:rPr>
        <w:t xml:space="preserve">，</w:t>
      </w:r>
      <w:r>
        <w:rPr>
          <w:rFonts w:hint="eastAsia" w:ascii="宋体" w:hAnsi="宋体" w:eastAsia="宋体" w:cs="宋体"/>
          <w:b/>
          <w:sz w:val="24"/>
          <w:szCs w:val="24"/>
          <w:shd w:val="clear" w:color="auto" w:fill="ffffff"/>
        </w:rPr>
        <w:t xml:space="preserve">如填写“无”或不填写，均视为投标人（供应商）声明不存在有关情形。</w:t>
      </w:r>
      <w:r/>
    </w:p>
    <w:p>
      <w:pPr>
        <w:pStyle w:val="986"/>
        <w:ind w:left="0" w:firstLine="482"/>
        <w:spacing w:line="360" w:lineRule="auto"/>
        <w:rPr>
          <w:rFonts w:hint="eastAsia" w:ascii="宋体" w:hAnsi="宋体" w:eastAsia="宋体" w:cs="宋体"/>
        </w:rPr>
      </w:pPr>
      <w:r>
        <w:rPr>
          <w:rFonts w:hint="eastAsia" w:ascii="宋体" w:hAnsi="宋体" w:eastAsia="宋体" w:cs="宋体"/>
          <w:b/>
          <w:szCs w:val="24"/>
          <w:shd w:val="clear" w:color="auto" w:fill="ffffff"/>
        </w:rPr>
        <w:t xml:space="preserve">2、其中“直接控股”是指投标人（供应商）与大型企业之间存在直接投资并控股（非普通持股）的关系。</w:t>
      </w:r>
      <w:r/>
    </w:p>
    <w:p>
      <w:pPr>
        <w:pStyle w:val="1122"/>
        <w:ind w:firstLine="480"/>
        <w:jc w:val="left"/>
        <w:spacing w:line="360" w:lineRule="auto"/>
        <w:rPr>
          <w:rFonts w:hint="eastAsia" w:hAnsi="宋体" w:eastAsia="宋体" w:cs="宋体"/>
          <w:sz w:val="24"/>
          <w:szCs w:val="24"/>
        </w:rPr>
      </w:pPr>
      <w:r>
        <w:rPr>
          <w:rFonts w:hint="eastAsia" w:hAnsi="宋体" w:eastAsia="宋体" w:cs="宋体"/>
          <w:sz w:val="24"/>
          <w:szCs w:val="24"/>
        </w:rPr>
      </w:r>
      <w:r/>
    </w:p>
    <w:p>
      <w:pPr>
        <w:pStyle w:val="1122"/>
        <w:ind w:firstLine="480"/>
        <w:jc w:val="left"/>
        <w:spacing w:line="360" w:lineRule="auto"/>
        <w:rPr>
          <w:rFonts w:hint="eastAsia" w:hAnsi="宋体" w:eastAsia="宋体" w:cs="宋体"/>
          <w:sz w:val="24"/>
          <w:szCs w:val="24"/>
        </w:rPr>
      </w:pPr>
      <w:r>
        <w:rPr>
          <w:rFonts w:hint="eastAsia"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pStyle w:val="1122"/>
        <w:ind w:firstLine="6120"/>
        <w:spacing w:line="360" w:lineRule="exact"/>
        <w:rPr>
          <w:rFonts w:hint="eastAsia" w:hAnsi="宋体" w:eastAsia="宋体" w:cs="宋体"/>
          <w:sz w:val="24"/>
          <w:szCs w:val="24"/>
        </w:rPr>
      </w:pPr>
      <w:r>
        <w:rPr>
          <w:rFonts w:hint="eastAsia" w:hAnsi="宋体" w:eastAsia="宋体" w:cs="宋体"/>
          <w:sz w:val="24"/>
          <w:szCs w:val="24"/>
        </w:rPr>
        <w:t xml:space="preserve">日期：　　　年　　月　　日</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0"/>
        </w:rPr>
      </w:pPr>
      <w:r>
        <w:rPr>
          <w:rFonts w:hint="eastAsia" w:ascii="宋体" w:hAnsi="宋体" w:eastAsia="宋体" w:cs="宋体"/>
          <w:sz w:val="24"/>
          <w:szCs w:val="20"/>
        </w:rPr>
        <w:br w:type="page" w:clear="all"/>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spacing w:line="360" w:lineRule="auto"/>
        <w:rPr>
          <w:rFonts w:hint="eastAsia" w:ascii="宋体" w:hAnsi="宋体" w:eastAsia="宋体" w:cs="宋体"/>
          <w:sz w:val="30"/>
          <w:szCs w:val="30"/>
          <w:shd w:val="clear" w:color="auto" w:fill="ffffff"/>
        </w:rPr>
      </w:pPr>
      <w:r>
        <w:rPr>
          <w:rFonts w:hint="eastAsia" w:ascii="宋体" w:hAnsi="宋体" w:eastAsia="宋体" w:cs="宋体"/>
          <w:sz w:val="30"/>
          <w:szCs w:val="30"/>
          <w:shd w:val="clear" w:color="auto" w:fill="ffffff"/>
        </w:rPr>
      </w:r>
      <w:r/>
    </w:p>
    <w:p>
      <w:pPr>
        <w:jc w:val="center"/>
        <w:keepLines/>
        <w:keepNext/>
        <w:spacing w:before="340" w:after="330" w:line="360" w:lineRule="auto"/>
        <w:rPr>
          <w:rFonts w:hint="eastAsia" w:ascii="宋体" w:hAnsi="宋体" w:eastAsia="宋体" w:cs="宋体"/>
          <w:b/>
          <w:sz w:val="52"/>
          <w:szCs w:val="20"/>
          <w:shd w:val="clear" w:color="auto" w:fill="ffffff"/>
        </w:rPr>
        <w:outlineLvl w:val="0"/>
      </w:pPr>
      <w:r/>
      <w:bookmarkStart w:id="61" w:name="_Toc105940240"/>
      <w:r/>
      <w:bookmarkStart w:id="62" w:name="_Toc13642115"/>
      <w:r>
        <w:rPr>
          <w:rFonts w:hint="eastAsia" w:ascii="宋体" w:hAnsi="宋体" w:eastAsia="宋体" w:cs="宋体"/>
          <w:b/>
          <w:sz w:val="52"/>
          <w:szCs w:val="20"/>
          <w:shd w:val="clear" w:color="auto" w:fill="ffffff"/>
        </w:rPr>
        <w:t xml:space="preserve">第四章 招标书</w:t>
      </w:r>
      <w:bookmarkEnd w:id="61"/>
      <w:r/>
      <w:bookmarkEnd w:id="62"/>
      <w:r/>
      <w:r/>
    </w:p>
    <w:p>
      <w:pPr>
        <w:jc w:val="center"/>
        <w:spacing w:line="360" w:lineRule="auto"/>
        <w:rPr>
          <w:rFonts w:hint="eastAsia" w:ascii="宋体" w:hAnsi="宋体" w:eastAsia="宋体" w:cs="宋体"/>
          <w:b/>
          <w:sz w:val="32"/>
          <w:szCs w:val="32"/>
          <w:shd w:val="clear" w:color="auto" w:fill="ffffff"/>
        </w:rPr>
      </w:pPr>
      <w:r/>
      <w:bookmarkStart w:id="63" w:name="_Toc13543212"/>
      <w:r>
        <w:rPr>
          <w:rFonts w:hint="eastAsia" w:ascii="宋体" w:hAnsi="宋体" w:eastAsia="宋体" w:cs="宋体"/>
          <w:b/>
          <w:sz w:val="48"/>
          <w:szCs w:val="48"/>
          <w:shd w:val="clear" w:color="auto" w:fill="ffffff"/>
        </w:rPr>
        <w:br w:type="page" w:clear="all"/>
      </w:r>
      <w:r>
        <w:rPr>
          <w:rFonts w:hint="eastAsia" w:ascii="宋体" w:hAnsi="宋体" w:eastAsia="宋体" w:cs="宋体"/>
          <w:b/>
          <w:sz w:val="32"/>
          <w:szCs w:val="32"/>
          <w:shd w:val="clear" w:color="auto" w:fill="ffffff"/>
        </w:rPr>
        <w:t xml:space="preserve">招标书</w:t>
      </w:r>
      <w:bookmarkEnd w:id="63"/>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苏州诚和招投标咨询有限公司受</w:t>
      </w:r>
      <w:r>
        <w:rPr>
          <w:rFonts w:ascii="宋体" w:hAnsi="宋体" w:eastAsia="宋体" w:cs="宋体"/>
          <w:sz w:val="24"/>
          <w:szCs w:val="24"/>
          <w:shd w:val="clear" w:color="auto" w:fill="ffffff"/>
        </w:rPr>
        <w:t xml:space="preserve">苏州市姑苏区社会治安综合治理中心</w:t>
      </w:r>
      <w:r>
        <w:rPr>
          <w:rFonts w:hint="eastAsia" w:ascii="宋体" w:hAnsi="宋体" w:eastAsia="宋体" w:cs="宋体"/>
          <w:sz w:val="24"/>
          <w:szCs w:val="24"/>
          <w:shd w:val="clear" w:color="auto" w:fill="ffffff"/>
        </w:rPr>
        <w:t xml:space="preserve">的委托，就其所需的</w:t>
      </w:r>
      <w:r>
        <w:rPr>
          <w:rFonts w:ascii="宋体" w:hAnsi="宋体" w:eastAsia="宋体" w:cs="宋体"/>
          <w:sz w:val="24"/>
          <w:szCs w:val="24"/>
          <w:shd w:val="clear" w:color="auto" w:fill="ffffff"/>
        </w:rPr>
        <w:t xml:space="preserve">姑苏区网格员意外保险</w:t>
      </w:r>
      <w:r>
        <w:rPr>
          <w:rFonts w:hint="eastAsia" w:ascii="宋体" w:hAnsi="宋体" w:eastAsia="宋体" w:cs="宋体"/>
          <w:sz w:val="24"/>
          <w:szCs w:val="24"/>
          <w:shd w:val="clear" w:color="auto" w:fill="ffffff"/>
        </w:rPr>
        <w:t xml:space="preserve">项目进行国内公开招标。</w:t>
      </w:r>
      <w:r>
        <w:rPr>
          <w:rFonts w:hint="eastAsia" w:ascii="宋体" w:hAnsi="宋体" w:eastAsia="宋体" w:cs="宋体"/>
          <w:sz w:val="24"/>
          <w:szCs w:val="24"/>
        </w:rPr>
        <w:t xml:space="preserve">欢迎符合条件的供应商</w:t>
      </w:r>
      <w:r>
        <w:rPr>
          <w:rFonts w:hint="eastAsia" w:ascii="宋体" w:hAnsi="宋体" w:eastAsia="宋体" w:cs="宋体"/>
          <w:sz w:val="24"/>
          <w:szCs w:val="24"/>
          <w:shd w:val="clear" w:color="auto" w:fill="ffffff"/>
        </w:rPr>
        <w:t xml:space="preserve">前来参加投标（响应）。</w:t>
      </w:r>
      <w:r/>
    </w:p>
    <w:p>
      <w:pPr>
        <w:ind w:firstLine="482"/>
        <w:spacing w:line="360" w:lineRule="auto"/>
        <w:rPr>
          <w:rFonts w:hint="eastAsia"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一、招标编号：</w:t>
      </w:r>
      <w:bookmarkStart w:id="64" w:name="OLE_LINK1"/>
      <w:r>
        <w:rPr>
          <w:rFonts w:ascii="宋体" w:hAnsi="宋体" w:eastAsia="宋体" w:cs="宋体"/>
          <w:sz w:val="24"/>
          <w:szCs w:val="24"/>
          <w:shd w:val="clear" w:color="auto" w:fill="ffffff"/>
        </w:rPr>
        <w:t xml:space="preserve">JSZC-320508-SZCH-G2026-0034</w:t>
      </w:r>
      <w:r/>
    </w:p>
    <w:p>
      <w:pPr>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二、采购需求</w:t>
      </w:r>
      <w:r/>
    </w:p>
    <w:p>
      <w:pPr>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（一）参保对象</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苏州姑苏区网格员。</w:t>
      </w:r>
      <w:r/>
    </w:p>
    <w:p>
      <w:pPr>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（二）承保时间</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24个月，具体以保单约定时间为准（其中专职网格长投保时间4.5个月，副网格长投保时间24个月，兼职网格员投保时间24个月</w:t>
      </w:r>
      <w:r>
        <w:rPr>
          <w:rFonts w:hint="eastAsia" w:ascii="宋体" w:hAnsi="宋体" w:eastAsia="宋体" w:cs="宋体"/>
          <w:bCs/>
          <w:sz w:val="24"/>
          <w:szCs w:val="24"/>
        </w:rPr>
        <w:t xml:space="preserve">）</w:t>
      </w:r>
      <w:r>
        <w:rPr>
          <w:rFonts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保险条款名称以报备的条款名称为准</w:t>
      </w:r>
      <w:r>
        <w:rPr>
          <w:rFonts w:hint="eastAsia" w:ascii="宋体" w:hAnsi="宋体" w:eastAsia="宋体" w:cs="宋体"/>
          <w:bCs/>
          <w:sz w:val="24"/>
          <w:szCs w:val="24"/>
        </w:rPr>
        <w:t xml:space="preserve">。</w:t>
      </w:r>
      <w:r/>
    </w:p>
    <w:p>
      <w:pPr>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（三）保障方案</w:t>
      </w:r>
      <w:r/>
    </w:p>
    <w:p>
      <w:pPr>
        <w:ind w:firstLine="480"/>
        <w:spacing w:line="360" w:lineRule="auto"/>
        <w:rPr>
          <w:rFonts w:hint="eastAsia" w:ascii="宋体" w:hAnsi="宋体" w:eastAsia="宋体" w:cs="宋体"/>
          <w:bCs/>
          <w:sz w:val="24"/>
          <w:szCs w:val="24"/>
        </w:rPr>
        <w:outlineLvl w:val="1"/>
      </w:pPr>
      <w:r>
        <w:rPr>
          <w:rFonts w:hint="eastAsia" w:ascii="宋体" w:hAnsi="宋体" w:eastAsia="宋体" w:cs="宋体"/>
          <w:bCs/>
          <w:sz w:val="24"/>
          <w:szCs w:val="24"/>
        </w:rPr>
        <w:t xml:space="preserve">1、专职网格长（507人，投保时间：4.5个月）</w:t>
      </w:r>
      <w:r/>
    </w:p>
    <w:tbl>
      <w:tblPr>
        <w:tblStyle w:val="97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15"/>
        <w:gridCol w:w="2231"/>
        <w:gridCol w:w="1855"/>
        <w:gridCol w:w="3853"/>
      </w:tblGrid>
      <w:tr>
        <w:trPr>
          <w:jc w:val="center"/>
          <w:trHeight w:val="454"/>
        </w:trPr>
        <w:tc>
          <w:tcPr>
            <w:tcW w:w="972" w:type="pct"/>
            <w:vAlign w:val="center"/>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t xml:space="preserve">保障范围</w:t>
            </w:r>
            <w:r/>
          </w:p>
        </w:tc>
        <w:tc>
          <w:tcPr>
            <w:tcW w:w="1132" w:type="pct"/>
            <w:vAlign w:val="center"/>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t xml:space="preserve">保险责任</w:t>
            </w:r>
            <w:r/>
          </w:p>
        </w:tc>
        <w:tc>
          <w:tcPr>
            <w:tcW w:w="941" w:type="pct"/>
            <w:vAlign w:val="center"/>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t xml:space="preserve">保险金额</w:t>
            </w:r>
            <w:r/>
          </w:p>
        </w:tc>
        <w:tc>
          <w:tcPr>
            <w:tcW w:w="1955" w:type="pct"/>
            <w:vAlign w:val="center"/>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t xml:space="preserve">赔付比例</w:t>
            </w:r>
            <w:r/>
          </w:p>
        </w:tc>
      </w:tr>
      <w:tr>
        <w:trPr>
          <w:jc w:val="center"/>
          <w:trHeight w:val="454"/>
        </w:trPr>
        <w:tc>
          <w:tcPr>
            <w:tcW w:w="972" w:type="pct"/>
            <w:vAlign w:val="center"/>
            <w:vMerge w:val="restart"/>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t xml:space="preserve">人身意外保障</w:t>
            </w:r>
            <w:r/>
          </w:p>
        </w:tc>
        <w:tc>
          <w:tcPr>
            <w:tcW w:w="1132" w:type="pct"/>
            <w:vAlign w:val="center"/>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t xml:space="preserve">意外身故</w:t>
            </w:r>
            <w:r/>
          </w:p>
        </w:tc>
        <w:tc>
          <w:tcPr>
            <w:tcW w:w="941" w:type="pct"/>
            <w:vAlign w:val="center"/>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t xml:space="preserve">25万元/人</w:t>
            </w:r>
            <w:r/>
          </w:p>
        </w:tc>
        <w:tc>
          <w:tcPr>
            <w:tcW w:w="1955" w:type="pct"/>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t xml:space="preserve">无免赔，100%赔付</w:t>
            </w:r>
            <w:r/>
          </w:p>
        </w:tc>
      </w:tr>
      <w:tr>
        <w:trPr>
          <w:jc w:val="center"/>
          <w:trHeight w:val="454"/>
        </w:trPr>
        <w:tc>
          <w:tcPr>
            <w:tcW w:w="972" w:type="pct"/>
            <w:vAlign w:val="center"/>
            <w:vMerge w:val="continue"/>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r>
            <w:r/>
          </w:p>
        </w:tc>
        <w:tc>
          <w:tcPr>
            <w:tcW w:w="1132" w:type="pct"/>
            <w:vAlign w:val="center"/>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t xml:space="preserve">意外残疾</w:t>
            </w:r>
            <w:r/>
          </w:p>
        </w:tc>
        <w:tc>
          <w:tcPr>
            <w:tcW w:w="941" w:type="pct"/>
            <w:vAlign w:val="center"/>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t xml:space="preserve">25万元/人</w:t>
            </w:r>
            <w:r/>
          </w:p>
        </w:tc>
        <w:tc>
          <w:tcPr>
            <w:tcW w:w="1955" w:type="pct"/>
            <w:vAlign w:val="center"/>
            <w:textDirection w:val="lrTb"/>
            <w:noWrap w:val="false"/>
          </w:tcPr>
          <w:p>
            <w:pPr>
              <w:jc w:val="center"/>
              <w:widowControl/>
              <w:rPr>
                <w:rFonts w:hint="eastAsia" w:ascii="宋体" w:hAnsi="宋体" w:eastAsia="宋体" w:cs="宋体"/>
                <w:bCs/>
                <w:szCs w:val="21"/>
              </w:rPr>
            </w:pPr>
            <w:r>
              <w:rPr>
                <w:rFonts w:hint="eastAsia" w:ascii="宋体" w:hAnsi="宋体" w:eastAsia="宋体" w:cs="宋体"/>
                <w:bCs/>
                <w:szCs w:val="21"/>
              </w:rPr>
              <w:t xml:space="preserve">根据残疾程度按比例赔付</w:t>
            </w:r>
            <w:r/>
          </w:p>
        </w:tc>
      </w:tr>
      <w:tr>
        <w:trPr>
          <w:jc w:val="center"/>
          <w:trHeight w:val="454"/>
        </w:trPr>
        <w:tc>
          <w:tcPr>
            <w:tcW w:w="972" w:type="pct"/>
            <w:vAlign w:val="center"/>
            <w:vMerge w:val="restart"/>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t xml:space="preserve">重大疾病保障</w:t>
            </w:r>
            <w:r/>
          </w:p>
        </w:tc>
        <w:tc>
          <w:tcPr>
            <w:tcW w:w="1132" w:type="pct"/>
            <w:vAlign w:val="center"/>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t xml:space="preserve">重大疾病</w:t>
            </w:r>
            <w:r/>
          </w:p>
        </w:tc>
        <w:tc>
          <w:tcPr>
            <w:tcW w:w="941" w:type="pct"/>
            <w:vAlign w:val="center"/>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t xml:space="preserve">2万元/人</w:t>
            </w:r>
            <w:r/>
          </w:p>
        </w:tc>
        <w:tc>
          <w:tcPr>
            <w:tcW w:w="1955" w:type="pct"/>
            <w:vAlign w:val="center"/>
            <w:textDirection w:val="lrTb"/>
            <w:noWrap w:val="false"/>
          </w:tcPr>
          <w:p>
            <w:pPr>
              <w:ind w:left="420" w:hanging="420"/>
              <w:jc w:val="center"/>
              <w:rPr>
                <w:rFonts w:hint="eastAsia" w:ascii="宋体" w:hAnsi="宋体" w:eastAsia="宋体" w:cs="宋体"/>
                <w:bCs/>
                <w:szCs w:val="21"/>
              </w:rPr>
            </w:pPr>
            <w:r>
              <w:rPr>
                <w:rFonts w:hint="eastAsia" w:ascii="宋体" w:hAnsi="宋体" w:eastAsia="宋体" w:cs="宋体"/>
                <w:bCs/>
                <w:szCs w:val="21"/>
              </w:rPr>
              <w:t xml:space="preserve">32种重大疾病一经确诊立即赔付</w:t>
            </w:r>
            <w:r/>
          </w:p>
        </w:tc>
      </w:tr>
      <w:tr>
        <w:trPr>
          <w:jc w:val="center"/>
          <w:trHeight w:val="454"/>
        </w:trPr>
        <w:tc>
          <w:tcPr>
            <w:tcW w:w="972" w:type="pct"/>
            <w:vAlign w:val="center"/>
            <w:vMerge w:val="continue"/>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r>
            <w:r/>
          </w:p>
        </w:tc>
        <w:tc>
          <w:tcPr>
            <w:tcW w:w="1132" w:type="pct"/>
            <w:vAlign w:val="center"/>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t xml:space="preserve">重疾住院医疗</w:t>
            </w:r>
            <w:r/>
          </w:p>
        </w:tc>
        <w:tc>
          <w:tcPr>
            <w:tcW w:w="941" w:type="pct"/>
            <w:vAlign w:val="center"/>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t xml:space="preserve">3万元/人</w:t>
            </w:r>
            <w:r/>
          </w:p>
        </w:tc>
        <w:tc>
          <w:tcPr>
            <w:tcW w:w="1955" w:type="pct"/>
            <w:vAlign w:val="center"/>
            <w:textDirection w:val="lrTb"/>
            <w:noWrap w:val="false"/>
          </w:tcPr>
          <w:p>
            <w:pPr>
              <w:ind w:left="420" w:hanging="420"/>
              <w:jc w:val="center"/>
              <w:rPr>
                <w:rFonts w:hint="eastAsia" w:ascii="宋体" w:hAnsi="宋体" w:eastAsia="宋体" w:cs="宋体"/>
                <w:bCs/>
                <w:szCs w:val="21"/>
              </w:rPr>
            </w:pPr>
            <w:r>
              <w:rPr>
                <w:rFonts w:hint="eastAsia" w:ascii="宋体" w:hAnsi="宋体" w:eastAsia="宋体" w:cs="宋体"/>
                <w:bCs/>
                <w:szCs w:val="21"/>
              </w:rPr>
              <w:t xml:space="preserve">当年首次确诊重疾后，</w:t>
            </w:r>
            <w:r/>
          </w:p>
          <w:p>
            <w:pPr>
              <w:ind w:left="420" w:hanging="420"/>
              <w:jc w:val="center"/>
              <w:rPr>
                <w:rFonts w:hint="eastAsia" w:ascii="宋体" w:hAnsi="宋体" w:eastAsia="宋体" w:cs="宋体"/>
                <w:bCs/>
                <w:szCs w:val="21"/>
              </w:rPr>
            </w:pPr>
            <w:r>
              <w:rPr>
                <w:rFonts w:hint="eastAsia" w:ascii="宋体" w:hAnsi="宋体" w:eastAsia="宋体" w:cs="宋体"/>
                <w:bCs/>
                <w:szCs w:val="21"/>
              </w:rPr>
              <w:t xml:space="preserve">社保范围内无免赔，100%赔付</w:t>
            </w:r>
            <w:r/>
          </w:p>
        </w:tc>
      </w:tr>
      <w:tr>
        <w:trPr>
          <w:jc w:val="center"/>
          <w:trHeight w:val="454"/>
        </w:trPr>
        <w:tc>
          <w:tcPr>
            <w:tcW w:w="972" w:type="pct"/>
            <w:vAlign w:val="center"/>
            <w:vMerge w:val="restart"/>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t xml:space="preserve">医疗保障</w:t>
            </w:r>
            <w:r/>
          </w:p>
        </w:tc>
        <w:tc>
          <w:tcPr>
            <w:tcW w:w="1132" w:type="pct"/>
            <w:vAlign w:val="center"/>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t xml:space="preserve">意外医疗</w:t>
            </w:r>
            <w:r/>
          </w:p>
        </w:tc>
        <w:tc>
          <w:tcPr>
            <w:tcW w:w="941" w:type="pct"/>
            <w:vAlign w:val="center"/>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t xml:space="preserve">5万元/人</w:t>
            </w:r>
            <w:r/>
          </w:p>
        </w:tc>
        <w:tc>
          <w:tcPr>
            <w:tcW w:w="1955" w:type="pct"/>
            <w:vAlign w:val="center"/>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t xml:space="preserve">扩展食物中毒及中暑责任，</w:t>
            </w:r>
            <w:r/>
          </w:p>
          <w:p>
            <w:pPr>
              <w:jc w:val="center"/>
              <w:rPr>
                <w:rFonts w:hint="eastAsia" w:ascii="宋体" w:hAnsi="宋体" w:eastAsia="宋体" w:cs="宋体"/>
                <w:bCs/>
                <w:szCs w:val="21"/>
              </w:rPr>
            </w:pPr>
            <w:r>
              <w:rPr>
                <w:rFonts w:hint="eastAsia" w:ascii="宋体" w:hAnsi="宋体" w:eastAsia="宋体" w:cs="宋体"/>
                <w:bCs/>
                <w:szCs w:val="21"/>
              </w:rPr>
              <w:t xml:space="preserve">无免赔，社保用药范围内100%赔付</w:t>
            </w:r>
            <w:r/>
          </w:p>
        </w:tc>
      </w:tr>
      <w:tr>
        <w:trPr>
          <w:jc w:val="center"/>
          <w:trHeight w:val="454"/>
        </w:trPr>
        <w:tc>
          <w:tcPr>
            <w:tcW w:w="972" w:type="pct"/>
            <w:vAlign w:val="center"/>
            <w:vMerge w:val="continue"/>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r>
            <w:r/>
          </w:p>
        </w:tc>
        <w:tc>
          <w:tcPr>
            <w:tcW w:w="1132" w:type="pct"/>
            <w:vAlign w:val="center"/>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t xml:space="preserve">住院医疗</w:t>
            </w:r>
            <w:r/>
          </w:p>
        </w:tc>
        <w:tc>
          <w:tcPr>
            <w:tcW w:w="941" w:type="pct"/>
            <w:vAlign w:val="center"/>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t xml:space="preserve">2万元/人</w:t>
            </w:r>
            <w:r/>
          </w:p>
        </w:tc>
        <w:tc>
          <w:tcPr>
            <w:tcW w:w="1955" w:type="pct"/>
            <w:vAlign w:val="center"/>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t xml:space="preserve">社保范围内无免赔，100%赔付，</w:t>
            </w:r>
            <w:r/>
          </w:p>
          <w:p>
            <w:pPr>
              <w:jc w:val="center"/>
              <w:rPr>
                <w:rFonts w:hint="eastAsia" w:ascii="宋体" w:hAnsi="宋体" w:eastAsia="宋体" w:cs="宋体"/>
                <w:bCs/>
                <w:szCs w:val="21"/>
              </w:rPr>
            </w:pPr>
            <w:r>
              <w:rPr>
                <w:rFonts w:hint="eastAsia" w:ascii="宋体" w:hAnsi="宋体" w:eastAsia="宋体" w:cs="宋体"/>
                <w:bCs/>
                <w:szCs w:val="21"/>
              </w:rPr>
              <w:t xml:space="preserve">不含既往症和自费</w:t>
            </w:r>
            <w:r/>
          </w:p>
        </w:tc>
      </w:tr>
      <w:tr>
        <w:trPr>
          <w:jc w:val="center"/>
          <w:trHeight w:val="454"/>
        </w:trPr>
        <w:tc>
          <w:tcPr>
            <w:tcW w:w="972" w:type="pct"/>
            <w:vAlign w:val="center"/>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t xml:space="preserve">住院津贴保障</w:t>
            </w:r>
            <w:r/>
          </w:p>
        </w:tc>
        <w:tc>
          <w:tcPr>
            <w:tcW w:w="1132" w:type="pct"/>
            <w:vAlign w:val="center"/>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t xml:space="preserve">意外住院补贴</w:t>
            </w:r>
            <w:r/>
          </w:p>
        </w:tc>
        <w:tc>
          <w:tcPr>
            <w:tcW w:w="941" w:type="pct"/>
            <w:vAlign w:val="center"/>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t xml:space="preserve">150元/人/天</w:t>
            </w:r>
            <w:r/>
          </w:p>
        </w:tc>
        <w:tc>
          <w:tcPr>
            <w:tcW w:w="1955" w:type="pct"/>
            <w:vAlign w:val="center"/>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t xml:space="preserve">无免赔，累计以180天为限</w:t>
            </w:r>
            <w:r/>
          </w:p>
        </w:tc>
      </w:tr>
      <w:tr>
        <w:trPr>
          <w:jc w:val="center"/>
          <w:trHeight w:val="454"/>
        </w:trPr>
        <w:tc>
          <w:tcPr>
            <w:gridSpan w:val="2"/>
            <w:tcW w:w="2104" w:type="pct"/>
            <w:vAlign w:val="center"/>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t xml:space="preserve">保费</w:t>
            </w:r>
            <w:r/>
          </w:p>
        </w:tc>
        <w:tc>
          <w:tcPr>
            <w:gridSpan w:val="2"/>
            <w:tcW w:w="2896" w:type="pct"/>
            <w:vAlign w:val="center"/>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t xml:space="preserve">4个半月保费为114元/人（单价最高限价）</w:t>
            </w:r>
            <w:r/>
          </w:p>
        </w:tc>
      </w:tr>
    </w:tbl>
    <w:p>
      <w:pPr>
        <w:ind w:firstLine="480"/>
        <w:spacing w:line="360" w:lineRule="auto"/>
        <w:rPr>
          <w:rFonts w:hint="eastAsia" w:ascii="宋体" w:hAnsi="宋体" w:eastAsia="宋体" w:cs="宋体"/>
          <w:bCs/>
          <w:sz w:val="24"/>
          <w:szCs w:val="24"/>
        </w:rPr>
        <w:outlineLvl w:val="1"/>
      </w:pPr>
      <w:r>
        <w:rPr>
          <w:rFonts w:hint="eastAsia" w:ascii="宋体" w:hAnsi="宋体" w:eastAsia="宋体" w:cs="宋体"/>
          <w:bCs/>
          <w:sz w:val="24"/>
          <w:szCs w:val="24"/>
        </w:rPr>
        <w:t xml:space="preserve">2、</w:t>
      </w:r>
      <w:r>
        <w:rPr>
          <w:rFonts w:ascii="宋体" w:hAnsi="宋体" w:eastAsia="宋体" w:cs="宋体"/>
          <w:bCs/>
          <w:sz w:val="24"/>
          <w:szCs w:val="24"/>
        </w:rPr>
        <w:t xml:space="preserve">副网格长（</w:t>
      </w:r>
      <w:r>
        <w:rPr>
          <w:rFonts w:hint="eastAsia" w:ascii="宋体" w:hAnsi="宋体" w:eastAsia="宋体" w:cs="宋体"/>
          <w:bCs/>
          <w:sz w:val="24"/>
          <w:szCs w:val="24"/>
        </w:rPr>
        <w:t xml:space="preserve">1076人，投保时间：24个月</w:t>
      </w:r>
      <w:r>
        <w:rPr>
          <w:rFonts w:ascii="宋体" w:hAnsi="宋体" w:eastAsia="宋体" w:cs="宋体"/>
          <w:bCs/>
          <w:sz w:val="24"/>
          <w:szCs w:val="24"/>
        </w:rPr>
        <w:t xml:space="preserve">）</w:t>
      </w:r>
      <w:r/>
    </w:p>
    <w:tbl>
      <w:tblPr>
        <w:tblStyle w:val="97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24"/>
        <w:gridCol w:w="2209"/>
        <w:gridCol w:w="1874"/>
        <w:gridCol w:w="3847"/>
      </w:tblGrid>
      <w:tr>
        <w:trPr>
          <w:jc w:val="center"/>
          <w:trHeight w:val="454"/>
        </w:trPr>
        <w:tc>
          <w:tcPr>
            <w:tcW w:w="976" w:type="pct"/>
            <w:vAlign w:val="center"/>
            <w:textDirection w:val="lrTb"/>
            <w:noWrap w:val="false"/>
          </w:tcPr>
          <w:p>
            <w:pPr>
              <w:jc w:val="center"/>
              <w:widowControl/>
              <w:rPr>
                <w:rFonts w:hint="eastAsia" w:ascii="宋体" w:hAnsi="宋体" w:cs="宋体"/>
                <w:color w:val="000000"/>
                <w:szCs w:val="21"/>
              </w:rPr>
            </w:pPr>
            <w:r>
              <w:rPr>
                <w:rFonts w:hint="eastAsia" w:ascii="宋体" w:hAnsi="宋体" w:eastAsia="宋体" w:cs="宋体"/>
                <w:color w:val="000000"/>
                <w:szCs w:val="21"/>
              </w:rPr>
              <w:t xml:space="preserve">保障范围</w:t>
            </w:r>
            <w:r/>
          </w:p>
        </w:tc>
        <w:tc>
          <w:tcPr>
            <w:tcW w:w="1121" w:type="pct"/>
            <w:vAlign w:val="center"/>
            <w:textDirection w:val="lrTb"/>
            <w:noWrap w:val="false"/>
          </w:tcPr>
          <w:p>
            <w:pPr>
              <w:jc w:val="center"/>
              <w:widowControl/>
              <w:rPr>
                <w:rFonts w:hint="eastAsia" w:ascii="宋体" w:hAnsi="宋体" w:cs="宋体"/>
                <w:color w:val="000000"/>
                <w:szCs w:val="21"/>
              </w:rPr>
            </w:pPr>
            <w:r>
              <w:rPr>
                <w:rFonts w:hint="eastAsia" w:ascii="宋体" w:hAnsi="宋体" w:eastAsia="宋体" w:cs="宋体"/>
                <w:color w:val="000000"/>
                <w:szCs w:val="21"/>
              </w:rPr>
              <w:t xml:space="preserve">保险责任</w:t>
            </w:r>
            <w:r/>
          </w:p>
        </w:tc>
        <w:tc>
          <w:tcPr>
            <w:tcW w:w="951" w:type="pct"/>
            <w:vAlign w:val="center"/>
            <w:textDirection w:val="lrTb"/>
            <w:noWrap w:val="false"/>
          </w:tcPr>
          <w:p>
            <w:pPr>
              <w:jc w:val="center"/>
              <w:widowControl/>
              <w:rPr>
                <w:rFonts w:hint="eastAsia" w:ascii="宋体" w:hAnsi="宋体" w:cs="宋体"/>
                <w:color w:val="000000"/>
                <w:szCs w:val="21"/>
              </w:rPr>
            </w:pPr>
            <w:r>
              <w:rPr>
                <w:rFonts w:hint="eastAsia" w:ascii="宋体" w:hAnsi="宋体" w:eastAsia="宋体" w:cs="宋体"/>
                <w:color w:val="000000"/>
                <w:szCs w:val="21"/>
              </w:rPr>
              <w:t xml:space="preserve">保险金额</w:t>
            </w:r>
            <w:r/>
          </w:p>
        </w:tc>
        <w:tc>
          <w:tcPr>
            <w:tcW w:w="1952" w:type="pct"/>
            <w:vAlign w:val="center"/>
            <w:textDirection w:val="lrTb"/>
            <w:noWrap w:val="false"/>
          </w:tcPr>
          <w:p>
            <w:pPr>
              <w:jc w:val="center"/>
              <w:widowControl/>
              <w:rPr>
                <w:rFonts w:hint="eastAsia" w:ascii="宋体" w:hAnsi="宋体" w:cs="宋体"/>
                <w:color w:val="000000"/>
                <w:szCs w:val="21"/>
              </w:rPr>
            </w:pPr>
            <w:r>
              <w:rPr>
                <w:rFonts w:hint="eastAsia" w:ascii="宋体" w:hAnsi="宋体" w:eastAsia="宋体" w:cs="宋体"/>
                <w:color w:val="000000"/>
                <w:szCs w:val="21"/>
              </w:rPr>
              <w:t xml:space="preserve">赔付比例</w:t>
            </w:r>
            <w:r/>
          </w:p>
        </w:tc>
      </w:tr>
      <w:tr>
        <w:trPr>
          <w:jc w:val="center"/>
          <w:trHeight w:val="454"/>
        </w:trPr>
        <w:tc>
          <w:tcPr>
            <w:tcW w:w="976" w:type="pct"/>
            <w:vAlign w:val="center"/>
            <w:vMerge w:val="restart"/>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人身意外保障</w:t>
            </w:r>
            <w:r/>
          </w:p>
        </w:tc>
        <w:tc>
          <w:tcPr>
            <w:tcW w:w="1121"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意外身故</w:t>
            </w:r>
            <w:r/>
          </w:p>
        </w:tc>
        <w:tc>
          <w:tcPr>
            <w:tcW w:w="951"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20万元/人</w:t>
            </w:r>
            <w:r/>
          </w:p>
        </w:tc>
        <w:tc>
          <w:tcPr>
            <w:tcW w:w="1952"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无免赔，100%赔付</w:t>
            </w:r>
            <w:r/>
          </w:p>
        </w:tc>
      </w:tr>
      <w:tr>
        <w:trPr>
          <w:jc w:val="center"/>
          <w:trHeight w:val="454"/>
        </w:trPr>
        <w:tc>
          <w:tcPr>
            <w:tcW w:w="976" w:type="pct"/>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121"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意外残疾/烧伤</w:t>
            </w:r>
            <w:r/>
          </w:p>
        </w:tc>
        <w:tc>
          <w:tcPr>
            <w:tcW w:w="951"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20万元/人</w:t>
            </w:r>
            <w:r/>
          </w:p>
        </w:tc>
        <w:tc>
          <w:tcPr>
            <w:tcW w:w="1952"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根据残疾程度按比例赔付</w:t>
            </w:r>
            <w:r/>
          </w:p>
        </w:tc>
      </w:tr>
      <w:tr>
        <w:trPr>
          <w:jc w:val="center"/>
          <w:trHeight w:val="454"/>
        </w:trPr>
        <w:tc>
          <w:tcPr>
            <w:tcW w:w="976" w:type="pct"/>
            <w:vAlign w:val="center"/>
            <w:vMerge w:val="restart"/>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定期寿险保障</w:t>
            </w:r>
            <w:r/>
          </w:p>
        </w:tc>
        <w:tc>
          <w:tcPr>
            <w:tcW w:w="1121"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疾病身故/全残</w:t>
            </w:r>
            <w:r/>
          </w:p>
        </w:tc>
        <w:tc>
          <w:tcPr>
            <w:tcW w:w="951"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10万元/人</w:t>
            </w:r>
            <w:r/>
          </w:p>
        </w:tc>
        <w:tc>
          <w:tcPr>
            <w:tcW w:w="1952"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无免赔，100%赔付</w:t>
            </w:r>
            <w:r/>
          </w:p>
        </w:tc>
      </w:tr>
      <w:tr>
        <w:trPr>
          <w:jc w:val="center"/>
          <w:trHeight w:val="454"/>
        </w:trPr>
        <w:tc>
          <w:tcPr>
            <w:tcW w:w="976" w:type="pct"/>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121"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意外身故/全残</w:t>
            </w:r>
            <w:r/>
          </w:p>
        </w:tc>
        <w:tc>
          <w:tcPr>
            <w:tcW w:w="951"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1000元/人</w:t>
            </w:r>
            <w:r/>
          </w:p>
        </w:tc>
        <w:tc>
          <w:tcPr>
            <w:tcW w:w="1952"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无免赔，100%赔付</w:t>
            </w:r>
            <w:r/>
          </w:p>
        </w:tc>
      </w:tr>
      <w:tr>
        <w:trPr>
          <w:jc w:val="center"/>
          <w:trHeight w:val="454"/>
        </w:trPr>
        <w:tc>
          <w:tcPr>
            <w:tcW w:w="976" w:type="pct"/>
            <w:vAlign w:val="center"/>
            <w:vMerge w:val="restart"/>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意外医疗保障</w:t>
            </w:r>
            <w:r/>
          </w:p>
        </w:tc>
        <w:tc>
          <w:tcPr>
            <w:tcW w:w="1121"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意外门诊</w:t>
            </w:r>
            <w:r/>
          </w:p>
        </w:tc>
        <w:tc>
          <w:tcPr>
            <w:tcW w:w="951" w:type="pct"/>
            <w:vAlign w:val="center"/>
            <w:vMerge w:val="restart"/>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5万元/人</w:t>
            </w:r>
            <w:r/>
          </w:p>
        </w:tc>
        <w:tc>
          <w:tcPr>
            <w:tcW w:w="1952" w:type="pct"/>
            <w:vAlign w:val="center"/>
            <w:vMerge w:val="restart"/>
            <w:textDirection w:val="lrTb"/>
            <w:noWrap w:val="false"/>
          </w:tcPr>
          <w:p>
            <w:pPr>
              <w:jc w:val="center"/>
              <w:rPr>
                <w:rFonts w:hint="eastAsia" w:ascii="宋体" w:hAnsi="宋体" w:cs="宋体"/>
                <w:szCs w:val="21"/>
              </w:rPr>
            </w:pPr>
            <w:r>
              <w:rPr>
                <w:rFonts w:hint="eastAsia" w:ascii="宋体" w:hAnsi="宋体" w:eastAsia="宋体" w:cs="宋体"/>
                <w:szCs w:val="21"/>
              </w:rPr>
              <w:t xml:space="preserve">扩展食物中毒及中暑责任，</w:t>
            </w:r>
            <w:r/>
          </w:p>
          <w:p>
            <w:pPr>
              <w:jc w:val="center"/>
              <w:rPr>
                <w:rFonts w:hint="eastAsia" w:ascii="宋体" w:hAnsi="宋体" w:cs="宋体"/>
                <w:szCs w:val="21"/>
              </w:rPr>
            </w:pPr>
            <w:r>
              <w:rPr>
                <w:rFonts w:hint="eastAsia" w:ascii="宋体" w:hAnsi="宋体" w:eastAsia="宋体" w:cs="宋体"/>
                <w:szCs w:val="21"/>
              </w:rPr>
              <w:t xml:space="preserve">无免赔，社保用药范围内100%赔付</w:t>
            </w:r>
            <w:r/>
          </w:p>
        </w:tc>
      </w:tr>
      <w:tr>
        <w:trPr>
          <w:jc w:val="center"/>
          <w:trHeight w:val="454"/>
        </w:trPr>
        <w:tc>
          <w:tcPr>
            <w:tcW w:w="976" w:type="pct"/>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121"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意外住院</w:t>
            </w:r>
            <w:r/>
          </w:p>
        </w:tc>
        <w:tc>
          <w:tcPr>
            <w:tcW w:w="951" w:type="pct"/>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952" w:type="pct"/>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454"/>
        </w:trPr>
        <w:tc>
          <w:tcPr>
            <w:tcW w:w="976"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补贴保障</w:t>
            </w:r>
            <w:r/>
          </w:p>
        </w:tc>
        <w:tc>
          <w:tcPr>
            <w:tcW w:w="1121"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意外住院补贴</w:t>
            </w:r>
            <w:r/>
          </w:p>
        </w:tc>
        <w:tc>
          <w:tcPr>
            <w:tcW w:w="951"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150元/人/天</w:t>
            </w:r>
            <w:r/>
          </w:p>
        </w:tc>
        <w:tc>
          <w:tcPr>
            <w:tcW w:w="1952"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无免赔，累计以180天为限</w:t>
            </w:r>
            <w:r/>
          </w:p>
        </w:tc>
      </w:tr>
      <w:tr>
        <w:trPr>
          <w:jc w:val="center"/>
          <w:trHeight w:val="454"/>
        </w:trPr>
        <w:tc>
          <w:tcPr>
            <w:tcW w:w="976"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保费</w:t>
            </w:r>
            <w:r/>
          </w:p>
        </w:tc>
        <w:tc>
          <w:tcPr>
            <w:gridSpan w:val="3"/>
            <w:tcW w:w="4024"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150元/人/年</w:t>
            </w:r>
            <w:r>
              <w:rPr>
                <w:rFonts w:hint="eastAsia" w:ascii="宋体" w:hAnsi="宋体" w:eastAsia="宋体" w:cs="宋体"/>
                <w:bCs/>
                <w:szCs w:val="21"/>
              </w:rPr>
              <w:t xml:space="preserve">（单价最高限价）</w:t>
            </w:r>
            <w:r/>
          </w:p>
        </w:tc>
      </w:tr>
    </w:tbl>
    <w:p>
      <w:pPr>
        <w:ind w:firstLine="480"/>
        <w:spacing w:line="360" w:lineRule="auto"/>
        <w:rPr>
          <w:rFonts w:hint="eastAsia" w:ascii="宋体" w:hAnsi="宋体" w:eastAsia="宋体" w:cs="宋体"/>
          <w:bCs/>
          <w:sz w:val="24"/>
          <w:szCs w:val="24"/>
        </w:rPr>
        <w:outlineLvl w:val="1"/>
      </w:pPr>
      <w:r>
        <w:rPr>
          <w:rFonts w:hint="eastAsia" w:ascii="宋体" w:hAnsi="宋体" w:eastAsia="宋体" w:cs="宋体"/>
          <w:bCs/>
          <w:sz w:val="24"/>
          <w:szCs w:val="24"/>
        </w:rPr>
        <w:t xml:space="preserve">3、</w:t>
      </w:r>
      <w:r>
        <w:rPr>
          <w:rFonts w:ascii="宋体" w:hAnsi="宋体" w:eastAsia="宋体" w:cs="宋体"/>
          <w:bCs/>
          <w:sz w:val="24"/>
          <w:szCs w:val="24"/>
        </w:rPr>
        <w:t xml:space="preserve">兼职网格员（</w:t>
      </w:r>
      <w:r>
        <w:rPr>
          <w:rFonts w:hint="eastAsia" w:ascii="宋体" w:hAnsi="宋体" w:eastAsia="宋体" w:cs="宋体"/>
          <w:bCs/>
          <w:sz w:val="24"/>
          <w:szCs w:val="24"/>
        </w:rPr>
        <w:t xml:space="preserve">4304人，投保时间：24个月</w:t>
      </w:r>
      <w:r>
        <w:rPr>
          <w:rFonts w:ascii="宋体" w:hAnsi="宋体" w:eastAsia="宋体" w:cs="宋体"/>
          <w:bCs/>
          <w:sz w:val="24"/>
          <w:szCs w:val="24"/>
        </w:rPr>
        <w:t xml:space="preserve">）</w:t>
      </w:r>
      <w:r/>
    </w:p>
    <w:tbl>
      <w:tblPr>
        <w:tblStyle w:val="977"/>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910"/>
        <w:gridCol w:w="2219"/>
        <w:gridCol w:w="1894"/>
        <w:gridCol w:w="3831"/>
      </w:tblGrid>
      <w:tr>
        <w:trPr>
          <w:jc w:val="center"/>
          <w:trHeight w:val="454"/>
        </w:trPr>
        <w:tc>
          <w:tcPr>
            <w:tcBorders>
              <w:top w:val="single" w:color="auto" w:sz="4" w:space="0"/>
              <w:left w:val="single" w:color="auto" w:sz="4" w:space="0"/>
              <w:bottom w:val="single" w:color="auto" w:sz="4" w:space="0"/>
              <w:right w:val="single" w:color="auto" w:sz="4" w:space="0"/>
            </w:tcBorders>
            <w:tcW w:w="969" w:type="pct"/>
            <w:vAlign w:val="center"/>
            <w:textDirection w:val="lrTb"/>
            <w:noWrap w:val="false"/>
          </w:tcPr>
          <w:p>
            <w:pPr>
              <w:jc w:val="center"/>
              <w:widowControl/>
              <w:rPr>
                <w:rFonts w:hint="eastAsia" w:ascii="宋体" w:hAnsi="宋体" w:cs="宋体"/>
                <w:color w:val="000000"/>
                <w:szCs w:val="21"/>
              </w:rPr>
            </w:pPr>
            <w:r>
              <w:rPr>
                <w:rFonts w:hint="eastAsia" w:ascii="宋体" w:hAnsi="宋体" w:eastAsia="宋体" w:cs="宋体"/>
                <w:color w:val="000000"/>
                <w:szCs w:val="21"/>
              </w:rPr>
              <w:t xml:space="preserve">保障范围</w:t>
            </w:r>
            <w:r/>
          </w:p>
        </w:tc>
        <w:tc>
          <w:tcPr>
            <w:tcBorders>
              <w:top w:val="single" w:color="auto" w:sz="4" w:space="0"/>
              <w:left w:val="none" w:color="000000" w:sz="4" w:space="0"/>
              <w:bottom w:val="single" w:color="auto" w:sz="4" w:space="0"/>
              <w:right w:val="single" w:color="auto" w:sz="4" w:space="0"/>
            </w:tcBorders>
            <w:tcW w:w="1126" w:type="pct"/>
            <w:vAlign w:val="center"/>
            <w:textDirection w:val="lrTb"/>
            <w:noWrap w:val="false"/>
          </w:tcPr>
          <w:p>
            <w:pPr>
              <w:jc w:val="center"/>
              <w:widowControl/>
              <w:rPr>
                <w:rFonts w:hint="eastAsia" w:ascii="宋体" w:hAnsi="宋体" w:cs="宋体"/>
                <w:color w:val="000000"/>
                <w:szCs w:val="21"/>
              </w:rPr>
            </w:pPr>
            <w:r>
              <w:rPr>
                <w:rFonts w:hint="eastAsia" w:ascii="宋体" w:hAnsi="宋体" w:eastAsia="宋体" w:cs="宋体"/>
                <w:color w:val="000000"/>
                <w:szCs w:val="21"/>
              </w:rPr>
              <w:t xml:space="preserve">保险责任</w:t>
            </w:r>
            <w:r/>
          </w:p>
        </w:tc>
        <w:tc>
          <w:tcPr>
            <w:tcBorders>
              <w:top w:val="single" w:color="auto" w:sz="4" w:space="0"/>
              <w:left w:val="none" w:color="000000" w:sz="4" w:space="0"/>
              <w:bottom w:val="single" w:color="auto" w:sz="4" w:space="0"/>
              <w:right w:val="single" w:color="auto" w:sz="4" w:space="0"/>
            </w:tcBorders>
            <w:tcW w:w="961" w:type="pct"/>
            <w:vAlign w:val="center"/>
            <w:textDirection w:val="lrTb"/>
            <w:noWrap w:val="false"/>
          </w:tcPr>
          <w:p>
            <w:pPr>
              <w:jc w:val="center"/>
              <w:widowControl/>
              <w:rPr>
                <w:rFonts w:hint="eastAsia" w:ascii="宋体" w:hAnsi="宋体" w:cs="宋体"/>
                <w:color w:val="000000"/>
                <w:szCs w:val="21"/>
              </w:rPr>
            </w:pPr>
            <w:r>
              <w:rPr>
                <w:rFonts w:hint="eastAsia" w:ascii="宋体" w:hAnsi="宋体" w:eastAsia="宋体" w:cs="宋体"/>
                <w:color w:val="000000"/>
                <w:szCs w:val="21"/>
              </w:rPr>
              <w:t xml:space="preserve">保险金额</w:t>
            </w:r>
            <w:r/>
          </w:p>
        </w:tc>
        <w:tc>
          <w:tcPr>
            <w:tcBorders>
              <w:top w:val="single" w:color="auto" w:sz="4" w:space="0"/>
              <w:left w:val="none" w:color="000000" w:sz="4" w:space="0"/>
              <w:bottom w:val="single" w:color="auto" w:sz="4" w:space="0"/>
              <w:right w:val="single" w:color="auto" w:sz="4" w:space="0"/>
            </w:tcBorders>
            <w:tcW w:w="1944" w:type="pct"/>
            <w:vAlign w:val="center"/>
            <w:textDirection w:val="lrTb"/>
            <w:noWrap w:val="false"/>
          </w:tcPr>
          <w:p>
            <w:pPr>
              <w:jc w:val="center"/>
              <w:widowControl/>
              <w:rPr>
                <w:rFonts w:hint="eastAsia" w:ascii="宋体" w:hAnsi="宋体" w:cs="宋体"/>
                <w:color w:val="000000"/>
                <w:szCs w:val="21"/>
              </w:rPr>
            </w:pPr>
            <w:r>
              <w:rPr>
                <w:rFonts w:hint="eastAsia" w:ascii="宋体" w:hAnsi="宋体" w:eastAsia="宋体" w:cs="宋体"/>
                <w:color w:val="000000"/>
                <w:szCs w:val="21"/>
              </w:rPr>
              <w:t xml:space="preserve">赔付比例</w:t>
            </w:r>
            <w:r/>
          </w:p>
        </w:tc>
      </w:tr>
      <w:tr>
        <w:trPr>
          <w:jc w:val="center"/>
          <w:trHeight w:val="454"/>
        </w:trPr>
        <w:tc>
          <w:tcPr>
            <w:tcBorders>
              <w:top w:val="none" w:color="000000" w:sz="4" w:space="0"/>
              <w:left w:val="single" w:color="auto" w:sz="4" w:space="0"/>
              <w:bottom w:val="single" w:color="auto" w:sz="4" w:space="0"/>
              <w:right w:val="single" w:color="auto" w:sz="4" w:space="0"/>
            </w:tcBorders>
            <w:tcW w:w="969" w:type="pct"/>
            <w:vAlign w:val="center"/>
            <w:vMerge w:val="restart"/>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人身意外保障</w:t>
            </w:r>
            <w:r/>
          </w:p>
        </w:tc>
        <w:tc>
          <w:tcPr>
            <w:tcBorders>
              <w:top w:val="none" w:color="000000" w:sz="4" w:space="0"/>
              <w:left w:val="none" w:color="000000" w:sz="4" w:space="0"/>
              <w:bottom w:val="single" w:color="auto" w:sz="4" w:space="0"/>
              <w:right w:val="single" w:color="auto" w:sz="4" w:space="0"/>
            </w:tcBorders>
            <w:tcW w:w="1126"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意外身故</w:t>
            </w:r>
            <w:r/>
          </w:p>
        </w:tc>
        <w:tc>
          <w:tcPr>
            <w:tcBorders>
              <w:top w:val="none" w:color="000000" w:sz="4" w:space="0"/>
              <w:left w:val="none" w:color="000000" w:sz="4" w:space="0"/>
              <w:bottom w:val="single" w:color="auto" w:sz="4" w:space="0"/>
              <w:right w:val="single" w:color="auto" w:sz="4" w:space="0"/>
            </w:tcBorders>
            <w:tcW w:w="961"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12万元/人</w:t>
            </w:r>
            <w:r/>
          </w:p>
        </w:tc>
        <w:tc>
          <w:tcPr>
            <w:tcBorders>
              <w:top w:val="none" w:color="000000" w:sz="4" w:space="0"/>
              <w:left w:val="none" w:color="000000" w:sz="4" w:space="0"/>
              <w:bottom w:val="single" w:color="auto" w:sz="4" w:space="0"/>
              <w:right w:val="single" w:color="auto" w:sz="4" w:space="0"/>
            </w:tcBorders>
            <w:tcW w:w="1944"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无免赔，100%赔付</w:t>
            </w:r>
            <w:r/>
          </w:p>
        </w:tc>
      </w:tr>
      <w:tr>
        <w:trPr>
          <w:jc w:val="center"/>
          <w:trHeight w:val="454"/>
        </w:trPr>
        <w:tc>
          <w:tcPr>
            <w:tcBorders>
              <w:top w:val="none" w:color="000000" w:sz="4" w:space="0"/>
              <w:left w:val="single" w:color="auto" w:sz="4" w:space="0"/>
              <w:bottom w:val="single" w:color="auto" w:sz="4" w:space="0"/>
              <w:right w:val="single" w:color="auto" w:sz="4" w:space="0"/>
            </w:tcBorders>
            <w:tcW w:w="969" w:type="pct"/>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1126"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意外残疾/烧伤</w:t>
            </w:r>
            <w:r/>
          </w:p>
        </w:tc>
        <w:tc>
          <w:tcPr>
            <w:tcBorders>
              <w:top w:val="single" w:color="auto" w:sz="4" w:space="0"/>
              <w:left w:val="none" w:color="000000" w:sz="4" w:space="0"/>
              <w:bottom w:val="single" w:color="auto" w:sz="4" w:space="0"/>
              <w:right w:val="single" w:color="auto" w:sz="4" w:space="0"/>
            </w:tcBorders>
            <w:tcW w:w="961"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12万元/人</w:t>
            </w:r>
            <w:r/>
          </w:p>
        </w:tc>
        <w:tc>
          <w:tcPr>
            <w:tcBorders>
              <w:top w:val="none" w:color="000000" w:sz="4" w:space="0"/>
              <w:left w:val="none" w:color="000000" w:sz="4" w:space="0"/>
              <w:bottom w:val="single" w:color="auto" w:sz="4" w:space="0"/>
              <w:right w:val="single" w:color="auto" w:sz="4" w:space="0"/>
            </w:tcBorders>
            <w:tcW w:w="1944"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根据残疾程度按比例赔付</w:t>
            </w:r>
            <w:r/>
          </w:p>
        </w:tc>
      </w:tr>
      <w:tr>
        <w:trPr>
          <w:jc w:val="center"/>
          <w:trHeight w:val="454"/>
        </w:trPr>
        <w:tc>
          <w:tcPr>
            <w:tcBorders>
              <w:top w:val="single" w:color="auto" w:sz="4" w:space="0"/>
              <w:left w:val="single" w:color="auto" w:sz="4" w:space="0"/>
              <w:right w:val="single" w:color="auto" w:sz="4" w:space="0"/>
            </w:tcBorders>
            <w:tcW w:w="969" w:type="pct"/>
            <w:vAlign w:val="center"/>
            <w:vMerge w:val="restart"/>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定期寿险保障</w:t>
            </w:r>
            <w:r/>
          </w:p>
        </w:tc>
        <w:tc>
          <w:tcPr>
            <w:tcBorders>
              <w:top w:val="none" w:color="000000" w:sz="4" w:space="0"/>
              <w:left w:val="none" w:color="000000" w:sz="4" w:space="0"/>
              <w:bottom w:val="single" w:color="auto" w:sz="4" w:space="0"/>
              <w:right w:val="single" w:color="auto" w:sz="4" w:space="0"/>
            </w:tcBorders>
            <w:tcW w:w="1126"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疾病身故/全残</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5万元/人</w:t>
            </w:r>
            <w:r/>
          </w:p>
        </w:tc>
        <w:tc>
          <w:tcPr>
            <w:tcBorders>
              <w:top w:val="none" w:color="000000" w:sz="4" w:space="0"/>
              <w:left w:val="none" w:color="000000" w:sz="4" w:space="0"/>
              <w:bottom w:val="single" w:color="auto" w:sz="4" w:space="0"/>
              <w:right w:val="single" w:color="auto" w:sz="4" w:space="0"/>
            </w:tcBorders>
            <w:tcW w:w="1944"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无免赔，100%赔付</w:t>
            </w:r>
            <w:r/>
          </w:p>
        </w:tc>
      </w:tr>
      <w:tr>
        <w:trPr>
          <w:jc w:val="center"/>
          <w:trHeight w:val="454"/>
        </w:trPr>
        <w:tc>
          <w:tcPr>
            <w:tcBorders>
              <w:left w:val="single" w:color="auto" w:sz="4" w:space="0"/>
              <w:right w:val="single" w:color="auto" w:sz="4" w:space="0"/>
            </w:tcBorders>
            <w:tcW w:w="969" w:type="pct"/>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1126"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意外身故/全残</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1000元/人</w:t>
            </w:r>
            <w:r/>
          </w:p>
        </w:tc>
        <w:tc>
          <w:tcPr>
            <w:tcBorders>
              <w:top w:val="none" w:color="000000" w:sz="4" w:space="0"/>
              <w:left w:val="none" w:color="000000" w:sz="4" w:space="0"/>
              <w:bottom w:val="single" w:color="auto" w:sz="4" w:space="0"/>
              <w:right w:val="single" w:color="auto" w:sz="4" w:space="0"/>
            </w:tcBorders>
            <w:tcW w:w="1944"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无免赔，100%赔付</w:t>
            </w:r>
            <w:r/>
          </w:p>
        </w:tc>
      </w:tr>
      <w:tr>
        <w:trPr>
          <w:jc w:val="center"/>
          <w:trHeight w:val="454"/>
        </w:trPr>
        <w:tc>
          <w:tcPr>
            <w:tcBorders>
              <w:top w:val="single" w:color="auto" w:sz="4" w:space="0"/>
              <w:left w:val="single" w:color="auto" w:sz="4" w:space="0"/>
              <w:bottom w:val="single" w:color="auto" w:sz="4" w:space="0"/>
              <w:right w:val="single" w:color="auto" w:sz="4" w:space="0"/>
            </w:tcBorders>
            <w:tcW w:w="969" w:type="pct"/>
            <w:vAlign w:val="center"/>
            <w:vMerge w:val="restart"/>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意外医疗保障</w:t>
            </w:r>
            <w:r/>
          </w:p>
        </w:tc>
        <w:tc>
          <w:tcPr>
            <w:tcBorders>
              <w:top w:val="none" w:color="000000" w:sz="4" w:space="0"/>
              <w:left w:val="none" w:color="000000" w:sz="4" w:space="0"/>
              <w:bottom w:val="single" w:color="auto" w:sz="4" w:space="0"/>
              <w:right w:val="single" w:color="auto" w:sz="4" w:space="0"/>
            </w:tcBorders>
            <w:tcW w:w="1126"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意外门诊</w:t>
            </w:r>
            <w:r/>
          </w:p>
        </w:tc>
        <w:tc>
          <w:tcPr>
            <w:tcBorders>
              <w:top w:val="single" w:color="auto" w:sz="4" w:space="0"/>
              <w:left w:val="single" w:color="auto" w:sz="4" w:space="0"/>
              <w:bottom w:val="single" w:color="auto" w:sz="4" w:space="0"/>
              <w:right w:val="single" w:color="auto" w:sz="4" w:space="0"/>
            </w:tcBorders>
            <w:tcW w:w="961" w:type="pct"/>
            <w:vAlign w:val="center"/>
            <w:vMerge w:val="restart"/>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5万元/人</w:t>
            </w:r>
            <w:r/>
          </w:p>
        </w:tc>
        <w:tc>
          <w:tcPr>
            <w:tcBorders>
              <w:top w:val="none" w:color="000000" w:sz="4" w:space="0"/>
              <w:left w:val="none" w:color="000000" w:sz="4" w:space="0"/>
              <w:right w:val="single" w:color="auto" w:sz="4" w:space="0"/>
            </w:tcBorders>
            <w:tcW w:w="1944" w:type="pct"/>
            <w:vAlign w:val="center"/>
            <w:vMerge w:val="restart"/>
            <w:textDirection w:val="lrTb"/>
            <w:noWrap w:val="false"/>
          </w:tcPr>
          <w:p>
            <w:pPr>
              <w:jc w:val="center"/>
              <w:rPr>
                <w:rFonts w:hint="eastAsia" w:ascii="宋体" w:hAnsi="宋体" w:cs="宋体"/>
                <w:szCs w:val="21"/>
              </w:rPr>
            </w:pPr>
            <w:r>
              <w:rPr>
                <w:rFonts w:hint="eastAsia" w:ascii="宋体" w:hAnsi="宋体" w:eastAsia="宋体" w:cs="宋体"/>
                <w:szCs w:val="21"/>
              </w:rPr>
              <w:t xml:space="preserve">扩展食物中毒及中暑责任，</w:t>
            </w:r>
            <w:r/>
          </w:p>
          <w:p>
            <w:pPr>
              <w:jc w:val="center"/>
              <w:rPr>
                <w:rFonts w:hint="eastAsia" w:ascii="宋体" w:hAnsi="宋体" w:cs="宋体"/>
                <w:szCs w:val="21"/>
              </w:rPr>
            </w:pPr>
            <w:r>
              <w:rPr>
                <w:rFonts w:hint="eastAsia" w:ascii="宋体" w:hAnsi="宋体" w:eastAsia="宋体" w:cs="宋体"/>
                <w:szCs w:val="21"/>
              </w:rPr>
              <w:t xml:space="preserve">无免赔，社保用药范围内100%赔付</w:t>
            </w:r>
            <w:r/>
          </w:p>
        </w:tc>
      </w:tr>
      <w:tr>
        <w:trPr>
          <w:jc w:val="center"/>
          <w:trHeight w:val="454"/>
        </w:trPr>
        <w:tc>
          <w:tcPr>
            <w:tcBorders>
              <w:top w:val="single" w:color="auto" w:sz="4" w:space="0"/>
              <w:left w:val="single" w:color="auto" w:sz="4" w:space="0"/>
              <w:bottom w:val="single" w:color="auto" w:sz="4" w:space="0"/>
              <w:right w:val="single" w:color="auto" w:sz="4" w:space="0"/>
            </w:tcBorders>
            <w:tcW w:w="969" w:type="pct"/>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1126"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意外住院</w:t>
            </w:r>
            <w:r/>
          </w:p>
        </w:tc>
        <w:tc>
          <w:tcPr>
            <w:tcBorders>
              <w:top w:val="single" w:color="auto" w:sz="4" w:space="0"/>
              <w:left w:val="single" w:color="auto" w:sz="4" w:space="0"/>
              <w:bottom w:val="single" w:color="auto" w:sz="4" w:space="0"/>
              <w:right w:val="single" w:color="auto" w:sz="4" w:space="0"/>
            </w:tcBorders>
            <w:tcW w:w="961" w:type="pct"/>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left w:val="none" w:color="000000" w:sz="4" w:space="0"/>
              <w:bottom w:val="single" w:color="auto" w:sz="4" w:space="0"/>
              <w:right w:val="single" w:color="auto" w:sz="4" w:space="0"/>
            </w:tcBorders>
            <w:tcW w:w="1944" w:type="pct"/>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454"/>
        </w:trPr>
        <w:tc>
          <w:tcPr>
            <w:tcBorders>
              <w:top w:val="none" w:color="000000" w:sz="4" w:space="0"/>
              <w:left w:val="single" w:color="auto" w:sz="4" w:space="0"/>
              <w:bottom w:val="single" w:color="auto" w:sz="4" w:space="0"/>
              <w:right w:val="single" w:color="auto" w:sz="4" w:space="0"/>
            </w:tcBorders>
            <w:tcW w:w="969"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补贴保障</w:t>
            </w:r>
            <w:r/>
          </w:p>
        </w:tc>
        <w:tc>
          <w:tcPr>
            <w:tcBorders>
              <w:top w:val="none" w:color="000000" w:sz="4" w:space="0"/>
              <w:left w:val="none" w:color="000000" w:sz="4" w:space="0"/>
              <w:bottom w:val="single" w:color="auto" w:sz="4" w:space="0"/>
              <w:right w:val="single" w:color="auto" w:sz="4" w:space="0"/>
            </w:tcBorders>
            <w:tcW w:w="1126"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意外住院补贴</w:t>
            </w:r>
            <w:r/>
          </w:p>
        </w:tc>
        <w:tc>
          <w:tcPr>
            <w:tcBorders>
              <w:top w:val="none" w:color="000000" w:sz="4" w:space="0"/>
              <w:left w:val="none" w:color="000000" w:sz="4" w:space="0"/>
              <w:bottom w:val="single" w:color="auto" w:sz="4" w:space="0"/>
              <w:right w:val="single" w:color="auto" w:sz="4" w:space="0"/>
            </w:tcBorders>
            <w:tcW w:w="961"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100元/人/天</w:t>
            </w:r>
            <w:r/>
          </w:p>
        </w:tc>
        <w:tc>
          <w:tcPr>
            <w:tcBorders>
              <w:top w:val="none" w:color="000000" w:sz="4" w:space="0"/>
              <w:left w:val="single" w:color="auto" w:sz="4" w:space="0"/>
              <w:bottom w:val="single" w:color="auto" w:sz="4" w:space="0"/>
              <w:right w:val="single" w:color="auto" w:sz="4" w:space="0"/>
            </w:tcBorders>
            <w:tcW w:w="1944"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无免赔，累计以180天为限</w:t>
            </w:r>
            <w:r/>
          </w:p>
        </w:tc>
      </w:tr>
      <w:tr>
        <w:trPr>
          <w:jc w:val="center"/>
          <w:trHeight w:val="454"/>
        </w:trPr>
        <w:tc>
          <w:tcPr>
            <w:tcBorders>
              <w:top w:val="single" w:color="auto" w:sz="4" w:space="0"/>
              <w:left w:val="single" w:color="auto" w:sz="4" w:space="0"/>
              <w:bottom w:val="single" w:color="auto" w:sz="4" w:space="0"/>
              <w:right w:val="single" w:color="auto" w:sz="4" w:space="0"/>
            </w:tcBorders>
            <w:tcW w:w="969"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保费</w:t>
            </w:r>
            <w:r/>
          </w:p>
        </w:tc>
        <w:tc>
          <w:tcPr>
            <w:gridSpan w:val="3"/>
            <w:tcBorders>
              <w:top w:val="single" w:color="auto" w:sz="4" w:space="0"/>
              <w:left w:val="single" w:color="auto" w:sz="4" w:space="0"/>
              <w:bottom w:val="single" w:color="auto" w:sz="4" w:space="0"/>
              <w:right w:val="single" w:color="auto" w:sz="4" w:space="0"/>
            </w:tcBorders>
            <w:tcW w:w="4031" w:type="pct"/>
            <w:vAlign w:val="center"/>
            <w:textDirection w:val="lrTb"/>
            <w:noWrap w:val="false"/>
          </w:tcPr>
          <w:p>
            <w:pPr>
              <w:jc w:val="center"/>
              <w:widowControl/>
              <w:rPr>
                <w:rFonts w:hint="eastAsia" w:ascii="宋体" w:hAnsi="宋体" w:cs="宋体"/>
                <w:szCs w:val="21"/>
              </w:rPr>
            </w:pPr>
            <w:r>
              <w:rPr>
                <w:rFonts w:hint="eastAsia" w:ascii="宋体" w:hAnsi="宋体" w:eastAsia="宋体" w:cs="宋体"/>
                <w:szCs w:val="21"/>
              </w:rPr>
              <w:t xml:space="preserve">120元/人/年</w:t>
            </w:r>
            <w:r>
              <w:rPr>
                <w:rFonts w:hint="eastAsia" w:ascii="宋体" w:hAnsi="宋体" w:eastAsia="宋体" w:cs="宋体"/>
                <w:bCs/>
                <w:szCs w:val="21"/>
              </w:rPr>
              <w:t xml:space="preserve">（单价最高限价）</w:t>
            </w:r>
            <w:r/>
          </w:p>
        </w:tc>
      </w:tr>
    </w:tbl>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（四）其他相关服务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1、承保服务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（1）指定专门的客服人员，接受各方咨询，解释相关保险内容。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（2）每季度按时向相关部门汇报上季度的理赔情况，并提供详细的理赔数据分析报告。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2、人员配备</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对本采购项目须设立专项小组。其中项目经理1名，负责按照本次保险的有关要求提供承保、理赔及其他各类保险服务，包括必要的组织与协调工作；客户服务专员：至少配备2名，其中有1名应为项目专职承保人员，1名应为项目专职理赔人员，协助项目经理提供保险服务。</w:t>
      </w:r>
      <w:r>
        <w:rPr>
          <w:rFonts w:hint="eastAsia" w:ascii="宋体" w:hAnsi="宋体" w:eastAsia="宋体" w:cs="宋体"/>
          <w:b/>
          <w:bCs/>
          <w:sz w:val="24"/>
          <w:szCs w:val="24"/>
        </w:rPr>
        <w:t xml:space="preserve">投标文件中提供专项小组名单。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（2）配合投保人完成核保与出单事宜，并在收到投保单和保费五个工作日内将保单正本和保费发票派专人送达投保人。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3、理赔服务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3.1保险服务基础标准：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（1）统一实行24小时接报案。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（2）统一实行24小时查勘。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（3）统一实行24小时救援。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（4）统一实行8小时全年无休理赔工作。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（5）统一实行24小时投诉服务。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（6）设立24小时保险服务专线电话，电脑录音系统和查勘调度系统保证畅通无误，及时准确。全年365天随时接受被保险人的出险报案，并立即通知保险公司本项目客户服务专员。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3.2设立专人专门窗口负责受理赔款案件，实行一站式服务，确保理赔、财务、信息技术等环节的高效畅通。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3.3接到报案后应详细的告知被保险人注意事项，承保范围，保障内容及理赔时需要准备的材料等，不得欺骗、误导被保险人。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3.4配合被保险人了解、熟悉理赔流程，指定专人上门收取索赔单证，并在约定的时间内上门收取，不得以任何理由拒绝上门服务。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3.5保险公司上门收取理赔资料时，若认为有关证明或材料不完整，应立刻以书面方式通知被保险人需补充提供的有关证明或材料，并提供详细的补充材料清单。若保险公司在接到索赔资料后1个工作日内未给予有关审核意见，则视为认可索赔资料的完整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3.6在收到理赔材料后，简化理赔手续，应在规定时间内告知被保险人赔偿金额，除外金额或不予赔偿的理由，超过规定时间的，视为同意赔偿。</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3.7接到被保险人报案后，对于属于保险责任的事故，同意按照以下约定及时确定赔偿金额：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（1）对于意外伤害，资料齐全后10工作日内确定赔偿金额。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3.8对于不属于保险责任的，同意在接到被保险人赔偿请求后5个工作日内向其发出《拒赔通知书》。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3.9对于不属于保险责任的，保险公司在接到被保险人赔偿请求后没有按规定时间向其发出《拒赔通知书》，则按保险责任处理。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3.10每半年度向采购单位提交《保险服务报告》，年终向采购单位提交《年度服务综合报告》。</w:t>
      </w:r>
      <w:r/>
    </w:p>
    <w:p>
      <w:pPr>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三、综合说明及其他要求</w:t>
      </w:r>
      <w:r/>
    </w:p>
    <w:p>
      <w:pPr>
        <w:ind w:firstLine="480"/>
        <w:spacing w:line="360" w:lineRule="auto"/>
        <w:rPr>
          <w:rFonts w:hint="eastAsia" w:ascii="宋体" w:hAnsi="宋体" w:eastAsia="宋体" w:cs="宋体"/>
          <w:sz w:val="24"/>
          <w:szCs w:val="24"/>
        </w:rPr>
      </w:pPr>
      <w:r/>
      <w:bookmarkStart w:id="65" w:name="_Hlk193379214"/>
      <w:r/>
      <w:bookmarkStart w:id="66" w:name="_Hlk117243055"/>
      <w:r>
        <w:rPr>
          <w:rFonts w:hint="eastAsia" w:ascii="宋体" w:hAnsi="宋体" w:eastAsia="宋体" w:cs="宋体"/>
          <w:sz w:val="24"/>
          <w:szCs w:val="24"/>
        </w:rPr>
        <w:t xml:space="preserve">1、供应商明确详细的服务方案，并对所提供的全部资料的真实性承担法律责任。</w:t>
      </w:r>
      <w:bookmarkEnd w:id="65"/>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2、供应商必须承诺招标文件中提出的全部管理要求，如果其中某些条款不响应时，应在文件中逐条列出，未列出的视同响应。</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bookmarkStart w:id="67" w:name="_Hlk193379165"/>
      <w:r>
        <w:rPr>
          <w:rFonts w:hint="eastAsia" w:ascii="宋体" w:hAnsi="宋体" w:eastAsia="宋体" w:cs="宋体"/>
          <w:sz w:val="24"/>
          <w:szCs w:val="24"/>
        </w:rPr>
        <w:t xml:space="preserve">供应商应对所投采购包的全部内容进行报价，只投其中部分内容者，其投标（响应）文件将被拒绝。投标（响应）总报价一次报定，</w:t>
      </w:r>
      <w:bookmarkEnd w:id="67"/>
      <w:r>
        <w:rPr>
          <w:rFonts w:ascii="宋体" w:hAnsi="宋体" w:eastAsia="宋体" w:cs="宋体"/>
          <w:sz w:val="24"/>
          <w:szCs w:val="24"/>
        </w:rPr>
        <w:t xml:space="preserve">包括完成本项工作所需的一切应有费用。</w:t>
      </w:r>
      <w:bookmarkEnd w:id="66"/>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4、付款方式：见合同主要条款。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5、凡涉及招标文件的补充说明和修改，均以苏州政府采购网发布的内容为准。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rPr>
      </w:pPr>
      <w:r/>
      <w:bookmarkStart w:id="68" w:name="_Toc105940241"/>
      <w:r/>
      <w:bookmarkStart w:id="69" w:name="_Toc396747046"/>
      <w:r/>
      <w:r/>
    </w:p>
    <w:p>
      <w:pPr>
        <w:pStyle w:val="1018"/>
        <w:rPr>
          <w:rFonts w:hint="eastAsia" w:ascii="宋体" w:hAnsi="宋体" w:eastAsia="宋体" w:cs="宋体"/>
          <w:sz w:val="21"/>
          <w:szCs w:val="22"/>
        </w:rPr>
      </w:pPr>
      <w:r>
        <w:rPr>
          <w:rFonts w:hint="eastAsia" w:ascii="宋体" w:hAnsi="宋体" w:eastAsia="宋体" w:cs="宋体"/>
          <w:sz w:val="21"/>
          <w:szCs w:val="22"/>
        </w:rPr>
      </w:r>
      <w:r/>
    </w:p>
    <w:p>
      <w:pPr>
        <w:pStyle w:val="1018"/>
        <w:rPr>
          <w:rFonts w:hint="eastAsia" w:ascii="宋体" w:hAnsi="宋体" w:eastAsia="宋体" w:cs="宋体"/>
          <w:sz w:val="21"/>
          <w:szCs w:val="22"/>
        </w:rPr>
      </w:pPr>
      <w:r>
        <w:rPr>
          <w:rFonts w:hint="eastAsia" w:ascii="宋体" w:hAnsi="宋体" w:eastAsia="宋体" w:cs="宋体"/>
          <w:sz w:val="21"/>
          <w:szCs w:val="22"/>
        </w:rPr>
      </w:r>
      <w:r/>
    </w:p>
    <w:p>
      <w:pPr>
        <w:pStyle w:val="1018"/>
        <w:rPr>
          <w:rFonts w:hint="eastAsia" w:ascii="宋体" w:hAnsi="宋体" w:eastAsia="宋体" w:cs="宋体"/>
          <w:sz w:val="21"/>
          <w:szCs w:val="22"/>
        </w:rPr>
      </w:pPr>
      <w:r>
        <w:rPr>
          <w:rFonts w:hint="eastAsia" w:ascii="宋体" w:hAnsi="宋体" w:eastAsia="宋体" w:cs="宋体"/>
          <w:sz w:val="21"/>
          <w:szCs w:val="22"/>
        </w:rPr>
      </w:r>
      <w:r/>
    </w:p>
    <w:p>
      <w:pPr>
        <w:pStyle w:val="1018"/>
        <w:rPr>
          <w:rFonts w:hint="eastAsia" w:ascii="宋体" w:hAnsi="宋体" w:eastAsia="宋体" w:cs="宋体"/>
          <w:sz w:val="21"/>
          <w:szCs w:val="22"/>
        </w:rPr>
      </w:pPr>
      <w:r>
        <w:rPr>
          <w:rFonts w:hint="eastAsia" w:ascii="宋体" w:hAnsi="宋体" w:eastAsia="宋体" w:cs="宋体"/>
          <w:sz w:val="21"/>
          <w:szCs w:val="22"/>
        </w:rPr>
      </w:r>
      <w:r/>
    </w:p>
    <w:p>
      <w:pPr>
        <w:pStyle w:val="1018"/>
        <w:rPr>
          <w:rFonts w:hint="eastAsia" w:ascii="宋体" w:hAnsi="宋体" w:eastAsia="宋体" w:cs="宋体"/>
          <w:sz w:val="21"/>
          <w:szCs w:val="22"/>
        </w:rPr>
      </w:pPr>
      <w:r>
        <w:rPr>
          <w:rFonts w:hint="eastAsia" w:ascii="宋体" w:hAnsi="宋体" w:eastAsia="宋体" w:cs="宋体"/>
          <w:sz w:val="21"/>
          <w:szCs w:val="22"/>
        </w:rPr>
      </w:r>
      <w:r/>
    </w:p>
    <w:p>
      <w:pPr>
        <w:pStyle w:val="1018"/>
        <w:rPr>
          <w:rFonts w:hint="eastAsia" w:ascii="宋体" w:hAnsi="宋体" w:eastAsia="宋体" w:cs="宋体"/>
          <w:sz w:val="21"/>
          <w:szCs w:val="22"/>
        </w:rPr>
      </w:pPr>
      <w:r>
        <w:rPr>
          <w:rFonts w:hint="eastAsia" w:ascii="宋体" w:hAnsi="宋体" w:eastAsia="宋体" w:cs="宋体"/>
          <w:sz w:val="21"/>
          <w:szCs w:val="22"/>
        </w:rPr>
      </w:r>
      <w:r/>
    </w:p>
    <w:p>
      <w:pPr>
        <w:pStyle w:val="1018"/>
        <w:rPr>
          <w:rFonts w:hint="eastAsia" w:ascii="宋体" w:hAnsi="宋体" w:eastAsia="宋体" w:cs="宋体"/>
          <w:sz w:val="21"/>
          <w:szCs w:val="22"/>
        </w:rPr>
      </w:pPr>
      <w:r>
        <w:rPr>
          <w:rFonts w:hint="eastAsia" w:ascii="宋体" w:hAnsi="宋体" w:eastAsia="宋体" w:cs="宋体"/>
          <w:sz w:val="21"/>
          <w:szCs w:val="22"/>
        </w:rPr>
      </w:r>
      <w:r/>
    </w:p>
    <w:p>
      <w:pPr>
        <w:pStyle w:val="1018"/>
        <w:rPr>
          <w:rFonts w:hint="eastAsia" w:ascii="宋体" w:hAnsi="宋体" w:eastAsia="宋体" w:cs="宋体"/>
          <w:sz w:val="21"/>
          <w:szCs w:val="22"/>
        </w:rPr>
      </w:pPr>
      <w:r>
        <w:rPr>
          <w:rFonts w:hint="eastAsia" w:ascii="宋体" w:hAnsi="宋体" w:eastAsia="宋体" w:cs="宋体"/>
          <w:sz w:val="21"/>
          <w:szCs w:val="22"/>
        </w:rPr>
      </w:r>
      <w:r/>
    </w:p>
    <w:p>
      <w:pPr>
        <w:pStyle w:val="1018"/>
        <w:rPr>
          <w:rFonts w:hint="eastAsia" w:ascii="宋体" w:hAnsi="宋体" w:eastAsia="宋体" w:cs="宋体"/>
          <w:sz w:val="21"/>
          <w:szCs w:val="22"/>
        </w:rPr>
      </w:pPr>
      <w:r>
        <w:rPr>
          <w:rFonts w:hint="eastAsia" w:ascii="宋体" w:hAnsi="宋体" w:eastAsia="宋体" w:cs="宋体"/>
          <w:sz w:val="21"/>
          <w:szCs w:val="22"/>
        </w:rPr>
      </w:r>
      <w:r/>
    </w:p>
    <w:p>
      <w:pPr>
        <w:pStyle w:val="1018"/>
        <w:rPr>
          <w:rFonts w:hint="eastAsia" w:ascii="宋体" w:hAnsi="宋体" w:eastAsia="宋体" w:cs="宋体"/>
          <w:sz w:val="21"/>
          <w:szCs w:val="22"/>
        </w:rPr>
      </w:pPr>
      <w:r>
        <w:rPr>
          <w:rFonts w:hint="eastAsia" w:ascii="宋体" w:hAnsi="宋体" w:eastAsia="宋体" w:cs="宋体"/>
          <w:sz w:val="21"/>
          <w:szCs w:val="22"/>
        </w:rPr>
      </w:r>
      <w:r/>
    </w:p>
    <w:p>
      <w:pPr>
        <w:pStyle w:val="1018"/>
        <w:ind w:firstLine="964"/>
        <w:rPr>
          <w:rFonts w:hint="eastAsia" w:ascii="宋体" w:hAnsi="宋体" w:eastAsia="宋体" w:cs="宋体"/>
          <w:b/>
          <w:sz w:val="48"/>
          <w:szCs w:val="48"/>
          <w:shd w:val="clear" w:color="auto" w:fill="ffffff"/>
        </w:rPr>
      </w:pPr>
      <w:r>
        <w:rPr>
          <w:rFonts w:hint="eastAsia" w:ascii="宋体" w:hAnsi="宋体" w:eastAsia="宋体" w:cs="宋体"/>
          <w:b/>
          <w:sz w:val="48"/>
          <w:szCs w:val="48"/>
          <w:shd w:val="clear" w:color="auto" w:fill="ffffff"/>
        </w:rPr>
      </w:r>
      <w:r/>
    </w:p>
    <w:p>
      <w:pPr>
        <w:jc w:val="center"/>
        <w:keepLines/>
        <w:keepNext/>
        <w:spacing w:before="340" w:after="330" w:line="360" w:lineRule="auto"/>
        <w:rPr>
          <w:rFonts w:hint="eastAsia" w:ascii="宋体" w:hAnsi="宋体" w:eastAsia="宋体" w:cs="宋体"/>
          <w:b/>
          <w:sz w:val="48"/>
          <w:szCs w:val="48"/>
          <w:shd w:val="clear" w:color="auto" w:fill="ffffff"/>
        </w:rPr>
        <w:outlineLvl w:val="0"/>
      </w:pPr>
      <w:r>
        <w:rPr>
          <w:rFonts w:hint="eastAsia" w:ascii="宋体" w:hAnsi="宋体" w:eastAsia="宋体" w:cs="宋体"/>
          <w:b/>
          <w:sz w:val="48"/>
          <w:szCs w:val="48"/>
          <w:shd w:val="clear" w:color="auto" w:fill="ffffff"/>
        </w:rPr>
        <w:t xml:space="preserve">第五章 合同主要条款</w:t>
      </w:r>
      <w:bookmarkEnd w:id="68"/>
      <w:r/>
      <w:bookmarkEnd w:id="69"/>
      <w:r/>
      <w:bookmarkEnd w:id="64"/>
      <w:r/>
      <w:r/>
    </w:p>
    <w:p>
      <w:pPr>
        <w:jc w:val="left"/>
        <w:rPr>
          <w:rFonts w:hint="eastAsia" w:ascii="宋体" w:hAnsi="宋体" w:eastAsia="宋体" w:cs="宋体"/>
          <w:sz w:val="24"/>
          <w:szCs w:val="24"/>
        </w:rPr>
      </w:pPr>
      <w:r/>
      <w:bookmarkStart w:id="70" w:name="_Toc13889378"/>
      <w:r/>
      <w:bookmarkStart w:id="71" w:name="_Toc13642118"/>
      <w:r>
        <w:rPr>
          <w:rFonts w:hint="eastAsia" w:ascii="宋体" w:hAnsi="宋体" w:eastAsia="宋体" w:cs="宋体"/>
          <w:sz w:val="24"/>
          <w:szCs w:val="24"/>
        </w:rPr>
        <w:br w:type="page" w:clear="all"/>
      </w:r>
      <w:r/>
    </w:p>
    <w:p>
      <w:pPr>
        <w:jc w:val="center"/>
        <w:spacing w:line="360" w:lineRule="auto"/>
        <w:rPr>
          <w:rFonts w:hint="eastAsia"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t xml:space="preserve">合同主要条款</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甲    方：</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地    址：</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联 系 人：</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电    话：</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乙    方：</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地    址：</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联 系 人：</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电    话：</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t xml:space="preserve">根据</w:t>
      </w:r>
      <w:r>
        <w:rPr>
          <w:rFonts w:asciiTheme="minorEastAsia" w:hAnsiTheme="minorEastAsia"/>
          <w:sz w:val="24"/>
          <w:szCs w:val="24"/>
          <w:lang w:val="zh-CN"/>
        </w:rPr>
        <w:t xml:space="preserve">苏州诚和招投标咨询有限公司</w:t>
      </w:r>
      <w:r>
        <w:rPr>
          <w:rFonts w:hint="eastAsia" w:asciiTheme="minorEastAsia" w:hAnsiTheme="minorEastAsia"/>
          <w:sz w:val="24"/>
          <w:szCs w:val="24"/>
          <w:lang w:val="zh-CN"/>
        </w:rPr>
        <w:t xml:space="preserve">采购编号</w:t>
      </w:r>
      <w:r>
        <w:rPr>
          <w:rFonts w:asciiTheme="minorEastAsia" w:hAnsiTheme="minorEastAsia"/>
          <w:sz w:val="24"/>
          <w:szCs w:val="24"/>
          <w:u w:val="single"/>
          <w:lang w:val="zh-CN"/>
        </w:rPr>
        <w:t xml:space="preserve">JSZC-320508-SZCH-G2026-0034</w:t>
      </w:r>
      <w:r>
        <w:rPr>
          <w:rFonts w:hint="eastAsia" w:asciiTheme="minorEastAsia" w:hAnsiTheme="minorEastAsia"/>
          <w:sz w:val="24"/>
          <w:szCs w:val="24"/>
          <w:lang w:val="zh-CN"/>
        </w:rPr>
        <w:t xml:space="preserve">号招标文件及中标单位的投标文件和中标通知书，甲乙双方就此次中标的</w:t>
      </w:r>
      <w:r>
        <w:rPr>
          <w:rFonts w:asciiTheme="minorEastAsia" w:hAnsiTheme="minorEastAsia"/>
          <w:sz w:val="24"/>
          <w:szCs w:val="24"/>
          <w:u w:val="single"/>
          <w:lang w:val="zh-CN"/>
        </w:rPr>
        <w:t xml:space="preserve">姑苏区网格员意外保险</w:t>
      </w:r>
      <w:r>
        <w:rPr>
          <w:rFonts w:hint="eastAsia" w:asciiTheme="minorEastAsia" w:hAnsiTheme="minorEastAsia"/>
          <w:sz w:val="24"/>
          <w:szCs w:val="24"/>
          <w:lang w:val="zh-CN"/>
        </w:rPr>
        <w:t xml:space="preserve">项目，签订本合同书。</w:t>
      </w:r>
      <w:r/>
    </w:p>
    <w:p>
      <w:pPr>
        <w:ind w:firstLine="480"/>
        <w:spacing w:line="360" w:lineRule="auto"/>
        <w:rPr>
          <w:rFonts w:hint="eastAsia" w:asciiTheme="minorEastAsia" w:hAnsiTheme="minorEastAsia"/>
          <w:b/>
          <w:bCs/>
          <w:sz w:val="24"/>
          <w:szCs w:val="24"/>
          <w:lang w:val="zh-CN"/>
        </w:rPr>
      </w:pPr>
      <w:r>
        <w:rPr>
          <w:rFonts w:hint="eastAsia" w:asciiTheme="minorEastAsia" w:hAnsiTheme="minorEastAsia"/>
          <w:b/>
          <w:bCs/>
          <w:sz w:val="24"/>
          <w:szCs w:val="24"/>
          <w:lang w:val="zh-CN"/>
        </w:rPr>
        <w:t xml:space="preserve">一、保险当事人</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t xml:space="preserve">投保人：苏州市姑苏区社会综合治理联动中心</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t xml:space="preserve">被保险人：</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t xml:space="preserve">保险人：</w:t>
      </w:r>
      <w:r/>
    </w:p>
    <w:p>
      <w:pPr>
        <w:ind w:firstLine="480"/>
        <w:spacing w:line="360" w:lineRule="auto"/>
        <w:rPr>
          <w:rFonts w:hint="eastAsia" w:asciiTheme="minorEastAsia" w:hAnsiTheme="minorEastAsia"/>
          <w:sz w:val="24"/>
          <w:szCs w:val="24"/>
          <w:lang w:val="zh-CN"/>
        </w:rPr>
      </w:pPr>
      <w:r>
        <w:rPr>
          <w:rFonts w:hint="eastAsia" w:asciiTheme="minorEastAsia" w:hAnsiTheme="minorEastAsia"/>
          <w:b/>
          <w:bCs/>
          <w:sz w:val="24"/>
          <w:szCs w:val="24"/>
          <w:lang w:val="zh-CN"/>
        </w:rPr>
        <w:t xml:space="preserve">二、投保险种：</w:t>
      </w:r>
      <w:r>
        <w:rPr>
          <w:rFonts w:hint="eastAsia" w:asciiTheme="minorEastAsia" w:hAnsiTheme="minorEastAsia"/>
          <w:sz w:val="24"/>
          <w:szCs w:val="24"/>
          <w:lang w:val="zh-CN"/>
        </w:rPr>
        <w:t xml:space="preserve">   （相关险种）</w:t>
      </w:r>
      <w:r/>
    </w:p>
    <w:p>
      <w:pPr>
        <w:ind w:firstLine="480"/>
        <w:spacing w:line="360" w:lineRule="auto"/>
        <w:rPr>
          <w:rFonts w:hint="eastAsia" w:asciiTheme="minorEastAsia" w:hAnsiTheme="minorEastAsia"/>
          <w:sz w:val="24"/>
          <w:szCs w:val="24"/>
          <w:lang w:val="zh-CN"/>
        </w:rPr>
      </w:pPr>
      <w:r>
        <w:rPr>
          <w:rFonts w:hint="eastAsia" w:asciiTheme="minorEastAsia" w:hAnsiTheme="minorEastAsia"/>
          <w:b/>
          <w:bCs/>
          <w:sz w:val="24"/>
          <w:szCs w:val="24"/>
          <w:lang w:val="zh-CN"/>
        </w:rPr>
        <w:t xml:space="preserve">三、保险条款：</w:t>
      </w:r>
      <w:r>
        <w:rPr>
          <w:rFonts w:hint="eastAsia" w:asciiTheme="minorEastAsia" w:hAnsiTheme="minorEastAsia"/>
          <w:sz w:val="24"/>
          <w:szCs w:val="24"/>
          <w:lang w:val="zh-CN"/>
        </w:rPr>
        <w:t xml:space="preserve">   （使用条款）</w:t>
      </w:r>
      <w:r/>
    </w:p>
    <w:p>
      <w:pPr>
        <w:ind w:firstLine="480"/>
        <w:spacing w:line="360" w:lineRule="auto"/>
        <w:rPr>
          <w:rFonts w:hint="eastAsia" w:asciiTheme="minorEastAsia" w:hAnsiTheme="minorEastAsia"/>
          <w:b/>
          <w:bCs/>
          <w:sz w:val="24"/>
          <w:szCs w:val="24"/>
          <w:lang w:val="zh-CN"/>
        </w:rPr>
      </w:pPr>
      <w:r>
        <w:rPr>
          <w:rFonts w:hint="eastAsia" w:asciiTheme="minorEastAsia" w:hAnsiTheme="minorEastAsia"/>
          <w:b/>
          <w:bCs/>
          <w:sz w:val="24"/>
          <w:szCs w:val="24"/>
          <w:lang w:val="zh-CN"/>
        </w:rPr>
        <w:t xml:space="preserve">四、保险金额／赔偿限额</w:t>
      </w:r>
      <w:r/>
    </w:p>
    <w:p>
      <w:pPr>
        <w:ind w:firstLine="480"/>
        <w:spacing w:line="360" w:lineRule="auto"/>
        <w:rPr>
          <w:rFonts w:hint="eastAsia" w:asciiTheme="minorEastAsia" w:hAnsiTheme="minorEastAsia"/>
          <w:b/>
          <w:bCs/>
          <w:sz w:val="24"/>
          <w:szCs w:val="24"/>
          <w:lang w:val="zh-CN"/>
        </w:rPr>
      </w:pPr>
      <w:r>
        <w:rPr>
          <w:rFonts w:hint="eastAsia" w:asciiTheme="minorEastAsia" w:hAnsiTheme="minorEastAsia"/>
          <w:b/>
          <w:bCs/>
          <w:sz w:val="24"/>
          <w:szCs w:val="24"/>
          <w:lang w:val="zh-CN"/>
        </w:rPr>
        <w:t xml:space="preserve">五、保险期限</w:t>
      </w:r>
      <w:r/>
    </w:p>
    <w:p>
      <w:pPr>
        <w:ind w:firstLine="480"/>
        <w:spacing w:line="360" w:lineRule="auto"/>
        <w:rPr>
          <w:rFonts w:hint="eastAsia" w:asciiTheme="minorEastAsia" w:hAnsiTheme="minorEastAsia"/>
          <w:sz w:val="24"/>
          <w:szCs w:val="24"/>
          <w:lang w:val="zh-CN"/>
        </w:rPr>
      </w:pPr>
      <w:r>
        <w:rPr>
          <w:rFonts w:asciiTheme="minorEastAsia" w:hAnsiTheme="minorEastAsia"/>
          <w:sz w:val="24"/>
          <w:szCs w:val="24"/>
          <w:lang w:val="zh-CN"/>
        </w:rPr>
        <w:t xml:space="preserve">24个月，具体以保单约定时间为准（其中专职网格长投保时间4.5个月，副网格长投保时间24个月，兼职网格员投保时间24个月）。</w:t>
      </w:r>
      <w:r/>
    </w:p>
    <w:p>
      <w:pPr>
        <w:ind w:firstLine="480"/>
        <w:spacing w:line="360" w:lineRule="auto"/>
        <w:rPr>
          <w:rFonts w:hint="eastAsia" w:asciiTheme="minorEastAsia" w:hAnsiTheme="minorEastAsia"/>
          <w:b/>
          <w:bCs/>
          <w:sz w:val="24"/>
          <w:szCs w:val="24"/>
          <w:lang w:val="zh-CN"/>
        </w:rPr>
      </w:pPr>
      <w:r>
        <w:rPr>
          <w:rFonts w:hint="eastAsia" w:asciiTheme="minorEastAsia" w:hAnsiTheme="minorEastAsia"/>
          <w:b/>
          <w:bCs/>
          <w:sz w:val="24"/>
          <w:szCs w:val="24"/>
          <w:lang w:val="zh-CN"/>
        </w:rPr>
        <w:t xml:space="preserve">六、下列文件为本合同不可分割部分</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t xml:space="preserve">1、采购文件。</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t xml:space="preserve">2、乙方的投标文件及其他承诺。</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t xml:space="preserve">3、中标通知书。</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t xml:space="preserve">4、投保单、保险单及批改申请书、批单。</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t xml:space="preserve">5、共保协议。</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t xml:space="preserve">6、与本次采购有关的并经当事人双方确认的其他文件。</w:t>
      </w:r>
      <w:r/>
    </w:p>
    <w:p>
      <w:pPr>
        <w:ind w:firstLine="480"/>
        <w:spacing w:line="360" w:lineRule="auto"/>
        <w:rPr>
          <w:rFonts w:hint="eastAsia" w:asciiTheme="minorEastAsia" w:hAnsiTheme="minorEastAsia"/>
          <w:b/>
          <w:bCs/>
          <w:sz w:val="24"/>
          <w:szCs w:val="24"/>
          <w:lang w:val="zh-CN"/>
        </w:rPr>
      </w:pPr>
      <w:r>
        <w:rPr>
          <w:rFonts w:hint="eastAsia" w:asciiTheme="minorEastAsia" w:hAnsiTheme="minorEastAsia"/>
          <w:b/>
          <w:bCs/>
          <w:sz w:val="24"/>
          <w:szCs w:val="24"/>
          <w:lang w:val="zh-CN"/>
        </w:rPr>
        <w:t xml:space="preserve">七、合同价格与支付</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t xml:space="preserve">1、合同价格按此次中标价格执行，合同总金额为</w:t>
      </w:r>
      <w:r>
        <w:rPr>
          <w:rFonts w:hint="eastAsia" w:asciiTheme="minorEastAsia" w:hAnsiTheme="minorEastAsia"/>
          <w:sz w:val="24"/>
          <w:szCs w:val="24"/>
          <w:u w:val="single"/>
          <w:lang w:val="zh-CN"/>
        </w:rPr>
        <w:t xml:space="preserve">人民币       元整（￥      .00元）</w:t>
      </w:r>
      <w:r>
        <w:rPr>
          <w:rFonts w:hint="eastAsia" w:asciiTheme="minorEastAsia" w:hAnsiTheme="minorEastAsia"/>
          <w:sz w:val="24"/>
          <w:szCs w:val="24"/>
          <w:lang w:val="zh-CN"/>
        </w:rPr>
        <w:t xml:space="preserve">，（合同总金额包括合同规定乙方应承担的义务及相关的后续服务，如限时理赔支付赔款、保险知识培训、保险宣传、管理成本和其他乙方应承担的其他义务的所有费用。除非因特殊原因并经甲乙双方事先书面协商同意，乙方不得再要求追加任何费用。同时，除非合同条款中另有规定，否则，乙方所报价格在合同实施期间不因市场变化因素、规则规章政策等其他变化因素而变动）。</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t xml:space="preserve">2、付款方式：合同签订生效后，每年甲方按保费金额结算（按照实际岗位数*固定单价结算），付清年度合同价款。</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rPr>
        <w:t xml:space="preserve">3、</w:t>
      </w:r>
      <w:r>
        <w:rPr>
          <w:rFonts w:hint="eastAsia" w:asciiTheme="minorEastAsia" w:hAnsiTheme="minorEastAsia"/>
          <w:sz w:val="24"/>
          <w:szCs w:val="24"/>
          <w:lang w:val="zh-CN"/>
        </w:rPr>
        <w:t xml:space="preserve">本次网格员保险投保</w:t>
      </w:r>
      <w:r>
        <w:rPr>
          <w:rFonts w:hint="eastAsia" w:asciiTheme="minorEastAsia" w:hAnsiTheme="minorEastAsia"/>
          <w:sz w:val="24"/>
          <w:szCs w:val="24"/>
        </w:rPr>
        <w:t xml:space="preserve">24个月</w:t>
      </w:r>
      <w:r>
        <w:rPr>
          <w:rFonts w:hint="eastAsia" w:asciiTheme="minorEastAsia" w:hAnsiTheme="minorEastAsia"/>
          <w:sz w:val="24"/>
          <w:szCs w:val="24"/>
          <w:lang w:val="zh-CN"/>
        </w:rPr>
        <w:t xml:space="preserve">（</w:t>
      </w:r>
      <w:r>
        <w:rPr>
          <w:rFonts w:hint="eastAsia" w:ascii="宋体" w:hAnsi="宋体" w:eastAsia="宋体" w:cs="宋体"/>
          <w:sz w:val="24"/>
          <w:szCs w:val="24"/>
        </w:rPr>
        <w:t xml:space="preserve">其中</w:t>
      </w:r>
      <w:r>
        <w:rPr>
          <w:rFonts w:ascii="宋体" w:hAnsi="宋体" w:eastAsia="宋体" w:cs="宋体"/>
          <w:sz w:val="24"/>
          <w:szCs w:val="24"/>
        </w:rPr>
        <w:t xml:space="preserve">专职网格长</w:t>
      </w:r>
      <w:r>
        <w:rPr>
          <w:rFonts w:hint="eastAsia" w:ascii="宋体" w:hAnsi="宋体" w:eastAsia="宋体" w:cs="宋体"/>
          <w:sz w:val="24"/>
          <w:szCs w:val="24"/>
        </w:rPr>
        <w:t xml:space="preserve">投保时间4.5个月，</w:t>
      </w:r>
      <w:r>
        <w:rPr>
          <w:rFonts w:ascii="宋体" w:hAnsi="宋体" w:eastAsia="宋体" w:cs="宋体"/>
          <w:sz w:val="24"/>
          <w:szCs w:val="24"/>
        </w:rPr>
        <w:t xml:space="preserve">副网格长</w:t>
      </w:r>
      <w:r>
        <w:rPr>
          <w:rFonts w:hint="eastAsia" w:ascii="宋体" w:hAnsi="宋体" w:eastAsia="宋体" w:cs="宋体"/>
          <w:sz w:val="24"/>
          <w:szCs w:val="24"/>
        </w:rPr>
        <w:t xml:space="preserve">投保时间24个月，</w:t>
      </w:r>
      <w:r>
        <w:rPr>
          <w:rFonts w:ascii="宋体" w:hAnsi="宋体" w:eastAsia="宋体" w:cs="宋体"/>
          <w:sz w:val="24"/>
          <w:szCs w:val="24"/>
        </w:rPr>
        <w:t xml:space="preserve">兼职网格员</w:t>
      </w:r>
      <w:r>
        <w:rPr>
          <w:rFonts w:hint="eastAsia" w:ascii="宋体" w:hAnsi="宋体" w:eastAsia="宋体" w:cs="宋体"/>
          <w:sz w:val="24"/>
          <w:szCs w:val="24"/>
        </w:rPr>
        <w:t xml:space="preserve">投保时间24个月</w:t>
      </w:r>
      <w:r>
        <w:rPr>
          <w:rFonts w:hint="eastAsia" w:asciiTheme="minorEastAsia" w:hAnsiTheme="minorEastAsia"/>
          <w:sz w:val="24"/>
          <w:szCs w:val="24"/>
          <w:lang w:val="zh-CN"/>
        </w:rPr>
        <w:t xml:space="preserve">）。投保第一年，采购人按采购要求中的岗位数（507个专职网格长岗位、1076个副网格长岗位、4304个兼职网格员岗位）向中标单位支付为期</w:t>
      </w:r>
      <w:r>
        <w:rPr>
          <w:rFonts w:hint="eastAsia" w:asciiTheme="minorEastAsia" w:hAnsiTheme="minorEastAsia"/>
          <w:sz w:val="24"/>
          <w:szCs w:val="24"/>
        </w:rPr>
        <w:t xml:space="preserve">12个月</w:t>
      </w:r>
      <w:r>
        <w:rPr>
          <w:rFonts w:hint="eastAsia" w:asciiTheme="minorEastAsia" w:hAnsiTheme="minorEastAsia"/>
          <w:sz w:val="24"/>
          <w:szCs w:val="24"/>
          <w:lang w:val="zh-CN"/>
        </w:rPr>
        <w:t xml:space="preserve">的保费（</w:t>
      </w:r>
      <w:r>
        <w:rPr>
          <w:rFonts w:hint="eastAsia" w:asciiTheme="minorEastAsia" w:hAnsiTheme="minorEastAsia"/>
          <w:sz w:val="24"/>
          <w:szCs w:val="24"/>
        </w:rPr>
        <w:t xml:space="preserve">其中</w:t>
      </w:r>
      <w:r>
        <w:rPr>
          <w:rFonts w:ascii="宋体" w:hAnsi="宋体" w:eastAsia="宋体" w:cs="宋体"/>
          <w:sz w:val="24"/>
          <w:szCs w:val="24"/>
        </w:rPr>
        <w:t xml:space="preserve">专职网格长</w:t>
      </w:r>
      <w:r>
        <w:rPr>
          <w:rFonts w:hint="eastAsia" w:ascii="宋体" w:hAnsi="宋体" w:eastAsia="宋体" w:cs="宋体"/>
          <w:sz w:val="24"/>
          <w:szCs w:val="24"/>
        </w:rPr>
        <w:t xml:space="preserve">投保时间4.5个月</w:t>
      </w:r>
      <w:r>
        <w:rPr>
          <w:rFonts w:hint="eastAsia" w:asciiTheme="minorEastAsia" w:hAnsiTheme="minorEastAsia"/>
          <w:sz w:val="24"/>
          <w:szCs w:val="24"/>
          <w:lang w:val="zh-CN"/>
        </w:rPr>
        <w:t xml:space="preserve">），保险期限以保单为准。第一年保单失效前十五个工作日内，采购人以实际岗位数进行核算，若采购人核算岗位数少于采购要求中的岗位数，则按实际岗位数的结算金额向中标单位支付第二年的保费；若采购人核算岗位数多于本合同约定的岗位数，则可追加的采购金额不超过投保第一年保费金额的10%。保单承保期间采购方岗位数发生变化，则按实际天数加减保，保费按天进行计算，保单加减保手续费为0，增保保费由双方协商支付，减保保费直接退回客户汇款账户。</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rPr>
        <w:t xml:space="preserve">4</w:t>
      </w:r>
      <w:r>
        <w:rPr>
          <w:rFonts w:hint="eastAsia" w:asciiTheme="minorEastAsia" w:hAnsiTheme="minorEastAsia"/>
          <w:sz w:val="24"/>
          <w:szCs w:val="24"/>
          <w:lang w:val="zh-CN"/>
        </w:rPr>
        <w:t xml:space="preserve">、甲方除支付合同总金额外，不再承担乙方为提供本合同项下的服务而发生的其他任何费用，乙方服务人员的薪金、福利、休假日补贴、工伤待遇等由乙方付给，与甲方无关。</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rPr>
        <w:t xml:space="preserve">5</w:t>
      </w:r>
      <w:r>
        <w:rPr>
          <w:rFonts w:hint="eastAsia" w:asciiTheme="minorEastAsia" w:hAnsiTheme="minorEastAsia"/>
          <w:sz w:val="24"/>
          <w:szCs w:val="24"/>
          <w:lang w:val="zh-CN"/>
        </w:rPr>
        <w:t xml:space="preserve">、此项目款项必须数字人民币形式支付。</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rPr>
        <w:t xml:space="preserve">6</w:t>
      </w:r>
      <w:r>
        <w:rPr>
          <w:rFonts w:hint="eastAsia" w:asciiTheme="minorEastAsia" w:hAnsiTheme="minorEastAsia"/>
          <w:sz w:val="24"/>
          <w:szCs w:val="24"/>
          <w:lang w:val="zh-CN"/>
        </w:rPr>
        <w:t xml:space="preserve">、账户信息（数字人民币账户）</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t xml:space="preserve">乙方开户名称：</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t xml:space="preserve">开户银行：</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t xml:space="preserve">银行账号：</w:t>
      </w:r>
      <w:r/>
    </w:p>
    <w:p>
      <w:pPr>
        <w:ind w:firstLine="480"/>
        <w:spacing w:line="360" w:lineRule="auto"/>
        <w:rPr>
          <w:rFonts w:hint="eastAsia" w:asciiTheme="minorEastAsia" w:hAnsiTheme="minorEastAsia"/>
          <w:b/>
          <w:bCs/>
          <w:sz w:val="24"/>
          <w:szCs w:val="24"/>
          <w:lang w:val="zh-CN"/>
        </w:rPr>
      </w:pPr>
      <w:r>
        <w:rPr>
          <w:rFonts w:hint="eastAsia" w:asciiTheme="minorEastAsia" w:hAnsiTheme="minorEastAsia"/>
          <w:b/>
          <w:bCs/>
          <w:sz w:val="24"/>
          <w:szCs w:val="24"/>
          <w:lang w:val="zh-CN"/>
        </w:rPr>
        <w:t xml:space="preserve">八、违约责任</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t xml:space="preserve">1、合同一方不履行合同义务或者履行合同义务不符合约定的，应当承担继续履行、采取补救措施或赔偿损失等违约责任。</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t xml:space="preserve">2、甲方违约责任。甲方未按照约定时间支付合同价款的，应当承担逾期付款违约责任。</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t xml:space="preserve">3、乙方违约责任</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t xml:space="preserve">（1）甲方组织有关人员定期或不定期对签订合同的保险公司的承保服务、保险价格和理赔服务进行监督和检查。</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t xml:space="preserve">（2）乙方若有连续三次有效投诉或投诉后整改不到位或拒不整改的，甲方有权终止合同，并要求乙方赔偿因此给甲方造成的一切损失。</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t xml:space="preserve">（3）若乙方未按招标内容进行服务，甲方有权终止合同，并要求乙方赔偿因此给甲方造成的一切损失。</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t xml:space="preserve">4、乙方有义务协助有关部门做好对保险具体甲方经办人的廉政建设，防止腐败现象的出现。乙方不得以任何形式向保险具体甲方经办人提供回扣和变相回扣，违反此规定的，甲方有权立即终止合同，并要求乙方赔偿因此给甲方造成的一切损失。同时，乙方应接受有关部门的监督检查，并对检查中发现的问题及时整改。</w:t>
      </w:r>
      <w:r/>
    </w:p>
    <w:p>
      <w:pPr>
        <w:ind w:firstLine="480"/>
        <w:spacing w:line="360" w:lineRule="auto"/>
        <w:rPr>
          <w:rFonts w:hint="eastAsia" w:asciiTheme="minorEastAsia" w:hAnsiTheme="minorEastAsia"/>
          <w:b/>
          <w:bCs/>
          <w:sz w:val="24"/>
          <w:szCs w:val="24"/>
          <w:lang w:val="zh-CN"/>
        </w:rPr>
      </w:pPr>
      <w:r>
        <w:rPr>
          <w:rFonts w:hint="eastAsia" w:asciiTheme="minorEastAsia" w:hAnsiTheme="minorEastAsia"/>
          <w:b/>
          <w:bCs/>
          <w:sz w:val="24"/>
          <w:szCs w:val="24"/>
          <w:lang w:val="zh-CN"/>
        </w:rPr>
        <w:t xml:space="preserve">九、合同修改</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t xml:space="preserve">对于本合同的未尽事宜，需进行修改、补充或完善的，甲乙双方必须就所修改的内容签订书面的合同修改书，作为本合同的补充协议。补充协议与本合同具有同等法律效力。</w:t>
      </w:r>
      <w:r/>
    </w:p>
    <w:p>
      <w:pPr>
        <w:ind w:firstLine="480"/>
        <w:spacing w:line="360" w:lineRule="auto"/>
        <w:rPr>
          <w:rFonts w:hint="eastAsia" w:asciiTheme="minorEastAsia" w:hAnsiTheme="minorEastAsia"/>
          <w:b/>
          <w:bCs/>
          <w:sz w:val="24"/>
          <w:szCs w:val="24"/>
          <w:lang w:val="zh-CN"/>
        </w:rPr>
      </w:pPr>
      <w:r>
        <w:rPr>
          <w:rFonts w:hint="eastAsia" w:asciiTheme="minorEastAsia" w:hAnsiTheme="minorEastAsia"/>
          <w:b/>
          <w:bCs/>
          <w:sz w:val="24"/>
          <w:szCs w:val="24"/>
          <w:lang w:val="zh-CN"/>
        </w:rPr>
        <w:t xml:space="preserve">十、合同生效及其它</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t xml:space="preserve">1、甲乙双方代表签字并加盖公章（或合同章）后生效。</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t xml:space="preserve">2、合同签订后甲乙双方即直接产生权利与义务的关系，合同执行过程中出现的问题应按照《中华人民共和国民法典》的规定办理，在合同履行过程中，双方如有争议，经协商无效，任何一方可向采购代理机构所在地人民法院提起诉讼。</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t xml:space="preserve">3、合同在执行过程中出现的未尽事宜，双方在不违背本合同和采购文件的原则下协商解决，协商结果以书面形式盖章记录在案，作为本合同的附件，与本合同具有同等效力，但需提交采购代理机构一份备存。</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t xml:space="preserve">4、合同份数：本合同一式伍份，甲方叁份，乙方壹份，采购代理机构壹份。</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t xml:space="preserve">5、本合同文件使用中文书写、解释和说明。</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t xml:space="preserve">6、本合同履行过程中产生的纪要、协议以及中标通知书、投标文件和采购文件为本合同的附件，与合同具有同等效力。</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t xml:space="preserve">7、未尽事宜</w:t>
      </w:r>
      <w:r/>
    </w:p>
    <w:p>
      <w:pPr>
        <w:ind w:firstLine="480"/>
        <w:spacing w:line="360" w:lineRule="auto"/>
        <w:rPr>
          <w:rFonts w:hint="eastAsia" w:asciiTheme="minorEastAsia" w:hAnsiTheme="minorEastAsia"/>
          <w:sz w:val="24"/>
          <w:szCs w:val="24"/>
          <w:lang w:val="zh-CN"/>
        </w:rPr>
      </w:pPr>
      <w:r>
        <w:rPr>
          <w:rFonts w:hint="eastAsia" w:asciiTheme="minorEastAsia" w:hAnsiTheme="minorEastAsia"/>
          <w:sz w:val="24"/>
          <w:szCs w:val="24"/>
          <w:lang w:val="zh-CN"/>
        </w:rPr>
        <w:t xml:space="preserve">本合同未尽事宜应按《中华人民共和国民法典》《中华人民共和国政府采购法》以及其他相关法律、法规之规定解释。</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甲方（盖章）：</w:t>
      </w:r>
      <w:r>
        <w:rPr>
          <w:rFonts w:hint="eastAsia" w:cs="宋体" w:asciiTheme="minorEastAsia" w:hAnsiTheme="minorEastAsia"/>
          <w:sz w:val="24"/>
          <w:szCs w:val="24"/>
        </w:rPr>
        <w:tab/>
      </w:r>
      <w:r>
        <w:rPr>
          <w:rFonts w:hint="eastAsia" w:cs="宋体" w:asciiTheme="minorEastAsia" w:hAnsiTheme="minorEastAsia"/>
          <w:sz w:val="24"/>
          <w:szCs w:val="24"/>
        </w:rPr>
        <w:t xml:space="preserve">                       乙方（盖章）：</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法定（授权）代表人（签字）：</w:t>
      </w:r>
      <w:r>
        <w:rPr>
          <w:rFonts w:hint="eastAsia" w:cs="宋体" w:asciiTheme="minorEastAsia" w:hAnsiTheme="minorEastAsia"/>
          <w:sz w:val="24"/>
          <w:szCs w:val="24"/>
        </w:rPr>
        <w:tab/>
      </w:r>
      <w:r>
        <w:rPr>
          <w:rFonts w:hint="eastAsia" w:cs="宋体" w:asciiTheme="minorEastAsia" w:hAnsiTheme="minorEastAsia"/>
          <w:sz w:val="24"/>
          <w:szCs w:val="24"/>
        </w:rPr>
        <w:t xml:space="preserve">         法定（授权）代表人（签字）：</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日期：                      </w:t>
      </w:r>
      <w:r>
        <w:rPr>
          <w:rFonts w:hint="eastAsia" w:cs="宋体" w:asciiTheme="minorEastAsia" w:hAnsiTheme="minorEastAsia"/>
          <w:sz w:val="24"/>
          <w:szCs w:val="24"/>
        </w:rPr>
        <w:tab/>
      </w:r>
      <w:r>
        <w:rPr>
          <w:rFonts w:hint="eastAsia" w:cs="宋体" w:asciiTheme="minorEastAsia" w:hAnsiTheme="minorEastAsia"/>
          <w:sz w:val="24"/>
          <w:szCs w:val="24"/>
        </w:rPr>
        <w:t xml:space="preserve">         日期：</w:t>
      </w:r>
      <w:r/>
    </w:p>
    <w:p>
      <w:pPr>
        <w:ind w:firstLine="520"/>
        <w:jc w:val="left"/>
        <w:spacing w:line="360" w:lineRule="auto"/>
        <w:rPr>
          <w:rFonts w:hint="eastAsia" w:ascii="宋体" w:hAnsi="宋体" w:eastAsia="宋体" w:cs="宋体"/>
          <w:sz w:val="26"/>
          <w:szCs w:val="20"/>
          <w:shd w:val="clear" w:color="auto" w:fill="ffffff"/>
        </w:rPr>
      </w:pPr>
      <w:r/>
      <w:bookmarkStart w:id="72" w:name="_Toc105940242"/>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ind w:firstLine="520"/>
        <w:jc w:val="left"/>
        <w:spacing w:line="360" w:lineRule="auto"/>
        <w:rPr>
          <w:rFonts w:hint="eastAsia" w:ascii="宋体" w:hAnsi="宋体" w:eastAsia="宋体" w:cs="宋体"/>
          <w:sz w:val="26"/>
          <w:szCs w:val="20"/>
          <w:shd w:val="clear" w:color="auto" w:fill="ffffff"/>
        </w:rPr>
      </w:pPr>
      <w:r>
        <w:rPr>
          <w:rFonts w:hint="eastAsia" w:ascii="宋体" w:hAnsi="宋体" w:eastAsia="宋体" w:cs="宋体"/>
          <w:sz w:val="26"/>
          <w:szCs w:val="20"/>
          <w:shd w:val="clear" w:color="auto" w:fill="ffffff"/>
        </w:rPr>
      </w:r>
      <w:r/>
    </w:p>
    <w:p>
      <w:pPr>
        <w:jc w:val="center"/>
        <w:keepLines/>
        <w:keepNext/>
        <w:spacing w:before="340" w:after="330" w:line="360" w:lineRule="auto"/>
        <w:rPr>
          <w:rFonts w:hint="eastAsia" w:ascii="宋体" w:hAnsi="宋体" w:eastAsia="宋体" w:cs="宋体"/>
          <w:b/>
          <w:sz w:val="52"/>
          <w:szCs w:val="20"/>
          <w:shd w:val="clear" w:color="auto" w:fill="ffffff"/>
        </w:rPr>
        <w:outlineLvl w:val="0"/>
      </w:pPr>
      <w:r>
        <w:rPr>
          <w:rFonts w:hint="eastAsia" w:ascii="宋体" w:hAnsi="宋体" w:eastAsia="宋体" w:cs="宋体"/>
          <w:b/>
          <w:sz w:val="52"/>
          <w:szCs w:val="20"/>
          <w:shd w:val="clear" w:color="auto" w:fill="ffffff"/>
        </w:rPr>
        <w:t xml:space="preserve">第六章 评分</w:t>
      </w:r>
      <w:bookmarkEnd w:id="70"/>
      <w:r/>
      <w:bookmarkEnd w:id="71"/>
      <w:r>
        <w:rPr>
          <w:rFonts w:hint="eastAsia" w:ascii="宋体" w:hAnsi="宋体" w:eastAsia="宋体" w:cs="宋体"/>
          <w:b/>
          <w:sz w:val="52"/>
          <w:szCs w:val="20"/>
          <w:shd w:val="clear" w:color="auto" w:fill="ffffff"/>
        </w:rPr>
        <w:t xml:space="preserve">标准</w:t>
      </w:r>
      <w:bookmarkEnd w:id="72"/>
      <w:r/>
      <w:r/>
    </w:p>
    <w:p>
      <w:pPr>
        <w:ind w:firstLine="520"/>
        <w:spacing w:line="360" w:lineRule="auto"/>
        <w:rPr>
          <w:rFonts w:hint="eastAsia" w:ascii="宋体" w:hAnsi="宋体" w:eastAsia="宋体" w:cs="宋体"/>
          <w:sz w:val="24"/>
          <w:szCs w:val="24"/>
        </w:rPr>
        <w:outlineLvl w:val="1"/>
      </w:pPr>
      <w:r/>
      <w:bookmarkStart w:id="73" w:name="OLE_LINK2"/>
      <w:r>
        <w:rPr>
          <w:rFonts w:hint="eastAsia" w:ascii="宋体" w:hAnsi="宋体" w:eastAsia="宋体" w:cs="宋体"/>
          <w:sz w:val="26"/>
          <w:szCs w:val="20"/>
          <w:shd w:val="clear" w:color="auto" w:fill="ffffff"/>
        </w:rPr>
        <w:br w:type="page" w:clear="all"/>
      </w:r>
      <w:bookmarkEnd w:id="73"/>
      <w:r>
        <w:rPr>
          <w:rFonts w:hint="eastAsia" w:ascii="宋体" w:hAnsi="宋体" w:eastAsia="宋体" w:cs="宋体"/>
          <w:b/>
          <w:bCs/>
          <w:sz w:val="24"/>
          <w:szCs w:val="24"/>
        </w:rPr>
        <w:t xml:space="preserve">一、评标办法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1、评价和比较采用综合评分法，即指投标（响应）文件满足招标文件全部实质性要求，且按照评审因素的量化指标评审得分最高的供应商</w:t>
      </w:r>
      <w:r>
        <w:rPr>
          <w:rFonts w:hint="eastAsia" w:ascii="宋体" w:hAnsi="宋体" w:eastAsia="宋体" w:cs="宋体"/>
          <w:sz w:val="24"/>
          <w:szCs w:val="24"/>
        </w:rPr>
        <w:t xml:space="preserve">为排名第一的</w:t>
      </w:r>
      <w:r>
        <w:rPr>
          <w:rFonts w:hint="eastAsia" w:ascii="宋体" w:hAnsi="宋体" w:eastAsia="宋体" w:cs="宋体"/>
          <w:sz w:val="24"/>
          <w:szCs w:val="24"/>
        </w:rPr>
        <w:t xml:space="preserve">中标候选人的评标方法。</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2、根据财政部《关于推动解决政府采购异常低价问题的通知》（财库〔2026〕2号）规定，实施政府采购异常低价审查：</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（1）评审过程中出现下列情形之一的，评审委员会应当启动异常低价投标</w:t>
      </w:r>
      <w:r>
        <w:rPr>
          <w:rFonts w:hint="eastAsia" w:ascii="宋体" w:hAnsi="宋体" w:eastAsia="宋体" w:cs="宋体"/>
          <w:color w:val="000000"/>
          <w:sz w:val="24"/>
          <w:szCs w:val="24"/>
        </w:rPr>
        <w:t xml:space="preserve">（响应）</w:t>
      </w:r>
      <w:r>
        <w:rPr>
          <w:rFonts w:hint="eastAsia" w:ascii="宋体" w:hAnsi="宋体" w:eastAsia="宋体" w:cs="宋体"/>
          <w:sz w:val="24"/>
          <w:szCs w:val="24"/>
        </w:rPr>
        <w:t xml:space="preserve">审查程序：</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①</w:t>
      </w:r>
      <w:r>
        <w:rPr>
          <w:rFonts w:hint="eastAsia" w:ascii="宋体" w:hAnsi="宋体" w:eastAsia="宋体" w:cs="宋体"/>
          <w:color w:val="000000"/>
          <w:sz w:val="24"/>
          <w:szCs w:val="24"/>
        </w:rPr>
        <w:t xml:space="preserve">投标（响应）报价低于全部通过符合性审查供应商投标（响应）报价平均值50%的，即投标（响应）报价</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全部通过符合性审查供应商投标（响应）报价平均值×50%；</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②</w:t>
      </w:r>
      <w:r>
        <w:rPr>
          <w:rFonts w:hint="eastAsia" w:ascii="宋体" w:hAnsi="宋体" w:eastAsia="宋体" w:cs="宋体"/>
          <w:color w:val="000000"/>
          <w:sz w:val="24"/>
          <w:szCs w:val="24"/>
        </w:rPr>
        <w:t xml:space="preserve">投标（响应）报价低于通过符合性审查的次低报价供应商投标（响应）报价50%的，即投标（响应）报价</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通过符合性审查的次低报价供应商投标（响应）报价×50%；</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③</w:t>
      </w:r>
      <w:r>
        <w:rPr>
          <w:rFonts w:hint="eastAsia" w:ascii="宋体" w:hAnsi="宋体" w:eastAsia="宋体" w:cs="宋体"/>
          <w:color w:val="000000"/>
          <w:sz w:val="24"/>
          <w:szCs w:val="24"/>
        </w:rPr>
        <w:t xml:space="preserve">投标（响应）报价低于采购项目最高限价45%的，即投标（响应）报价</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采购项目最高限价×45%；</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④</w:t>
      </w:r>
      <w:r>
        <w:rPr>
          <w:rFonts w:hint="eastAsia" w:ascii="宋体" w:hAnsi="宋体" w:eastAsia="宋体" w:cs="宋体"/>
          <w:color w:val="000000"/>
          <w:sz w:val="24"/>
          <w:szCs w:val="24"/>
        </w:rPr>
        <w:t xml:space="preserve">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（2）异常低价投标</w:t>
      </w:r>
      <w:r>
        <w:rPr>
          <w:rFonts w:hint="eastAsia" w:ascii="宋体" w:hAnsi="宋体" w:eastAsia="宋体" w:cs="宋体"/>
          <w:color w:val="000000"/>
          <w:sz w:val="24"/>
          <w:szCs w:val="24"/>
        </w:rPr>
        <w:t xml:space="preserve">（响应）</w:t>
      </w:r>
      <w:r>
        <w:rPr>
          <w:rFonts w:hint="eastAsia" w:ascii="宋体" w:hAnsi="宋体" w:eastAsia="宋体" w:cs="宋体"/>
          <w:sz w:val="24"/>
          <w:szCs w:val="24"/>
        </w:rPr>
        <w:t xml:space="preserve">审查启动后，</w:t>
      </w:r>
      <w:r>
        <w:rPr>
          <w:rFonts w:hint="eastAsia" w:ascii="宋体" w:hAnsi="宋体" w:eastAsia="宋体" w:cs="宋体"/>
          <w:color w:val="000000"/>
          <w:sz w:val="24"/>
          <w:szCs w:val="24"/>
        </w:rPr>
        <w:t xml:space="preserve">相关供应商应在评审现场合理的时间内对投标（响应）价格作出解释，提供项目具体成本测算等与报价合理性相关的书面说明及必要的证明材料，包括但不限于原材料成本、人工成本、制造费用等。</w:t>
      </w:r>
      <w:r/>
    </w:p>
    <w:p>
      <w:pPr>
        <w:pStyle w:val="986"/>
        <w:ind w:left="0" w:firstLine="480"/>
        <w:spacing w:line="360" w:lineRule="auto"/>
        <w:rPr>
          <w:rFonts w:hint="eastAsia" w:ascii="宋体" w:hAnsi="宋体" w:eastAsia="宋体" w:cs="宋体"/>
        </w:rPr>
      </w:pPr>
      <w:r>
        <w:rPr>
          <w:rFonts w:hint="eastAsia" w:ascii="宋体" w:hAnsi="宋体" w:eastAsia="宋体" w:cs="宋体"/>
          <w:color w:val="000000"/>
          <w:szCs w:val="24"/>
        </w:rPr>
        <w:t xml:space="preserve">其中，属于第</w:t>
      </w:r>
      <w:r>
        <w:rPr>
          <w:rFonts w:hint="eastAsia" w:ascii="宋体" w:hAnsi="宋体" w:eastAsia="宋体" w:cs="宋体"/>
          <w:szCs w:val="24"/>
        </w:rPr>
        <w:t xml:space="preserve">③</w:t>
      </w:r>
      <w:r>
        <w:rPr>
          <w:rFonts w:hint="eastAsia" w:ascii="宋体" w:hAnsi="宋体" w:eastAsia="宋体" w:cs="宋体"/>
          <w:color w:val="000000"/>
          <w:szCs w:val="24"/>
        </w:rPr>
        <w:t xml:space="preserve">项情形，供应商已随投标（响应）文件一并提交相关书面说明及必要的证明材料的，在评审现场可不再重复提交。</w:t>
      </w:r>
      <w:r/>
    </w:p>
    <w:p>
      <w:pPr>
        <w:ind w:firstLine="424"/>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3、评标委员会各成员独立对每个进入打分程序的有效投标（响应）单位的标书技术和资质部分以打分的形式进行评审和评价。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对评委的评分（除价格分外）进行统计汇总，直接算术平均，计算出每个投标（响应）单位的得分，加上价格得分即为每个投标（响应）单位的综合得分。评标结果按评审后得分由高到低顺序排列，得分相同的，按投标（响应）报价由低到高顺序排列，得分且投标（响应）报价相同的并列。投标（响应）文件满足招标文件全部实质性要求，且按照前述综合评审得分由高到低的排序选择前三名供应商作为中标候选人。如选取中标候选人时出现评审得分相同，且投标（响应）报价也相同的并列情况的，则由采购人组织以抽签方式确定优先选取顺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5、评标委员会根据采购人的授权，按照中标候选人的顺序在中标候选人中直接确定中标供应商。</w:t>
      </w:r>
      <w:r/>
    </w:p>
    <w:p>
      <w:pPr>
        <w:ind w:firstLine="480"/>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二、</w:t>
      </w:r>
      <w:r>
        <w:rPr>
          <w:rFonts w:hint="eastAsia" w:ascii="宋体" w:hAnsi="宋体" w:eastAsia="宋体" w:cs="宋体"/>
          <w:b/>
          <w:bCs/>
          <w:sz w:val="24"/>
          <w:szCs w:val="24"/>
        </w:rPr>
        <w:t xml:space="preserve">评分标准</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（一）价格分：</w:t>
      </w:r>
      <w:r>
        <w:rPr>
          <w:rFonts w:hint="eastAsia" w:ascii="宋体" w:hAnsi="宋体" w:eastAsia="宋体" w:cs="宋体"/>
          <w:b/>
          <w:sz w:val="24"/>
          <w:szCs w:val="24"/>
          <w:u w:val="single"/>
        </w:rPr>
        <w:t xml:space="preserve"> 10 </w:t>
      </w:r>
      <w:r>
        <w:rPr>
          <w:rFonts w:hint="eastAsia" w:ascii="宋体" w:hAnsi="宋体" w:eastAsia="宋体" w:cs="宋体"/>
          <w:b/>
          <w:sz w:val="24"/>
          <w:szCs w:val="24"/>
        </w:rPr>
        <w:t xml:space="preserve">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第一步：投标（响应）报价低于或等于财政预算（最高限价）且符合采购文件要求的，为有效投标（响应）报价。无效投标(响应)报价的投标（响应）文件不参与进一步评审。</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第二步：满足招标文件要求，且投标（响应）价格最低的投标（响应）报价为评标基准价，其价格分为满分，即</w:t>
      </w:r>
      <w:r>
        <w:rPr>
          <w:rFonts w:hint="eastAsia" w:ascii="宋体" w:hAnsi="宋体" w:eastAsia="宋体" w:cs="宋体"/>
          <w:bCs/>
          <w:sz w:val="24"/>
          <w:szCs w:val="24"/>
          <w:u w:val="single"/>
        </w:rPr>
        <w:t xml:space="preserve"> 10 </w:t>
      </w:r>
      <w:r>
        <w:rPr>
          <w:rFonts w:hint="eastAsia" w:ascii="宋体" w:hAnsi="宋体" w:eastAsia="宋体" w:cs="宋体"/>
          <w:bCs/>
          <w:sz w:val="24"/>
          <w:szCs w:val="24"/>
        </w:rPr>
        <w:t xml:space="preserve">分。其他报价得分统一按照下列公式计算（计算结果四舍五入，保留两位小数）：</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投标（响应）报价得分=（评标基准价/有效投标（响应）报价）×</w:t>
      </w:r>
      <w:r>
        <w:rPr>
          <w:rFonts w:hint="eastAsia" w:ascii="宋体" w:hAnsi="宋体" w:eastAsia="宋体" w:cs="宋体"/>
          <w:bCs/>
          <w:sz w:val="24"/>
          <w:szCs w:val="24"/>
          <w:u w:val="single"/>
        </w:rPr>
        <w:t xml:space="preserve"> 10 </w:t>
      </w:r>
      <w:r>
        <w:rPr>
          <w:rFonts w:hint="eastAsia" w:ascii="宋体" w:hAnsi="宋体" w:eastAsia="宋体" w:cs="宋体"/>
          <w:bCs/>
          <w:sz w:val="24"/>
          <w:szCs w:val="24"/>
        </w:rPr>
        <w:t xml:space="preserve">%×100</w:t>
      </w:r>
      <w:r/>
    </w:p>
    <w:p>
      <w:pPr>
        <w:ind w:left="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（二）技术部分：</w:t>
      </w:r>
      <w:r>
        <w:rPr>
          <w:rFonts w:hint="eastAsia" w:ascii="宋体" w:hAnsi="宋体" w:eastAsia="宋体" w:cs="宋体"/>
          <w:b/>
          <w:sz w:val="24"/>
          <w:szCs w:val="24"/>
          <w:u w:val="single"/>
        </w:rPr>
        <w:t xml:space="preserve"> 55 </w:t>
      </w:r>
      <w:r>
        <w:rPr>
          <w:rFonts w:hint="eastAsia" w:ascii="宋体" w:hAnsi="宋体" w:eastAsia="宋体" w:cs="宋体"/>
          <w:b/>
          <w:sz w:val="24"/>
          <w:szCs w:val="24"/>
        </w:rPr>
        <w:t xml:space="preserve">分</w:t>
      </w:r>
      <w:r/>
    </w:p>
    <w:tbl>
      <w:tblPr>
        <w:tblStyle w:val="9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3119"/>
        <w:gridCol w:w="4536"/>
        <w:gridCol w:w="1382"/>
      </w:tblGrid>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W w:w="311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评分项名称</w:t>
            </w:r>
            <w:r/>
          </w:p>
        </w:tc>
        <w:tc>
          <w:tcPr>
            <w:tcW w:w="453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评分标准</w:t>
            </w:r>
            <w:r/>
          </w:p>
        </w:tc>
        <w:tc>
          <w:tcPr>
            <w:tcW w:w="138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分值</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保障内容</w:t>
            </w:r>
            <w:r/>
          </w:p>
        </w:tc>
        <w:tc>
          <w:tcPr>
            <w:tcW w:w="4536"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满足全部招标保险方案保障条件的基础上提供增加条件（具可操作性），有一条得2分，最高得8分。</w:t>
            </w:r>
            <w:r>
              <w:rPr>
                <w:rFonts w:ascii="宋体" w:hAnsi="宋体" w:eastAsia="宋体" w:cs="宋体"/>
                <w:bCs/>
                <w:sz w:val="24"/>
                <w:szCs w:val="24"/>
              </w:rPr>
              <w:t xml:space="preserve">相关分析指标包括优化措施等。</w:t>
            </w:r>
            <w:r/>
          </w:p>
        </w:tc>
        <w:tc>
          <w:tcPr>
            <w:tcW w:w="138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8</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承保服务</w:t>
            </w:r>
            <w:r/>
          </w:p>
        </w:tc>
        <w:tc>
          <w:tcPr>
            <w:tcW w:w="4536"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满足全部招标保险方案承保服务的基础上提供</w:t>
            </w:r>
            <w:r>
              <w:rPr>
                <w:rFonts w:ascii="宋体" w:hAnsi="宋体" w:eastAsia="宋体" w:cs="宋体"/>
                <w:bCs/>
                <w:sz w:val="24"/>
                <w:szCs w:val="24"/>
              </w:rPr>
              <w:t xml:space="preserve">增加条件（具可操作性）</w:t>
            </w:r>
            <w:r>
              <w:rPr>
                <w:rFonts w:hint="eastAsia" w:ascii="宋体" w:hAnsi="宋体" w:eastAsia="宋体" w:cs="宋体"/>
                <w:bCs/>
                <w:sz w:val="24"/>
                <w:szCs w:val="24"/>
              </w:rPr>
              <w:t xml:space="preserve">，有一条得2分，最高得8分。相关分析指标包括优化措施等。</w:t>
            </w:r>
            <w:r/>
          </w:p>
        </w:tc>
        <w:tc>
          <w:tcPr>
            <w:tcW w:w="138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8</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tcW w:w="3119" w:type="dxa"/>
            <w:vAlign w:val="center"/>
            <w:textDirection w:val="lrTb"/>
            <w:noWrap w:val="false"/>
          </w:tcPr>
          <w:p>
            <w:pPr>
              <w:jc w:val="center"/>
              <w:rPr>
                <w:rFonts w:hint="eastAsia" w:ascii="宋体" w:hAnsi="宋体" w:eastAsia="宋体" w:cs="宋体"/>
                <w:bCs/>
                <w:strike/>
                <w:sz w:val="24"/>
                <w:szCs w:val="24"/>
              </w:rPr>
            </w:pPr>
            <w:r>
              <w:rPr>
                <w:rFonts w:ascii="宋体" w:hAnsi="宋体" w:eastAsia="宋体" w:cs="宋体"/>
                <w:bCs/>
                <w:sz w:val="24"/>
                <w:szCs w:val="24"/>
              </w:rPr>
              <w:t xml:space="preserve">理赔服务</w:t>
            </w:r>
            <w:r/>
          </w:p>
        </w:tc>
        <w:tc>
          <w:tcPr>
            <w:tcW w:w="4536"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满足全部招标保险方案理赔服务的基础上提供</w:t>
            </w:r>
            <w:r>
              <w:rPr>
                <w:rFonts w:ascii="宋体" w:hAnsi="宋体" w:eastAsia="宋体" w:cs="宋体"/>
                <w:bCs/>
                <w:sz w:val="24"/>
                <w:szCs w:val="24"/>
              </w:rPr>
              <w:t xml:space="preserve">增加条件（具可操作性）</w:t>
            </w:r>
            <w:r>
              <w:rPr>
                <w:rFonts w:hint="eastAsia" w:ascii="宋体" w:hAnsi="宋体" w:eastAsia="宋体" w:cs="宋体"/>
                <w:bCs/>
                <w:sz w:val="24"/>
                <w:szCs w:val="24"/>
              </w:rPr>
              <w:t xml:space="preserve">，有一条得2分，最高得8分。相关分析指标包括优化措施等。</w:t>
            </w:r>
            <w:r/>
          </w:p>
        </w:tc>
        <w:tc>
          <w:tcPr>
            <w:tcW w:w="138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8</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没有任何特殊限制条件</w:t>
            </w:r>
            <w:r/>
          </w:p>
        </w:tc>
        <w:tc>
          <w:tcPr>
            <w:tcW w:w="4536"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保险公司对招标保险方案</w:t>
            </w:r>
            <w:r>
              <w:rPr>
                <w:rFonts w:ascii="宋体" w:hAnsi="宋体" w:eastAsia="宋体" w:cs="宋体"/>
                <w:bCs/>
                <w:sz w:val="24"/>
                <w:szCs w:val="24"/>
              </w:rPr>
              <w:t xml:space="preserve">没有限制性条件得6分，有一条扣2分，扣完为止。</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注：保险公司是否对于采购文件要求的保险方案增加了限制性条件，有否影响到整个保险方案的完善性、合理性，相关分析指标包括：条款措辞限制、被保险人义务限制、索赔特别约定限制等。</w:t>
            </w:r>
            <w:r/>
          </w:p>
        </w:tc>
        <w:tc>
          <w:tcPr>
            <w:tcW w:w="138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5</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服务人员工作经验</w:t>
            </w:r>
            <w:r/>
          </w:p>
        </w:tc>
        <w:tc>
          <w:tcPr>
            <w:tcW w:w="4536" w:type="dxa"/>
            <w:vAlign w:val="center"/>
            <w:textDirection w:val="lrTb"/>
            <w:noWrap w:val="false"/>
          </w:tcPr>
          <w:p>
            <w:pPr>
              <w:jc w:val="left"/>
              <w:rPr>
                <w:rFonts w:hint="eastAsia" w:ascii="宋体" w:hAnsi="宋体" w:eastAsia="宋体" w:cs="宋体"/>
                <w:bCs/>
                <w:sz w:val="24"/>
                <w:szCs w:val="24"/>
              </w:rPr>
            </w:pPr>
            <w:r>
              <w:rPr>
                <w:rFonts w:ascii="宋体" w:hAnsi="宋体" w:eastAsia="宋体" w:cs="宋体"/>
                <w:bCs/>
                <w:sz w:val="24"/>
                <w:szCs w:val="24"/>
              </w:rPr>
              <w:t xml:space="preserve">项目负责人保险从业经验10年以内的得1分</w:t>
            </w:r>
            <w:r>
              <w:rPr>
                <w:rFonts w:hint="eastAsia" w:ascii="宋体" w:hAnsi="宋体" w:eastAsia="宋体" w:cs="宋体"/>
                <w:bCs/>
                <w:sz w:val="24"/>
                <w:szCs w:val="24"/>
              </w:rPr>
              <w:t xml:space="preserve">；</w:t>
            </w:r>
            <w:r>
              <w:rPr>
                <w:rFonts w:ascii="宋体" w:hAnsi="宋体" w:eastAsia="宋体" w:cs="宋体"/>
                <w:bCs/>
                <w:sz w:val="24"/>
                <w:szCs w:val="24"/>
              </w:rPr>
              <w:t xml:space="preserve">10年（含10年）-15年的得2分</w:t>
            </w:r>
            <w:r>
              <w:rPr>
                <w:rFonts w:hint="eastAsia" w:ascii="宋体" w:hAnsi="宋体" w:eastAsia="宋体" w:cs="宋体"/>
                <w:bCs/>
                <w:sz w:val="24"/>
                <w:szCs w:val="24"/>
              </w:rPr>
              <w:t xml:space="preserve">；</w:t>
            </w:r>
            <w:r>
              <w:rPr>
                <w:rFonts w:ascii="宋体" w:hAnsi="宋体" w:eastAsia="宋体" w:cs="宋体"/>
                <w:bCs/>
                <w:sz w:val="24"/>
                <w:szCs w:val="24"/>
              </w:rPr>
              <w:t xml:space="preserve">15年（含15年）以上的得4分。</w:t>
            </w:r>
            <w:r>
              <w:rPr>
                <w:rFonts w:hint="eastAsia" w:ascii="宋体" w:hAnsi="宋体" w:eastAsia="宋体" w:cs="宋体"/>
                <w:bCs/>
                <w:sz w:val="24"/>
                <w:szCs w:val="24"/>
              </w:rPr>
              <w:t xml:space="preserve">本项最高得4分。</w:t>
            </w:r>
            <w:r>
              <w:rPr>
                <w:rFonts w:ascii="宋体" w:hAnsi="宋体" w:eastAsia="宋体" w:cs="宋体"/>
                <w:bCs/>
                <w:sz w:val="24"/>
                <w:szCs w:val="24"/>
              </w:rPr>
              <w:t xml:space="preserve">投标文件中提供学历证书扫描件、保险行业从业经验相关证明材料扫描件、投标单位为其缴纳的近期社保证明扫描件，未提供或提供不全的不得分。</w:t>
            </w:r>
            <w:r/>
          </w:p>
        </w:tc>
        <w:tc>
          <w:tcPr>
            <w:tcW w:w="138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服务承诺及方案制订</w:t>
            </w:r>
            <w:r/>
          </w:p>
        </w:tc>
        <w:tc>
          <w:tcPr>
            <w:tcW w:w="4536"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保险公司是否认真制订了专业培训等计划，相关分析指标包括：服务手册、回访制度、专业培训内容、定期沟通等。</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服务承诺及方案制定理想、计划内容详尽、合理，具有可行性强的得12分；有一定服务承诺及方案制定介绍，但部分内容缺失或说明不到位的得8分；服务承诺及方案制定介绍简单粗略，与本项目匹配度不高的得4分；未提供不得分。</w:t>
            </w:r>
            <w:r/>
          </w:p>
        </w:tc>
        <w:tc>
          <w:tcPr>
            <w:tcW w:w="138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12</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服务质量承诺及监督措施</w:t>
            </w:r>
            <w:r/>
          </w:p>
        </w:tc>
        <w:tc>
          <w:tcPr>
            <w:tcW w:w="4536"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保险公司承诺的服务质量保证措施，相关分析指标包括：服务投诉处理办法、服务监督措施、赔款滞纳金、争议处理等。</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服务质量承诺及监督措施说明详尽、全面合理，具有可操作性的得9分；有一定服务质量承诺及监督措施介绍，但部分内容缺失或说明不到位的得6分；服务质量承诺及监督措施介绍简单粗略，与本项目匹配度不高的得3分；未提供不得分。</w:t>
            </w:r>
            <w:r/>
          </w:p>
        </w:tc>
        <w:tc>
          <w:tcPr>
            <w:tcW w:w="138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9</w:t>
            </w:r>
            <w:r/>
          </w:p>
        </w:tc>
      </w:tr>
    </w:tbl>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（三）商务部分：</w:t>
      </w:r>
      <w:r>
        <w:rPr>
          <w:rFonts w:hint="eastAsia" w:ascii="宋体" w:hAnsi="宋体" w:eastAsia="宋体" w:cs="宋体"/>
          <w:b/>
          <w:sz w:val="24"/>
          <w:szCs w:val="24"/>
          <w:u w:val="single"/>
        </w:rPr>
        <w:t xml:space="preserve"> 35 </w:t>
      </w:r>
      <w:r>
        <w:rPr>
          <w:rFonts w:hint="eastAsia" w:ascii="宋体" w:hAnsi="宋体" w:eastAsia="宋体" w:cs="宋体"/>
          <w:b/>
          <w:sz w:val="24"/>
          <w:szCs w:val="24"/>
        </w:rPr>
        <w:t xml:space="preserve">分</w:t>
      </w:r>
      <w:r/>
    </w:p>
    <w:tbl>
      <w:tblPr>
        <w:tblStyle w:val="9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119"/>
        <w:gridCol w:w="4536"/>
        <w:gridCol w:w="1382"/>
      </w:tblGrid>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W w:w="311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评分项名称</w:t>
            </w:r>
            <w:r/>
          </w:p>
        </w:tc>
        <w:tc>
          <w:tcPr>
            <w:tcW w:w="453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评分标准</w:t>
            </w:r>
            <w:r/>
          </w:p>
        </w:tc>
        <w:tc>
          <w:tcPr>
            <w:tcW w:w="138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分值</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同类项目经验</w:t>
            </w:r>
            <w:r/>
          </w:p>
        </w:tc>
        <w:tc>
          <w:tcPr>
            <w:tcW w:w="4536" w:type="dxa"/>
            <w:vAlign w:val="center"/>
            <w:textDirection w:val="lrTb"/>
            <w:noWrap w:val="false"/>
          </w:tcPr>
          <w:p>
            <w:pPr>
              <w:jc w:val="left"/>
              <w:rPr>
                <w:rFonts w:hint="eastAsia" w:ascii="宋体" w:hAnsi="宋体" w:eastAsia="宋体" w:cs="宋体"/>
                <w:bCs/>
                <w:sz w:val="24"/>
                <w:szCs w:val="24"/>
              </w:rPr>
            </w:pPr>
            <w:r>
              <w:rPr>
                <w:rFonts w:ascii="宋体" w:hAnsi="宋体" w:eastAsia="宋体" w:cs="宋体"/>
                <w:bCs/>
                <w:sz w:val="24"/>
                <w:szCs w:val="24"/>
              </w:rPr>
              <w:t xml:space="preserve">投标单位</w:t>
            </w:r>
            <w:r>
              <w:rPr>
                <w:rFonts w:hint="eastAsia" w:ascii="宋体" w:hAnsi="宋体" w:eastAsia="宋体" w:cs="宋体"/>
                <w:bCs/>
                <w:sz w:val="24"/>
                <w:szCs w:val="24"/>
              </w:rPr>
              <w:t xml:space="preserve">自</w:t>
            </w:r>
            <w:r>
              <w:rPr>
                <w:rFonts w:ascii="宋体" w:hAnsi="宋体" w:eastAsia="宋体" w:cs="宋体"/>
                <w:bCs/>
                <w:sz w:val="24"/>
                <w:szCs w:val="24"/>
              </w:rPr>
              <w:t xml:space="preserve">2023年</w:t>
            </w:r>
            <w:r>
              <w:rPr>
                <w:rFonts w:hint="eastAsia" w:ascii="宋体" w:hAnsi="宋体" w:eastAsia="宋体" w:cs="宋体"/>
                <w:bCs/>
                <w:sz w:val="24"/>
                <w:szCs w:val="24"/>
              </w:rPr>
              <w:t xml:space="preserve">1月1日</w:t>
            </w:r>
            <w:r>
              <w:rPr>
                <w:rFonts w:ascii="宋体" w:hAnsi="宋体" w:eastAsia="宋体" w:cs="宋体"/>
                <w:bCs/>
                <w:sz w:val="24"/>
                <w:szCs w:val="24"/>
              </w:rPr>
              <w:t xml:space="preserve">以来</w:t>
            </w:r>
            <w:r>
              <w:rPr>
                <w:rFonts w:hint="eastAsia" w:ascii="宋体" w:hAnsi="宋体" w:eastAsia="宋体" w:cs="宋体"/>
                <w:bCs/>
                <w:sz w:val="24"/>
                <w:szCs w:val="24"/>
              </w:rPr>
              <w:t xml:space="preserve">（以</w:t>
            </w:r>
            <w:r>
              <w:rPr>
                <w:rFonts w:ascii="宋体" w:hAnsi="宋体" w:eastAsia="宋体" w:cs="宋体"/>
                <w:bCs/>
                <w:sz w:val="24"/>
                <w:szCs w:val="24"/>
              </w:rPr>
              <w:t xml:space="preserve">合同载明的承保时间为准</w:t>
            </w:r>
            <w:r>
              <w:rPr>
                <w:rFonts w:hint="eastAsia" w:ascii="宋体" w:hAnsi="宋体" w:eastAsia="宋体" w:cs="宋体"/>
                <w:bCs/>
                <w:sz w:val="24"/>
                <w:szCs w:val="24"/>
              </w:rPr>
              <w:t xml:space="preserve">）</w:t>
            </w:r>
            <w:r>
              <w:rPr>
                <w:rFonts w:ascii="宋体" w:hAnsi="宋体" w:eastAsia="宋体" w:cs="宋体"/>
                <w:bCs/>
                <w:sz w:val="24"/>
                <w:szCs w:val="24"/>
              </w:rPr>
              <w:t xml:space="preserve">承保的类似项目业绩，每个项目得2分，最</w:t>
            </w:r>
            <w:r>
              <w:rPr>
                <w:rFonts w:hint="eastAsia" w:ascii="宋体" w:hAnsi="宋体" w:eastAsia="宋体" w:cs="宋体"/>
                <w:bCs/>
                <w:sz w:val="24"/>
                <w:szCs w:val="24"/>
              </w:rPr>
              <w:t xml:space="preserve">高</w:t>
            </w:r>
            <w:r>
              <w:rPr>
                <w:rFonts w:ascii="宋体" w:hAnsi="宋体" w:eastAsia="宋体" w:cs="宋体"/>
                <w:bCs/>
                <w:sz w:val="24"/>
                <w:szCs w:val="24"/>
              </w:rPr>
              <w:t xml:space="preserve">得10分。投标文件中提供保单</w:t>
            </w:r>
            <w:r>
              <w:rPr>
                <w:rFonts w:hint="eastAsia" w:ascii="宋体" w:hAnsi="宋体" w:eastAsia="宋体" w:cs="宋体"/>
                <w:bCs/>
                <w:sz w:val="24"/>
                <w:szCs w:val="24"/>
              </w:rPr>
              <w:t xml:space="preserve">扫描件</w:t>
            </w:r>
            <w:r>
              <w:rPr>
                <w:rFonts w:ascii="宋体" w:hAnsi="宋体" w:eastAsia="宋体" w:cs="宋体"/>
                <w:bCs/>
                <w:sz w:val="24"/>
                <w:szCs w:val="24"/>
              </w:rPr>
              <w:t xml:space="preserve">或者合同</w:t>
            </w:r>
            <w:r>
              <w:rPr>
                <w:rFonts w:hint="eastAsia" w:ascii="宋体" w:hAnsi="宋体" w:eastAsia="宋体" w:cs="宋体"/>
                <w:bCs/>
                <w:sz w:val="24"/>
                <w:szCs w:val="24"/>
              </w:rPr>
              <w:t xml:space="preserve">扫描件，未提供不得分。</w:t>
            </w:r>
            <w:r/>
          </w:p>
        </w:tc>
        <w:tc>
          <w:tcPr>
            <w:tcW w:w="138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10</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保险公司偿付能力</w:t>
            </w:r>
            <w:r/>
          </w:p>
        </w:tc>
        <w:tc>
          <w:tcPr>
            <w:tcW w:w="4536"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根据投标单位总公司已公开披露的2025年度第四季度综合偿付能力充足率进行评审，投标文件中提供投标单位总公司2025年经审计的偿付能力财务报告证明材料，未提供不得分。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2025年度第四季度综合偿付能力充足率≥220%,得9分；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210%≤2025年度第四季度综合偿付能力充足率＜220%，得6分；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200%≤2025年度第四季度综合偿付能力充足率＜210%，得3分；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2025年度第四季度综合偿付能力充足率＜200%，不得分。</w:t>
            </w:r>
            <w:r/>
          </w:p>
        </w:tc>
        <w:tc>
          <w:tcPr>
            <w:tcW w:w="138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9</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保险公司风险综合评级</w:t>
            </w:r>
            <w:r/>
          </w:p>
        </w:tc>
        <w:tc>
          <w:tcPr>
            <w:tcW w:w="4536"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根据保险公司总公司已公开披露的2025年四个季度风险综合评级结果进行评分：每有一个AA级（及以上）的得2分，每有一个A级的得1分，每有一个BBB级的得0.5分，其他情况不得分。本项最高得8分。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以公开披露的2025年四个季度风险综合评级结果为准，投标文件中提供国家金融监督管理总局偿付能力监管信息系统最终评级结果截图，无风险综合评级结果及未提供的不得分。</w:t>
            </w:r>
            <w:r/>
          </w:p>
        </w:tc>
        <w:tc>
          <w:tcPr>
            <w:tcW w:w="138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8</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tcW w:w="3119"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合规经营</w:t>
            </w:r>
            <w:r/>
          </w:p>
        </w:tc>
        <w:tc>
          <w:tcPr>
            <w:tcW w:w="4536"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保险公司及其总公司所有分支机构2023年1月1日至今受国家金融监督管理总局及派出机构处罚情况进行评分。未受到过任何处罚的得8分；受到过轻微处罚（如：警告、通报批评）的得3分；其余不得分。投标文件中提供2023年1月1日至今有无处罚的证明材料（未受到过任何处罚的提供相关承诺函；受到过轻微处罚的提供</w:t>
            </w:r>
            <w:r>
              <w:rPr>
                <w:rFonts w:ascii="宋体" w:hAnsi="宋体" w:eastAsia="宋体" w:cs="宋体"/>
                <w:bCs/>
                <w:sz w:val="24"/>
                <w:szCs w:val="24"/>
              </w:rPr>
              <w:t xml:space="preserve">以国家金融监督管理总局</w:t>
            </w:r>
            <w:r>
              <w:rPr>
                <w:rFonts w:hint="eastAsia" w:ascii="宋体" w:hAnsi="宋体" w:eastAsia="宋体" w:cs="宋体"/>
                <w:bCs/>
                <w:sz w:val="24"/>
                <w:szCs w:val="24"/>
              </w:rPr>
              <w:t xml:space="preserve">及派出机构官网发布</w:t>
            </w:r>
            <w:r>
              <w:rPr>
                <w:rFonts w:ascii="宋体" w:hAnsi="宋体" w:eastAsia="宋体" w:cs="宋体"/>
                <w:bCs/>
                <w:sz w:val="24"/>
                <w:szCs w:val="24"/>
              </w:rPr>
              <w:t xml:space="preserve">的处罚文件为准</w:t>
            </w:r>
            <w:r>
              <w:rPr>
                <w:rFonts w:hint="eastAsia" w:ascii="宋体" w:hAnsi="宋体" w:eastAsia="宋体" w:cs="宋体"/>
                <w:bCs/>
                <w:sz w:val="24"/>
                <w:szCs w:val="24"/>
              </w:rPr>
              <w:t xml:space="preserve">），如提供虚假材料作无效投标处理，不提供不得分。</w:t>
            </w:r>
            <w:r/>
          </w:p>
        </w:tc>
        <w:tc>
          <w:tcPr>
            <w:tcW w:w="138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8</w:t>
            </w:r>
            <w:r/>
          </w:p>
        </w:tc>
      </w:tr>
    </w:tbl>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说明：</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针对评分标准中评分的每一条，供应商在投标（响应）文件中均应提供相关资料的清晰扫描件并作出相应说明供评委评判，未提供或提供不完整的视为不具备该项得分的条件。</w:t>
      </w:r>
      <w:r/>
    </w:p>
    <w:p>
      <w:pPr>
        <w:ind w:firstLine="480"/>
        <w:spacing w:line="360" w:lineRule="auto"/>
        <w:rPr>
          <w:rFonts w:hint="eastAsia" w:ascii="宋体" w:hAnsi="宋体" w:eastAsia="宋体" w:cs="宋体"/>
          <w:sz w:val="24"/>
          <w:szCs w:val="24"/>
        </w:rPr>
      </w:pPr>
      <w:r/>
      <w:bookmarkStart w:id="74" w:name="_Toc105940243"/>
      <w:r/>
      <w:bookmarkStart w:id="75" w:name="_Toc48723925"/>
      <w:r/>
      <w:r/>
    </w:p>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ind w:firstLine="482"/>
        <w:spacing w:line="360" w:lineRule="auto"/>
        <w:rPr>
          <w:rFonts w:hint="eastAsia" w:ascii="宋体" w:hAnsi="宋体" w:eastAsia="宋体" w:cs="宋体"/>
          <w:b/>
          <w:szCs w:val="21"/>
        </w:rPr>
        <w:outlineLvl w:val="1"/>
      </w:pPr>
      <w:r>
        <w:rPr>
          <w:rFonts w:hint="eastAsia" w:ascii="宋体" w:hAnsi="宋体" w:eastAsia="宋体" w:cs="宋体"/>
          <w:b/>
          <w:bCs/>
          <w:sz w:val="24"/>
          <w:szCs w:val="24"/>
        </w:rPr>
        <w:t xml:space="preserve">三、政府采购政策</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（一）支持本国产品政策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1、根据</w:t>
      </w:r>
      <w:r>
        <w:rPr>
          <w:rFonts w:hint="eastAsia" w:ascii="宋体" w:hAnsi="宋体" w:eastAsia="宋体" w:cs="宋体"/>
          <w:sz w:val="24"/>
          <w:szCs w:val="24"/>
          <w:lang w:val="zh-CN"/>
        </w:rPr>
        <w:t xml:space="preserve">《国务院办公厅关于在政府采购中实施本国产品标准及相关政策的通知》</w:t>
      </w:r>
      <w:bookmarkStart w:id="76" w:name="OLE_LINK13"/>
      <w:r>
        <w:rPr>
          <w:rFonts w:hint="eastAsia" w:ascii="宋体" w:hAnsi="宋体" w:eastAsia="宋体" w:cs="宋体"/>
          <w:sz w:val="24"/>
          <w:szCs w:val="24"/>
          <w:lang w:val="zh-CN"/>
        </w:rPr>
        <w:t xml:space="preserve">（国办发</w:t>
      </w:r>
      <w:r>
        <w:rPr>
          <w:rFonts w:hint="eastAsia" w:ascii="宋体" w:hAnsi="宋体" w:eastAsia="宋体" w:cs="宋体"/>
          <w:sz w:val="24"/>
          <w:szCs w:val="24"/>
        </w:rPr>
        <w:t xml:space="preserve">〔2025〕</w:t>
      </w:r>
      <w:r>
        <w:rPr>
          <w:rFonts w:hint="eastAsia" w:ascii="宋体" w:hAnsi="宋体" w:eastAsia="宋体" w:cs="宋体"/>
          <w:sz w:val="24"/>
          <w:szCs w:val="24"/>
          <w:lang w:val="zh-CN"/>
        </w:rPr>
        <w:t xml:space="preserve">34号）</w:t>
      </w:r>
      <w:bookmarkEnd w:id="76"/>
      <w:r>
        <w:rPr>
          <w:rFonts w:hint="eastAsia" w:ascii="宋体" w:hAnsi="宋体" w:eastAsia="宋体" w:cs="宋体"/>
          <w:sz w:val="24"/>
          <w:szCs w:val="24"/>
          <w:lang w:val="zh-CN"/>
        </w:rPr>
        <w:t xml:space="preserve">（以下简称“本国产品扶持政策”）的规定，</w:t>
      </w:r>
      <w:r>
        <w:rPr>
          <w:rFonts w:hint="eastAsia" w:ascii="宋体" w:hAnsi="宋体" w:eastAsia="宋体" w:cs="宋体"/>
          <w:sz w:val="24"/>
          <w:szCs w:val="24"/>
        </w:rPr>
        <w:t xml:space="preserve">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未填写比例数值，或比例数值未达到80%的，将不享受本国产品价格评审优惠。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3、本国产品标准的适用范围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4、供应商应当提供符合</w:t>
      </w:r>
      <w:r>
        <w:rPr>
          <w:rFonts w:hint="eastAsia" w:ascii="宋体" w:hAnsi="宋体" w:eastAsia="宋体" w:cs="宋体"/>
          <w:sz w:val="24"/>
          <w:szCs w:val="24"/>
          <w:lang w:val="zh-CN"/>
        </w:rPr>
        <w:t xml:space="preserve">本国产品扶持政策</w:t>
      </w:r>
      <w:r>
        <w:rPr>
          <w:rFonts w:hint="eastAsia" w:ascii="宋体" w:hAnsi="宋体" w:eastAsia="宋体" w:cs="宋体"/>
          <w:sz w:val="24"/>
          <w:szCs w:val="24"/>
        </w:rPr>
        <w:t xml:space="preserve">附件规定的《关于符合本国产品标准的声明函》（格式见第三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多种产品采购时，还应提供《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（格式见第三章）。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未按上述要求提供的，不享受本国产品扶持政策。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6、若供应商提供虚假《关于符合本国产品标准的声明函》、《</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虚假证明文件谋取中标、成交的，依照《中华人民共和国政府采购法》等法律法规规定追究相应责任。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7、供应商提供的《关于符合本国产品标准的声明函》，或财政部会同有关部门规定的有关证明文件将随中标（成交）结果同时公告。</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（二）促进中小企业发展政策</w:t>
      </w:r>
      <w:r/>
    </w:p>
    <w:p>
      <w:pPr>
        <w:ind w:firstLine="480"/>
        <w:spacing w:line="360" w:lineRule="auto"/>
        <w:rPr>
          <w:rFonts w:hint="eastAsia" w:ascii="宋体" w:hAnsi="宋体" w:eastAsia="宋体" w:cs="宋体"/>
          <w:sz w:val="24"/>
          <w:szCs w:val="24"/>
        </w:rPr>
      </w:pPr>
      <w:r/>
      <w:bookmarkStart w:id="77" w:name="_Hlk111647296"/>
      <w:r>
        <w:rPr>
          <w:rFonts w:hint="eastAsia" w:ascii="宋体" w:hAnsi="宋体" w:eastAsia="宋体" w:cs="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等相关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1、在政府采购活动中，供应商提供的货物、工程或者服务符合下列情形的，享受本办法规定的中小企业扶持政策：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（1）在货物采购项目中，货物由中小企业制造，即货物由中小企业生产且使用该中小企业商号或者注册商标；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（2）在工程采购项目中，工程由中小企业承建，即工程施工单位为中小企业；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在货物采购项目中，供应商提供的货物既有中小企业制造货物，也有大型企业制造货物的，不享受本办法规定的中小企业扶持政策。</w:t>
      </w:r>
      <w:bookmarkEnd w:id="77"/>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2、本项目如属于</w:t>
      </w:r>
      <w:r>
        <w:rPr>
          <w:rFonts w:hint="eastAsia" w:ascii="宋体" w:hAnsi="宋体" w:eastAsia="宋体" w:cs="宋体"/>
          <w:b/>
          <w:sz w:val="24"/>
          <w:szCs w:val="24"/>
        </w:rPr>
        <w:t xml:space="preserve">非专门面向中小企业采购</w:t>
      </w:r>
      <w:r>
        <w:rPr>
          <w:rFonts w:hint="eastAsia" w:ascii="宋体" w:hAnsi="宋体" w:eastAsia="宋体" w:cs="宋体"/>
          <w:sz w:val="24"/>
          <w:szCs w:val="24"/>
        </w:rPr>
        <w:t xml:space="preserve">，对小微企业报价给予</w:t>
      </w:r>
      <w:r>
        <w:rPr>
          <w:rFonts w:hint="eastAsia" w:ascii="宋体" w:hAnsi="宋体" w:eastAsia="宋体" w:cs="宋体"/>
          <w:sz w:val="24"/>
          <w:szCs w:val="24"/>
          <w:u w:val="single"/>
        </w:rPr>
        <w:t xml:space="preserve"> 20 %</w:t>
      </w:r>
      <w:r>
        <w:rPr>
          <w:rFonts w:hint="eastAsia" w:ascii="宋体" w:hAnsi="宋体" w:eastAsia="宋体" w:cs="宋体"/>
          <w:sz w:val="24"/>
          <w:szCs w:val="24"/>
        </w:rPr>
        <w:t xml:space="preserve">的扣除，用扣除后的价格参与评审。如扣除后的价格为最低价的，则作为评标基准价，中标（成交）金额则以实际投标（响应）报价为准。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中小微企业划型标准根据《中小企业划型标准规定》（工信部联企业</w:t>
      </w:r>
      <w:r>
        <w:rPr>
          <w:rFonts w:hint="eastAsia" w:ascii="宋体" w:hAnsi="宋体" w:eastAsia="宋体" w:cs="宋体"/>
          <w:sz w:val="24"/>
          <w:szCs w:val="24"/>
        </w:rPr>
        <w:t xml:space="preserve">〔2011〕</w:t>
      </w:r>
      <w:r>
        <w:rPr>
          <w:rFonts w:hint="eastAsia" w:ascii="宋体" w:hAnsi="宋体" w:eastAsia="宋体" w:cs="宋体"/>
          <w:sz w:val="24"/>
          <w:szCs w:val="24"/>
          <w:lang w:val="zh-CN"/>
        </w:rPr>
        <w:t xml:space="preserve">300号）</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5、供应商应当出具符合《政府采购促进中小企业发展管理办法》（财库〔2020〕46号）附件规定的《中小企业声明函》，否则不得享受相关中小企业扶持政策。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6、若供应商提供的《中小企业声明函》内容不实的，属于提供虚假材料谋取中标、成交，按政府采购相关规定处理并报请政府监管部门给予行政处罚。</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（三）残疾人福利性单位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（四）监狱企业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jc w:val="left"/>
        <w:widowControl/>
        <w:rPr>
          <w:rFonts w:hint="eastAsia" w:ascii="宋体" w:hAnsi="宋体" w:eastAsia="宋体" w:cs="宋体"/>
          <w:sz w:val="24"/>
          <w:szCs w:val="20"/>
        </w:rPr>
      </w:pPr>
      <w:r>
        <w:rPr>
          <w:rFonts w:hint="eastAsia" w:ascii="宋体" w:hAnsi="宋体" w:eastAsia="宋体" w:cs="宋体"/>
        </w:rPr>
        <w:br w:type="page" w:clear="all"/>
      </w:r>
      <w:r/>
    </w:p>
    <w:p>
      <w:pPr>
        <w:pStyle w:val="986"/>
        <w:rPr>
          <w:rFonts w:hint="eastAsia" w:ascii="宋体" w:hAnsi="宋体" w:eastAsia="宋体" w:cs="宋体"/>
        </w:rPr>
      </w:pPr>
      <w:r>
        <w:rPr>
          <w:rFonts w:hint="eastAsia" w:ascii="宋体" w:hAnsi="宋体" w:eastAsia="宋体" w:cs="宋体"/>
        </w:rPr>
      </w:r>
      <w:r/>
    </w:p>
    <w:p>
      <w:pPr>
        <w:pStyle w:val="986"/>
        <w:rPr>
          <w:rFonts w:hint="eastAsia" w:ascii="宋体" w:hAnsi="宋体" w:eastAsia="宋体" w:cs="宋体"/>
          <w:szCs w:val="24"/>
        </w:rPr>
      </w:pPr>
      <w:r>
        <w:rPr>
          <w:rFonts w:hint="eastAsia" w:ascii="宋体" w:hAnsi="宋体" w:eastAsia="宋体" w:cs="宋体"/>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pStyle w:val="986"/>
        <w:jc w:val="left"/>
        <w:rPr>
          <w:rFonts w:hint="eastAsia" w:ascii="宋体" w:hAnsi="宋体" w:eastAsia="宋体" w:cs="宋体"/>
          <w:szCs w:val="24"/>
        </w:rPr>
      </w:pPr>
      <w:r>
        <w:rPr>
          <w:rFonts w:hint="eastAsia" w:ascii="宋体" w:hAnsi="宋体" w:eastAsia="宋体" w:cs="宋体"/>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pStyle w:val="986"/>
        <w:jc w:val="left"/>
        <w:rPr>
          <w:rFonts w:hint="eastAsia" w:ascii="宋体" w:hAnsi="宋体" w:eastAsia="宋体" w:cs="宋体"/>
          <w:szCs w:val="24"/>
        </w:rPr>
      </w:pPr>
      <w:r>
        <w:rPr>
          <w:rFonts w:hint="eastAsia" w:ascii="宋体" w:hAnsi="宋体" w:eastAsia="宋体" w:cs="宋体"/>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pStyle w:val="986"/>
        <w:jc w:val="left"/>
        <w:rPr>
          <w:rFonts w:hint="eastAsia" w:ascii="宋体" w:hAnsi="宋体" w:eastAsia="宋体" w:cs="宋体"/>
          <w:szCs w:val="24"/>
        </w:rPr>
      </w:pPr>
      <w:r>
        <w:rPr>
          <w:rFonts w:hint="eastAsia" w:ascii="宋体" w:hAnsi="宋体" w:eastAsia="宋体" w:cs="宋体"/>
          <w:szCs w:val="24"/>
        </w:rPr>
      </w:r>
      <w:r/>
    </w:p>
    <w:p>
      <w:pPr>
        <w:jc w:val="left"/>
        <w:rPr>
          <w:rFonts w:hint="eastAsia" w:ascii="宋体" w:hAnsi="宋体" w:eastAsia="宋体" w:cs="宋体"/>
        </w:rPr>
      </w:pPr>
      <w:r>
        <w:rPr>
          <w:rFonts w:hint="eastAsia" w:ascii="宋体" w:hAnsi="宋体" w:eastAsia="宋体" w:cs="宋体"/>
        </w:rPr>
      </w:r>
      <w:r/>
    </w:p>
    <w:p>
      <w:pPr>
        <w:jc w:val="center"/>
        <w:keepLines/>
        <w:keepNext/>
        <w:spacing w:before="340" w:after="330" w:line="360" w:lineRule="auto"/>
        <w:rPr>
          <w:rFonts w:hint="eastAsia" w:ascii="宋体" w:hAnsi="宋体" w:eastAsia="宋体" w:cs="宋体"/>
        </w:rPr>
        <w:outlineLvl w:val="0"/>
      </w:pPr>
      <w:r>
        <w:rPr>
          <w:rFonts w:hint="eastAsia" w:ascii="宋体" w:hAnsi="宋体" w:eastAsia="宋体" w:cs="宋体"/>
          <w:b/>
          <w:sz w:val="52"/>
          <w:szCs w:val="20"/>
          <w:shd w:val="clear" w:color="auto" w:fill="ffffff"/>
        </w:rPr>
        <w:t xml:space="preserve">第七章 附件</w:t>
      </w:r>
      <w:bookmarkEnd w:id="74"/>
      <w:r/>
      <w:bookmarkEnd w:id="75"/>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eastAsia="zh"/>
        </w:rPr>
        <w:t xml:space="preserve">附件</w:t>
      </w:r>
      <w:r>
        <w:rPr>
          <w:rFonts w:hint="eastAsia" w:ascii="宋体" w:hAnsi="宋体" w:eastAsia="宋体" w:cs="宋体"/>
          <w:b/>
          <w:bCs/>
          <w:sz w:val="24"/>
          <w:szCs w:val="24"/>
        </w:rPr>
        <w:t xml:space="preserve">1</w:t>
      </w:r>
      <w:r>
        <w:rPr>
          <w:rFonts w:hint="eastAsia" w:ascii="宋体" w:hAnsi="宋体" w:eastAsia="宋体" w:cs="宋体"/>
          <w:b/>
          <w:bCs/>
          <w:sz w:val="24"/>
          <w:szCs w:val="24"/>
          <w:lang w:eastAsia="zh"/>
        </w:rPr>
        <w:t xml:space="preserve">：中小企业</w:t>
      </w:r>
      <w:r>
        <w:rPr>
          <w:rFonts w:hint="eastAsia" w:ascii="宋体" w:hAnsi="宋体" w:eastAsia="宋体" w:cs="宋体"/>
          <w:b/>
          <w:bCs/>
          <w:sz w:val="24"/>
          <w:szCs w:val="24"/>
        </w:rPr>
        <w:t xml:space="preserve">相关要求</w:t>
      </w:r>
      <w:r/>
    </w:p>
    <w:p>
      <w:pPr>
        <w:spacing w:line="360" w:lineRule="auto"/>
        <w:rPr>
          <w:rFonts w:hint="eastAsia" w:ascii="宋体" w:hAnsi="宋体" w:eastAsia="宋体" w:cs="宋体"/>
          <w:b/>
          <w:sz w:val="24"/>
          <w:szCs w:val="24"/>
        </w:rPr>
      </w:pPr>
      <w:r>
        <w:rPr>
          <w:rFonts w:hint="eastAsia" w:ascii="宋体" w:hAnsi="宋体" w:eastAsia="宋体" w:cs="宋体"/>
          <w:b/>
          <w:bCs/>
          <w:sz w:val="24"/>
          <w:szCs w:val="24"/>
        </w:rPr>
        <w:t xml:space="preserve">附件2：中小企业划型标准规定</w:t>
      </w:r>
      <w:r>
        <w:rPr>
          <w:rFonts w:hint="eastAsia" w:ascii="宋体" w:hAnsi="宋体" w:eastAsia="宋体" w:cs="宋体"/>
          <w:b/>
          <w:sz w:val="24"/>
          <w:szCs w:val="24"/>
        </w:rPr>
        <w:t xml:space="preserve">（工信部联企业〔2011〕300号）</w:t>
      </w:r>
      <w:r/>
    </w:p>
    <w:p>
      <w:pPr>
        <w:rPr>
          <w:rFonts w:hint="eastAsia" w:ascii="宋体" w:hAnsi="宋体" w:eastAsia="宋体" w:cs="宋体"/>
        </w:rPr>
      </w:pPr>
      <w:r>
        <w:rPr>
          <w:rFonts w:hint="eastAsia" w:ascii="宋体" w:hAnsi="宋体" w:eastAsia="宋体" w:cs="宋体"/>
        </w:rPr>
        <w:br w:type="page" w:clear="all"/>
      </w:r>
      <w:r/>
    </w:p>
    <w:p>
      <w:pPr>
        <w:pStyle w:val="1064"/>
        <w:ind w:firstLine="0"/>
        <w:jc w:val="left"/>
        <w:rPr>
          <w:rFonts w:hint="eastAsia" w:ascii="宋体" w:hAnsi="宋体" w:eastAsia="宋体" w:cs="宋体"/>
          <w:b/>
          <w:bCs/>
        </w:rPr>
      </w:pPr>
      <w:r>
        <w:rPr>
          <w:rFonts w:hint="eastAsia" w:ascii="宋体" w:hAnsi="宋体" w:eastAsia="宋体" w:cs="宋体"/>
          <w:b/>
          <w:bCs/>
        </w:rPr>
        <w:t xml:space="preserve">附件1：</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lang w:eastAsia="zh"/>
        </w:rPr>
        <w:t xml:space="preserve">中小企业</w:t>
      </w:r>
      <w:r>
        <w:rPr>
          <w:rFonts w:hint="eastAsia" w:ascii="宋体" w:hAnsi="宋体" w:eastAsia="宋体" w:cs="宋体"/>
          <w:b/>
          <w:bCs/>
          <w:sz w:val="24"/>
          <w:szCs w:val="24"/>
        </w:rPr>
        <w:t xml:space="preserve">相关要求</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1.在服务采购项目中，服务由中小企业承接，即提供服务的人员为中小企业依照《中华人民共和国劳动合同法》订立劳动合同的从业人员。</w:t>
      </w:r>
      <w:r>
        <w:rPr>
          <w:rFonts w:hint="eastAsia" w:ascii="宋体" w:hAnsi="宋体" w:eastAsia="宋体" w:cs="宋体"/>
          <w:b/>
          <w:sz w:val="24"/>
          <w:szCs w:val="24"/>
        </w:rPr>
        <w:t xml:space="preserve">服务类项目中供应商若使用退休人员，将不享受相应扶持政策。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2.《中小企业声明函》中所填的行业应与本采购标的对应的中小企业划分标准所属行业一致，不一致的不可享受相应政策优惠。</w:t>
      </w:r>
      <w:r>
        <w:rPr>
          <w:rFonts w:hint="eastAsia" w:ascii="宋体" w:hAnsi="宋体" w:eastAsia="宋体" w:cs="宋体"/>
          <w:b/>
          <w:sz w:val="24"/>
          <w:szCs w:val="24"/>
        </w:rPr>
        <w:t xml:space="preserve">本采购标的对应的中小企业划分标准所属行业，以采购文件中具体规定为准。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b/>
          <w:sz w:val="24"/>
          <w:szCs w:val="24"/>
        </w:rPr>
        <w:t xml:space="preserve">如未在</w:t>
      </w:r>
      <w:r>
        <w:rPr>
          <w:rFonts w:hint="eastAsia" w:ascii="宋体" w:hAnsi="宋体" w:eastAsia="宋体" w:cs="宋体"/>
          <w:sz w:val="24"/>
          <w:szCs w:val="24"/>
        </w:rPr>
        <w:t xml:space="preserve">《中小企业声明函》中填写注明具体企业类型</w:t>
      </w:r>
      <w:r>
        <w:rPr>
          <w:rFonts w:hint="eastAsia" w:ascii="宋体" w:hAnsi="宋体" w:eastAsia="宋体" w:cs="宋体"/>
          <w:b/>
          <w:sz w:val="24"/>
          <w:szCs w:val="24"/>
        </w:rPr>
        <w:t xml:space="preserve">（中型企业、小型企业或微型企业），不视为中小微企业，不享受相应扶持政策</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4.中标（成交）单位为中小企业的，《中小企业声明函》将随中标（成交）结果同时公告。</w:t>
      </w:r>
      <w:r/>
    </w:p>
    <w:p>
      <w:pPr>
        <w:ind w:firstLine="422"/>
        <w:spacing w:line="360" w:lineRule="auto"/>
        <w:rPr>
          <w:rFonts w:hint="eastAsia" w:ascii="宋体" w:hAnsi="宋体" w:eastAsia="宋体" w:cs="宋体"/>
          <w:b/>
        </w:rPr>
      </w:pPr>
      <w:r>
        <w:rPr>
          <w:rFonts w:hint="eastAsia" w:ascii="宋体" w:hAnsi="宋体" w:eastAsia="宋体" w:cs="宋体"/>
          <w:b/>
        </w:rPr>
        <w:br w:type="page" w:clear="all"/>
      </w:r>
      <w:r/>
    </w:p>
    <w:p>
      <w:pPr>
        <w:pStyle w:val="1064"/>
        <w:ind w:firstLine="0"/>
        <w:jc w:val="left"/>
        <w:rPr>
          <w:rFonts w:hint="eastAsia" w:ascii="宋体" w:hAnsi="宋体" w:eastAsia="宋体" w:cs="宋体"/>
          <w:b/>
          <w:bCs/>
        </w:rPr>
      </w:pPr>
      <w:r>
        <w:rPr>
          <w:rFonts w:hint="eastAsia" w:ascii="宋体" w:hAnsi="宋体" w:eastAsia="宋体" w:cs="宋体"/>
          <w:b/>
          <w:bCs/>
        </w:rPr>
        <w:t xml:space="preserve">附件2：</w:t>
      </w:r>
      <w:r/>
    </w:p>
    <w:p>
      <w:pPr>
        <w:pStyle w:val="1064"/>
        <w:ind w:firstLine="0"/>
        <w:jc w:val="center"/>
        <w:rPr>
          <w:rFonts w:hint="eastAsia" w:ascii="宋体" w:hAnsi="宋体" w:eastAsia="宋体" w:cs="宋体"/>
          <w:b/>
          <w:bCs/>
        </w:rPr>
      </w:pPr>
      <w:r>
        <w:rPr>
          <w:rFonts w:hint="eastAsia" w:ascii="宋体" w:hAnsi="宋体" w:eastAsia="宋体" w:cs="宋体"/>
          <w:b/>
          <w:bCs/>
        </w:rPr>
        <w:t xml:space="preserve">中小企业划型标准规定</w:t>
      </w:r>
      <w:r>
        <w:rPr>
          <w:rFonts w:hint="eastAsia" w:ascii="宋体" w:hAnsi="宋体" w:eastAsia="宋体" w:cs="宋体"/>
          <w:b/>
        </w:rPr>
        <w:t xml:space="preserve">（工信部联企业〔2011〕300号）</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（一）农、林、牧、渔业。</w:t>
      </w:r>
      <w:r>
        <w:rPr>
          <w:rFonts w:hint="eastAsia" w:ascii="宋体" w:hAnsi="宋体" w:eastAsia="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（二）工业。</w:t>
      </w:r>
      <w:r>
        <w:rPr>
          <w:rFonts w:hint="eastAsia" w:ascii="宋体" w:hAnsi="宋体" w:eastAsia="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（三）建筑业。</w:t>
      </w:r>
      <w:r>
        <w:rPr>
          <w:rFonts w:hint="eastAsia" w:ascii="宋体" w:hAnsi="宋体" w:eastAsia="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（四）批发业。</w:t>
      </w:r>
      <w:r>
        <w:rPr>
          <w:rFonts w:hint="eastAsia" w:ascii="宋体" w:hAnsi="宋体" w:eastAsia="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（五）零售业。</w:t>
      </w:r>
      <w:r>
        <w:rPr>
          <w:rFonts w:hint="eastAsia" w:ascii="宋体" w:hAnsi="宋体" w:eastAsia="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（六）交通运输业。</w:t>
      </w:r>
      <w:r>
        <w:rPr>
          <w:rFonts w:hint="eastAsia" w:ascii="宋体" w:hAnsi="宋体" w:eastAsia="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（七）仓储业。</w:t>
      </w:r>
      <w:r>
        <w:rPr>
          <w:rFonts w:hint="eastAsia" w:ascii="宋体" w:hAnsi="宋体" w:eastAsia="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（八）邮政业。</w:t>
      </w:r>
      <w:r>
        <w:rPr>
          <w:rFonts w:hint="eastAsia" w:ascii="宋体" w:hAnsi="宋体" w:eastAsia="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（九）住宿业。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（十）餐饮业。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（十一）信息传输业。</w:t>
      </w:r>
      <w:r>
        <w:rPr>
          <w:rFonts w:hint="eastAsia" w:ascii="宋体" w:hAnsi="宋体" w:eastAsia="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（十二）软件和信息技术服务业。</w:t>
      </w:r>
      <w:r>
        <w:rPr>
          <w:rFonts w:hint="eastAsia" w:ascii="宋体" w:hAnsi="宋体" w:eastAsia="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（十三）房地产开发经营。</w:t>
      </w:r>
      <w:r>
        <w:rPr>
          <w:rFonts w:hint="eastAsia" w:ascii="宋体" w:hAnsi="宋体" w:eastAsia="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（十四）物业管理。</w:t>
      </w:r>
      <w:r>
        <w:rPr>
          <w:rFonts w:hint="eastAsia" w:ascii="宋体" w:hAnsi="宋体" w:eastAsia="宋体" w:cs="宋体"/>
        </w:rPr>
        <w:t xml:space="preserve">从业人员1000人以下或营业收入5000万元以下的为中小微型企业。其中，从业人员</w:t>
      </w:r>
      <w:r/>
    </w:p>
    <w:p>
      <w:pPr>
        <w:ind w:firstLine="210"/>
        <w:spacing w:before="180" w:line="240" w:lineRule="exact"/>
        <w:rPr>
          <w:rFonts w:hint="eastAsia" w:ascii="宋体" w:hAnsi="宋体" w:eastAsia="宋体" w:cs="宋体"/>
        </w:rPr>
      </w:pPr>
      <w:r>
        <w:rPr>
          <w:rFonts w:hint="eastAsia" w:ascii="宋体" w:hAnsi="宋体" w:eastAsia="宋体" w:cs="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（十五）租赁和商务服务业。</w:t>
      </w:r>
      <w:r>
        <w:rPr>
          <w:rFonts w:hint="eastAsia" w:ascii="宋体" w:hAnsi="宋体" w:eastAsia="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80" w:line="240" w:lineRule="exact"/>
        <w:rPr>
          <w:rFonts w:hint="eastAsia" w:ascii="宋体" w:hAnsi="宋体" w:eastAsia="宋体" w:cs="宋体"/>
        </w:rPr>
      </w:pPr>
      <w:r>
        <w:rPr>
          <w:rFonts w:hint="eastAsia" w:ascii="宋体" w:hAnsi="宋体" w:eastAsia="宋体" w:cs="宋体"/>
          <w:b/>
        </w:rPr>
        <w:t xml:space="preserve">（十六）其他未列明行业。</w:t>
      </w:r>
      <w:r>
        <w:rPr>
          <w:rFonts w:hint="eastAsia" w:ascii="宋体" w:hAnsi="宋体" w:eastAsia="宋体" w:cs="宋体"/>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jc w:val="right"/>
        <w:rPr>
          <w:rFonts w:hint="eastAsia" w:ascii="宋体" w:hAnsi="宋体" w:eastAsia="宋体" w:cs="宋体"/>
          <w:b/>
          <w:bCs/>
        </w:rPr>
      </w:pPr>
      <w:r>
        <w:rPr>
          <w:rFonts w:hint="eastAsia" w:ascii="宋体" w:hAnsi="宋体" w:eastAsia="宋体" w:cs="宋体"/>
          <w:b/>
          <w:bCs/>
          <w:sz w:val="24"/>
          <w:szCs w:val="20"/>
          <w:shd w:val="clear" w:color="auto" w:fill="ffffff"/>
        </w:rPr>
        <w:t xml:space="preserve">（全文完）</w:t>
      </w:r>
      <w:r/>
    </w:p>
    <w:sectPr>
      <w:headerReference w:type="default" r:id="rId12"/>
      <w:footerReference w:type="default" r:id="rId16"/>
      <w:footnotePr/>
      <w:endnotePr/>
      <w:type w:val="nextPage"/>
      <w:pgSz w:w="11906" w:h="16838" w:orient="portrait"/>
      <w:pgMar w:top="1134" w:right="1134" w:bottom="1134" w:left="1134"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hint="eastAsia"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jc w:val="left"/>
                          </w:pPr>
                          <w:r/>
                          <w:r/>
                        </w:p>
                        <w:p>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jc w:val="left"/>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998"/>
                            <w:rPr>
                              <w:rFonts w:hint="eastAsia"/>
                            </w:rPr>
                          </w:pPr>
                          <w:r>
                            <w:rPr>
                              <w:rFonts w:hint="eastAsia"/>
                            </w:rPr>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998"/>
                      <w:rPr>
                        <w:rFonts w:hint="eastAsia"/>
                      </w:rPr>
                    </w:pPr>
                    <w:r>
                      <w:rPr>
                        <w:rFonts w:hint="eastAsia"/>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4013" w:leader="none"/>
      </w:tabs>
      <w:rPr>
        <w:rFonts w:hint="eastAsia"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posOffset>5432425</wp:posOffset>
              </wp:positionH>
              <wp:positionV relativeFrom="paragraph">
                <wp:posOffset>154940</wp:posOffset>
              </wp:positionV>
              <wp:extent cx="628650" cy="190500"/>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628650" cy="1905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8"/>
                            <w:rPr>
                              <w:rFonts w:hint="eastAsia"/>
                            </w:rPr>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7456;o:allowoverlap:true;o:allowincell:true;mso-position-horizontal-relative:margin;margin-left:427.8pt;mso-position-horizontal:absolute;mso-position-vertical-relative:text;margin-top:12.2pt;mso-position-vertical:absolute;width:49.5pt;height:15.0pt;mso-wrap-distance-left:9.0pt;mso-wrap-distance-top:0.0pt;mso-wrap-distance-right:9.0pt;mso-wrap-distance-bottom:0.0pt;v-text-anchor:top;visibility:visible;" filled="f" stroked="f" strokeweight="0.50pt">
              <v:textbox inset="0,0,0,0">
                <w:txbxContent>
                  <w:p>
                    <w:pPr>
                      <w:pStyle w:val="998"/>
                      <w:rPr>
                        <w:rFonts w:hint="eastAsia"/>
                      </w:rPr>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jc w:val="left"/>
                          </w:pPr>
                          <w:r/>
                          <w:r/>
                        </w:p>
                        <w:p>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jc w:val="left"/>
                    </w:pPr>
                    <w:r/>
                    <w:r/>
                  </w:p>
                  <w:p>
                    <w:r/>
                    <w:r/>
                  </w:p>
                </w:txbxContent>
              </v:textbox>
            </v:shape>
          </w:pict>
        </mc:Fallback>
      </mc:AlternateContent>
    </w:r>
    <w:r>
      <w:rPr>
        <w:rFonts w:hint="eastAsia" w:ascii="宋体" w:hAnsi="宋体" w:eastAsia="宋体"/>
        <w:sz w:val="18"/>
        <w:szCs w:val="18"/>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both"/>
      <w:rPr>
        <w:rFonts w:hint="eastAsia" w:ascii="宋体" w:hAnsi="宋体" w:eastAsia="宋体"/>
      </w:rPr>
    </w:pPr>
    <w:r>
      <w:rPr>
        <w:rFonts w:hint="eastAsia" w:ascii="宋体" w:hAnsi="宋体" w:eastAsia="宋体"/>
      </w:rPr>
      <w:t xml:space="preserve">政府采购招标文件                                                                     标号：XXX-XXX-XXX-XXX</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both"/>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both"/>
      <w:rPr>
        <w:rFonts w:hint="eastAsia" w:ascii="宋体" w:hAnsi="宋体" w:eastAsia="宋体"/>
      </w:rPr>
    </w:pPr>
    <w:r>
      <w:rPr>
        <w:rFonts w:hint="eastAsia" w:ascii="宋体" w:hAnsi="宋体" w:eastAsia="宋体"/>
      </w:rPr>
      <w:t xml:space="preserve">政府采购招标文件                                                         标号：</w:t>
    </w:r>
    <w:r>
      <w:rPr>
        <w:rFonts w:ascii="宋体" w:hAnsi="宋体" w:eastAsia="宋体"/>
      </w:rPr>
      <w:t xml:space="preserve">JSZC-320508-SZCH-G2026-0034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1068"/>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12"/>
      <w:numFmt w:val="decimal"/>
      <w:pStyle w:val="1093"/>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8">
    <w:name w:val="Heading 1 Char"/>
    <w:basedOn w:val="976"/>
    <w:link w:val="970"/>
    <w:uiPriority w:val="9"/>
    <w:rPr>
      <w:rFonts w:ascii="Arial" w:hAnsi="Arial" w:eastAsia="Arial" w:cs="Arial"/>
      <w:sz w:val="40"/>
      <w:szCs w:val="40"/>
    </w:rPr>
  </w:style>
  <w:style w:type="character" w:styleId="819">
    <w:name w:val="Heading 2 Char"/>
    <w:basedOn w:val="976"/>
    <w:link w:val="971"/>
    <w:uiPriority w:val="9"/>
    <w:rPr>
      <w:rFonts w:ascii="Arial" w:hAnsi="Arial" w:eastAsia="Arial" w:cs="Arial"/>
      <w:sz w:val="34"/>
    </w:rPr>
  </w:style>
  <w:style w:type="character" w:styleId="820">
    <w:name w:val="Heading 3 Char"/>
    <w:basedOn w:val="976"/>
    <w:link w:val="972"/>
    <w:uiPriority w:val="9"/>
    <w:rPr>
      <w:rFonts w:ascii="Arial" w:hAnsi="Arial" w:eastAsia="Arial" w:cs="Arial"/>
      <w:sz w:val="30"/>
      <w:szCs w:val="30"/>
    </w:rPr>
  </w:style>
  <w:style w:type="character" w:styleId="821">
    <w:name w:val="Heading 4 Char"/>
    <w:basedOn w:val="976"/>
    <w:link w:val="973"/>
    <w:uiPriority w:val="9"/>
    <w:rPr>
      <w:rFonts w:ascii="Arial" w:hAnsi="Arial" w:eastAsia="Arial" w:cs="Arial"/>
      <w:b/>
      <w:bCs/>
      <w:sz w:val="26"/>
      <w:szCs w:val="26"/>
    </w:rPr>
  </w:style>
  <w:style w:type="character" w:styleId="822">
    <w:name w:val="Heading 5 Char"/>
    <w:basedOn w:val="976"/>
    <w:link w:val="974"/>
    <w:uiPriority w:val="9"/>
    <w:rPr>
      <w:rFonts w:ascii="Arial" w:hAnsi="Arial" w:eastAsia="Arial" w:cs="Arial"/>
      <w:b/>
      <w:bCs/>
      <w:sz w:val="24"/>
      <w:szCs w:val="24"/>
    </w:rPr>
  </w:style>
  <w:style w:type="character" w:styleId="823">
    <w:name w:val="Heading 6 Char"/>
    <w:basedOn w:val="976"/>
    <w:link w:val="975"/>
    <w:uiPriority w:val="9"/>
    <w:rPr>
      <w:rFonts w:ascii="Arial" w:hAnsi="Arial" w:eastAsia="Arial" w:cs="Arial"/>
      <w:b/>
      <w:bCs/>
      <w:sz w:val="22"/>
      <w:szCs w:val="22"/>
    </w:rPr>
  </w:style>
  <w:style w:type="paragraph" w:styleId="824">
    <w:name w:val="Heading 7"/>
    <w:basedOn w:val="969"/>
    <w:next w:val="969"/>
    <w:link w:val="825"/>
    <w:uiPriority w:val="9"/>
    <w:unhideWhenUsed/>
    <w:qFormat/>
    <w:pPr>
      <w:keepLines/>
      <w:keepNext/>
      <w:spacing w:before="320" w:after="200"/>
      <w:outlineLvl w:val="6"/>
    </w:pPr>
    <w:rPr>
      <w:rFonts w:ascii="Arial" w:hAnsi="Arial" w:eastAsia="Arial" w:cs="Arial"/>
      <w:b/>
      <w:bCs/>
      <w:i/>
      <w:iCs/>
      <w:sz w:val="22"/>
      <w:szCs w:val="22"/>
    </w:rPr>
  </w:style>
  <w:style w:type="character" w:styleId="825">
    <w:name w:val="Heading 7 Char"/>
    <w:basedOn w:val="976"/>
    <w:link w:val="824"/>
    <w:uiPriority w:val="9"/>
    <w:rPr>
      <w:rFonts w:ascii="Arial" w:hAnsi="Arial" w:eastAsia="Arial" w:cs="Arial"/>
      <w:b/>
      <w:bCs/>
      <w:i/>
      <w:iCs/>
      <w:sz w:val="22"/>
      <w:szCs w:val="22"/>
    </w:rPr>
  </w:style>
  <w:style w:type="paragraph" w:styleId="826">
    <w:name w:val="Heading 8"/>
    <w:basedOn w:val="969"/>
    <w:next w:val="969"/>
    <w:link w:val="827"/>
    <w:uiPriority w:val="9"/>
    <w:unhideWhenUsed/>
    <w:qFormat/>
    <w:pPr>
      <w:keepLines/>
      <w:keepNext/>
      <w:spacing w:before="320" w:after="200"/>
      <w:outlineLvl w:val="7"/>
    </w:pPr>
    <w:rPr>
      <w:rFonts w:ascii="Arial" w:hAnsi="Arial" w:eastAsia="Arial" w:cs="Arial"/>
      <w:i/>
      <w:iCs/>
      <w:sz w:val="22"/>
      <w:szCs w:val="22"/>
    </w:rPr>
  </w:style>
  <w:style w:type="character" w:styleId="827">
    <w:name w:val="Heading 8 Char"/>
    <w:basedOn w:val="976"/>
    <w:link w:val="826"/>
    <w:uiPriority w:val="9"/>
    <w:rPr>
      <w:rFonts w:ascii="Arial" w:hAnsi="Arial" w:eastAsia="Arial" w:cs="Arial"/>
      <w:i/>
      <w:iCs/>
      <w:sz w:val="22"/>
      <w:szCs w:val="22"/>
    </w:rPr>
  </w:style>
  <w:style w:type="paragraph" w:styleId="828">
    <w:name w:val="Heading 9"/>
    <w:basedOn w:val="969"/>
    <w:next w:val="969"/>
    <w:link w:val="829"/>
    <w:uiPriority w:val="9"/>
    <w:unhideWhenUsed/>
    <w:qFormat/>
    <w:pPr>
      <w:keepLines/>
      <w:keepNext/>
      <w:spacing w:before="320" w:after="200"/>
      <w:outlineLvl w:val="8"/>
    </w:pPr>
    <w:rPr>
      <w:rFonts w:ascii="Arial" w:hAnsi="Arial" w:eastAsia="Arial" w:cs="Arial"/>
      <w:i/>
      <w:iCs/>
      <w:sz w:val="21"/>
      <w:szCs w:val="21"/>
    </w:rPr>
  </w:style>
  <w:style w:type="character" w:styleId="829">
    <w:name w:val="Heading 9 Char"/>
    <w:basedOn w:val="976"/>
    <w:link w:val="828"/>
    <w:uiPriority w:val="9"/>
    <w:rPr>
      <w:rFonts w:ascii="Arial" w:hAnsi="Arial" w:eastAsia="Arial" w:cs="Arial"/>
      <w:i/>
      <w:iCs/>
      <w:sz w:val="21"/>
      <w:szCs w:val="21"/>
    </w:rPr>
  </w:style>
  <w:style w:type="paragraph" w:styleId="830">
    <w:name w:val="No Spacing"/>
    <w:uiPriority w:val="1"/>
    <w:qFormat/>
    <w:pPr>
      <w:spacing w:before="0" w:after="0" w:line="240" w:lineRule="auto"/>
    </w:pPr>
  </w:style>
  <w:style w:type="character" w:styleId="831">
    <w:name w:val="Title Char"/>
    <w:basedOn w:val="976"/>
    <w:link w:val="1016"/>
    <w:uiPriority w:val="10"/>
    <w:rPr>
      <w:sz w:val="48"/>
      <w:szCs w:val="48"/>
    </w:rPr>
  </w:style>
  <w:style w:type="character" w:styleId="832">
    <w:name w:val="Subtitle Char"/>
    <w:basedOn w:val="976"/>
    <w:link w:val="1004"/>
    <w:uiPriority w:val="11"/>
    <w:rPr>
      <w:sz w:val="24"/>
      <w:szCs w:val="24"/>
    </w:rPr>
  </w:style>
  <w:style w:type="paragraph" w:styleId="833">
    <w:name w:val="Quote"/>
    <w:basedOn w:val="969"/>
    <w:next w:val="969"/>
    <w:link w:val="834"/>
    <w:uiPriority w:val="29"/>
    <w:qFormat/>
    <w:pPr>
      <w:ind w:left="720" w:right="720"/>
    </w:pPr>
    <w:rPr>
      <w:i/>
    </w:rPr>
  </w:style>
  <w:style w:type="character" w:styleId="834">
    <w:name w:val="Quote Char"/>
    <w:link w:val="833"/>
    <w:uiPriority w:val="29"/>
    <w:rPr>
      <w:i/>
    </w:rPr>
  </w:style>
  <w:style w:type="paragraph" w:styleId="835">
    <w:name w:val="Intense Quote"/>
    <w:basedOn w:val="969"/>
    <w:next w:val="969"/>
    <w:link w:val="8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name w:val="Intense Quote Char"/>
    <w:link w:val="835"/>
    <w:uiPriority w:val="30"/>
    <w:rPr>
      <w:i/>
    </w:rPr>
  </w:style>
  <w:style w:type="character" w:styleId="837">
    <w:name w:val="Header Char"/>
    <w:basedOn w:val="976"/>
    <w:link w:val="999"/>
    <w:uiPriority w:val="99"/>
  </w:style>
  <w:style w:type="character" w:styleId="838">
    <w:name w:val="Footer Char"/>
    <w:basedOn w:val="976"/>
    <w:link w:val="998"/>
    <w:uiPriority w:val="99"/>
  </w:style>
  <w:style w:type="paragraph" w:styleId="839">
    <w:name w:val="Caption"/>
    <w:basedOn w:val="969"/>
    <w:next w:val="969"/>
    <w:uiPriority w:val="35"/>
    <w:semiHidden/>
    <w:unhideWhenUsed/>
    <w:qFormat/>
    <w:pPr>
      <w:spacing w:line="276" w:lineRule="auto"/>
    </w:pPr>
    <w:rPr>
      <w:b/>
      <w:bCs/>
      <w:color w:val="4f81bd" w:themeColor="accent1"/>
      <w:sz w:val="18"/>
      <w:szCs w:val="18"/>
    </w:rPr>
  </w:style>
  <w:style w:type="character" w:styleId="840">
    <w:name w:val="Caption Char"/>
    <w:basedOn w:val="839"/>
    <w:link w:val="998"/>
    <w:uiPriority w:val="99"/>
  </w:style>
  <w:style w:type="table" w:styleId="841">
    <w:name w:val="Table Grid Light"/>
    <w:basedOn w:val="9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2">
    <w:name w:val="Plain Table 1"/>
    <w:basedOn w:val="9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name w:val="Plain Table 2"/>
    <w:basedOn w:val="9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3"/>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name w:val="Plain Table 4"/>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name w:val="Plain Table 5"/>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7">
    <w:name w:val="Grid Table 1 Light"/>
    <w:basedOn w:val="9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8">
    <w:name w:val="Grid Table 1 Light - Accent 1"/>
    <w:basedOn w:val="9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9">
    <w:name w:val="Grid Table 1 Light - Accent 2"/>
    <w:basedOn w:val="9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0">
    <w:name w:val="Grid Table 1 Light - Accent 3"/>
    <w:basedOn w:val="9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1">
    <w:name w:val="Grid Table 1 Light - Accent 4"/>
    <w:basedOn w:val="9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2">
    <w:name w:val="Grid Table 1 Light - Accent 5"/>
    <w:basedOn w:val="9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3">
    <w:name w:val="Grid Table 1 Light - Accent 6"/>
    <w:basedOn w:val="9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4">
    <w:name w:val="Grid Table 2"/>
    <w:basedOn w:val="9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5">
    <w:name w:val="Grid Table 2 - Accent 1"/>
    <w:basedOn w:val="9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6">
    <w:name w:val="Grid Table 2 - Accent 2"/>
    <w:basedOn w:val="9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2 - Accent 3"/>
    <w:basedOn w:val="9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2 - Accent 4"/>
    <w:basedOn w:val="9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2 - Accent 5"/>
    <w:basedOn w:val="9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0">
    <w:name w:val="Grid Table 2 - Accent 6"/>
    <w:basedOn w:val="9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1">
    <w:name w:val="Grid Table 3"/>
    <w:basedOn w:val="9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1"/>
    <w:basedOn w:val="9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2"/>
    <w:basedOn w:val="9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3"/>
    <w:basedOn w:val="9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4"/>
    <w:basedOn w:val="9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5"/>
    <w:basedOn w:val="9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6"/>
    <w:basedOn w:val="9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4"/>
    <w:basedOn w:val="9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name w:val="Grid Table 4 - Accent 1"/>
    <w:basedOn w:val="9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0">
    <w:name w:val="Grid Table 4 - Accent 2"/>
    <w:basedOn w:val="9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1">
    <w:name w:val="Grid Table 4 - Accent 3"/>
    <w:basedOn w:val="9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2">
    <w:name w:val="Grid Table 4 - Accent 4"/>
    <w:basedOn w:val="9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3">
    <w:name w:val="Grid Table 4 - Accent 5"/>
    <w:basedOn w:val="9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4">
    <w:name w:val="Grid Table 4 - Accent 6"/>
    <w:basedOn w:val="9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5">
    <w:name w:val="Grid Table 5 Dark"/>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6">
    <w:name w:val="Grid Table 5 Dark- Accent 1"/>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7">
    <w:name w:val="Grid Table 5 Dark - Accent 2"/>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8">
    <w:name w:val="Grid Table 5 Dark - Accent 3"/>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9">
    <w:name w:val="Grid Table 5 Dark- Accent 4"/>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0">
    <w:name w:val="Grid Table 5 Dark - Accent 5"/>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1">
    <w:name w:val="Grid Table 5 Dark - Accent 6"/>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2">
    <w:name w:val="Grid Table 6 Colorful"/>
    <w:basedOn w:val="9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3">
    <w:name w:val="Grid Table 6 Colorful - Accent 1"/>
    <w:basedOn w:val="9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4">
    <w:name w:val="Grid Table 6 Colorful - Accent 2"/>
    <w:basedOn w:val="9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5">
    <w:name w:val="Grid Table 6 Colorful - Accent 3"/>
    <w:basedOn w:val="9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6">
    <w:name w:val="Grid Table 6 Colorful - Accent 4"/>
    <w:basedOn w:val="9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7">
    <w:name w:val="Grid Table 6 Colorful - Accent 5"/>
    <w:basedOn w:val="9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8">
    <w:name w:val="Grid Table 6 Colorful - Accent 6"/>
    <w:basedOn w:val="9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9">
    <w:name w:val="Grid Table 7 Colorful"/>
    <w:basedOn w:val="9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0">
    <w:name w:val="Grid Table 7 Colorful - Accent 1"/>
    <w:basedOn w:val="9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1">
    <w:name w:val="Grid Table 7 Colorful - Accent 2"/>
    <w:basedOn w:val="9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2">
    <w:name w:val="Grid Table 7 Colorful - Accent 3"/>
    <w:basedOn w:val="9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3">
    <w:name w:val="Grid Table 7 Colorful - Accent 4"/>
    <w:basedOn w:val="9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4">
    <w:name w:val="Grid Table 7 Colorful - Accent 5"/>
    <w:basedOn w:val="9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5">
    <w:name w:val="Grid Table 7 Colorful - Accent 6"/>
    <w:basedOn w:val="9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6">
    <w:name w:val="List Table 1 Light"/>
    <w:basedOn w:val="9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name w:val="List Table 1 Light - Accent 1"/>
    <w:basedOn w:val="97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8">
    <w:name w:val="List Table 1 Light - Accent 2"/>
    <w:basedOn w:val="97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9">
    <w:name w:val="List Table 1 Light - Accent 3"/>
    <w:basedOn w:val="97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0">
    <w:name w:val="List Table 1 Light - Accent 4"/>
    <w:basedOn w:val="97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1">
    <w:name w:val="List Table 1 Light - Accent 5"/>
    <w:basedOn w:val="97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2">
    <w:name w:val="List Table 1 Light - Accent 6"/>
    <w:basedOn w:val="97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3">
    <w:name w:val="List Table 2"/>
    <w:basedOn w:val="9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4">
    <w:name w:val="List Table 2 - Accent 1"/>
    <w:basedOn w:val="9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5">
    <w:name w:val="List Table 2 - Accent 2"/>
    <w:basedOn w:val="9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6">
    <w:name w:val="List Table 2 - Accent 3"/>
    <w:basedOn w:val="9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7">
    <w:name w:val="List Table 2 - Accent 4"/>
    <w:basedOn w:val="9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8">
    <w:name w:val="List Table 2 - Accent 5"/>
    <w:basedOn w:val="9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9">
    <w:name w:val="List Table 2 - Accent 6"/>
    <w:basedOn w:val="9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0">
    <w:name w:val="List Table 3"/>
    <w:basedOn w:val="9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1">
    <w:name w:val="List Table 3 - Accent 1"/>
    <w:basedOn w:val="9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2">
    <w:name w:val="List Table 3 - Accent 2"/>
    <w:basedOn w:val="9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3">
    <w:name w:val="List Table 3 - Accent 3"/>
    <w:basedOn w:val="9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4">
    <w:name w:val="List Table 3 - Accent 4"/>
    <w:basedOn w:val="9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5">
    <w:name w:val="List Table 3 - Accent 5"/>
    <w:basedOn w:val="9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6">
    <w:name w:val="List Table 3 - Accent 6"/>
    <w:basedOn w:val="9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7">
    <w:name w:val="List Table 4"/>
    <w:basedOn w:val="9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4 - Accent 1"/>
    <w:basedOn w:val="9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9">
    <w:name w:val="List Table 4 - Accent 2"/>
    <w:basedOn w:val="9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0">
    <w:name w:val="List Table 4 - Accent 3"/>
    <w:basedOn w:val="9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1">
    <w:name w:val="List Table 4 - Accent 4"/>
    <w:basedOn w:val="9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2">
    <w:name w:val="List Table 4 - Accent 5"/>
    <w:basedOn w:val="9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3">
    <w:name w:val="List Table 4 - Accent 6"/>
    <w:basedOn w:val="9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4">
    <w:name w:val="List Table 5 Dark"/>
    <w:basedOn w:val="9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1"/>
    <w:basedOn w:val="9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2"/>
    <w:basedOn w:val="9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3"/>
    <w:basedOn w:val="9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4"/>
    <w:basedOn w:val="9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5"/>
    <w:basedOn w:val="9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6"/>
    <w:basedOn w:val="9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6 Colorful"/>
    <w:basedOn w:val="9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2">
    <w:name w:val="List Table 6 Colorful - Accent 1"/>
    <w:basedOn w:val="9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3">
    <w:name w:val="List Table 6 Colorful - Accent 2"/>
    <w:basedOn w:val="9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4">
    <w:name w:val="List Table 6 Colorful - Accent 3"/>
    <w:basedOn w:val="9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5">
    <w:name w:val="List Table 6 Colorful - Accent 4"/>
    <w:basedOn w:val="9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6">
    <w:name w:val="List Table 6 Colorful - Accent 5"/>
    <w:basedOn w:val="9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7">
    <w:name w:val="List Table 6 Colorful - Accent 6"/>
    <w:basedOn w:val="9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8">
    <w:name w:val="List Table 7 Colorful"/>
    <w:basedOn w:val="9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9">
    <w:name w:val="List Table 7 Colorful - Accent 1"/>
    <w:basedOn w:val="9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0">
    <w:name w:val="List Table 7 Colorful - Accent 2"/>
    <w:basedOn w:val="9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1">
    <w:name w:val="List Table 7 Colorful - Accent 3"/>
    <w:basedOn w:val="9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2">
    <w:name w:val="List Table 7 Colorful - Accent 4"/>
    <w:basedOn w:val="9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3">
    <w:name w:val="List Table 7 Colorful - Accent 5"/>
    <w:basedOn w:val="9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4">
    <w:name w:val="List Table 7 Colorful - Accent 6"/>
    <w:basedOn w:val="9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5">
    <w:name w:val="Lined - Accent"/>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6">
    <w:name w:val="Lined - Accent 1"/>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7">
    <w:name w:val="Lined - Accent 2"/>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8">
    <w:name w:val="Lined - Accent 3"/>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9">
    <w:name w:val="Lined - Accent 4"/>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0">
    <w:name w:val="Lined - Accent 5"/>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1">
    <w:name w:val="Lined - Accent 6"/>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2">
    <w:name w:val="Bordered &amp; Lined - Accent"/>
    <w:basedOn w:val="9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3">
    <w:name w:val="Bordered &amp; Lined - Accent 1"/>
    <w:basedOn w:val="9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4">
    <w:name w:val="Bordered &amp; Lined - Accent 2"/>
    <w:basedOn w:val="9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5">
    <w:name w:val="Bordered &amp; Lined - Accent 3"/>
    <w:basedOn w:val="9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6">
    <w:name w:val="Bordered &amp; Lined - Accent 4"/>
    <w:basedOn w:val="9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7">
    <w:name w:val="Bordered &amp; Lined - Accent 5"/>
    <w:basedOn w:val="9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8">
    <w:name w:val="Bordered &amp; Lined - Accent 6"/>
    <w:basedOn w:val="9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9">
    <w:name w:val="Bordered"/>
    <w:basedOn w:val="9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0">
    <w:name w:val="Bordered - Accent 1"/>
    <w:basedOn w:val="9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1">
    <w:name w:val="Bordered - Accent 2"/>
    <w:basedOn w:val="9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2">
    <w:name w:val="Bordered - Accent 3"/>
    <w:basedOn w:val="9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3">
    <w:name w:val="Bordered - Accent 4"/>
    <w:basedOn w:val="9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4">
    <w:name w:val="Bordered - Accent 5"/>
    <w:basedOn w:val="9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5">
    <w:name w:val="Bordered - Accent 6"/>
    <w:basedOn w:val="9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6">
    <w:name w:val="Footnote Text Char"/>
    <w:link w:val="1005"/>
    <w:uiPriority w:val="99"/>
    <w:rPr>
      <w:sz w:val="18"/>
    </w:rPr>
  </w:style>
  <w:style w:type="character" w:styleId="967">
    <w:name w:val="Endnote Text Char"/>
    <w:link w:val="996"/>
    <w:uiPriority w:val="99"/>
    <w:rPr>
      <w:sz w:val="20"/>
    </w:rPr>
  </w:style>
  <w:style w:type="paragraph" w:styleId="968">
    <w:name w:val="TOC Heading"/>
    <w:uiPriority w:val="39"/>
    <w:unhideWhenUsed/>
  </w:style>
  <w:style w:type="paragraph" w:styleId="969"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970">
    <w:name w:val="Heading 1"/>
    <w:basedOn w:val="969"/>
    <w:next w:val="969"/>
    <w:link w:val="1028"/>
    <w:uiPriority w:val="0"/>
    <w:qFormat/>
    <w:pPr>
      <w:keepLines/>
      <w:keepNext/>
      <w:spacing w:before="340" w:after="330" w:line="578" w:lineRule="auto"/>
      <w:outlineLvl w:val="0"/>
    </w:pPr>
    <w:rPr>
      <w:rFonts w:ascii="Calibri" w:hAnsi="Calibri" w:eastAsia="楷体_GB2312" w:cs="Times New Roman"/>
      <w:b/>
      <w:sz w:val="44"/>
      <w:szCs w:val="20"/>
    </w:rPr>
  </w:style>
  <w:style w:type="paragraph" w:styleId="971">
    <w:name w:val="Heading 2"/>
    <w:basedOn w:val="969"/>
    <w:next w:val="969"/>
    <w:link w:val="1029"/>
    <w:uiPriority w:val="0"/>
    <w:qFormat/>
    <w:pPr>
      <w:jc w:val="left"/>
      <w:keepLines/>
      <w:keepNext/>
      <w:outlineLvl w:val="1"/>
    </w:pPr>
    <w:rPr>
      <w:rFonts w:ascii="宋体" w:hAnsi="宋体" w:eastAsia="楷体_GB2312" w:cs="Times New Roman"/>
      <w:b/>
      <w:sz w:val="26"/>
      <w:szCs w:val="20"/>
    </w:rPr>
  </w:style>
  <w:style w:type="paragraph" w:styleId="972">
    <w:name w:val="Heading 3"/>
    <w:basedOn w:val="969"/>
    <w:next w:val="969"/>
    <w:link w:val="1032"/>
    <w:uiPriority w:val="0"/>
    <w:qFormat/>
    <w:pPr>
      <w:jc w:val="left"/>
      <w:keepLines/>
      <w:keepNext/>
      <w:outlineLvl w:val="2"/>
    </w:pPr>
    <w:rPr>
      <w:rFonts w:ascii="Calibri" w:hAnsi="Calibri" w:eastAsia="楷体_GB2312" w:cs="Times New Roman"/>
      <w:b/>
      <w:sz w:val="26"/>
      <w:szCs w:val="20"/>
    </w:rPr>
  </w:style>
  <w:style w:type="paragraph" w:styleId="973">
    <w:name w:val="Heading 4"/>
    <w:basedOn w:val="969"/>
    <w:next w:val="969"/>
    <w:link w:val="1033"/>
    <w:uiPriority w:val="0"/>
    <w:qFormat/>
    <w:pPr>
      <w:keepLines/>
      <w:keepNext/>
      <w:spacing w:before="280" w:after="290" w:line="376" w:lineRule="auto"/>
      <w:outlineLvl w:val="3"/>
    </w:pPr>
    <w:rPr>
      <w:rFonts w:ascii="Arial" w:hAnsi="Arial" w:eastAsia="黑体" w:cs="Times New Roman"/>
      <w:b/>
      <w:bCs/>
      <w:sz w:val="28"/>
      <w:szCs w:val="28"/>
    </w:rPr>
  </w:style>
  <w:style w:type="paragraph" w:styleId="974">
    <w:name w:val="Heading 5"/>
    <w:basedOn w:val="969"/>
    <w:next w:val="969"/>
    <w:link w:val="1034"/>
    <w:uiPriority w:val="0"/>
    <w:qFormat/>
    <w:pPr>
      <w:keepNext/>
      <w:outlineLvl w:val="4"/>
    </w:pPr>
    <w:rPr>
      <w:rFonts w:ascii="宋体" w:hAnsi="宋体" w:eastAsia="宋体" w:cs="Times New Roman"/>
      <w:color w:val="000000"/>
      <w:sz w:val="28"/>
      <w:szCs w:val="20"/>
    </w:rPr>
  </w:style>
  <w:style w:type="paragraph" w:styleId="975">
    <w:name w:val="Heading 6"/>
    <w:basedOn w:val="969"/>
    <w:next w:val="969"/>
    <w:link w:val="1035"/>
    <w:uiPriority w:val="0"/>
    <w:qFormat/>
    <w:pPr>
      <w:keepNext/>
      <w:outlineLvl w:val="5"/>
    </w:pPr>
    <w:rPr>
      <w:rFonts w:ascii="宋体" w:hAnsi="宋体" w:eastAsia="宋体" w:cs="Times New Roman"/>
      <w:sz w:val="28"/>
      <w:szCs w:val="20"/>
    </w:rPr>
  </w:style>
  <w:style w:type="character" w:styleId="976" w:default="1">
    <w:name w:val="Default Paragraph Font"/>
    <w:uiPriority w:val="1"/>
    <w:semiHidden/>
    <w:unhideWhenUsed/>
    <w:qFormat/>
  </w:style>
  <w:style w:type="table" w:styleId="977" w:default="1">
    <w:name w:val="Normal Table"/>
    <w:uiPriority w:val="99"/>
    <w:semiHidden/>
    <w:unhideWhenUsed/>
    <w:tblPr>
      <w:tblCellMar>
        <w:left w:w="108" w:type="dxa"/>
        <w:top w:w="0" w:type="dxa"/>
        <w:right w:w="108" w:type="dxa"/>
        <w:bottom w:w="0" w:type="dxa"/>
      </w:tblCellMar>
    </w:tblPr>
  </w:style>
  <w:style w:type="paragraph" w:styleId="978">
    <w:name w:val="toc 7"/>
    <w:basedOn w:val="969"/>
    <w:next w:val="969"/>
    <w:uiPriority w:val="0"/>
    <w:qFormat/>
    <w:pPr>
      <w:ind w:left="2520"/>
    </w:pPr>
    <w:rPr>
      <w:rFonts w:ascii="Calibri" w:hAnsi="Calibri" w:eastAsia="楷体_GB2312" w:cs="Times New Roman"/>
      <w:sz w:val="26"/>
      <w:szCs w:val="20"/>
    </w:rPr>
  </w:style>
  <w:style w:type="paragraph" w:styleId="979">
    <w:name w:val="index 8"/>
    <w:basedOn w:val="969"/>
    <w:next w:val="969"/>
    <w:uiPriority w:val="0"/>
    <w:qFormat/>
    <w:pPr>
      <w:ind w:left="2940"/>
    </w:pPr>
    <w:rPr>
      <w:rFonts w:ascii="Calibri" w:hAnsi="Calibri" w:eastAsia="楷体_GB2312" w:cs="Times New Roman"/>
      <w:sz w:val="26"/>
      <w:szCs w:val="20"/>
    </w:rPr>
  </w:style>
  <w:style w:type="paragraph" w:styleId="980">
    <w:name w:val="Normal Indent"/>
    <w:basedOn w:val="969"/>
    <w:next w:val="969"/>
    <w:link w:val="1036"/>
    <w:uiPriority w:val="0"/>
    <w:qFormat/>
    <w:pPr>
      <w:ind w:firstLine="420"/>
      <w:jc w:val="left"/>
    </w:pPr>
    <w:rPr>
      <w:rFonts w:ascii="Calibri" w:hAnsi="Calibri" w:eastAsia="楷体_GB2312" w:cs="Times New Roman"/>
      <w:sz w:val="24"/>
      <w:szCs w:val="20"/>
    </w:rPr>
  </w:style>
  <w:style w:type="paragraph" w:styleId="981">
    <w:name w:val="index 5"/>
    <w:basedOn w:val="969"/>
    <w:next w:val="969"/>
    <w:uiPriority w:val="0"/>
    <w:qFormat/>
    <w:pPr>
      <w:ind w:left="1680"/>
    </w:pPr>
    <w:rPr>
      <w:rFonts w:ascii="Calibri" w:hAnsi="Calibri" w:eastAsia="楷体_GB2312" w:cs="Times New Roman"/>
      <w:sz w:val="26"/>
      <w:szCs w:val="20"/>
    </w:rPr>
  </w:style>
  <w:style w:type="paragraph" w:styleId="982">
    <w:name w:val="Document Map"/>
    <w:basedOn w:val="969"/>
    <w:link w:val="1037"/>
    <w:uiPriority w:val="0"/>
    <w:qFormat/>
    <w:pPr>
      <w:shd w:val="clear" w:color="auto" w:fill="000080"/>
    </w:pPr>
    <w:rPr>
      <w:rFonts w:ascii="Calibri" w:hAnsi="Calibri" w:eastAsia="楷体_GB2312" w:cs="Times New Roman"/>
      <w:sz w:val="26"/>
      <w:szCs w:val="20"/>
    </w:rPr>
  </w:style>
  <w:style w:type="paragraph" w:styleId="983">
    <w:name w:val="annotation text"/>
    <w:basedOn w:val="969"/>
    <w:link w:val="1038"/>
    <w:uiPriority w:val="0"/>
    <w:qFormat/>
    <w:pPr>
      <w:jc w:val="left"/>
    </w:pPr>
    <w:rPr>
      <w:rFonts w:ascii="Calibri" w:hAnsi="Calibri" w:eastAsia="楷体_GB2312" w:cs="Times New Roman"/>
      <w:sz w:val="26"/>
      <w:szCs w:val="20"/>
    </w:rPr>
  </w:style>
  <w:style w:type="paragraph" w:styleId="984">
    <w:name w:val="index 6"/>
    <w:basedOn w:val="969"/>
    <w:next w:val="969"/>
    <w:uiPriority w:val="0"/>
    <w:qFormat/>
    <w:pPr>
      <w:ind w:left="2100"/>
    </w:pPr>
    <w:rPr>
      <w:rFonts w:ascii="Calibri" w:hAnsi="Calibri" w:eastAsia="楷体_GB2312" w:cs="Times New Roman"/>
      <w:sz w:val="26"/>
      <w:szCs w:val="20"/>
    </w:rPr>
  </w:style>
  <w:style w:type="paragraph" w:styleId="985">
    <w:name w:val="Body Text"/>
    <w:basedOn w:val="969"/>
    <w:link w:val="1039"/>
    <w:uiPriority w:val="0"/>
    <w:qFormat/>
    <w:pPr>
      <w:spacing w:line="400" w:lineRule="exact"/>
    </w:pPr>
    <w:rPr>
      <w:rFonts w:ascii="楷体_GB2312" w:hAnsi="Calibri" w:eastAsia="楷体_GB2312" w:cs="Times New Roman"/>
      <w:sz w:val="28"/>
      <w:szCs w:val="20"/>
    </w:rPr>
  </w:style>
  <w:style w:type="paragraph" w:styleId="986">
    <w:name w:val="Body Text Indent"/>
    <w:basedOn w:val="969"/>
    <w:link w:val="1040"/>
    <w:uiPriority w:val="99"/>
    <w:qFormat/>
    <w:pPr>
      <w:ind w:left="570"/>
      <w:spacing w:line="520" w:lineRule="exact"/>
    </w:pPr>
    <w:rPr>
      <w:rFonts w:ascii="方正仿宋简体" w:hAnsi="创艺简仿宋" w:eastAsia="方正仿宋简体" w:cs="Times New Roman"/>
      <w:sz w:val="24"/>
      <w:szCs w:val="20"/>
    </w:rPr>
  </w:style>
  <w:style w:type="paragraph" w:styleId="987">
    <w:name w:val="Block Text"/>
    <w:basedOn w:val="969"/>
    <w:next w:val="969"/>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988">
    <w:name w:val="index 4"/>
    <w:basedOn w:val="969"/>
    <w:next w:val="969"/>
    <w:uiPriority w:val="0"/>
    <w:qFormat/>
    <w:pPr>
      <w:ind w:left="1260"/>
    </w:pPr>
    <w:rPr>
      <w:rFonts w:ascii="Calibri" w:hAnsi="Calibri" w:eastAsia="楷体_GB2312" w:cs="Times New Roman"/>
      <w:sz w:val="26"/>
      <w:szCs w:val="20"/>
    </w:rPr>
  </w:style>
  <w:style w:type="paragraph" w:styleId="989">
    <w:name w:val="toc 5"/>
    <w:basedOn w:val="969"/>
    <w:next w:val="969"/>
    <w:uiPriority w:val="0"/>
    <w:qFormat/>
    <w:pPr>
      <w:ind w:left="1680"/>
    </w:pPr>
    <w:rPr>
      <w:rFonts w:ascii="Calibri" w:hAnsi="Calibri" w:eastAsia="楷体_GB2312" w:cs="Times New Roman"/>
      <w:sz w:val="26"/>
      <w:szCs w:val="20"/>
    </w:rPr>
  </w:style>
  <w:style w:type="paragraph" w:styleId="990">
    <w:name w:val="toc 3"/>
    <w:basedOn w:val="969"/>
    <w:next w:val="969"/>
    <w:uiPriority w:val="0"/>
    <w:qFormat/>
    <w:pPr>
      <w:ind w:left="840"/>
    </w:pPr>
    <w:rPr>
      <w:rFonts w:ascii="Calibri" w:hAnsi="Calibri" w:eastAsia="楷体_GB2312" w:cs="Times New Roman"/>
      <w:sz w:val="26"/>
      <w:szCs w:val="20"/>
    </w:rPr>
  </w:style>
  <w:style w:type="paragraph" w:styleId="991">
    <w:name w:val="Plain Text"/>
    <w:basedOn w:val="969"/>
    <w:link w:val="1041"/>
    <w:uiPriority w:val="0"/>
    <w:qFormat/>
    <w:rPr>
      <w:rFonts w:ascii="宋体" w:hAnsi="Courier New" w:eastAsia="楷体_GB2312" w:cs="Times New Roman"/>
      <w:sz w:val="26"/>
      <w:szCs w:val="20"/>
    </w:rPr>
  </w:style>
  <w:style w:type="paragraph" w:styleId="992">
    <w:name w:val="toc 8"/>
    <w:basedOn w:val="969"/>
    <w:next w:val="969"/>
    <w:uiPriority w:val="0"/>
    <w:qFormat/>
    <w:pPr>
      <w:ind w:left="2940"/>
    </w:pPr>
    <w:rPr>
      <w:rFonts w:ascii="Calibri" w:hAnsi="Calibri" w:eastAsia="楷体_GB2312" w:cs="Times New Roman"/>
      <w:sz w:val="26"/>
      <w:szCs w:val="20"/>
    </w:rPr>
  </w:style>
  <w:style w:type="paragraph" w:styleId="993">
    <w:name w:val="index 3"/>
    <w:basedOn w:val="969"/>
    <w:next w:val="969"/>
    <w:uiPriority w:val="0"/>
    <w:qFormat/>
    <w:pPr>
      <w:ind w:left="840"/>
    </w:pPr>
    <w:rPr>
      <w:rFonts w:ascii="Calibri" w:hAnsi="Calibri" w:eastAsia="楷体_GB2312" w:cs="Times New Roman"/>
      <w:sz w:val="26"/>
      <w:szCs w:val="20"/>
    </w:rPr>
  </w:style>
  <w:style w:type="paragraph" w:styleId="994">
    <w:name w:val="Date"/>
    <w:basedOn w:val="969"/>
    <w:next w:val="969"/>
    <w:link w:val="1042"/>
    <w:uiPriority w:val="0"/>
    <w:qFormat/>
    <w:rPr>
      <w:rFonts w:ascii="宋体" w:hAnsi="宋体" w:eastAsia="楷体_GB2312" w:cs="Times New Roman"/>
      <w:sz w:val="24"/>
      <w:szCs w:val="20"/>
    </w:rPr>
  </w:style>
  <w:style w:type="paragraph" w:styleId="995">
    <w:name w:val="Body Text Indent 2"/>
    <w:basedOn w:val="969"/>
    <w:link w:val="1043"/>
    <w:uiPriority w:val="0"/>
    <w:qFormat/>
    <w:pPr>
      <w:ind w:firstLine="502"/>
      <w:spacing w:line="360" w:lineRule="auto"/>
      <w:tabs>
        <w:tab w:val="left" w:pos="0" w:leader="none"/>
      </w:tabs>
    </w:pPr>
    <w:rPr>
      <w:rFonts w:ascii="宋体" w:hAnsi="Calibri" w:eastAsia="宋体" w:cs="Times New Roman"/>
      <w:b/>
      <w:bCs/>
      <w:sz w:val="24"/>
      <w:szCs w:val="20"/>
    </w:rPr>
  </w:style>
  <w:style w:type="paragraph" w:styleId="996">
    <w:name w:val="endnote text"/>
    <w:basedOn w:val="969"/>
    <w:link w:val="1044"/>
    <w:uiPriority w:val="0"/>
    <w:qFormat/>
    <w:pPr>
      <w:jc w:val="left"/>
    </w:pPr>
    <w:rPr>
      <w:rFonts w:ascii="Calibri" w:hAnsi="Calibri" w:eastAsia="楷体_GB2312" w:cs="Times New Roman"/>
      <w:sz w:val="26"/>
      <w:szCs w:val="20"/>
    </w:rPr>
  </w:style>
  <w:style w:type="paragraph" w:styleId="997">
    <w:name w:val="Balloon Text"/>
    <w:basedOn w:val="969"/>
    <w:link w:val="1045"/>
    <w:uiPriority w:val="99"/>
    <w:qFormat/>
    <w:rPr>
      <w:rFonts w:ascii="Calibri" w:hAnsi="Calibri" w:eastAsia="楷体_GB2312" w:cs="Times New Roman"/>
      <w:sz w:val="18"/>
      <w:szCs w:val="18"/>
    </w:rPr>
  </w:style>
  <w:style w:type="paragraph" w:styleId="998">
    <w:name w:val="Footer"/>
    <w:basedOn w:val="969"/>
    <w:link w:val="1046"/>
    <w:uiPriority w:val="99"/>
    <w:qFormat/>
    <w:pPr>
      <w:jc w:val="left"/>
      <w:tabs>
        <w:tab w:val="center" w:pos="4153" w:leader="none"/>
        <w:tab w:val="right" w:pos="8306" w:leader="none"/>
      </w:tabs>
    </w:pPr>
    <w:rPr>
      <w:rFonts w:ascii="宋体" w:hAnsi="宋体" w:eastAsia="宋体" w:cs="Times New Roman"/>
      <w:sz w:val="18"/>
      <w:szCs w:val="20"/>
    </w:rPr>
  </w:style>
  <w:style w:type="paragraph" w:styleId="999">
    <w:name w:val="Header"/>
    <w:basedOn w:val="969"/>
    <w:link w:val="1047"/>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1000">
    <w:name w:val="toc 1"/>
    <w:basedOn w:val="969"/>
    <w:next w:val="969"/>
    <w:uiPriority w:val="39"/>
    <w:qFormat/>
    <w:pPr>
      <w:jc w:val="left"/>
    </w:pPr>
    <w:rPr>
      <w:rFonts w:ascii="Calibri" w:hAnsi="Calibri" w:eastAsia="楷体_GB2312" w:cs="Times New Roman"/>
      <w:sz w:val="24"/>
      <w:szCs w:val="20"/>
    </w:rPr>
  </w:style>
  <w:style w:type="paragraph" w:styleId="1001">
    <w:name w:val="toc 4"/>
    <w:basedOn w:val="969"/>
    <w:next w:val="969"/>
    <w:uiPriority w:val="0"/>
    <w:qFormat/>
    <w:pPr>
      <w:ind w:left="1260"/>
    </w:pPr>
    <w:rPr>
      <w:rFonts w:ascii="Calibri" w:hAnsi="Calibri" w:eastAsia="楷体_GB2312" w:cs="Times New Roman"/>
      <w:sz w:val="26"/>
      <w:szCs w:val="20"/>
    </w:rPr>
  </w:style>
  <w:style w:type="paragraph" w:styleId="1002">
    <w:name w:val="index heading"/>
    <w:basedOn w:val="969"/>
    <w:next w:val="1003"/>
    <w:uiPriority w:val="0"/>
    <w:qFormat/>
    <w:rPr>
      <w:rFonts w:ascii="Calibri" w:hAnsi="Calibri" w:eastAsia="楷体_GB2312" w:cs="Times New Roman"/>
      <w:sz w:val="26"/>
      <w:szCs w:val="20"/>
    </w:rPr>
  </w:style>
  <w:style w:type="paragraph" w:styleId="1003">
    <w:name w:val="index 1"/>
    <w:basedOn w:val="969"/>
    <w:next w:val="969"/>
    <w:uiPriority w:val="0"/>
    <w:unhideWhenUsed/>
    <w:qFormat/>
  </w:style>
  <w:style w:type="paragraph" w:styleId="1004">
    <w:name w:val="Subtitle"/>
    <w:basedOn w:val="969"/>
    <w:next w:val="969"/>
    <w:link w:val="1048"/>
    <w:uiPriority w:val="0"/>
    <w:qFormat/>
    <w:pPr>
      <w:jc w:val="left"/>
      <w:spacing w:before="120"/>
      <w:outlineLvl w:val="1"/>
    </w:pPr>
    <w:rPr>
      <w:rFonts w:ascii="Cambria" w:hAnsi="Cambria" w:eastAsia="宋体" w:cs="Times New Roman"/>
      <w:b/>
      <w:bCs/>
      <w:sz w:val="24"/>
      <w:szCs w:val="32"/>
    </w:rPr>
  </w:style>
  <w:style w:type="paragraph" w:styleId="1005">
    <w:name w:val="footnote text"/>
    <w:basedOn w:val="969"/>
    <w:link w:val="1049"/>
    <w:uiPriority w:val="0"/>
    <w:qFormat/>
    <w:pPr>
      <w:jc w:val="left"/>
    </w:pPr>
    <w:rPr>
      <w:rFonts w:ascii="Calibri" w:hAnsi="Calibri" w:eastAsia="楷体_GB2312" w:cs="Times New Roman"/>
      <w:sz w:val="18"/>
      <w:szCs w:val="20"/>
    </w:rPr>
  </w:style>
  <w:style w:type="paragraph" w:styleId="1006">
    <w:name w:val="toc 6"/>
    <w:basedOn w:val="969"/>
    <w:next w:val="969"/>
    <w:uiPriority w:val="0"/>
    <w:qFormat/>
    <w:pPr>
      <w:ind w:left="2100"/>
    </w:pPr>
    <w:rPr>
      <w:rFonts w:ascii="Calibri" w:hAnsi="Calibri" w:eastAsia="楷体_GB2312" w:cs="Times New Roman"/>
      <w:sz w:val="26"/>
      <w:szCs w:val="20"/>
    </w:rPr>
  </w:style>
  <w:style w:type="paragraph" w:styleId="1007">
    <w:name w:val="Body Text Indent 3"/>
    <w:basedOn w:val="969"/>
    <w:link w:val="1050"/>
    <w:uiPriority w:val="0"/>
    <w:qFormat/>
    <w:pPr>
      <w:ind w:firstLine="617"/>
      <w:spacing w:line="360" w:lineRule="auto"/>
    </w:pPr>
    <w:rPr>
      <w:rFonts w:ascii="Calibri" w:hAnsi="Calibri" w:eastAsia="宋体" w:cs="Times New Roman"/>
      <w:sz w:val="24"/>
      <w:szCs w:val="24"/>
    </w:rPr>
  </w:style>
  <w:style w:type="paragraph" w:styleId="1008">
    <w:name w:val="index 7"/>
    <w:basedOn w:val="969"/>
    <w:next w:val="969"/>
    <w:uiPriority w:val="0"/>
    <w:qFormat/>
    <w:pPr>
      <w:ind w:left="2520"/>
    </w:pPr>
    <w:rPr>
      <w:rFonts w:ascii="Calibri" w:hAnsi="Calibri" w:eastAsia="楷体_GB2312" w:cs="Times New Roman"/>
      <w:sz w:val="26"/>
      <w:szCs w:val="20"/>
    </w:rPr>
  </w:style>
  <w:style w:type="paragraph" w:styleId="1009">
    <w:name w:val="index 9"/>
    <w:basedOn w:val="969"/>
    <w:next w:val="969"/>
    <w:uiPriority w:val="0"/>
    <w:qFormat/>
    <w:pPr>
      <w:ind w:left="3360"/>
    </w:pPr>
    <w:rPr>
      <w:rFonts w:ascii="Calibri" w:hAnsi="Calibri" w:eastAsia="楷体_GB2312" w:cs="Times New Roman"/>
      <w:sz w:val="26"/>
      <w:szCs w:val="20"/>
    </w:rPr>
  </w:style>
  <w:style w:type="paragraph" w:styleId="1010">
    <w:name w:val="table of figures"/>
    <w:basedOn w:val="969"/>
    <w:next w:val="969"/>
    <w:uiPriority w:val="0"/>
    <w:qFormat/>
    <w:pPr>
      <w:ind w:left="420" w:hanging="420"/>
      <w:jc w:val="left"/>
    </w:pPr>
    <w:rPr>
      <w:rFonts w:ascii="Calibri" w:hAnsi="Calibri" w:eastAsia="楷体_GB2312" w:cs="Times New Roman"/>
      <w:smallCaps/>
      <w:sz w:val="24"/>
      <w:szCs w:val="20"/>
    </w:rPr>
  </w:style>
  <w:style w:type="paragraph" w:styleId="1011">
    <w:name w:val="toc 2"/>
    <w:basedOn w:val="969"/>
    <w:next w:val="969"/>
    <w:uiPriority w:val="0"/>
    <w:qFormat/>
    <w:pPr>
      <w:ind w:left="420"/>
    </w:pPr>
    <w:rPr>
      <w:rFonts w:ascii="Calibri" w:hAnsi="Calibri" w:eastAsia="楷体_GB2312" w:cs="Times New Roman"/>
      <w:sz w:val="26"/>
      <w:szCs w:val="20"/>
    </w:rPr>
  </w:style>
  <w:style w:type="paragraph" w:styleId="1012">
    <w:name w:val="toc 9"/>
    <w:basedOn w:val="969"/>
    <w:next w:val="969"/>
    <w:uiPriority w:val="0"/>
    <w:qFormat/>
    <w:pPr>
      <w:ind w:left="3360"/>
    </w:pPr>
    <w:rPr>
      <w:rFonts w:ascii="Calibri" w:hAnsi="Calibri" w:eastAsia="楷体_GB2312" w:cs="Times New Roman"/>
      <w:sz w:val="26"/>
      <w:szCs w:val="20"/>
    </w:rPr>
  </w:style>
  <w:style w:type="paragraph" w:styleId="1013">
    <w:name w:val="HTML Preformatted"/>
    <w:basedOn w:val="969"/>
    <w:link w:val="105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1014">
    <w:name w:val="Normal (Web)"/>
    <w:basedOn w:val="969"/>
    <w:uiPriority w:val="0"/>
    <w:qFormat/>
    <w:pPr>
      <w:jc w:val="left"/>
      <w:spacing w:before="100" w:beforeAutospacing="1" w:after="100" w:afterAutospacing="1"/>
    </w:pPr>
    <w:rPr>
      <w:rFonts w:ascii="Calibri" w:hAnsi="Calibri" w:eastAsia="楷体_GB2312" w:cs="Times New Roman"/>
      <w:sz w:val="24"/>
    </w:rPr>
  </w:style>
  <w:style w:type="paragraph" w:styleId="1015">
    <w:name w:val="index 2"/>
    <w:basedOn w:val="969"/>
    <w:next w:val="969"/>
    <w:uiPriority w:val="0"/>
    <w:qFormat/>
    <w:pPr>
      <w:ind w:left="420"/>
    </w:pPr>
    <w:rPr>
      <w:rFonts w:ascii="Calibri" w:hAnsi="Calibri" w:eastAsia="楷体_GB2312" w:cs="Times New Roman"/>
      <w:sz w:val="26"/>
      <w:szCs w:val="20"/>
    </w:rPr>
  </w:style>
  <w:style w:type="paragraph" w:styleId="1016">
    <w:name w:val="Title"/>
    <w:basedOn w:val="969"/>
    <w:next w:val="969"/>
    <w:link w:val="1052"/>
    <w:uiPriority w:val="0"/>
    <w:qFormat/>
    <w:pPr>
      <w:jc w:val="center"/>
      <w:spacing w:before="240" w:after="60"/>
      <w:outlineLvl w:val="0"/>
    </w:pPr>
    <w:rPr>
      <w:rFonts w:ascii="Cambria" w:hAnsi="Cambria" w:eastAsia="宋体" w:cs="Times New Roman"/>
      <w:b/>
      <w:bCs/>
      <w:sz w:val="32"/>
      <w:szCs w:val="32"/>
    </w:rPr>
  </w:style>
  <w:style w:type="paragraph" w:styleId="1017">
    <w:name w:val="annotation subject"/>
    <w:basedOn w:val="983"/>
    <w:next w:val="983"/>
    <w:link w:val="1053"/>
    <w:uiPriority w:val="99"/>
    <w:qFormat/>
    <w:rPr>
      <w:b/>
      <w:bCs/>
    </w:rPr>
  </w:style>
  <w:style w:type="paragraph" w:styleId="1018">
    <w:name w:val="Body Text First Indent 2"/>
    <w:basedOn w:val="986"/>
    <w:link w:val="1054"/>
    <w:uiPriority w:val="0"/>
    <w:qFormat/>
    <w:pPr>
      <w:ind w:left="420" w:firstLine="420"/>
      <w:spacing w:after="120" w:line="240" w:lineRule="auto"/>
    </w:pPr>
    <w:rPr>
      <w:rFonts w:ascii="Calibri" w:hAnsi="Calibri" w:eastAsia="楷体_GB2312"/>
      <w:sz w:val="26"/>
    </w:rPr>
  </w:style>
  <w:style w:type="table" w:styleId="1019">
    <w:name w:val="Table Grid"/>
    <w:basedOn w:val="977"/>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0">
    <w:name w:val="Strong"/>
    <w:basedOn w:val="976"/>
    <w:uiPriority w:val="0"/>
    <w:qFormat/>
    <w:rPr>
      <w:b/>
    </w:rPr>
  </w:style>
  <w:style w:type="character" w:styleId="1021">
    <w:name w:val="endnote reference"/>
    <w:uiPriority w:val="0"/>
    <w:qFormat/>
    <w:rPr>
      <w:vertAlign w:val="superscript"/>
    </w:rPr>
  </w:style>
  <w:style w:type="character" w:styleId="1022">
    <w:name w:val="page number"/>
    <w:basedOn w:val="976"/>
    <w:uiPriority w:val="0"/>
    <w:qFormat/>
  </w:style>
  <w:style w:type="character" w:styleId="1023">
    <w:name w:val="FollowedHyperlink"/>
    <w:uiPriority w:val="99"/>
    <w:unhideWhenUsed/>
    <w:qFormat/>
    <w:rPr>
      <w:color w:val="800080"/>
      <w:u w:val="single"/>
    </w:rPr>
  </w:style>
  <w:style w:type="character" w:styleId="1024">
    <w:name w:val="Emphasis"/>
    <w:uiPriority w:val="0"/>
    <w:qFormat/>
    <w:rPr>
      <w:i/>
    </w:rPr>
  </w:style>
  <w:style w:type="character" w:styleId="1025">
    <w:name w:val="Hyperlink"/>
    <w:uiPriority w:val="0"/>
    <w:unhideWhenUsed/>
    <w:qFormat/>
    <w:rPr>
      <w:color w:val="0000ff"/>
      <w:u w:val="single"/>
    </w:rPr>
  </w:style>
  <w:style w:type="character" w:styleId="1026">
    <w:name w:val="annotation reference"/>
    <w:basedOn w:val="976"/>
    <w:uiPriority w:val="99"/>
    <w:qFormat/>
    <w:rPr>
      <w:sz w:val="21"/>
      <w:szCs w:val="21"/>
    </w:rPr>
  </w:style>
  <w:style w:type="character" w:styleId="1027">
    <w:name w:val="footnote reference"/>
    <w:uiPriority w:val="0"/>
    <w:qFormat/>
    <w:rPr>
      <w:vertAlign w:val="superscript"/>
    </w:rPr>
  </w:style>
  <w:style w:type="character" w:styleId="1028" w:customStyle="1">
    <w:name w:val="标题 1 字符"/>
    <w:basedOn w:val="976"/>
    <w:link w:val="970"/>
    <w:uiPriority w:val="0"/>
    <w:qFormat/>
    <w:rPr>
      <w:rFonts w:ascii="Calibri" w:hAnsi="Calibri" w:eastAsia="楷体_GB2312" w:cs="Times New Roman"/>
      <w:b/>
      <w:sz w:val="44"/>
      <w:szCs w:val="20"/>
    </w:rPr>
  </w:style>
  <w:style w:type="character" w:styleId="1029" w:customStyle="1">
    <w:name w:val="标题 2 字符"/>
    <w:basedOn w:val="976"/>
    <w:link w:val="971"/>
    <w:uiPriority w:val="0"/>
    <w:qFormat/>
    <w:rPr>
      <w:rFonts w:ascii="宋体" w:hAnsi="宋体" w:eastAsia="楷体_GB2312" w:cs="Times New Roman"/>
      <w:b/>
      <w:sz w:val="26"/>
      <w:szCs w:val="20"/>
    </w:rPr>
  </w:style>
  <w:style w:type="paragraph" w:styleId="1030" w:customStyle="1">
    <w:name w:val="段"/>
    <w:next w:val="969"/>
    <w:uiPriority w:val="0"/>
    <w:qFormat/>
    <w:pPr>
      <w:ind w:firstLine="200"/>
      <w:jc w:val="both"/>
    </w:pPr>
    <w:rPr>
      <w:rFonts w:ascii="宋体" w:hAnsi="Times New Roman" w:eastAsia="宋体" w:cs="宋体"/>
      <w:sz w:val="21"/>
      <w:szCs w:val="21"/>
      <w:lang w:val="en-US" w:eastAsia="zh-CN" w:bidi="ar-SA"/>
    </w:rPr>
  </w:style>
  <w:style w:type="paragraph" w:styleId="1031" w:customStyle="1">
    <w:name w:val="首行缩进"/>
    <w:basedOn w:val="969"/>
    <w:uiPriority w:val="0"/>
    <w:qFormat/>
    <w:pPr>
      <w:ind w:firstLine="480"/>
    </w:pPr>
    <w:rPr>
      <w:rFonts w:ascii="Calibri" w:hAnsi="Calibri" w:eastAsia="宋体" w:cs="Times New Roman"/>
      <w:szCs w:val="20"/>
      <w:lang w:val="zh-CN"/>
    </w:rPr>
  </w:style>
  <w:style w:type="character" w:styleId="1032" w:customStyle="1">
    <w:name w:val="标题 3 字符"/>
    <w:basedOn w:val="976"/>
    <w:link w:val="972"/>
    <w:uiPriority w:val="0"/>
    <w:qFormat/>
    <w:rPr>
      <w:rFonts w:ascii="Calibri" w:hAnsi="Calibri" w:eastAsia="楷体_GB2312" w:cs="Times New Roman"/>
      <w:b/>
      <w:sz w:val="26"/>
      <w:szCs w:val="20"/>
    </w:rPr>
  </w:style>
  <w:style w:type="character" w:styleId="1033" w:customStyle="1">
    <w:name w:val="标题 4 字符"/>
    <w:basedOn w:val="976"/>
    <w:link w:val="973"/>
    <w:uiPriority w:val="0"/>
    <w:qFormat/>
    <w:rPr>
      <w:rFonts w:ascii="Arial" w:hAnsi="Arial" w:eastAsia="黑体" w:cs="Times New Roman"/>
      <w:b/>
      <w:bCs/>
      <w:sz w:val="28"/>
      <w:szCs w:val="28"/>
    </w:rPr>
  </w:style>
  <w:style w:type="character" w:styleId="1034" w:customStyle="1">
    <w:name w:val="标题 5 字符"/>
    <w:basedOn w:val="976"/>
    <w:link w:val="974"/>
    <w:uiPriority w:val="0"/>
    <w:qFormat/>
    <w:rPr>
      <w:rFonts w:ascii="宋体" w:hAnsi="宋体" w:eastAsia="宋体" w:cs="Times New Roman"/>
      <w:color w:val="000000"/>
      <w:sz w:val="28"/>
      <w:szCs w:val="20"/>
    </w:rPr>
  </w:style>
  <w:style w:type="character" w:styleId="1035" w:customStyle="1">
    <w:name w:val="标题 6 字符"/>
    <w:basedOn w:val="976"/>
    <w:link w:val="975"/>
    <w:uiPriority w:val="0"/>
    <w:qFormat/>
    <w:rPr>
      <w:rFonts w:ascii="宋体" w:hAnsi="宋体" w:eastAsia="宋体" w:cs="Times New Roman"/>
      <w:sz w:val="28"/>
      <w:szCs w:val="20"/>
    </w:rPr>
  </w:style>
  <w:style w:type="character" w:styleId="1036" w:customStyle="1">
    <w:name w:val="正文缩进 字符"/>
    <w:link w:val="980"/>
    <w:uiPriority w:val="0"/>
    <w:qFormat/>
    <w:rPr>
      <w:rFonts w:ascii="Calibri" w:hAnsi="Calibri" w:eastAsia="楷体_GB2312" w:cs="Times New Roman"/>
      <w:sz w:val="24"/>
      <w:szCs w:val="20"/>
    </w:rPr>
  </w:style>
  <w:style w:type="character" w:styleId="1037" w:customStyle="1">
    <w:name w:val="文档结构图 字符"/>
    <w:basedOn w:val="976"/>
    <w:link w:val="982"/>
    <w:uiPriority w:val="0"/>
    <w:qFormat/>
    <w:rPr>
      <w:rFonts w:ascii="Calibri" w:hAnsi="Calibri" w:eastAsia="楷体_GB2312" w:cs="Times New Roman"/>
      <w:sz w:val="26"/>
      <w:szCs w:val="20"/>
      <w:shd w:val="clear" w:color="auto" w:fill="000080"/>
    </w:rPr>
  </w:style>
  <w:style w:type="character" w:styleId="1038" w:customStyle="1">
    <w:name w:val="批注文字 字符"/>
    <w:basedOn w:val="976"/>
    <w:link w:val="983"/>
    <w:uiPriority w:val="0"/>
    <w:qFormat/>
    <w:rPr>
      <w:rFonts w:ascii="Calibri" w:hAnsi="Calibri" w:eastAsia="楷体_GB2312" w:cs="Times New Roman"/>
      <w:sz w:val="26"/>
      <w:szCs w:val="20"/>
    </w:rPr>
  </w:style>
  <w:style w:type="character" w:styleId="1039" w:customStyle="1">
    <w:name w:val="正文文本 字符"/>
    <w:basedOn w:val="976"/>
    <w:link w:val="985"/>
    <w:uiPriority w:val="0"/>
    <w:qFormat/>
    <w:rPr>
      <w:rFonts w:ascii="楷体_GB2312" w:hAnsi="Calibri" w:eastAsia="楷体_GB2312" w:cs="Times New Roman"/>
      <w:sz w:val="28"/>
      <w:szCs w:val="20"/>
    </w:rPr>
  </w:style>
  <w:style w:type="character" w:styleId="1040" w:customStyle="1">
    <w:name w:val="正文文本缩进 字符"/>
    <w:basedOn w:val="976"/>
    <w:link w:val="986"/>
    <w:uiPriority w:val="99"/>
    <w:qFormat/>
    <w:rPr>
      <w:rFonts w:ascii="方正仿宋简体" w:hAnsi="创艺简仿宋" w:eastAsia="方正仿宋简体" w:cs="Times New Roman"/>
      <w:sz w:val="24"/>
      <w:szCs w:val="20"/>
    </w:rPr>
  </w:style>
  <w:style w:type="character" w:styleId="1041" w:customStyle="1">
    <w:name w:val="纯文本 字符"/>
    <w:basedOn w:val="976"/>
    <w:link w:val="991"/>
    <w:uiPriority w:val="0"/>
    <w:qFormat/>
    <w:rPr>
      <w:rFonts w:ascii="宋体" w:hAnsi="Courier New" w:eastAsia="楷体_GB2312" w:cs="Times New Roman"/>
      <w:sz w:val="26"/>
      <w:szCs w:val="20"/>
    </w:rPr>
  </w:style>
  <w:style w:type="character" w:styleId="1042" w:customStyle="1">
    <w:name w:val="日期 字符"/>
    <w:basedOn w:val="976"/>
    <w:link w:val="994"/>
    <w:uiPriority w:val="0"/>
    <w:qFormat/>
    <w:rPr>
      <w:rFonts w:ascii="宋体" w:hAnsi="宋体" w:eastAsia="楷体_GB2312" w:cs="Times New Roman"/>
      <w:sz w:val="24"/>
      <w:szCs w:val="20"/>
    </w:rPr>
  </w:style>
  <w:style w:type="character" w:styleId="1043" w:customStyle="1">
    <w:name w:val="正文文本缩进 2 字符"/>
    <w:basedOn w:val="976"/>
    <w:link w:val="995"/>
    <w:uiPriority w:val="0"/>
    <w:qFormat/>
    <w:rPr>
      <w:rFonts w:ascii="宋体" w:hAnsi="Calibri" w:eastAsia="宋体" w:cs="Times New Roman"/>
      <w:b/>
      <w:bCs/>
      <w:sz w:val="24"/>
      <w:szCs w:val="20"/>
    </w:rPr>
  </w:style>
  <w:style w:type="character" w:styleId="1044" w:customStyle="1">
    <w:name w:val="尾注文本 字符"/>
    <w:basedOn w:val="976"/>
    <w:link w:val="996"/>
    <w:uiPriority w:val="0"/>
    <w:qFormat/>
    <w:rPr>
      <w:rFonts w:ascii="Calibri" w:hAnsi="Calibri" w:eastAsia="楷体_GB2312" w:cs="Times New Roman"/>
      <w:sz w:val="26"/>
      <w:szCs w:val="20"/>
    </w:rPr>
  </w:style>
  <w:style w:type="character" w:styleId="1045" w:customStyle="1">
    <w:name w:val="批注框文本 字符"/>
    <w:basedOn w:val="976"/>
    <w:link w:val="997"/>
    <w:uiPriority w:val="99"/>
    <w:qFormat/>
    <w:rPr>
      <w:rFonts w:ascii="Calibri" w:hAnsi="Calibri" w:eastAsia="楷体_GB2312" w:cs="Times New Roman"/>
      <w:sz w:val="18"/>
      <w:szCs w:val="18"/>
    </w:rPr>
  </w:style>
  <w:style w:type="character" w:styleId="1046" w:customStyle="1">
    <w:name w:val="页脚 字符"/>
    <w:basedOn w:val="976"/>
    <w:link w:val="998"/>
    <w:uiPriority w:val="99"/>
    <w:qFormat/>
    <w:rPr>
      <w:rFonts w:ascii="宋体" w:hAnsi="宋体"/>
      <w:sz w:val="18"/>
    </w:rPr>
  </w:style>
  <w:style w:type="character" w:styleId="1047" w:customStyle="1">
    <w:name w:val="页眉 字符"/>
    <w:basedOn w:val="976"/>
    <w:link w:val="999"/>
    <w:uiPriority w:val="99"/>
    <w:qFormat/>
    <w:rPr>
      <w:rFonts w:ascii="Calibri" w:hAnsi="Calibri" w:eastAsia="楷体_GB2312" w:cs="Times New Roman"/>
      <w:sz w:val="18"/>
      <w:szCs w:val="20"/>
    </w:rPr>
  </w:style>
  <w:style w:type="character" w:styleId="1048" w:customStyle="1">
    <w:name w:val="副标题 字符"/>
    <w:basedOn w:val="976"/>
    <w:link w:val="1004"/>
    <w:uiPriority w:val="0"/>
    <w:qFormat/>
    <w:rPr>
      <w:rFonts w:ascii="Cambria" w:hAnsi="Cambria" w:eastAsia="宋体" w:cs="Times New Roman"/>
      <w:b/>
      <w:bCs/>
      <w:sz w:val="24"/>
      <w:szCs w:val="32"/>
    </w:rPr>
  </w:style>
  <w:style w:type="character" w:styleId="1049" w:customStyle="1">
    <w:name w:val="脚注文本 字符"/>
    <w:basedOn w:val="976"/>
    <w:link w:val="1005"/>
    <w:uiPriority w:val="0"/>
    <w:qFormat/>
    <w:rPr>
      <w:rFonts w:ascii="Calibri" w:hAnsi="Calibri" w:eastAsia="楷体_GB2312" w:cs="Times New Roman"/>
      <w:sz w:val="18"/>
      <w:szCs w:val="20"/>
    </w:rPr>
  </w:style>
  <w:style w:type="character" w:styleId="1050" w:customStyle="1">
    <w:name w:val="正文文本缩进 3 字符"/>
    <w:basedOn w:val="976"/>
    <w:link w:val="1007"/>
    <w:uiPriority w:val="0"/>
    <w:qFormat/>
    <w:rPr>
      <w:rFonts w:ascii="Calibri" w:hAnsi="Calibri" w:eastAsia="宋体" w:cs="Times New Roman"/>
      <w:sz w:val="24"/>
      <w:szCs w:val="24"/>
    </w:rPr>
  </w:style>
  <w:style w:type="character" w:styleId="1051" w:customStyle="1">
    <w:name w:val="HTML 预设格式 字符"/>
    <w:basedOn w:val="976"/>
    <w:link w:val="1013"/>
    <w:uiPriority w:val="0"/>
    <w:qFormat/>
    <w:rPr>
      <w:rFonts w:ascii="黑体" w:hAnsi="Courier New" w:eastAsia="黑体" w:cs="Times New Roman"/>
      <w:sz w:val="20"/>
      <w:szCs w:val="20"/>
    </w:rPr>
  </w:style>
  <w:style w:type="character" w:styleId="1052" w:customStyle="1">
    <w:name w:val="标题 字符"/>
    <w:basedOn w:val="976"/>
    <w:link w:val="1016"/>
    <w:uiPriority w:val="0"/>
    <w:qFormat/>
    <w:rPr>
      <w:rFonts w:ascii="Cambria" w:hAnsi="Cambria" w:eastAsia="宋体" w:cs="Times New Roman"/>
      <w:b/>
      <w:bCs/>
      <w:sz w:val="32"/>
      <w:szCs w:val="32"/>
    </w:rPr>
  </w:style>
  <w:style w:type="character" w:styleId="1053" w:customStyle="1">
    <w:name w:val="批注主题 字符"/>
    <w:basedOn w:val="1038"/>
    <w:link w:val="1017"/>
    <w:uiPriority w:val="99"/>
    <w:qFormat/>
    <w:rPr>
      <w:rFonts w:ascii="Calibri" w:hAnsi="Calibri" w:eastAsia="楷体_GB2312" w:cs="Times New Roman"/>
      <w:b/>
      <w:bCs/>
      <w:sz w:val="26"/>
      <w:szCs w:val="20"/>
    </w:rPr>
  </w:style>
  <w:style w:type="character" w:styleId="1054" w:customStyle="1">
    <w:name w:val="正文文本首行缩进 2 字符"/>
    <w:basedOn w:val="1040"/>
    <w:link w:val="1018"/>
    <w:uiPriority w:val="0"/>
    <w:qFormat/>
    <w:rPr>
      <w:rFonts w:ascii="Calibri" w:hAnsi="Calibri" w:eastAsia="楷体_GB2312" w:cs="Times New Roman"/>
      <w:sz w:val="26"/>
      <w:szCs w:val="20"/>
    </w:rPr>
  </w:style>
  <w:style w:type="character" w:styleId="1055" w:customStyle="1">
    <w:name w:val="Plain Text Char Char"/>
    <w:link w:val="1056"/>
    <w:uiPriority w:val="0"/>
    <w:qFormat/>
    <w:rPr>
      <w:rFonts w:ascii="宋体" w:hAnsi="Courier New" w:eastAsia="楷体_GB2312"/>
      <w:sz w:val="26"/>
    </w:rPr>
  </w:style>
  <w:style w:type="paragraph" w:styleId="1056" w:customStyle="1">
    <w:name w:val="纯文本3"/>
    <w:basedOn w:val="969"/>
    <w:link w:val="1055"/>
    <w:uiPriority w:val="0"/>
    <w:qFormat/>
    <w:rPr>
      <w:rFonts w:ascii="宋体" w:hAnsi="Courier New" w:eastAsia="楷体_GB2312"/>
      <w:sz w:val="26"/>
    </w:rPr>
  </w:style>
  <w:style w:type="character" w:styleId="1057" w:customStyle="1">
    <w:name w:val="styl81"/>
    <w:uiPriority w:val="0"/>
    <w:qFormat/>
    <w:rPr>
      <w:sz w:val="21"/>
    </w:rPr>
  </w:style>
  <w:style w:type="character" w:styleId="1058" w:customStyle="1">
    <w:name w:val="Plain Text Char"/>
    <w:link w:val="1059"/>
    <w:uiPriority w:val="0"/>
    <w:qFormat/>
    <w:rPr>
      <w:rFonts w:ascii="宋体" w:hAnsi="Courier New" w:eastAsia="楷体_GB2312"/>
      <w:sz w:val="26"/>
    </w:rPr>
  </w:style>
  <w:style w:type="paragraph" w:styleId="1059" w:customStyle="1">
    <w:name w:val="纯文本1"/>
    <w:basedOn w:val="969"/>
    <w:link w:val="1058"/>
    <w:uiPriority w:val="0"/>
    <w:qFormat/>
    <w:rPr>
      <w:rFonts w:ascii="宋体" w:hAnsi="Courier New" w:eastAsia="楷体_GB2312"/>
      <w:sz w:val="26"/>
    </w:rPr>
  </w:style>
  <w:style w:type="character" w:styleId="1060" w:customStyle="1">
    <w:name w:val="表正文 Char1"/>
    <w:uiPriority w:val="0"/>
    <w:qFormat/>
    <w:rPr>
      <w:rFonts w:eastAsia="楷体_GB2312"/>
      <w:sz w:val="24"/>
      <w:lang w:val="en-US" w:eastAsia="zh-CN" w:bidi="ar-SA"/>
    </w:rPr>
  </w:style>
  <w:style w:type="character" w:styleId="1061" w:customStyle="1">
    <w:name w:val="_正文段落 Char"/>
    <w:link w:val="1062"/>
    <w:uiPriority w:val="0"/>
    <w:qFormat/>
    <w:rPr>
      <w:rFonts w:ascii="宋体" w:hAnsi="宋体"/>
      <w:sz w:val="24"/>
      <w:szCs w:val="24"/>
    </w:rPr>
  </w:style>
  <w:style w:type="paragraph" w:styleId="1062" w:customStyle="1">
    <w:name w:val="_正文段落"/>
    <w:basedOn w:val="969"/>
    <w:link w:val="1061"/>
    <w:uiPriority w:val="0"/>
    <w:qFormat/>
    <w:pPr>
      <w:ind w:firstLine="480"/>
      <w:spacing w:line="360" w:lineRule="auto"/>
    </w:pPr>
    <w:rPr>
      <w:rFonts w:ascii="宋体" w:hAnsi="宋体"/>
      <w:sz w:val="24"/>
      <w:szCs w:val="24"/>
    </w:rPr>
  </w:style>
  <w:style w:type="character" w:styleId="1063" w:customStyle="1">
    <w:name w:val="Andy_正文 Char"/>
    <w:link w:val="1064"/>
    <w:uiPriority w:val="0"/>
    <w:qFormat/>
    <w:rPr>
      <w:sz w:val="24"/>
      <w:szCs w:val="24"/>
    </w:rPr>
  </w:style>
  <w:style w:type="paragraph" w:styleId="1064" w:customStyle="1">
    <w:name w:val="Andy_正文"/>
    <w:basedOn w:val="969"/>
    <w:link w:val="1063"/>
    <w:uiPriority w:val="0"/>
    <w:qFormat/>
    <w:pPr>
      <w:ind w:firstLine="480"/>
      <w:spacing w:line="360" w:lineRule="auto"/>
    </w:pPr>
    <w:rPr>
      <w:sz w:val="24"/>
      <w:szCs w:val="24"/>
    </w:rPr>
  </w:style>
  <w:style w:type="character" w:styleId="1065" w:customStyle="1">
    <w:name w:val="正文缩进 Char1"/>
    <w:uiPriority w:val="0"/>
    <w:qFormat/>
    <w:rPr>
      <w:rFonts w:eastAsia="楷体_GB2312"/>
      <w:sz w:val="24"/>
    </w:rPr>
  </w:style>
  <w:style w:type="character" w:styleId="1066" w:customStyle="1">
    <w:name w:val="副标题 Char1"/>
    <w:uiPriority w:val="11"/>
    <w:qFormat/>
    <w:rPr>
      <w:rFonts w:ascii="Cambria" w:hAnsi="Cambria" w:cs="Times New Roman"/>
      <w:b/>
      <w:bCs/>
      <w:sz w:val="32"/>
      <w:szCs w:val="32"/>
    </w:rPr>
  </w:style>
  <w:style w:type="character" w:styleId="1067" w:customStyle="1">
    <w:name w:val="Andy_2级 Char"/>
    <w:link w:val="1068"/>
    <w:uiPriority w:val="0"/>
    <w:qFormat/>
    <w:rPr>
      <w:sz w:val="24"/>
    </w:rPr>
  </w:style>
  <w:style w:type="paragraph" w:styleId="1068" w:customStyle="1">
    <w:name w:val="Andy_2级"/>
    <w:basedOn w:val="969"/>
    <w:link w:val="1067"/>
    <w:uiPriority w:val="0"/>
    <w:qFormat/>
    <w:pPr>
      <w:numPr>
        <w:ilvl w:val="1"/>
        <w:numId w:val="1"/>
      </w:numPr>
      <w:spacing w:line="360" w:lineRule="auto"/>
    </w:pPr>
    <w:rPr>
      <w:sz w:val="24"/>
    </w:rPr>
  </w:style>
  <w:style w:type="character" w:styleId="1069" w:customStyle="1">
    <w:name w:val="副标题 Char2"/>
    <w:uiPriority w:val="0"/>
    <w:qFormat/>
    <w:rPr>
      <w:rFonts w:ascii="Cambria" w:hAnsi="Cambria" w:cs="Times New Roman"/>
      <w:b/>
      <w:bCs/>
      <w:sz w:val="32"/>
      <w:szCs w:val="32"/>
    </w:rPr>
  </w:style>
  <w:style w:type="character" w:styleId="1070" w:customStyle="1">
    <w:name w:val="正文首行缩进 2 Char1"/>
    <w:uiPriority w:val="0"/>
    <w:qFormat/>
    <w:rPr>
      <w:rFonts w:ascii="方正仿宋简体" w:hAnsi="创艺简仿宋" w:eastAsia="楷体_GB2312"/>
      <w:sz w:val="26"/>
    </w:rPr>
  </w:style>
  <w:style w:type="character" w:styleId="1071" w:customStyle="1">
    <w:name w:val="ca-221"/>
    <w:uiPriority w:val="0"/>
    <w:qFormat/>
    <w:rPr>
      <w:rFonts w:hint="eastAsia" w:ascii="宋体" w:hAnsi="宋体" w:eastAsia="宋体"/>
      <w:color w:val="ff0000"/>
      <w:sz w:val="24"/>
      <w:szCs w:val="24"/>
    </w:rPr>
  </w:style>
  <w:style w:type="paragraph" w:styleId="1072" w:customStyle="1">
    <w:name w:val="纯文本11"/>
    <w:basedOn w:val="969"/>
    <w:uiPriority w:val="0"/>
    <w:qFormat/>
    <w:rPr>
      <w:rFonts w:ascii="宋体" w:hAnsi="Courier New" w:eastAsia="楷体_GB2312" w:cs="Times New Roman"/>
      <w:sz w:val="26"/>
      <w:szCs w:val="20"/>
    </w:rPr>
  </w:style>
  <w:style w:type="paragraph" w:styleId="1073" w:customStyle="1">
    <w:name w:val="xl70"/>
    <w:basedOn w:val="9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1074" w:customStyle="1">
    <w:name w:val="xl69"/>
    <w:basedOn w:val="9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1075" w:customStyle="1">
    <w:name w:val="xl79"/>
    <w:basedOn w:val="9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76" w:customStyle="1">
    <w:name w:val="xl86"/>
    <w:basedOn w:val="9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1077" w:customStyle="1">
    <w:name w:val="纯文本2"/>
    <w:basedOn w:val="969"/>
    <w:uiPriority w:val="0"/>
    <w:qFormat/>
    <w:rPr>
      <w:rFonts w:ascii="宋体" w:hAnsi="Courier New" w:eastAsia="楷体_GB2312" w:cs="Times New Roman"/>
      <w:sz w:val="26"/>
      <w:szCs w:val="20"/>
    </w:rPr>
  </w:style>
  <w:style w:type="paragraph" w:styleId="1078" w:customStyle="1">
    <w:name w:val="列出段落2"/>
    <w:basedOn w:val="969"/>
    <w:uiPriority w:val="0"/>
    <w:qFormat/>
    <w:pPr>
      <w:ind w:firstLine="420"/>
    </w:pPr>
    <w:rPr>
      <w:rFonts w:ascii="Calibri" w:hAnsi="Calibri" w:eastAsia="宋体" w:cs="Times New Roman"/>
    </w:rPr>
  </w:style>
  <w:style w:type="paragraph" w:styleId="1079" w:customStyle="1">
    <w:name w:val="xl78"/>
    <w:basedOn w:val="9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80" w:customStyle="1">
    <w:name w:val="xl96"/>
    <w:basedOn w:val="9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81" w:customStyle="1">
    <w:name w:val="Char Char Char Char"/>
    <w:basedOn w:val="982"/>
    <w:uiPriority w:val="0"/>
    <w:qFormat/>
    <w:pPr>
      <w:ind w:left="357"/>
      <w:jc w:val="left"/>
      <w:spacing w:line="436" w:lineRule="exact"/>
      <w:outlineLvl w:val="3"/>
    </w:pPr>
    <w:rPr>
      <w:rFonts w:ascii="Tahoma" w:hAnsi="Tahoma" w:eastAsia="宋体"/>
      <w:b/>
      <w:sz w:val="24"/>
      <w:szCs w:val="24"/>
    </w:rPr>
  </w:style>
  <w:style w:type="paragraph" w:styleId="1082" w:customStyle="1">
    <w:name w:val="列出段落1"/>
    <w:basedOn w:val="969"/>
    <w:uiPriority w:val="0"/>
    <w:qFormat/>
    <w:pPr>
      <w:ind w:firstLine="420"/>
    </w:pPr>
    <w:rPr>
      <w:rFonts w:ascii="Calibri" w:hAnsi="Calibri" w:eastAsia="楷体_GB2312" w:cs="Times New Roman"/>
      <w:sz w:val="26"/>
      <w:szCs w:val="20"/>
    </w:rPr>
  </w:style>
  <w:style w:type="paragraph" w:styleId="1083" w:customStyle="1">
    <w:name w:val="xl74"/>
    <w:basedOn w:val="9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84" w:customStyle="1">
    <w:name w:val="纯文本4"/>
    <w:basedOn w:val="969"/>
    <w:uiPriority w:val="0"/>
    <w:qFormat/>
    <w:rPr>
      <w:rFonts w:ascii="宋体" w:hAnsi="Courier New" w:eastAsia="楷体_GB2312" w:cs="Times New Roman"/>
      <w:sz w:val="26"/>
      <w:szCs w:val="20"/>
    </w:rPr>
  </w:style>
  <w:style w:type="paragraph" w:styleId="1085" w:customStyle="1">
    <w:name w:val="xl92"/>
    <w:basedOn w:val="9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86" w:customStyle="1">
    <w:name w:val="xl66"/>
    <w:basedOn w:val="969"/>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87" w:customStyle="1">
    <w:name w:val="xl94"/>
    <w:basedOn w:val="969"/>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1088" w:customStyle="1">
    <w:name w:val="Char Char3"/>
    <w:basedOn w:val="969"/>
    <w:uiPriority w:val="0"/>
    <w:qFormat/>
    <w:pPr>
      <w:jc w:val="left"/>
      <w:spacing w:after="160" w:line="240" w:lineRule="exact"/>
      <w:widowControl/>
    </w:pPr>
    <w:rPr>
      <w:rFonts w:ascii="Calibri" w:hAnsi="Calibri" w:eastAsia="宋体" w:cs="Times New Roman"/>
      <w:sz w:val="24"/>
      <w:szCs w:val="24"/>
    </w:rPr>
  </w:style>
  <w:style w:type="paragraph" w:styleId="1089" w:customStyle="1">
    <w:name w:val="xl95"/>
    <w:basedOn w:val="9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90" w:customStyle="1">
    <w:name w:val="xl85"/>
    <w:basedOn w:val="9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91" w:customStyle="1">
    <w:name w:val="q3"/>
    <w:basedOn w:val="969"/>
    <w:uiPriority w:val="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1092" w:customStyle="1">
    <w:name w:val="xl91"/>
    <w:basedOn w:val="9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93" w:customStyle="1">
    <w:name w:val="Char Char Char"/>
    <w:basedOn w:val="969"/>
    <w:uiPriority w:val="0"/>
    <w:qFormat/>
    <w:pPr>
      <w:numPr>
        <w:ilvl w:val="0"/>
        <w:numId w:val="2"/>
      </w:numPr>
    </w:pPr>
    <w:rPr>
      <w:rFonts w:ascii="Calibri" w:hAnsi="Calibri" w:eastAsia="宋体" w:cs="Times New Roman"/>
      <w:sz w:val="24"/>
      <w:szCs w:val="24"/>
    </w:rPr>
  </w:style>
  <w:style w:type="paragraph" w:styleId="1094" w:customStyle="1">
    <w:name w:val="xl80"/>
    <w:basedOn w:val="9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95" w:customStyle="1">
    <w:name w:val="修订1"/>
    <w:uiPriority w:val="99"/>
    <w:unhideWhenUsed/>
    <w:qFormat/>
    <w:rPr>
      <w:rFonts w:ascii="Calibri" w:hAnsi="Calibri" w:eastAsia="楷体_GB2312" w:cs="Times New Roman"/>
      <w:sz w:val="26"/>
      <w:lang w:val="en-US" w:eastAsia="zh-CN" w:bidi="ar-SA"/>
    </w:rPr>
  </w:style>
  <w:style w:type="paragraph" w:styleId="1096" w:customStyle="1">
    <w:name w:val="xl72"/>
    <w:basedOn w:val="9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97" w:customStyle="1">
    <w:name w:val="正文 New New New New"/>
    <w:uiPriority w:val="0"/>
    <w:qFormat/>
    <w:pPr>
      <w:jc w:val="both"/>
      <w:widowControl w:val="off"/>
    </w:pPr>
    <w:rPr>
      <w:rFonts w:ascii="Calibri" w:hAnsi="Calibri" w:eastAsia="宋体" w:cs="Times New Roman"/>
      <w:szCs w:val="24"/>
      <w:lang w:val="en-US" w:eastAsia="zh-CN" w:bidi="ar-SA"/>
    </w:rPr>
  </w:style>
  <w:style w:type="paragraph" w:styleId="1098" w:customStyle="1">
    <w:name w:val="纯文本111"/>
    <w:basedOn w:val="969"/>
    <w:uiPriority w:val="0"/>
    <w:qFormat/>
    <w:rPr>
      <w:rFonts w:ascii="宋体" w:hAnsi="Courier New" w:eastAsia="楷体_GB2312" w:cs="Times New Roman"/>
      <w:sz w:val="26"/>
      <w:szCs w:val="20"/>
    </w:rPr>
  </w:style>
  <w:style w:type="paragraph" w:styleId="1099" w:customStyle="1">
    <w:name w:val="xl93"/>
    <w:basedOn w:val="96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1100" w:customStyle="1">
    <w:name w:val="_Style 84"/>
    <w:uiPriority w:val="99"/>
    <w:unhideWhenUsed/>
    <w:qFormat/>
    <w:pPr>
      <w:jc w:val="both"/>
      <w:widowControl w:val="off"/>
    </w:pPr>
    <w:rPr>
      <w:rFonts w:ascii="Calibri" w:hAnsi="Calibri" w:eastAsia="楷体_GB2312" w:cs="Times New Roman"/>
      <w:sz w:val="26"/>
      <w:lang w:val="en-US" w:eastAsia="zh-CN" w:bidi="ar-SA"/>
    </w:rPr>
  </w:style>
  <w:style w:type="paragraph" w:styleId="1101" w:customStyle="1">
    <w:name w:val="xl71"/>
    <w:basedOn w:val="9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102" w:customStyle="1">
    <w:name w:val="xl87"/>
    <w:basedOn w:val="9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103" w:customStyle="1">
    <w:name w:val="Char"/>
    <w:basedOn w:val="969"/>
    <w:uiPriority w:val="0"/>
    <w:qFormat/>
    <w:pPr>
      <w:jc w:val="left"/>
      <w:spacing w:after="160" w:line="240" w:lineRule="exact"/>
      <w:widowControl/>
    </w:pPr>
    <w:rPr>
      <w:rFonts w:ascii="Verdana" w:hAnsi="Verdana" w:eastAsia="仿宋_GB2312" w:cs="Times New Roman"/>
      <w:sz w:val="24"/>
      <w:szCs w:val="20"/>
      <w:lang w:eastAsia="en-US"/>
    </w:rPr>
  </w:style>
  <w:style w:type="paragraph" w:styleId="1104" w:customStyle="1">
    <w:name w:val="xl67"/>
    <w:basedOn w:val="969"/>
    <w:uiPriority w:val="0"/>
    <w:qFormat/>
    <w:pPr>
      <w:jc w:val="left"/>
      <w:spacing w:before="100" w:beforeAutospacing="1" w:after="100" w:afterAutospacing="1"/>
      <w:widowControl/>
    </w:pPr>
    <w:rPr>
      <w:rFonts w:ascii="仿宋_GB2312" w:hAnsi="宋体" w:eastAsia="仿宋_GB2312" w:cs="宋体"/>
      <w:sz w:val="20"/>
      <w:szCs w:val="20"/>
    </w:rPr>
  </w:style>
  <w:style w:type="paragraph" w:styleId="1105" w:customStyle="1">
    <w:name w:val="xl81"/>
    <w:basedOn w:val="9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106" w:customStyle="1">
    <w:name w:val="xl73"/>
    <w:basedOn w:val="9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07" w:customStyle="1">
    <w:name w:val="xl68"/>
    <w:basedOn w:val="969"/>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108" w:customStyle="1">
    <w:name w:val="正文1"/>
    <w:basedOn w:val="969"/>
    <w:next w:val="969"/>
    <w:uiPriority w:val="0"/>
    <w:qFormat/>
    <w:pPr>
      <w:ind w:left="420" w:firstLine="527"/>
      <w:spacing w:before="120" w:line="360" w:lineRule="auto"/>
    </w:pPr>
    <w:rPr>
      <w:rFonts w:ascii="宋体" w:hAnsi="宋体" w:eastAsia="宋体" w:cs="Times New Roman"/>
      <w:sz w:val="24"/>
      <w:szCs w:val="24"/>
    </w:rPr>
  </w:style>
  <w:style w:type="paragraph" w:styleId="1109" w:customStyle="1">
    <w:name w:val="xl90"/>
    <w:basedOn w:val="9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110" w:customStyle="1">
    <w:name w:val="xl83"/>
    <w:basedOn w:val="9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111" w:customStyle="1">
    <w:name w:val="xl76"/>
    <w:basedOn w:val="9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12" w:customStyle="1">
    <w:name w:val="xl82"/>
    <w:basedOn w:val="9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113">
    <w:name w:val="List Paragraph"/>
    <w:basedOn w:val="969"/>
    <w:uiPriority w:val="34"/>
    <w:qFormat/>
    <w:pPr>
      <w:ind w:firstLine="420"/>
    </w:pPr>
    <w:rPr>
      <w:rFonts w:ascii="Calibri" w:hAnsi="Calibri" w:eastAsia="楷体_GB2312" w:cs="Times New Roman"/>
      <w:sz w:val="26"/>
      <w:szCs w:val="20"/>
    </w:rPr>
  </w:style>
  <w:style w:type="paragraph" w:styleId="1114" w:customStyle="1">
    <w:name w:val="纯文本5"/>
    <w:basedOn w:val="969"/>
    <w:uiPriority w:val="0"/>
    <w:qFormat/>
    <w:rPr>
      <w:rFonts w:ascii="宋体" w:hAnsi="Courier New" w:eastAsia="楷体_GB2312" w:cs="Times New Roman"/>
      <w:sz w:val="26"/>
      <w:szCs w:val="20"/>
    </w:rPr>
  </w:style>
  <w:style w:type="paragraph" w:styleId="1115" w:customStyle="1">
    <w:name w:val="xl84"/>
    <w:basedOn w:val="9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116" w:customStyle="1">
    <w:name w:val="xl88"/>
    <w:basedOn w:val="9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117" w:customStyle="1">
    <w:name w:val="xl75"/>
    <w:basedOn w:val="9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118" w:customStyle="1">
    <w:name w:val="xl97"/>
    <w:basedOn w:val="9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119" w:customStyle="1">
    <w:name w:val="xl77"/>
    <w:basedOn w:val="9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20" w:customStyle="1">
    <w:name w:val="xl89"/>
    <w:basedOn w:val="9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121" w:customStyle="1">
    <w:name w:val="Table Grid"/>
    <w:uiPriority w:val="0"/>
    <w:qFormat/>
    <w:rPr>
      <w:rFonts w:ascii="Calibri" w:hAnsi="Calibri"/>
    </w:rPr>
    <w:tblPr>
      <w:tblCellMar>
        <w:left w:w="0" w:type="dxa"/>
        <w:top w:w="0" w:type="dxa"/>
        <w:right w:w="0" w:type="dxa"/>
        <w:bottom w:w="0" w:type="dxa"/>
      </w:tblCellMar>
    </w:tblPr>
  </w:style>
  <w:style w:type="paragraph" w:styleId="1122" w:customStyle="1">
    <w:name w:val="Plain Text1"/>
    <w:basedOn w:val="969"/>
    <w:uiPriority w:val="0"/>
    <w:qFormat/>
    <w:rPr>
      <w:rFonts w:ascii="宋体" w:hAnsi="Courier New" w:eastAsia="楷体_GB2312" w:cs="Times New Roman"/>
      <w:sz w:val="26"/>
      <w:szCs w:val="20"/>
    </w:rPr>
  </w:style>
  <w:style w:type="table" w:styleId="1123" w:customStyle="1">
    <w:name w:val="网格型1"/>
    <w:basedOn w:val="97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24" w:customStyle="1">
    <w:name w:val="正文3"/>
    <w:uiPriority w:val="0"/>
    <w:qFormat/>
    <w:pPr>
      <w:jc w:val="both"/>
      <w:spacing w:line="315" w:lineRule="atLeast"/>
      <w:widowControl w:val="off"/>
    </w:pPr>
    <w:rPr>
      <w:rFonts w:ascii="宋体" w:hAnsi="Calibri" w:eastAsia="宋体" w:cs="Times New Roman"/>
      <w:sz w:val="24"/>
      <w:lang w:val="en-US" w:eastAsia="zh-CN" w:bidi="ar-SA"/>
    </w:rPr>
  </w:style>
  <w:style w:type="paragraph" w:styleId="1125"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1126"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1127"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1128"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1129"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1130" w:customStyle="1">
    <w:name w:val="font81"/>
    <w:basedOn w:val="976"/>
    <w:uiPriority w:val="0"/>
    <w:qFormat/>
    <w:rPr>
      <w:rFonts w:hint="eastAsia" w:ascii="宋体" w:hAnsi="宋体" w:eastAsia="宋体" w:cs="宋体"/>
      <w:color w:val="000000"/>
      <w:sz w:val="18"/>
      <w:szCs w:val="18"/>
      <w:u w:val="none"/>
    </w:rPr>
  </w:style>
  <w:style w:type="character" w:styleId="1131" w:customStyle="1">
    <w:name w:val="font91"/>
    <w:basedOn w:val="976"/>
    <w:uiPriority w:val="0"/>
    <w:qFormat/>
    <w:rPr>
      <w:rFonts w:hint="eastAsia" w:ascii="宋体" w:hAnsi="宋体" w:eastAsia="宋体" w:cs="宋体"/>
      <w:b/>
      <w:bCs/>
      <w:color w:val="ff0000"/>
      <w:sz w:val="18"/>
      <w:szCs w:val="18"/>
      <w:u w:val="none"/>
    </w:rPr>
  </w:style>
  <w:style w:type="character" w:styleId="1132" w:customStyle="1">
    <w:name w:val="font21"/>
    <w:basedOn w:val="976"/>
    <w:uiPriority w:val="0"/>
    <w:qFormat/>
    <w:rPr>
      <w:rFonts w:hint="eastAsia" w:ascii="宋体" w:hAnsi="宋体" w:eastAsia="宋体" w:cs="宋体"/>
      <w:b/>
      <w:bCs/>
      <w:color w:val="000000"/>
      <w:sz w:val="22"/>
      <w:szCs w:val="22"/>
      <w:u w:val="none"/>
    </w:rPr>
  </w:style>
  <w:style w:type="character" w:styleId="1133" w:customStyle="1">
    <w:name w:val="font51"/>
    <w:basedOn w:val="976"/>
    <w:uiPriority w:val="0"/>
    <w:qFormat/>
    <w:rPr>
      <w:rFonts w:hint="eastAsia" w:ascii="宋体" w:hAnsi="宋体" w:eastAsia="宋体" w:cs="宋体"/>
      <w:b/>
      <w:bCs/>
      <w:color w:val="ff0000"/>
      <w:sz w:val="22"/>
      <w:szCs w:val="22"/>
      <w:u w:val="none"/>
    </w:rPr>
  </w:style>
  <w:style w:type="character" w:styleId="1134" w:customStyle="1">
    <w:name w:val="font31"/>
    <w:basedOn w:val="976"/>
    <w:uiPriority w:val="0"/>
    <w:qFormat/>
    <w:rPr>
      <w:rFonts w:hint="eastAsia" w:ascii="宋体" w:hAnsi="宋体" w:eastAsia="宋体" w:cs="宋体"/>
      <w:color w:val="000000"/>
      <w:sz w:val="22"/>
      <w:szCs w:val="22"/>
      <w:u w:val="none"/>
    </w:rPr>
  </w:style>
  <w:style w:type="character" w:styleId="1135" w:customStyle="1">
    <w:name w:val="font61"/>
    <w:basedOn w:val="976"/>
    <w:uiPriority w:val="0"/>
    <w:qFormat/>
    <w:rPr>
      <w:rFonts w:hint="eastAsia" w:ascii="宋体" w:hAnsi="宋体" w:eastAsia="宋体" w:cs="宋体"/>
      <w:color w:val="ff0000"/>
      <w:sz w:val="22"/>
      <w:szCs w:val="22"/>
      <w:u w:val="none"/>
    </w:rPr>
  </w:style>
  <w:style w:type="table" w:styleId="1136" w:customStyle="1">
    <w:name w:val="Table Normal"/>
    <w:uiPriority w:val="0"/>
    <w:unhideWhenUsed/>
    <w:qFormat/>
    <w:tblPr>
      <w:tblCellMar>
        <w:left w:w="0" w:type="dxa"/>
        <w:top w:w="0" w:type="dxa"/>
        <w:right w:w="0" w:type="dxa"/>
        <w:bottom w:w="0" w:type="dxa"/>
      </w:tblCellMar>
    </w:tblPr>
  </w:style>
  <w:style w:type="character" w:styleId="1137" w:customStyle="1">
    <w:name w:val="NormalCharacter"/>
    <w:uiPriority w:val="0"/>
    <w:semiHidden/>
    <w:qFormat/>
  </w:style>
  <w:style w:type="paragraph" w:styleId="1138" w:customStyle="1">
    <w:name w:val="NormalIndent"/>
    <w:basedOn w:val="969"/>
    <w:uiPriority w:val="0"/>
    <w:qFormat/>
    <w:pPr>
      <w:ind w:firstLine="420"/>
      <w:jc w:val="left"/>
      <w:widowControl/>
    </w:pPr>
    <w:rPr>
      <w:sz w:val="24"/>
    </w:rPr>
  </w:style>
  <w:style w:type="paragraph" w:styleId="1139" w:customStyle="1">
    <w:name w:val="正文缩进1"/>
    <w:basedOn w:val="969"/>
    <w:uiPriority w:val="0"/>
    <w:qFormat/>
    <w:pPr>
      <w:ind w:firstLine="420"/>
      <w:jc w:val="left"/>
    </w:pPr>
    <w:rPr>
      <w:sz w:val="24"/>
    </w:rPr>
  </w:style>
  <w:style w:type="numbering" w:styleId="11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tyleName="APA Fifth Edition" SelectedStyle="\APA.XSL"/>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93FEE30-CA69-4E23-A1A7-85AD10BD71F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张萱</cp:lastModifiedBy>
  <cp:revision>36</cp:revision>
  <dcterms:created xsi:type="dcterms:W3CDTF">2022-06-13T16:19:00Z</dcterms:created>
  <dcterms:modified xsi:type="dcterms:W3CDTF">2026-07-15T02:09:33Z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CF40BB0799014D0EB73A28E6638C4ADD_13</vt:lpwstr>
  </property>
  <property fmtid="{D5CDD505-2E9C-101B-9397-08002B2CF9AE}" pid="4" name="KSOTemplateDocerSaveRecord">
    <vt:lpwstr>eyJoZGlkIjoiNDcyOTY2ZDg2ZWQ5ZmU4ZTI4MDIxMTM2NjJiNDA2MzYiLCJ1c2VySWQiOiIzMjk1NDQ3OTEifQ==</vt:lpwstr>
  </property>
</Properties>
</file>