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ind w:firstLine="400"/>
        <w:rPr>
          <w:rFonts w:ascii="Times New Roman"/>
          <w:sz w:val="20"/>
          <w:lang w:val="en-US"/>
        </w:rPr>
      </w:pPr>
      <w:r>
        <w:rPr>
          <w:rFonts w:ascii="Times New Roman"/>
          <w:sz w:val="20"/>
          <w:lang w:val="en-US"/>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23"/>
          <w:rFonts w:ascii="黑体" w:eastAsia="黑体" w:cs="Times New Roman"/>
          <w:sz w:val="76"/>
          <w:szCs w:val="76"/>
          <w:lang w:val="en-US" w:bidi="ar-SA"/>
        </w:rPr>
      </w:pPr>
      <w:r>
        <w:rPr>
          <w:rStyle w:val="1123"/>
          <w:rFonts w:ascii="黑体" w:eastAsia="黑体" w:cs="Times New Roman"/>
          <w:sz w:val="76"/>
          <w:szCs w:val="76"/>
          <w:lang w:val="en-US" w:bidi="ar-SA"/>
        </w:rPr>
        <w:t xml:space="preserve">公开招标文件</w:t>
      </w:r>
      <w:r/>
    </w:p>
    <w:p>
      <w:pPr>
        <w:pStyle w:val="888"/>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23"/>
                <w:rFonts w:ascii="黑体" w:eastAsia="黑体"/>
                <w:sz w:val="40"/>
              </w:rPr>
            </w:pPr>
            <w:r>
              <w:rPr>
                <w:rStyle w:val="1123"/>
                <w:rFonts w:ascii="黑体" w:eastAsia="黑体"/>
                <w:sz w:val="40"/>
              </w:rPr>
              <w:t xml:space="preserve">项目编号：</w:t>
            </w:r>
            <w:r>
              <w:rPr>
                <w:rStyle w:val="1123"/>
                <w:rFonts w:ascii="黑体" w:eastAsia="黑体"/>
                <w:sz w:val="40"/>
              </w:rPr>
              <w:t xml:space="preserve">JSZC-320115-NSZX-G2026-0018</w:t>
            </w:r>
            <w:r/>
          </w:p>
          <w:p>
            <w:pPr>
              <w:ind w:firstLine="800"/>
              <w:rPr>
                <w:rStyle w:val="1123"/>
                <w:rFonts w:ascii="黑体" w:eastAsia="黑体"/>
                <w:sz w:val="40"/>
              </w:rPr>
            </w:pPr>
            <w:r>
              <w:rPr>
                <w:rFonts w:ascii="黑体" w:eastAsia="黑体"/>
                <w:sz w:val="40"/>
              </w:rPr>
            </w:r>
            <w:r/>
          </w:p>
          <w:p>
            <w:pPr>
              <w:ind w:firstLine="800"/>
              <w:rPr>
                <w:rStyle w:val="1123"/>
                <w:rFonts w:ascii="黑体" w:eastAsia="黑体"/>
                <w:sz w:val="40"/>
              </w:rPr>
            </w:pPr>
            <w:r>
              <w:rPr>
                <w:rStyle w:val="1123"/>
                <w:rFonts w:ascii="黑体" w:eastAsia="黑体"/>
                <w:sz w:val="40"/>
              </w:rPr>
              <w:t xml:space="preserve">项目名称：</w:t>
            </w:r>
            <w:r>
              <w:rPr>
                <w:rStyle w:val="1123"/>
                <w:rFonts w:ascii="黑体" w:eastAsia="黑体"/>
                <w:sz w:val="40"/>
              </w:rPr>
              <w:t xml:space="preserve">华</w:t>
            </w:r>
            <w:bookmarkStart w:id="0" w:name="_GoBack"/>
            <w:r/>
            <w:bookmarkEnd w:id="0"/>
            <w:r>
              <w:rPr>
                <w:rStyle w:val="1123"/>
                <w:rFonts w:ascii="黑体" w:eastAsia="黑体"/>
                <w:sz w:val="40"/>
              </w:rPr>
              <w:t xml:space="preserve">商路</w:t>
            </w:r>
            <w:r>
              <w:rPr>
                <w:rStyle w:val="1123"/>
                <w:rFonts w:ascii="黑体" w:eastAsia="黑体"/>
                <w:sz w:val="40"/>
              </w:rPr>
              <w:t xml:space="preserve">改造、</w:t>
            </w:r>
            <w:r>
              <w:rPr>
                <w:rStyle w:val="1123"/>
                <w:rFonts w:ascii="黑体" w:eastAsia="黑体"/>
                <w:sz w:val="40"/>
              </w:rPr>
              <w:t xml:space="preserve">鹏程路</w:t>
            </w:r>
            <w:r>
              <w:rPr>
                <w:rStyle w:val="1123"/>
                <w:rFonts w:ascii="黑体" w:eastAsia="黑体"/>
                <w:sz w:val="40"/>
              </w:rPr>
              <w:t xml:space="preserve">等7条市政道路、苏源大道景观提升改造结算审计服务</w:t>
            </w:r>
            <w:r/>
          </w:p>
          <w:p>
            <w:pPr>
              <w:ind w:firstLine="880"/>
              <w:rPr>
                <w:rStyle w:val="1123"/>
                <w:rFonts w:ascii="黑体" w:eastAsia="黑体"/>
                <w:sz w:val="44"/>
              </w:rPr>
            </w:pPr>
            <w:r>
              <w:rPr>
                <w:rFonts w:ascii="黑体" w:eastAsia="黑体"/>
                <w:sz w:val="44"/>
              </w:rPr>
            </w:r>
            <w:r/>
          </w:p>
          <w:p>
            <w:pPr>
              <w:ind w:firstLine="880"/>
              <w:rPr>
                <w:rStyle w:val="1123"/>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8"/>
        <w:ind w:firstLine="880"/>
        <w:rPr>
          <w:sz w:val="44"/>
        </w:rPr>
      </w:pPr>
      <w:r>
        <w:rPr>
          <w:sz w:val="44"/>
        </w:rPr>
      </w:r>
      <w:r/>
    </w:p>
    <w:p>
      <w:pPr>
        <w:pStyle w:val="888"/>
        <w:ind w:firstLine="880"/>
        <w:rPr>
          <w:sz w:val="44"/>
        </w:rPr>
      </w:pPr>
      <w:r>
        <w:rPr>
          <w:sz w:val="44"/>
        </w:rPr>
      </w:r>
      <w:r/>
    </w:p>
    <w:p>
      <w:pPr>
        <w:pStyle w:val="888"/>
        <w:ind w:firstLine="880"/>
        <w:rPr>
          <w:sz w:val="44"/>
        </w:rPr>
      </w:pPr>
      <w:r>
        <w:rPr>
          <w:sz w:val="44"/>
        </w:rPr>
      </w:r>
      <w:r/>
    </w:p>
    <w:p>
      <w:pPr>
        <w:pStyle w:val="888"/>
        <w:ind w:firstLine="880"/>
        <w:rPr>
          <w:sz w:val="44"/>
        </w:rPr>
      </w:pPr>
      <w:r>
        <w:rPr>
          <w:sz w:val="44"/>
        </w:rPr>
      </w:r>
      <w:r/>
    </w:p>
    <w:p>
      <w:pPr>
        <w:jc w:val="center"/>
        <w:rPr>
          <w:rStyle w:val="1123"/>
          <w:rFonts w:ascii="黑体" w:eastAsia="黑体"/>
          <w:sz w:val="44"/>
        </w:rPr>
      </w:pPr>
      <w:r/>
      <w:bookmarkStart w:id="1" w:name="_Toc15862"/>
      <w:r>
        <w:rPr>
          <w:rStyle w:val="1123"/>
          <w:rFonts w:ascii="黑体" w:eastAsia="黑体"/>
          <w:sz w:val="44"/>
        </w:rPr>
        <w:t xml:space="preserve">南京江审咨询有限公司</w:t>
      </w:r>
      <w:r/>
    </w:p>
    <w:p>
      <w:pPr>
        <w:jc w:val="center"/>
        <w:rPr>
          <w:rStyle w:val="1123"/>
          <w:rFonts w:ascii="黑体" w:eastAsia="黑体"/>
          <w:sz w:val="44"/>
        </w:rPr>
      </w:pPr>
      <w:r>
        <w:rPr>
          <w:rFonts w:ascii="黑体" w:eastAsia="黑体"/>
          <w:sz w:val="44"/>
        </w:rPr>
      </w:r>
      <w:r/>
    </w:p>
    <w:p>
      <w:pPr>
        <w:jc w:val="center"/>
        <w:rPr>
          <w:rStyle w:val="1123"/>
          <w:rFonts w:ascii="黑体" w:eastAsia="黑体"/>
          <w:sz w:val="44"/>
        </w:rPr>
      </w:pPr>
      <w:r>
        <w:rPr>
          <w:rStyle w:val="1123"/>
          <w:rFonts w:ascii="黑体" w:eastAsia="黑体"/>
          <w:sz w:val="44"/>
        </w:rPr>
        <w:t xml:space="preserve">二〇二</w:t>
      </w:r>
      <w:r>
        <w:rPr>
          <w:rStyle w:val="1123"/>
          <w:rFonts w:hint="eastAsia" w:ascii="黑体" w:eastAsia="黑体"/>
          <w:sz w:val="44"/>
        </w:rPr>
        <w:t xml:space="preserve">六</w:t>
      </w:r>
      <w:r>
        <w:rPr>
          <w:rStyle w:val="1123"/>
          <w:rFonts w:ascii="黑体" w:eastAsia="黑体"/>
          <w:sz w:val="44"/>
        </w:rPr>
        <w:t xml:space="preserve">年</w:t>
      </w:r>
      <w:r>
        <w:rPr>
          <w:rStyle w:val="1123"/>
          <w:rFonts w:hint="eastAsia" w:ascii="黑体" w:eastAsia="黑体"/>
          <w:sz w:val="44"/>
        </w:rPr>
        <w:t xml:space="preserve">七</w:t>
      </w:r>
      <w:r>
        <w:rPr>
          <w:rStyle w:val="1123"/>
          <w:rFonts w:ascii="黑体" w:eastAsia="黑体"/>
          <w:sz w:val="44"/>
        </w:rPr>
        <w:t xml:space="preserve">月</w:t>
      </w:r>
      <w:bookmarkEnd w:id="1"/>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委托，就</w:t>
      </w:r>
      <w:r>
        <w:rPr>
          <w:rFonts w:hint="eastAsia"/>
          <w:bCs/>
          <w:u w:val="single"/>
        </w:rPr>
        <w:t xml:space="preserve">华商路</w:t>
      </w:r>
      <w:r>
        <w:rPr>
          <w:rFonts w:hint="eastAsia"/>
          <w:bCs/>
          <w:u w:val="single"/>
        </w:rPr>
        <w:t xml:space="preserve">改造、</w:t>
      </w:r>
      <w:r>
        <w:rPr>
          <w:rFonts w:hint="eastAsia"/>
          <w:bCs/>
          <w:u w:val="single"/>
        </w:rPr>
        <w:t xml:space="preserve">鹏程路</w:t>
      </w:r>
      <w:r>
        <w:rPr>
          <w:rFonts w:hint="eastAsia"/>
          <w:bCs/>
          <w:u w:val="single"/>
        </w:rPr>
        <w:t xml:space="preserve">等7条市政道路、苏源大道景观提升改造结算审计服务</w:t>
      </w:r>
      <w:r>
        <w:t xml:space="preserve">进行国内公开招标，</w:t>
      </w:r>
      <w:r>
        <w:t xml:space="preserve">兹邀请</w:t>
      </w:r>
      <w:r>
        <w:t xml:space="preserve">符合资格条件的供应商投标。</w:t>
      </w:r>
      <w:r/>
    </w:p>
    <w:p>
      <w:pPr>
        <w:pStyle w:val="865"/>
        <w:ind w:left="0" w:firstLine="562"/>
        <w:spacing w:line="240" w:lineRule="exact"/>
        <w:rPr>
          <w:b/>
          <w:sz w:val="22"/>
          <w:szCs w:val="22"/>
        </w:rPr>
      </w:pPr>
      <w:r>
        <w:rPr>
          <w:rFonts w:hint="eastAsia"/>
          <w:b/>
          <w:sz w:val="22"/>
          <w:szCs w:val="22"/>
        </w:rPr>
        <w:t xml:space="preserve">一、项目基本情况</w:t>
      </w:r>
      <w:r/>
    </w:p>
    <w:p>
      <w:pPr>
        <w:ind w:firstLine="560"/>
        <w:jc w:val="both"/>
        <w:spacing w:line="240" w:lineRule="exact"/>
        <w:rPr>
          <w:lang w:val="en-US"/>
        </w:rPr>
      </w:pPr>
      <w:r>
        <w:rPr>
          <w:rFonts w:hint="eastAsia"/>
        </w:rPr>
        <w:t xml:space="preserve">项目编号：</w:t>
      </w:r>
      <w:r>
        <w:t xml:space="preserve">JSZC-320115-NSZX-G2026-0018</w:t>
      </w:r>
      <w:r/>
    </w:p>
    <w:p>
      <w:pPr>
        <w:ind w:firstLine="560"/>
        <w:jc w:val="both"/>
        <w:spacing w:line="240" w:lineRule="exact"/>
      </w:pPr>
      <w:r>
        <w:rPr>
          <w:rFonts w:hint="eastAsia"/>
        </w:rPr>
        <w:t xml:space="preserve">项目名称：</w:t>
      </w:r>
      <w:r>
        <w:t xml:space="preserve">华商路</w:t>
      </w:r>
      <w:r>
        <w:t xml:space="preserve">改造、</w:t>
      </w:r>
      <w:r>
        <w:t xml:space="preserve">鹏程路</w:t>
      </w:r>
      <w:r>
        <w:t xml:space="preserve">等7条市政道路、苏源大道景观提升改造结算审计服务</w:t>
      </w:r>
      <w:r/>
    </w:p>
    <w:p>
      <w:pPr>
        <w:ind w:firstLine="560"/>
        <w:jc w:val="both"/>
        <w:spacing w:line="240" w:lineRule="exact"/>
        <w:rPr>
          <w:lang w:val="en-US"/>
        </w:rPr>
      </w:pPr>
      <w:r>
        <w:rPr>
          <w:rFonts w:hint="eastAsia"/>
        </w:rPr>
        <w:t xml:space="preserve">预算金额：</w:t>
      </w:r>
      <w:r>
        <w:rPr>
          <w:lang w:val="en-US"/>
        </w:rPr>
        <w:t xml:space="preserve">142</w:t>
      </w:r>
      <w:r>
        <w:rPr>
          <w:rFonts w:hint="eastAsia"/>
          <w:lang w:val="en-US"/>
        </w:rPr>
        <w:t xml:space="preserve">万元。（核减率暂按</w:t>
      </w:r>
      <w:r>
        <w:rPr>
          <w:lang w:val="en-US"/>
        </w:rPr>
        <w:t xml:space="preserve">5%计算，预算金额按</w:t>
      </w:r>
      <w:r>
        <w:t xml:space="preserve">“苏价服</w:t>
      </w:r>
      <w:r>
        <w:rPr>
          <w:rFonts w:hint="eastAsia"/>
        </w:rPr>
        <w:t xml:space="preserve">〔</w:t>
      </w:r>
      <w:r>
        <w:t xml:space="preserve">2014〕383号文件”中工程结算审核（基本收费+效益收费）收费标准</w:t>
      </w:r>
      <w:r>
        <w:rPr>
          <w:rFonts w:hint="eastAsia"/>
          <w:lang w:val="en-US"/>
        </w:rPr>
        <w:t xml:space="preserve">×</w:t>
      </w:r>
      <w:r>
        <w:rPr>
          <w:lang w:val="en-US"/>
        </w:rPr>
        <w:t xml:space="preserve">60%计算）</w:t>
      </w:r>
      <w:r/>
    </w:p>
    <w:p>
      <w:pPr>
        <w:ind w:firstLine="560"/>
        <w:jc w:val="both"/>
        <w:spacing w:line="240" w:lineRule="exact"/>
        <w:rPr>
          <w:lang w:val="en-US"/>
        </w:rPr>
      </w:pPr>
      <w:r>
        <w:rPr>
          <w:rFonts w:hint="eastAsia"/>
        </w:rPr>
        <w:t xml:space="preserve">最高限价</w:t>
      </w:r>
      <w:r>
        <w:rPr>
          <w:rFonts w:hint="eastAsia"/>
          <w:lang w:val="en-US"/>
        </w:rPr>
        <w:t xml:space="preserve">：</w:t>
      </w:r>
      <w:r>
        <w:rPr>
          <w:lang w:val="en-US"/>
        </w:rPr>
        <w:t xml:space="preserve">142</w:t>
      </w:r>
      <w:r>
        <w:rPr>
          <w:rFonts w:hint="eastAsia"/>
          <w:lang w:val="en-US"/>
        </w:rPr>
        <w:t xml:space="preserve">万元。</w:t>
      </w:r>
      <w:r>
        <w:rPr>
          <w:rFonts w:hint="eastAsia" w:cs="Times New Roman"/>
          <w:lang w:val="en-US"/>
        </w:rPr>
        <w:t xml:space="preserve">本项目投标报价中“价格系数”最高为</w:t>
      </w:r>
      <w:r>
        <w:rPr>
          <w:rFonts w:cs="Times New Roman"/>
          <w:lang w:val="en-US"/>
        </w:rPr>
        <w:t xml:space="preserve">60%</w:t>
      </w:r>
      <w:r/>
    </w:p>
    <w:p>
      <w:pPr>
        <w:ind w:firstLine="560"/>
        <w:jc w:val="both"/>
        <w:spacing w:line="240" w:lineRule="exact"/>
      </w:pPr>
      <w:r>
        <w:rPr>
          <w:rFonts w:hint="eastAsia"/>
        </w:rPr>
        <w:t xml:space="preserve">采购需求：</w:t>
      </w:r>
      <w:r>
        <w:t xml:space="preserve">华商路</w:t>
      </w:r>
      <w:r>
        <w:t xml:space="preserve">改造、</w:t>
      </w:r>
      <w:r>
        <w:t xml:space="preserve">鹏程路</w:t>
      </w:r>
      <w:r>
        <w:t xml:space="preserve">等7条市政道路、苏源大道景观提升改造结算审计服务</w:t>
      </w:r>
      <w:r>
        <w:rPr>
          <w:rFonts w:hint="eastAsia"/>
        </w:rPr>
        <w:t xml:space="preserve">，具体详见第四</w:t>
      </w:r>
      <w:r>
        <w:rPr>
          <w:rFonts w:hint="eastAsia"/>
        </w:rPr>
        <w:t xml:space="preserve">章项目</w:t>
      </w:r>
      <w:r>
        <w:rPr>
          <w:rFonts w:hint="eastAsia"/>
        </w:rPr>
        <w:t xml:space="preserve">需求</w:t>
      </w:r>
      <w:r/>
    </w:p>
    <w:p>
      <w:pPr>
        <w:ind w:firstLine="560"/>
        <w:jc w:val="both"/>
        <w:spacing w:line="240" w:lineRule="exact"/>
      </w:pPr>
      <w:r>
        <w:rPr>
          <w:rFonts w:hint="eastAsia"/>
        </w:rPr>
        <w:t xml:space="preserve">合同履行期限：自签订合同后6个月</w:t>
      </w:r>
      <w:r/>
    </w:p>
    <w:p>
      <w:pPr>
        <w:ind w:firstLine="560"/>
        <w:jc w:val="both"/>
        <w:spacing w:line="240" w:lineRule="exact"/>
      </w:pPr>
      <w:r>
        <w:rPr>
          <w:rFonts w:hint="eastAsia"/>
        </w:rPr>
        <w:t xml:space="preserve">本项目不接受联合体投标</w:t>
      </w:r>
      <w:r/>
    </w:p>
    <w:p>
      <w:pPr>
        <w:pStyle w:val="865"/>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0"/>
        <w:jc w:val="both"/>
        <w:spacing w:line="240" w:lineRule="exact"/>
        <w:widowControl/>
        <w:rPr>
          <w:rFonts w:cs="仿宋"/>
          <w:lang w:val="en-US" w:bidi="ar-SA"/>
        </w:rPr>
      </w:pPr>
      <w:r>
        <w:rPr>
          <w:rFonts w:cs="仿宋"/>
          <w:lang w:val="en-US" w:bidi="ar-SA"/>
        </w:rPr>
        <w:t xml:space="preserve">2.3.1政府采购信用承诺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w:t>
      </w:r>
      <w:r>
        <w:rPr>
          <w:rFonts w:hint="eastAsia" w:cs="仿宋"/>
          <w:lang w:val="en-US" w:bidi="ar-SA"/>
        </w:rPr>
        <w:t xml:space="preserve">宁财购通</w:t>
      </w:r>
      <w:r>
        <w:rPr>
          <w:rFonts w:hint="eastAsia" w:cs="仿宋"/>
          <w:lang w:val="en-US" w:bidi="ar-SA"/>
        </w:rPr>
        <w:t xml:space="preserve">〔</w:t>
      </w:r>
      <w:r>
        <w:rPr>
          <w:rFonts w:cs="仿宋"/>
          <w:lang w:val="en-US" w:bidi="ar-SA"/>
        </w:rPr>
        <w:t xml:space="preserve">2021〕5号规定， </w:t>
      </w:r>
      <w:r>
        <w:rPr>
          <w:rFonts w:hint="eastAsia" w:cs="仿宋"/>
          <w:lang w:val="en-US" w:bidi="ar-SA"/>
        </w:rPr>
        <w:t xml:space="preserve">参加南京地区政府采购活动的供应商，应以书面形式向采购人或政府采购代理机构</w:t>
      </w:r>
      <w:r>
        <w:rPr>
          <w:rFonts w:hint="eastAsia" w:cs="仿宋"/>
          <w:lang w:val="en-US" w:bidi="ar-SA"/>
        </w:rPr>
        <w:t xml:space="preserve">作出</w:t>
      </w:r>
      <w:r>
        <w:rPr>
          <w:rFonts w:hint="eastAsia" w:cs="仿宋"/>
          <w:lang w:val="en-US" w:bidi="ar-SA"/>
        </w:rPr>
        <w:t xml:space="preserve">信用承诺。供应商应尽早做好承诺工作，点击‘南京公共采购信息网’首页（</w:t>
      </w:r>
      <w:r>
        <w:rPr>
          <w:rFonts w:cs="仿宋"/>
          <w:lang w:val="en-US" w:bidi="ar-SA"/>
        </w:rPr>
        <w:t xml:space="preserve">https://njgc.jfh.com/）‘南京市政府采购供应商诚信档案</w:t>
      </w:r>
      <w:r>
        <w:rPr>
          <w:rFonts w:cs="仿宋"/>
          <w:lang w:val="en-US" w:bidi="ar-SA"/>
        </w:rPr>
        <w:t xml:space="preserve">’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投标文件正本中需提供由法定代表人签字并盖单位公章的原件）。</w:t>
      </w:r>
      <w:r/>
    </w:p>
    <w:p>
      <w:pPr>
        <w:ind w:firstLine="440"/>
        <w:jc w:val="both"/>
        <w:spacing w:line="240" w:lineRule="exact"/>
        <w:widowControl/>
        <w:rPr>
          <w:rFonts w:cs="仿宋"/>
          <w:lang w:val="en-US" w:bidi="ar-SA"/>
        </w:rPr>
      </w:pPr>
      <w:r>
        <w:rPr>
          <w:rFonts w:hint="eastAsia" w:cs="仿宋"/>
          <w:lang w:val="en-US" w:bidi="ar-SA"/>
        </w:rPr>
        <w:t xml:space="preserve">在政府采购资格审查环节，供应商只需提供书面《南京市政府采购供应商信用记录表暨信用承诺书》，即可替代以下证明材料：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2）为采购项目提供整体设计、规范编制或者项目管理、监理、检测、初审等服务的供应商，不得参加本项目的采购活动。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5"/>
        <w:ind w:left="0" w:firstLine="562"/>
        <w:spacing w:line="240" w:lineRule="exact"/>
        <w:rPr>
          <w:b/>
          <w:sz w:val="22"/>
          <w:szCs w:val="22"/>
        </w:rPr>
      </w:pPr>
      <w:r>
        <w:rPr>
          <w:rFonts w:hint="eastAsia"/>
          <w:b/>
          <w:sz w:val="22"/>
          <w:szCs w:val="22"/>
        </w:rPr>
        <w:t xml:space="preserve">三、获取招标文件</w:t>
      </w:r>
      <w:r/>
    </w:p>
    <w:p>
      <w:pPr>
        <w:ind w:firstLine="560"/>
        <w:jc w:val="both"/>
        <w:spacing w:line="240" w:lineRule="exact"/>
        <w:rPr>
          <w:rFonts w:cs="仿宋"/>
          <w:lang w:val="en-US" w:bidi="ar-SA"/>
        </w:rPr>
      </w:pPr>
      <w:r>
        <w:rPr>
          <w:rFonts w:hint="eastAsia" w:cs="仿宋"/>
          <w:lang w:val="en-US" w:bidi="ar-SA"/>
        </w:rPr>
        <w:t xml:space="preserve">时间：自招标公告在</w:t>
      </w:r>
      <w:r>
        <w:rPr>
          <w:rFonts w:cs="仿宋"/>
          <w:lang w:val="en-US" w:bidi="ar-SA"/>
        </w:rPr>
        <w:t xml:space="preserve">“江苏省政府采购网”发布之日起5个工作日。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5"/>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w:t>
      </w:r>
      <w:r>
        <w:rPr>
          <w:rFonts w:hint="eastAsia" w:cs="仿宋"/>
          <w:b/>
          <w:u w:val="single"/>
          <w:lang w:val="en-US"/>
        </w:rPr>
        <w:t xml:space="preserve">8</w:t>
      </w:r>
      <w:r>
        <w:rPr>
          <w:rFonts w:cs="仿宋"/>
          <w:b/>
          <w:u w:val="single"/>
          <w:lang w:val="en-US"/>
        </w:rPr>
        <w:t xml:space="preserve">月19</w:t>
      </w:r>
      <w:r>
        <w:rPr>
          <w:rFonts w:cs="仿宋"/>
          <w:b/>
          <w:u w:val="single"/>
          <w:lang w:val="en-US"/>
        </w:rPr>
        <w:t xml:space="preserve">日9</w:t>
      </w:r>
      <w:r>
        <w:rPr>
          <w:rFonts w:hint="eastAsia" w:cs="仿宋"/>
          <w:b/>
          <w:u w:val="single"/>
        </w:rPr>
        <w:t xml:space="preserve">点</w:t>
      </w:r>
      <w:r>
        <w:rPr>
          <w:rFonts w:hint="eastAsia" w:cs="仿宋"/>
          <w:b/>
          <w:u w:val="single"/>
          <w:lang w:val="en-US"/>
        </w:rPr>
        <w:t xml:space="preserve">3</w:t>
      </w:r>
      <w:r>
        <w:rPr>
          <w:rFonts w:cs="仿宋"/>
          <w:b/>
          <w:u w:val="single"/>
          <w:lang w:val="en-US"/>
        </w:rPr>
        <w:t xml:space="preserve">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5"/>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5个工作日。</w:t>
      </w:r>
      <w:r/>
    </w:p>
    <w:p>
      <w:pPr>
        <w:pStyle w:val="865"/>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、南京市公共采购信息网上发布。有关本次招标的事项若存在变动或修改，敬请及时关注“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5"/>
        <w:ind w:left="0" w:firstLine="562"/>
        <w:spacing w:line="240" w:lineRule="exact"/>
        <w:rPr>
          <w:b/>
          <w:sz w:val="22"/>
          <w:szCs w:val="22"/>
        </w:rPr>
      </w:pPr>
      <w:r>
        <w:rPr>
          <w:rFonts w:hint="eastAsia"/>
          <w:b/>
          <w:sz w:val="22"/>
          <w:szCs w:val="22"/>
        </w:rPr>
        <w:t xml:space="preserve">七、对本次招标提出询问，请按以下方式联系。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谷主任</w:t>
      </w:r>
      <w:r/>
    </w:p>
    <w:p>
      <w:pPr>
        <w:ind w:firstLine="560"/>
        <w:spacing w:line="240" w:lineRule="exact"/>
        <w:widowControl/>
        <w:rPr>
          <w:rFonts w:cs="仿宋"/>
        </w:rPr>
      </w:pPr>
      <w:r>
        <w:rPr>
          <w:rFonts w:cs="仿宋"/>
        </w:rPr>
        <w:t xml:space="preserve">联系电话：025-87150613</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40" w:lineRule="exact"/>
        <w:widowControl/>
        <w:rPr>
          <w:rFonts w:cs="仿宋"/>
        </w:rPr>
      </w:pPr>
      <w:r>
        <w:rPr>
          <w:rFonts w:hint="eastAsia" w:cs="仿宋"/>
        </w:rPr>
        <w:t xml:space="preserve">地址：南京市江宁区通淮街38号</w:t>
      </w:r>
      <w:r/>
    </w:p>
    <w:p>
      <w:pPr>
        <w:ind w:firstLine="560"/>
        <w:spacing w:line="240" w:lineRule="exact"/>
        <w:widowControl/>
        <w:rPr>
          <w:rFonts w:cs="仿宋"/>
        </w:rPr>
      </w:pPr>
      <w:r>
        <w:rPr>
          <w:rFonts w:hint="eastAsia" w:cs="仿宋"/>
        </w:rPr>
        <w:t xml:space="preserve">联系方式：</w:t>
      </w:r>
      <w:bookmarkStart w:id="2" w:name="_Toc28359087"/>
      <w:r/>
      <w:bookmarkStart w:id="3" w:name="_Toc28359010"/>
      <w:r>
        <w:rPr>
          <w:rFonts w:cs="仿宋"/>
        </w:rPr>
        <w:t xml:space="preserve">025-86170600</w:t>
      </w:r>
      <w:r/>
    </w:p>
    <w:p>
      <w:pPr>
        <w:ind w:firstLine="560"/>
        <w:spacing w:line="240" w:lineRule="exact"/>
        <w:widowControl/>
        <w:rPr>
          <w:rFonts w:cs="仿宋"/>
        </w:rPr>
      </w:pPr>
      <w:r>
        <w:rPr>
          <w:rFonts w:hint="eastAsia" w:cs="仿宋"/>
        </w:rPr>
        <w:t xml:space="preserve">电子邮箱：</w:t>
      </w:r>
      <w:r>
        <w:rPr>
          <w:rFonts w:cs="仿宋"/>
        </w:rPr>
        <w:fldChar w:fldCharType="begin"/>
      </w:r>
      <w:r>
        <w:rPr>
          <w:rFonts w:cs="仿宋"/>
        </w:rPr>
        <w:instrText xml:space="preserve"> HYPERLINK "mailto:njjszxlll@163.com" </w:instrText>
      </w:r>
      <w:r>
        <w:rPr>
          <w:rFonts w:cs="仿宋"/>
        </w:rPr>
        <w:fldChar w:fldCharType="separate"/>
      </w:r>
      <w:r>
        <w:t xml:space="preserve">njjszxlll@163.com</w:t>
      </w:r>
      <w:r>
        <w:fldChar w:fldCharType="end"/>
      </w:r>
      <w:r/>
    </w:p>
    <w:p>
      <w:pPr>
        <w:ind w:firstLine="560"/>
        <w:spacing w:line="240" w:lineRule="exact"/>
        <w:widowControl/>
        <w:rPr>
          <w:rFonts w:cs="仿宋"/>
        </w:rPr>
      </w:pPr>
      <w:r>
        <w:rPr>
          <w:rFonts w:cs="仿宋"/>
          <w:lang w:val="en-US"/>
        </w:rPr>
        <w:t xml:space="preserve">7.</w:t>
      </w:r>
      <w:r>
        <w:rPr>
          <w:rFonts w:cs="仿宋"/>
        </w:rPr>
        <w:t xml:space="preserve">3项目联系方式</w:t>
      </w:r>
      <w:bookmarkEnd w:id="2"/>
      <w:r/>
      <w:bookmarkEnd w:id="3"/>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64"/>
        <w:ind w:firstLine="723"/>
        <w:spacing w:line="567" w:lineRule="exact"/>
        <w:tabs>
          <w:tab w:val="left" w:pos="1447" w:leader="none"/>
        </w:tabs>
        <w:rPr>
          <w:rFonts w:ascii="宋体" w:hAnsi="宋体" w:eastAsia="宋体" w:cs="宋体"/>
        </w:rPr>
      </w:pPr>
      <w:r/>
      <w:bookmarkStart w:id="4" w:name="_Toc23325"/>
      <w:r/>
      <w:bookmarkStart w:id="5" w:name="_Toc1703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4"/>
      <w:r/>
      <w:bookmarkEnd w:id="5"/>
      <w:r/>
      <w:r/>
    </w:p>
    <w:p>
      <w:pPr>
        <w:pStyle w:val="868"/>
        <w:ind w:left="0" w:firstLine="470"/>
        <w:rPr>
          <w:rFonts w:ascii="宋体" w:hAnsi="宋体" w:eastAsia="宋体" w:cs="仿宋"/>
          <w:spacing w:val="-3"/>
          <w:sz w:val="24"/>
          <w:szCs w:val="24"/>
        </w:rPr>
      </w:pPr>
      <w:r/>
      <w:bookmarkStart w:id="6" w:name="_Toc66290655"/>
      <w:r>
        <w:rPr>
          <w:rFonts w:hint="eastAsia" w:ascii="宋体" w:hAnsi="宋体" w:eastAsia="宋体" w:cs="仿宋"/>
          <w:spacing w:val="-3"/>
          <w:sz w:val="24"/>
          <w:szCs w:val="24"/>
        </w:rPr>
        <w:t xml:space="preserve">一、总</w:t>
      </w:r>
      <w:r>
        <w:rPr>
          <w:rFonts w:ascii="宋体" w:hAnsi="宋体" w:eastAsia="宋体" w:cs="仿宋"/>
          <w:spacing w:val="-3"/>
          <w:sz w:val="24"/>
          <w:szCs w:val="24"/>
        </w:rPr>
        <w:t xml:space="preserve">   </w:t>
      </w:r>
      <w:r>
        <w:rPr>
          <w:rFonts w:hint="eastAsia" w:ascii="宋体" w:hAnsi="宋体" w:eastAsia="宋体" w:cs="仿宋"/>
          <w:spacing w:val="-3"/>
          <w:sz w:val="24"/>
          <w:szCs w:val="24"/>
        </w:rPr>
        <w:t xml:space="preserve">则</w:t>
      </w:r>
      <w:bookmarkEnd w:id="6"/>
      <w:r/>
      <w:r/>
    </w:p>
    <w:p>
      <w:pPr>
        <w:ind w:firstLine="470"/>
        <w:spacing w:before="12"/>
        <w:rPr>
          <w:rFonts w:cs="仿宋"/>
          <w:b/>
          <w:bCs/>
          <w:spacing w:val="-3"/>
          <w:sz w:val="24"/>
          <w:szCs w:val="24"/>
        </w:rPr>
      </w:pPr>
      <w:r>
        <w:rPr>
          <w:rFonts w:hint="eastAsia" w:cs="仿宋"/>
          <w:b/>
          <w:bCs/>
          <w:spacing w:val="-3"/>
          <w:sz w:val="24"/>
          <w:szCs w:val="24"/>
        </w:rPr>
        <w:t xml:space="preserve">1.</w:t>
      </w:r>
      <w:r>
        <w:rPr>
          <w:rFonts w:cs="仿宋"/>
          <w:b/>
          <w:bCs/>
          <w:spacing w:val="-3"/>
          <w:sz w:val="24"/>
          <w:szCs w:val="24"/>
        </w:rPr>
        <w:t xml:space="preserve">适用法律</w:t>
      </w:r>
      <w:r/>
    </w:p>
    <w:p>
      <w:pPr>
        <w:ind w:firstLine="468"/>
        <w:rPr>
          <w:rFonts w:cs="仿宋"/>
          <w:spacing w:val="-3"/>
          <w:sz w:val="24"/>
          <w:szCs w:val="24"/>
        </w:rPr>
      </w:pPr>
      <w:r>
        <w:rPr>
          <w:rFonts w:cs="仿宋"/>
          <w:spacing w:val="-3"/>
          <w:sz w:val="24"/>
          <w:szCs w:val="24"/>
        </w:rPr>
        <w:t xml:space="preserve">1.1 </w:t>
      </w:r>
      <w:r>
        <w:rPr>
          <w:rFonts w:hint="eastAsia" w:cs="仿宋"/>
          <w:spacing w:val="-3"/>
          <w:sz w:val="24"/>
          <w:szCs w:val="24"/>
        </w:rPr>
        <w:t xml:space="preserve">《中华人民共和国政府采购法》《中华人民共和国政府采购法实施条例》等有关法律、规章和规定等。</w:t>
      </w:r>
      <w:r/>
    </w:p>
    <w:p>
      <w:pPr>
        <w:ind w:firstLine="470"/>
        <w:spacing w:before="12"/>
        <w:rPr>
          <w:rFonts w:cs="仿宋"/>
          <w:b/>
          <w:bCs/>
          <w:spacing w:val="-3"/>
          <w:sz w:val="24"/>
          <w:szCs w:val="24"/>
        </w:rPr>
      </w:pPr>
      <w:r>
        <w:rPr>
          <w:rFonts w:hint="eastAsia" w:cs="仿宋"/>
          <w:b/>
          <w:bCs/>
          <w:spacing w:val="-3"/>
          <w:sz w:val="24"/>
          <w:szCs w:val="24"/>
        </w:rPr>
        <w:t xml:space="preserve">2.</w:t>
      </w:r>
      <w:r>
        <w:rPr>
          <w:rFonts w:cs="仿宋"/>
          <w:b/>
          <w:bCs/>
          <w:spacing w:val="-3"/>
          <w:sz w:val="24"/>
          <w:szCs w:val="24"/>
        </w:rPr>
        <w:t xml:space="preserve">定义</w:t>
      </w:r>
      <w:r/>
    </w:p>
    <w:p>
      <w:pPr>
        <w:ind w:firstLine="468"/>
        <w:rPr>
          <w:rFonts w:cs="仿宋"/>
          <w:spacing w:val="-3"/>
          <w:sz w:val="24"/>
          <w:szCs w:val="24"/>
        </w:rPr>
      </w:pPr>
      <w:r>
        <w:rPr>
          <w:rFonts w:cs="仿宋"/>
          <w:spacing w:val="-3"/>
          <w:sz w:val="24"/>
          <w:szCs w:val="24"/>
        </w:rPr>
        <w:t xml:space="preserve">2.1 </w:t>
      </w:r>
      <w:r>
        <w:rPr>
          <w:rFonts w:hint="eastAsia" w:cs="仿宋"/>
          <w:spacing w:val="-3"/>
          <w:sz w:val="24"/>
          <w:szCs w:val="24"/>
        </w:rPr>
        <w:t xml:space="preserve">“投标人或供应商”是指参加投标竞争，并符合招标文件规定资格条件的法人、其他组织或者自然人。</w:t>
      </w:r>
      <w:r/>
    </w:p>
    <w:p>
      <w:pPr>
        <w:ind w:firstLine="468"/>
        <w:rPr>
          <w:rFonts w:cs="仿宋"/>
          <w:spacing w:val="-3"/>
          <w:sz w:val="24"/>
          <w:szCs w:val="24"/>
        </w:rPr>
      </w:pPr>
      <w:r>
        <w:rPr>
          <w:rFonts w:cs="仿宋"/>
          <w:spacing w:val="-3"/>
          <w:sz w:val="24"/>
          <w:szCs w:val="24"/>
        </w:rPr>
        <w:t xml:space="preserve">2.2“服务”指本招标文件中所述相关服务。</w:t>
      </w:r>
      <w:r/>
    </w:p>
    <w:p>
      <w:pPr>
        <w:ind w:firstLine="468"/>
        <w:rPr>
          <w:rFonts w:cs="仿宋"/>
          <w:spacing w:val="-3"/>
          <w:sz w:val="24"/>
          <w:szCs w:val="24"/>
        </w:rPr>
      </w:pPr>
      <w:r>
        <w:rPr>
          <w:rFonts w:cs="仿宋"/>
          <w:spacing w:val="-3"/>
          <w:sz w:val="24"/>
          <w:szCs w:val="24"/>
        </w:rPr>
        <w:t xml:space="preserve">2.3“用户或使用单位或采购人”是指采购本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cs="仿宋"/>
          <w:b/>
          <w:bCs/>
          <w:spacing w:val="-3"/>
          <w:sz w:val="24"/>
          <w:szCs w:val="24"/>
        </w:rPr>
      </w:pPr>
      <w:r>
        <w:rPr>
          <w:rFonts w:hint="eastAsia" w:cs="仿宋"/>
          <w:b/>
          <w:bCs/>
          <w:spacing w:val="-3"/>
          <w:sz w:val="24"/>
          <w:szCs w:val="24"/>
        </w:rPr>
        <w:t xml:space="preserve">3.</w:t>
      </w:r>
      <w:r>
        <w:rPr>
          <w:rFonts w:cs="仿宋"/>
          <w:b/>
          <w:bCs/>
          <w:spacing w:val="-3"/>
          <w:sz w:val="24"/>
          <w:szCs w:val="24"/>
        </w:rPr>
        <w:t xml:space="preserve">政策功能</w:t>
      </w:r>
      <w:r/>
    </w:p>
    <w:p>
      <w:pPr>
        <w:ind w:firstLine="468"/>
        <w:rPr>
          <w:rFonts w:cs="仿宋"/>
          <w:spacing w:val="-3"/>
          <w:sz w:val="24"/>
          <w:szCs w:val="24"/>
        </w:rPr>
      </w:pPr>
      <w:r/>
      <w:bookmarkStart w:id="7" w:name="_Toc6915"/>
      <w:r>
        <w:rPr>
          <w:rFonts w:cs="仿宋"/>
          <w:spacing w:val="-3"/>
          <w:sz w:val="24"/>
          <w:szCs w:val="24"/>
        </w:rPr>
        <w:t xml:space="preserve">3.1中小企业政策</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 xml:space="preserve">10</w:t>
      </w:r>
      <w:r>
        <w:rPr>
          <w:rFonts w:cs="仿宋"/>
          <w:spacing w:val="-3"/>
          <w:sz w:val="24"/>
          <w:szCs w:val="24"/>
        </w:rPr>
        <w:t xml:space="preserve">%的扣除，用扣除后的价格参与评审。</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3）参加政府采购活动的中小企业应当提供《中小企业声明函》、由省级以上监狱管理局、戒毒管理局</w:t>
      </w:r>
      <w:r>
        <w:rPr>
          <w:rFonts w:hint="eastAsia" w:cs="仿宋"/>
          <w:spacing w:val="-3"/>
          <w:sz w:val="24"/>
          <w:szCs w:val="24"/>
        </w:rPr>
        <w:t xml:space="preserve">（</w:t>
      </w:r>
      <w:r>
        <w:rPr>
          <w:rFonts w:cs="仿宋"/>
          <w:spacing w:val="-3"/>
          <w:sz w:val="24"/>
          <w:szCs w:val="24"/>
        </w:rPr>
        <w:t xml:space="preserve">含新疆生产建设兵团</w:t>
      </w:r>
      <w:r>
        <w:rPr>
          <w:rFonts w:hint="eastAsia" w:cs="仿宋"/>
          <w:spacing w:val="-3"/>
          <w:sz w:val="24"/>
          <w:szCs w:val="24"/>
        </w:rPr>
        <w:t xml:space="preserve">）</w:t>
      </w:r>
      <w:r>
        <w:rPr>
          <w:rFonts w:cs="仿宋"/>
          <w:spacing w:val="-3"/>
          <w:sz w:val="24"/>
          <w:szCs w:val="24"/>
        </w:rPr>
        <w:t xml:space="preserve">出具的属于监狱企业的证明文件或《残疾人福利性单位声明函》。</w:t>
      </w:r>
      <w:r/>
    </w:p>
    <w:p>
      <w:pPr>
        <w:ind w:firstLine="468"/>
      </w:pPr>
      <w:r>
        <w:rPr>
          <w:rFonts w:hint="eastAsia"/>
          <w:spacing w:val="-3"/>
          <w:sz w:val="24"/>
        </w:rPr>
        <w:t xml:space="preserve">3.2对本国产品的支持政策</w:t>
      </w:r>
      <w:r/>
    </w:p>
    <w:p>
      <w:pPr>
        <w:ind w:firstLine="468"/>
      </w:pPr>
      <w:r>
        <w:rPr>
          <w:rFonts w:hint="eastAsia"/>
          <w:spacing w:val="-3"/>
          <w:sz w:val="24"/>
        </w:rPr>
        <w:t xml:space="preserve">本项目采购内容为服务，不涉及货物。</w:t>
      </w:r>
      <w:r/>
    </w:p>
    <w:p>
      <w:pPr>
        <w:ind w:firstLine="468"/>
        <w:rPr>
          <w:rFonts w:cs="仿宋"/>
          <w:spacing w:val="-3"/>
          <w:sz w:val="24"/>
          <w:szCs w:val="24"/>
        </w:rPr>
      </w:pPr>
      <w:r>
        <w:rPr>
          <w:rFonts w:hint="eastAsia" w:cs="仿宋"/>
          <w:spacing w:val="-3"/>
          <w:sz w:val="24"/>
          <w:szCs w:val="24"/>
          <w:lang w:val="en-US"/>
        </w:rPr>
        <w:t xml:space="preserve">3.3</w:t>
      </w:r>
      <w:r>
        <w:rPr>
          <w:rFonts w:hint="eastAsia" w:cs="仿宋"/>
          <w:spacing w:val="-3"/>
          <w:sz w:val="24"/>
          <w:szCs w:val="24"/>
        </w:rPr>
        <w:t xml:space="preserve">未按要求提供相关材料的，不享受相关政策。</w:t>
      </w:r>
      <w:r/>
    </w:p>
    <w:p>
      <w:pPr>
        <w:ind w:firstLine="468"/>
        <w:rPr>
          <w:rFonts w:cs="仿宋"/>
          <w:spacing w:val="-3"/>
          <w:sz w:val="24"/>
          <w:szCs w:val="24"/>
        </w:rPr>
      </w:pPr>
      <w:r>
        <w:rPr>
          <w:rFonts w:hint="eastAsia" w:cs="仿宋"/>
          <w:spacing w:val="-3"/>
          <w:sz w:val="24"/>
          <w:szCs w:val="24"/>
        </w:rPr>
        <w:t xml:space="preserve">3.</w:t>
      </w:r>
      <w:r>
        <w:rPr>
          <w:rFonts w:hint="eastAsia" w:cs="仿宋"/>
          <w:spacing w:val="-3"/>
          <w:sz w:val="24"/>
          <w:szCs w:val="24"/>
          <w:lang w:val="en-US"/>
        </w:rPr>
        <w:t xml:space="preserve">4本项目采购标的对应的中小企业划分标准所属行业为：</w:t>
      </w:r>
      <w:r>
        <w:rPr>
          <w:rFonts w:hint="eastAsia" w:cs="仿宋"/>
          <w:b/>
          <w:spacing w:val="-3"/>
          <w:sz w:val="24"/>
          <w:szCs w:val="24"/>
          <w:lang w:val="en-US"/>
        </w:rPr>
        <w:t xml:space="preserve">租赁和商务服务业</w:t>
      </w:r>
      <w:r>
        <w:rPr>
          <w:rFonts w:hint="eastAsia" w:cs="仿宋"/>
          <w:spacing w:val="-3"/>
          <w:sz w:val="24"/>
          <w:szCs w:val="24"/>
          <w:lang w:val="en-US"/>
        </w:rPr>
        <w:t xml:space="preserve">。</w:t>
      </w:r>
      <w:r/>
    </w:p>
    <w:p>
      <w:pPr>
        <w:pStyle w:val="868"/>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7"/>
      <w:r/>
      <w:r/>
    </w:p>
    <w:p>
      <w:pPr>
        <w:ind w:firstLine="470"/>
        <w:spacing w:before="12"/>
        <w:rPr>
          <w:rFonts w:cs="仿宋"/>
          <w:b/>
          <w:bCs/>
          <w:spacing w:val="-3"/>
          <w:sz w:val="24"/>
          <w:szCs w:val="24"/>
        </w:rPr>
      </w:pPr>
      <w:r>
        <w:rPr>
          <w:rFonts w:hint="eastAsia" w:cs="仿宋"/>
          <w:b/>
          <w:bCs/>
          <w:spacing w:val="-3"/>
          <w:sz w:val="24"/>
          <w:szCs w:val="24"/>
        </w:rPr>
        <w:t xml:space="preserve">4.</w:t>
      </w:r>
      <w:r>
        <w:rPr>
          <w:rFonts w:cs="仿宋"/>
          <w:b/>
          <w:bCs/>
          <w:spacing w:val="-3"/>
          <w:sz w:val="24"/>
          <w:szCs w:val="24"/>
        </w:rPr>
        <w:t xml:space="preserve">招标文件组成</w:t>
      </w:r>
      <w:r/>
    </w:p>
    <w:p>
      <w:pPr>
        <w:ind w:firstLine="468"/>
        <w:rPr>
          <w:rFonts w:cs="仿宋"/>
          <w:spacing w:val="-3"/>
          <w:sz w:val="24"/>
          <w:szCs w:val="24"/>
        </w:rPr>
      </w:pPr>
      <w:r>
        <w:rPr>
          <w:rFonts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w:t>
      </w:r>
      <w:r>
        <w:rPr>
          <w:rFonts w:hint="eastAsia" w:cs="仿宋"/>
          <w:spacing w:val="-3"/>
          <w:sz w:val="24"/>
          <w:szCs w:val="24"/>
        </w:rPr>
        <w:t xml:space="preserve">和废标条款</w:t>
      </w:r>
      <w:r>
        <w:rPr>
          <w:rFonts w:hint="eastAsia" w:cs="仿宋"/>
          <w:spacing w:val="-3"/>
          <w:sz w:val="24"/>
          <w:szCs w:val="24"/>
        </w:rPr>
        <w:t xml:space="preserve">、附件等。</w:t>
      </w:r>
      <w:r/>
    </w:p>
    <w:p>
      <w:pPr>
        <w:ind w:firstLine="468"/>
        <w:rPr>
          <w:rFonts w:cs="仿宋"/>
          <w:spacing w:val="-3"/>
          <w:sz w:val="24"/>
          <w:szCs w:val="24"/>
        </w:rPr>
      </w:pPr>
      <w:r>
        <w:rPr>
          <w:rFonts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cs="仿宋"/>
          <w:spacing w:val="-3"/>
          <w:sz w:val="24"/>
          <w:szCs w:val="24"/>
        </w:rPr>
      </w:pPr>
      <w:r>
        <w:rPr>
          <w:rFonts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cs="仿宋"/>
          <w:b/>
          <w:sz w:val="24"/>
          <w:szCs w:val="24"/>
        </w:rPr>
      </w:pPr>
      <w:r>
        <w:rPr>
          <w:rFonts w:hint="eastAsia" w:cs="仿宋"/>
          <w:b/>
          <w:sz w:val="24"/>
          <w:szCs w:val="24"/>
        </w:rPr>
        <w:t xml:space="preserve">5.</w:t>
      </w:r>
      <w:r>
        <w:rPr>
          <w:rFonts w:cs="仿宋"/>
          <w:b/>
          <w:sz w:val="24"/>
          <w:szCs w:val="24"/>
        </w:rPr>
        <w:t xml:space="preserve">招标文件的澄清、修改</w:t>
      </w:r>
      <w:r/>
    </w:p>
    <w:p>
      <w:pPr>
        <w:ind w:firstLine="468"/>
        <w:rPr>
          <w:rFonts w:cs="仿宋"/>
          <w:spacing w:val="-3"/>
          <w:sz w:val="24"/>
          <w:szCs w:val="24"/>
          <w:lang w:val="en-US"/>
        </w:rPr>
      </w:pPr>
      <w:r>
        <w:rPr>
          <w:rFonts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cs="仿宋"/>
          <w:spacing w:val="-3"/>
          <w:sz w:val="24"/>
          <w:szCs w:val="24"/>
          <w:lang w:val="en-US"/>
        </w:rPr>
      </w:pPr>
      <w:r>
        <w:rPr>
          <w:rFonts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rFonts w:cs="仿宋"/>
          <w:spacing w:val="-3"/>
          <w:sz w:val="24"/>
          <w:szCs w:val="24"/>
          <w:lang w:val="en-US"/>
        </w:rPr>
      </w:pPr>
      <w:r>
        <w:rPr>
          <w:rFonts w:cs="仿宋"/>
          <w:spacing w:val="-3"/>
          <w:sz w:val="24"/>
          <w:szCs w:val="24"/>
          <w:lang w:val="en-US"/>
        </w:rPr>
        <w:t xml:space="preserve">5.3投标人应在投标截止时间前关注“南京市公共采购信息网、江苏政府采购网”有关本招标项目有无变更公告。</w:t>
      </w:r>
      <w:r/>
    </w:p>
    <w:p>
      <w:pPr>
        <w:pStyle w:val="868"/>
        <w:ind w:left="0" w:firstLine="482"/>
        <w:tabs>
          <w:tab w:val="left" w:pos="1058" w:leader="none"/>
        </w:tabs>
        <w:rPr>
          <w:rFonts w:ascii="宋体" w:hAnsi="宋体" w:eastAsia="宋体" w:cs="仿宋"/>
          <w:sz w:val="24"/>
          <w:szCs w:val="24"/>
        </w:rPr>
      </w:pPr>
      <w:r/>
      <w:bookmarkStart w:id="8" w:name="_Toc20513"/>
      <w:r>
        <w:rPr>
          <w:rFonts w:hint="eastAsia" w:ascii="宋体" w:hAnsi="宋体" w:eastAsia="宋体" w:cs="仿宋"/>
          <w:sz w:val="24"/>
          <w:szCs w:val="24"/>
        </w:rPr>
        <w:t xml:space="preserve">三、投标</w:t>
      </w:r>
      <w:bookmarkEnd w:id="8"/>
      <w:r/>
      <w:r/>
    </w:p>
    <w:p>
      <w:pPr>
        <w:ind w:firstLine="482"/>
        <w:spacing w:before="22"/>
        <w:rPr>
          <w:rFonts w:cs="仿宋"/>
          <w:b/>
          <w:sz w:val="24"/>
          <w:szCs w:val="24"/>
        </w:rPr>
      </w:pPr>
      <w:r>
        <w:rPr>
          <w:rFonts w:hint="eastAsia" w:cs="仿宋"/>
          <w:b/>
          <w:sz w:val="24"/>
          <w:szCs w:val="24"/>
        </w:rPr>
        <w:t xml:space="preserve">6.</w:t>
      </w:r>
      <w:r>
        <w:rPr>
          <w:rFonts w:cs="仿宋"/>
          <w:b/>
          <w:sz w:val="24"/>
          <w:szCs w:val="24"/>
        </w:rPr>
        <w:t xml:space="preserve">投标文件的语言、计量单位、货币和编制</w:t>
      </w:r>
      <w:r/>
    </w:p>
    <w:p>
      <w:pPr>
        <w:ind w:firstLine="468"/>
        <w:rPr>
          <w:rFonts w:cs="仿宋"/>
          <w:spacing w:val="-3"/>
          <w:sz w:val="24"/>
          <w:szCs w:val="24"/>
          <w:lang w:val="en-US"/>
        </w:rPr>
      </w:pPr>
      <w:r>
        <w:rPr>
          <w:rFonts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rPr>
          <w:rFonts w:cs="仿宋"/>
          <w:spacing w:val="-3"/>
          <w:sz w:val="24"/>
          <w:szCs w:val="24"/>
          <w:lang w:val="en-US"/>
        </w:rPr>
      </w:pPr>
      <w:r>
        <w:rPr>
          <w:rFonts w:cs="仿宋"/>
          <w:spacing w:val="-3"/>
          <w:sz w:val="24"/>
          <w:szCs w:val="24"/>
          <w:lang w:val="en-US"/>
        </w:rPr>
        <w:t xml:space="preserve">6.2投标人所使用的计量单位应为国家法定计量单位。</w:t>
      </w:r>
      <w:r/>
    </w:p>
    <w:p>
      <w:pPr>
        <w:ind w:firstLine="468"/>
        <w:rPr>
          <w:rFonts w:cs="仿宋"/>
          <w:spacing w:val="-3"/>
          <w:sz w:val="24"/>
          <w:szCs w:val="24"/>
          <w:lang w:val="en-US"/>
        </w:rPr>
      </w:pPr>
      <w:r>
        <w:rPr>
          <w:rFonts w:cs="仿宋"/>
          <w:spacing w:val="-3"/>
          <w:sz w:val="24"/>
          <w:szCs w:val="24"/>
          <w:lang w:val="en-US"/>
        </w:rPr>
        <w:t xml:space="preserve">6.3投标人应用人民币报价。</w:t>
      </w:r>
      <w:r/>
    </w:p>
    <w:p>
      <w:pPr>
        <w:ind w:firstLine="468"/>
        <w:rPr>
          <w:rFonts w:cs="仿宋"/>
          <w:spacing w:val="-3"/>
          <w:sz w:val="24"/>
          <w:szCs w:val="24"/>
          <w:lang w:val="en-US"/>
        </w:rPr>
      </w:pPr>
      <w:r>
        <w:rPr>
          <w:rFonts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rFonts w:cs="仿宋"/>
          <w:spacing w:val="-3"/>
          <w:sz w:val="24"/>
          <w:szCs w:val="24"/>
          <w:lang w:val="en-US"/>
        </w:rPr>
      </w:pPr>
      <w:r>
        <w:rPr>
          <w:rFonts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rFonts w:cs="仿宋"/>
          <w:spacing w:val="-3"/>
          <w:sz w:val="24"/>
          <w:szCs w:val="24"/>
          <w:lang w:val="en-US"/>
        </w:rPr>
      </w:pPr>
      <w:r>
        <w:rPr>
          <w:rFonts w:cs="仿宋"/>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rPr>
          <w:rFonts w:cs="仿宋"/>
          <w:b/>
          <w:sz w:val="24"/>
          <w:szCs w:val="24"/>
        </w:rPr>
      </w:pPr>
      <w:r>
        <w:rPr>
          <w:rFonts w:hint="eastAsia" w:cs="仿宋"/>
          <w:b/>
          <w:sz w:val="24"/>
          <w:szCs w:val="24"/>
        </w:rPr>
        <w:t xml:space="preserve">联合投标</w:t>
      </w:r>
      <w:r/>
    </w:p>
    <w:p>
      <w:pPr>
        <w:ind w:firstLine="482"/>
        <w:spacing w:before="22"/>
        <w:rPr>
          <w:rFonts w:cs="仿宋"/>
          <w:spacing w:val="-3"/>
          <w:sz w:val="24"/>
          <w:szCs w:val="24"/>
          <w:lang w:val="en-US"/>
        </w:rPr>
      </w:pPr>
      <w:r>
        <w:rPr>
          <w:rFonts w:hint="eastAsia" w:cs="仿宋"/>
          <w:b/>
          <w:sz w:val="24"/>
          <w:szCs w:val="24"/>
        </w:rPr>
        <w:t xml:space="preserve">本项目不采用。</w:t>
      </w:r>
      <w:r/>
    </w:p>
    <w:p>
      <w:pPr>
        <w:ind w:firstLine="482"/>
        <w:spacing w:before="22"/>
        <w:rPr>
          <w:rFonts w:cs="仿宋"/>
          <w:b/>
          <w:sz w:val="24"/>
          <w:szCs w:val="24"/>
        </w:rPr>
      </w:pPr>
      <w:r>
        <w:rPr>
          <w:rFonts w:hint="eastAsia" w:cs="仿宋"/>
          <w:b/>
          <w:sz w:val="24"/>
          <w:szCs w:val="24"/>
        </w:rPr>
        <w:t xml:space="preserve">8.</w:t>
      </w:r>
      <w:r>
        <w:rPr>
          <w:rFonts w:cs="仿宋"/>
          <w:b/>
          <w:sz w:val="24"/>
          <w:szCs w:val="24"/>
        </w:rPr>
        <w:t xml:space="preserve">投标费用</w:t>
      </w:r>
      <w:r/>
    </w:p>
    <w:p>
      <w:pPr>
        <w:ind w:firstLine="468"/>
        <w:rPr>
          <w:rFonts w:cs="仿宋"/>
          <w:spacing w:val="-3"/>
          <w:sz w:val="24"/>
          <w:szCs w:val="24"/>
          <w:lang w:val="en-US"/>
        </w:rPr>
      </w:pPr>
      <w:r>
        <w:rPr>
          <w:rFonts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rFonts w:cs="仿宋"/>
          <w:spacing w:val="-3"/>
          <w:sz w:val="24"/>
          <w:szCs w:val="24"/>
          <w:lang w:val="en-US"/>
        </w:rPr>
      </w:pPr>
      <w:r>
        <w:rPr>
          <w:rFonts w:cs="仿宋"/>
          <w:spacing w:val="-3"/>
          <w:sz w:val="24"/>
          <w:szCs w:val="24"/>
          <w:lang w:val="en-US"/>
        </w:rPr>
        <w:t xml:space="preserve">8.2本项目招标代理费以预算金额为基础，参照</w:t>
      </w:r>
      <w:r>
        <w:rPr>
          <w:rFonts w:hint="eastAsia" w:cs="仿宋"/>
          <w:spacing w:val="-3"/>
          <w:sz w:val="24"/>
          <w:szCs w:val="24"/>
          <w:lang w:val="en-US"/>
        </w:rPr>
        <w:t xml:space="preserve">江苏省政府采购协会关于印发《江苏省政府采购代理服务收费指导意见》的通知</w:t>
      </w:r>
      <w:r>
        <w:rPr>
          <w:rFonts w:cs="仿宋"/>
          <w:spacing w:val="-3"/>
          <w:sz w:val="24"/>
          <w:szCs w:val="24"/>
          <w:lang w:val="en-US"/>
        </w:rPr>
        <w:t xml:space="preserve">（</w:t>
      </w:r>
      <w:r>
        <w:rPr>
          <w:rFonts w:hint="eastAsia" w:cs="仿宋"/>
          <w:spacing w:val="-3"/>
          <w:sz w:val="24"/>
          <w:szCs w:val="24"/>
          <w:lang w:val="en-US"/>
        </w:rPr>
        <w:t xml:space="preserve">苏</w:t>
      </w:r>
      <w:r>
        <w:rPr>
          <w:rFonts w:hint="eastAsia" w:cs="仿宋"/>
          <w:spacing w:val="-3"/>
          <w:sz w:val="24"/>
          <w:szCs w:val="24"/>
          <w:lang w:val="en-US"/>
        </w:rPr>
        <w:t xml:space="preserve">政采协</w:t>
      </w:r>
      <w:r>
        <w:rPr>
          <w:rFonts w:cs="仿宋"/>
          <w:spacing w:val="-3"/>
          <w:sz w:val="24"/>
          <w:szCs w:val="24"/>
          <w:lang w:val="en-US"/>
        </w:rPr>
        <w:t xml:space="preserve">[2024]20号）计费标准*80%计取，</w:t>
      </w:r>
      <w:r>
        <w:rPr>
          <w:rFonts w:hint="eastAsia" w:cs="仿宋"/>
          <w:spacing w:val="-3"/>
          <w:sz w:val="24"/>
          <w:szCs w:val="24"/>
          <w:lang w:val="en-US"/>
        </w:rPr>
        <w:t xml:space="preserve">中标人支付代理服务费</w:t>
      </w:r>
      <w:r>
        <w:rPr>
          <w:rFonts w:cs="仿宋"/>
          <w:spacing w:val="-3"/>
          <w:sz w:val="24"/>
          <w:szCs w:val="24"/>
          <w:lang w:val="en-US"/>
        </w:rPr>
        <w:t xml:space="preserve">17440元。本</w:t>
      </w:r>
      <w:r>
        <w:rPr>
          <w:rFonts w:hint="eastAsia" w:cs="仿宋"/>
          <w:spacing w:val="-3"/>
          <w:sz w:val="24"/>
          <w:szCs w:val="24"/>
          <w:lang w:val="en-US"/>
        </w:rPr>
        <w:t xml:space="preserve">项目预算包含代理服务费，为严格落实预算管理、简化支付流程、提高采购效率，本项目代理费由中标供应商支付，供应商报价包含代理费。</w:t>
      </w:r>
      <w:r/>
    </w:p>
    <w:p>
      <w:pPr>
        <w:ind w:firstLine="468"/>
        <w:rPr>
          <w:rFonts w:cs="仿宋"/>
          <w:spacing w:val="-3"/>
          <w:sz w:val="24"/>
          <w:szCs w:val="24"/>
          <w:lang w:val="en-US"/>
        </w:rPr>
      </w:pPr>
      <w:r>
        <w:rPr>
          <w:rFonts w:cs="仿宋"/>
          <w:spacing w:val="-3"/>
          <w:sz w:val="24"/>
          <w:szCs w:val="24"/>
          <w:lang w:val="en-US"/>
        </w:rPr>
        <w:t xml:space="preserve">约定以上费用由中标人领取中标通知书时支付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72030122000502759</w:t>
      </w:r>
      <w:r/>
    </w:p>
    <w:p>
      <w:pPr>
        <w:ind w:firstLine="468"/>
        <w:rPr>
          <w:rFonts w:cs="仿宋"/>
          <w:spacing w:val="-3"/>
          <w:sz w:val="24"/>
          <w:szCs w:val="24"/>
          <w:lang w:val="en-US"/>
        </w:rPr>
      </w:pPr>
      <w:r>
        <w:rPr>
          <w:rFonts w:hint="eastAsia" w:cs="仿宋"/>
          <w:spacing w:val="-3"/>
          <w:sz w:val="24"/>
          <w:szCs w:val="24"/>
          <w:lang w:val="en-US"/>
        </w:rPr>
        <w:t xml:space="preserve">开户行：宁波银行股份有限公司南京江宁支行</w:t>
      </w:r>
      <w:r/>
    </w:p>
    <w:p>
      <w:pPr>
        <w:ind w:firstLine="482"/>
        <w:spacing w:before="22"/>
        <w:rPr>
          <w:rFonts w:cs="仿宋"/>
          <w:b/>
          <w:sz w:val="24"/>
          <w:szCs w:val="24"/>
        </w:rPr>
      </w:pPr>
      <w:r>
        <w:rPr>
          <w:rFonts w:hint="eastAsia" w:cs="仿宋"/>
          <w:b/>
          <w:sz w:val="24"/>
          <w:szCs w:val="24"/>
        </w:rPr>
        <w:t xml:space="preserve">9.</w:t>
      </w:r>
      <w:r>
        <w:rPr>
          <w:rFonts w:cs="仿宋"/>
          <w:b/>
          <w:sz w:val="24"/>
          <w:szCs w:val="24"/>
        </w:rPr>
        <w:t xml:space="preserve">投标文件组成</w:t>
      </w:r>
      <w:r/>
    </w:p>
    <w:p>
      <w:pPr>
        <w:pStyle w:val="1104"/>
        <w:ind w:left="0" w:right="29" w:firstLine="468"/>
        <w:spacing w:before="92"/>
        <w:tabs>
          <w:tab w:val="left" w:pos="1061" w:leader="none"/>
        </w:tabs>
        <w:rPr>
          <w:rFonts w:cs="仿宋"/>
          <w:sz w:val="24"/>
          <w:szCs w:val="24"/>
        </w:rPr>
      </w:pPr>
      <w:r>
        <w:rPr>
          <w:rFonts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w:t>
      </w:r>
      <w:r>
        <w:rPr>
          <w:rFonts w:hint="eastAsia" w:cs="仿宋"/>
          <w:spacing w:val="-3"/>
          <w:sz w:val="24"/>
          <w:szCs w:val="24"/>
        </w:rPr>
        <w:t xml:space="preserve">作出</w:t>
      </w:r>
      <w:r>
        <w:rPr>
          <w:rFonts w:hint="eastAsia" w:cs="仿宋"/>
          <w:spacing w:val="-3"/>
          <w:sz w:val="24"/>
          <w:szCs w:val="24"/>
        </w:rPr>
        <w:t xml:space="preserve">实质性响应。</w:t>
      </w:r>
      <w:r/>
    </w:p>
    <w:p>
      <w:pPr>
        <w:pStyle w:val="1104"/>
        <w:ind w:left="0" w:firstLine="468"/>
        <w:tabs>
          <w:tab w:val="left" w:pos="1054" w:leader="none"/>
        </w:tabs>
        <w:rPr>
          <w:rFonts w:cs="仿宋"/>
          <w:sz w:val="24"/>
          <w:szCs w:val="24"/>
        </w:rPr>
      </w:pPr>
      <w:r>
        <w:rPr>
          <w:rFonts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cs="仿宋"/>
          <w:spacing w:val="-3"/>
          <w:sz w:val="24"/>
          <w:szCs w:val="24"/>
          <w:lang w:val="en-US"/>
        </w:rPr>
      </w:pPr>
      <w:r>
        <w:rPr>
          <w:rFonts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104"/>
        <w:ind w:left="0" w:right="29" w:firstLine="470"/>
        <w:spacing w:before="141"/>
        <w:tabs>
          <w:tab w:val="left" w:pos="1061" w:leader="none"/>
        </w:tabs>
        <w:rPr>
          <w:rFonts w:cs="仿宋"/>
          <w:b/>
          <w:sz w:val="24"/>
          <w:szCs w:val="24"/>
        </w:rPr>
      </w:pPr>
      <w:r>
        <w:rPr>
          <w:rFonts w:hint="eastAsia" w:cs="仿宋"/>
          <w:b/>
          <w:spacing w:val="-3"/>
          <w:sz w:val="24"/>
          <w:szCs w:val="24"/>
        </w:rPr>
        <w:t xml:space="preserve">10.</w:t>
      </w:r>
      <w:r>
        <w:rPr>
          <w:rFonts w:cs="仿宋"/>
          <w:b/>
          <w:spacing w:val="-3"/>
          <w:sz w:val="24"/>
          <w:szCs w:val="24"/>
        </w:rPr>
        <w:t xml:space="preserve">投标文件的商务部分</w:t>
      </w:r>
      <w:r/>
    </w:p>
    <w:p>
      <w:pPr>
        <w:ind w:firstLine="468"/>
        <w:rPr>
          <w:rFonts w:cs="仿宋"/>
          <w:spacing w:val="-3"/>
          <w:sz w:val="24"/>
          <w:szCs w:val="24"/>
          <w:lang w:val="en-US"/>
        </w:rPr>
      </w:pPr>
      <w:r>
        <w:rPr>
          <w:rFonts w:cs="仿宋"/>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1）★投标申请及声明；</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2）★法定代表人身份证明、法定代表人授权委托书及委托代理人的身份证明文件的复印件；</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3）第一章招标公告中2.1《中华人民共和国政府采购法》规定的资格条件证明文件；</w:t>
      </w:r>
      <w:r/>
    </w:p>
    <w:p>
      <w:pPr>
        <w:ind w:firstLine="476"/>
        <w:rPr>
          <w:rFonts w:cs="仿宋"/>
          <w:spacing w:val="-3"/>
          <w:sz w:val="24"/>
          <w:szCs w:val="24"/>
          <w:lang w:val="en-US"/>
        </w:rPr>
      </w:pPr>
      <w:r>
        <w:rPr>
          <w:rFonts w:hint="eastAsia"/>
          <w:bCs/>
          <w:spacing w:val="-1"/>
          <w:sz w:val="24"/>
          <w:szCs w:val="24"/>
        </w:rPr>
        <w:t xml:space="preserve">（</w:t>
      </w:r>
      <w:r>
        <w:rPr>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第一章2.3采购人根据采购项目的特殊要求规定的特定条件证明文件（如有）；</w:t>
      </w:r>
      <w:r/>
    </w:p>
    <w:p>
      <w:pPr>
        <w:pStyle w:val="1106"/>
        <w:ind w:firstLine="476"/>
        <w:tabs>
          <w:tab w:val="left" w:pos="1167" w:leader="none"/>
        </w:tabs>
        <w:rPr>
          <w:bCs/>
          <w:sz w:val="24"/>
          <w:szCs w:val="24"/>
          <w:lang w:eastAsia="zh-CN"/>
        </w:rPr>
      </w:pPr>
      <w:r>
        <w:rPr>
          <w:rFonts w:hint="eastAsia"/>
          <w:bCs/>
          <w:spacing w:val="-1"/>
          <w:sz w:val="24"/>
          <w:szCs w:val="24"/>
          <w:lang w:eastAsia="zh-CN"/>
        </w:rPr>
        <w:t xml:space="preserve">（</w:t>
      </w:r>
      <w:r>
        <w:rPr>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《南京市政府采购供应商信用记录表暨信用承诺书》</w:t>
      </w:r>
      <w:r>
        <w:rPr>
          <w:rFonts w:hint="eastAsia" w:cs="仿宋"/>
          <w:spacing w:val="-3"/>
          <w:sz w:val="24"/>
          <w:szCs w:val="24"/>
          <w:lang w:val="en-US" w:eastAsia="zh-CN"/>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6）★《开标一览表》；</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7）★实质性要求</w:t>
      </w:r>
      <w:r>
        <w:rPr>
          <w:rFonts w:hint="eastAsia" w:cs="仿宋"/>
          <w:spacing w:val="-3"/>
          <w:sz w:val="24"/>
          <w:szCs w:val="24"/>
          <w:lang w:val="en-US"/>
        </w:rPr>
        <w:t xml:space="preserve">完全响应</w:t>
      </w:r>
      <w:r>
        <w:rPr>
          <w:rFonts w:hint="eastAsia" w:cs="仿宋"/>
          <w:spacing w:val="-3"/>
          <w:sz w:val="24"/>
          <w:szCs w:val="24"/>
          <w:lang w:val="en-US"/>
        </w:rPr>
        <w:t xml:space="preserve">承诺书；</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8</w:t>
      </w:r>
      <w:r>
        <w:rPr>
          <w:rFonts w:hint="eastAsia"/>
          <w:bCs/>
          <w:spacing w:val="-1"/>
          <w:sz w:val="24"/>
          <w:szCs w:val="24"/>
          <w:lang w:val="en-US" w:eastAsia="zh-CN"/>
        </w:rPr>
        <w:t xml:space="preserve">）《分项报价表》；</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9</w:t>
      </w:r>
      <w:r>
        <w:rPr>
          <w:rFonts w:hint="eastAsia"/>
          <w:bCs/>
          <w:spacing w:val="-1"/>
          <w:sz w:val="24"/>
          <w:szCs w:val="24"/>
          <w:lang w:val="en-US" w:eastAsia="zh-CN"/>
        </w:rPr>
        <w:t xml:space="preserve">）</w:t>
      </w:r>
      <w:r>
        <w:rPr>
          <w:rFonts w:hint="eastAsia" w:cs="仿宋"/>
          <w:spacing w:val="-3"/>
          <w:sz w:val="24"/>
          <w:szCs w:val="24"/>
          <w:lang w:val="en-US" w:eastAsia="zh-CN"/>
        </w:rPr>
        <w:t xml:space="preserve">★</w:t>
      </w:r>
      <w:r>
        <w:rPr>
          <w:rFonts w:hint="eastAsia"/>
          <w:bCs/>
          <w:spacing w:val="-1"/>
          <w:sz w:val="24"/>
          <w:szCs w:val="24"/>
          <w:lang w:val="en-US" w:eastAsia="zh-CN"/>
        </w:rPr>
        <w:t xml:space="preserve">《商务要求响应及偏离表》；</w:t>
      </w:r>
      <w:r/>
    </w:p>
    <w:p>
      <w:pPr>
        <w:pStyle w:val="1106"/>
        <w:ind w:firstLine="476"/>
        <w:tabs>
          <w:tab w:val="left" w:pos="1167" w:leader="none"/>
        </w:tabs>
        <w:rPr>
          <w:bCs/>
          <w:spacing w:val="-1"/>
          <w:sz w:val="24"/>
          <w:szCs w:val="24"/>
          <w:lang w:eastAsia="zh-CN"/>
        </w:rPr>
      </w:pPr>
      <w:r>
        <w:rPr>
          <w:rFonts w:hint="eastAsia"/>
          <w:bCs/>
          <w:spacing w:val="-1"/>
          <w:sz w:val="24"/>
          <w:szCs w:val="24"/>
          <w:lang w:val="en-US" w:eastAsia="zh-CN"/>
        </w:rPr>
        <w:t xml:space="preserve">（</w:t>
      </w:r>
      <w:r>
        <w:rPr>
          <w:bCs/>
          <w:spacing w:val="-1"/>
          <w:sz w:val="24"/>
          <w:szCs w:val="24"/>
          <w:lang w:val="en-US" w:eastAsia="zh-CN"/>
        </w:rPr>
        <w:t xml:space="preserve">10</w:t>
      </w:r>
      <w:r>
        <w:rPr>
          <w:rFonts w:hint="eastAsia"/>
          <w:bCs/>
          <w:spacing w:val="-1"/>
          <w:sz w:val="24"/>
          <w:szCs w:val="24"/>
          <w:lang w:val="en-US" w:eastAsia="zh-CN"/>
        </w:rPr>
        <w:t xml:space="preserve">）</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11</w:t>
      </w:r>
      <w:r>
        <w:rPr>
          <w:rFonts w:hint="eastAsia"/>
          <w:bCs/>
          <w:spacing w:val="-1"/>
          <w:sz w:val="24"/>
          <w:szCs w:val="24"/>
          <w:lang w:val="en-US" w:eastAsia="zh-CN"/>
        </w:rPr>
        <w:t xml:space="preserve">）投标人认为需要提供的其他资格证明文件和商务资料。</w:t>
      </w:r>
      <w:r/>
    </w:p>
    <w:p>
      <w:pPr>
        <w:pStyle w:val="1104"/>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w:t>
      </w:r>
      <w:r>
        <w:rPr>
          <w:rFonts w:cs="仿宋"/>
          <w:b/>
          <w:spacing w:val="-1"/>
          <w:sz w:val="24"/>
          <w:szCs w:val="24"/>
          <w:lang w:val="en-US"/>
        </w:rPr>
        <w:t xml:space="preserve">投标文件的技术部分</w:t>
      </w:r>
      <w:r/>
    </w:p>
    <w:p>
      <w:pPr>
        <w:pStyle w:val="1104"/>
        <w:ind w:left="0" w:firstLine="476"/>
        <w:tabs>
          <w:tab w:val="left" w:pos="1167" w:leader="none"/>
        </w:tabs>
        <w:rPr>
          <w:rFonts w:cs="仿宋"/>
          <w:bCs/>
          <w:spacing w:val="-1"/>
          <w:sz w:val="24"/>
          <w:szCs w:val="24"/>
          <w:lang w:val="en-US"/>
        </w:rPr>
      </w:pPr>
      <w:r>
        <w:rPr>
          <w:rFonts w:cs="仿宋"/>
          <w:bCs/>
          <w:spacing w:val="-1"/>
          <w:sz w:val="24"/>
          <w:szCs w:val="24"/>
          <w:lang w:val="en-US"/>
        </w:rPr>
        <w:t xml:space="preserve">11.1技术部分是证明供应商提供的货物是合格的、并符合招标文件要求的证明文件，以</w:t>
      </w:r>
      <w:r>
        <w:rPr>
          <w:rFonts w:cs="仿宋"/>
          <w:bCs/>
          <w:spacing w:val="-1"/>
          <w:sz w:val="24"/>
          <w:szCs w:val="24"/>
          <w:lang w:val="en-US"/>
        </w:rPr>
        <w:t xml:space="preserve">及对投标报价表中的货物的详细说明，这些文件可以是文字资料、图纸和数据等。</w:t>
      </w:r>
      <w:r/>
    </w:p>
    <w:p>
      <w:pPr>
        <w:pStyle w:val="1104"/>
        <w:ind w:left="0" w:firstLine="476"/>
        <w:tabs>
          <w:tab w:val="left" w:pos="1167" w:leader="none"/>
        </w:tabs>
        <w:rPr>
          <w:rFonts w:cs="仿宋"/>
          <w:bCs/>
          <w:spacing w:val="-1"/>
          <w:sz w:val="24"/>
          <w:szCs w:val="24"/>
          <w:lang w:val="en-US"/>
        </w:rPr>
      </w:pPr>
      <w:r>
        <w:rPr>
          <w:rFonts w:cs="仿宋"/>
          <w:bCs/>
          <w:spacing w:val="-1"/>
          <w:sz w:val="24"/>
          <w:szCs w:val="24"/>
          <w:lang w:val="en-US"/>
        </w:rPr>
        <w:t xml:space="preserve">11.2若提供的货物与招标文件要求有不符之处，应说明其差别之所在。</w:t>
      </w:r>
      <w:r/>
    </w:p>
    <w:p>
      <w:pPr>
        <w:pStyle w:val="1104"/>
        <w:ind w:left="0" w:firstLine="476"/>
        <w:tabs>
          <w:tab w:val="left" w:pos="1167" w:leader="none"/>
        </w:tabs>
        <w:rPr>
          <w:rFonts w:cs="仿宋"/>
          <w:spacing w:val="-1"/>
          <w:sz w:val="24"/>
          <w:szCs w:val="24"/>
          <w:lang w:val="en-US"/>
        </w:rPr>
      </w:pPr>
      <w:r>
        <w:rPr>
          <w:rFonts w:cs="仿宋"/>
          <w:bCs/>
          <w:spacing w:val="-1"/>
          <w:sz w:val="24"/>
          <w:szCs w:val="24"/>
          <w:lang w:val="en-US"/>
        </w:rPr>
        <w:t xml:space="preserve">11.3投标文件应按照招标文件要求提供项目组成员名单，业绩证明资料和有关证明材料，包括但不限于其中加“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10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1）项目服务方案；</w:t>
      </w:r>
      <w:r/>
    </w:p>
    <w:p>
      <w:pPr>
        <w:pStyle w:val="110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2）★《</w:t>
      </w:r>
      <w:r>
        <w:rPr>
          <w:rFonts w:hint="eastAsia" w:cs="仿宋"/>
          <w:spacing w:val="-1"/>
          <w:sz w:val="24"/>
          <w:szCs w:val="24"/>
          <w:lang w:val="en-US"/>
        </w:rPr>
        <w:t xml:space="preserve">技术要求响应及偏离</w:t>
      </w:r>
      <w:r>
        <w:rPr>
          <w:rFonts w:hint="eastAsia"/>
          <w:bCs/>
          <w:spacing w:val="-1"/>
          <w:sz w:val="24"/>
          <w:szCs w:val="24"/>
          <w:lang w:val="en-US"/>
        </w:rPr>
        <w:t xml:space="preserve">表</w:t>
      </w:r>
      <w:r>
        <w:rPr>
          <w:rFonts w:cs="仿宋"/>
          <w:spacing w:val="-1"/>
          <w:sz w:val="24"/>
          <w:szCs w:val="24"/>
          <w:lang w:val="en-US"/>
        </w:rPr>
        <w:t xml:space="preserve">》；</w:t>
      </w:r>
      <w:r/>
    </w:p>
    <w:p>
      <w:pPr>
        <w:pStyle w:val="110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3）供应商认为需要提供的其他技术资料。</w:t>
      </w:r>
      <w:r/>
    </w:p>
    <w:p>
      <w:pPr>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cs="仿宋"/>
          <w:b/>
          <w:sz w:val="24"/>
          <w:szCs w:val="24"/>
        </w:rPr>
      </w:pPr>
      <w:r>
        <w:rPr>
          <w:rFonts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cs="仿宋"/>
          <w:sz w:val="24"/>
          <w:szCs w:val="24"/>
        </w:rPr>
      </w:pPr>
      <w:r>
        <w:rPr>
          <w:rFonts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rFonts w:cs="仿宋"/>
          <w:b/>
          <w:bCs/>
          <w:sz w:val="24"/>
          <w:szCs w:val="24"/>
        </w:rPr>
      </w:pPr>
      <w:r>
        <w:rPr>
          <w:rFonts w:cs="仿宋"/>
          <w:sz w:val="24"/>
          <w:szCs w:val="24"/>
        </w:rPr>
        <w:t xml:space="preserve">12.3投标人的任何错漏、优惠、竞争性报价不得作为减轻责任、增加收费、降低服务质量的理由。</w:t>
      </w:r>
      <w:r/>
    </w:p>
    <w:p>
      <w:pPr>
        <w:ind w:firstLine="480"/>
        <w:rPr>
          <w:rFonts w:cs="仿宋"/>
          <w:sz w:val="24"/>
          <w:szCs w:val="24"/>
        </w:rPr>
      </w:pPr>
      <w:r>
        <w:rPr>
          <w:rFonts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104"/>
        <w:ind w:left="0" w:firstLine="468"/>
        <w:tabs>
          <w:tab w:val="left" w:pos="1164" w:leader="none"/>
        </w:tabs>
        <w:rPr>
          <w:rFonts w:cs="仿宋"/>
          <w:spacing w:val="-3"/>
          <w:sz w:val="24"/>
          <w:szCs w:val="24"/>
          <w:lang w:val="en-US"/>
        </w:rPr>
      </w:pPr>
      <w:r>
        <w:rPr>
          <w:rFonts w:cs="仿宋"/>
          <w:spacing w:val="-3"/>
          <w:sz w:val="24"/>
          <w:szCs w:val="24"/>
        </w:rPr>
        <w:t xml:space="preserve">13.1其他部分由投标人根据编制投标文件需要提供的其他相关文件。</w:t>
      </w:r>
      <w:r/>
    </w:p>
    <w:p>
      <w:pPr>
        <w:pStyle w:val="888"/>
        <w:ind w:firstLine="482"/>
        <w:spacing w:before="52"/>
        <w:tabs>
          <w:tab w:val="left" w:pos="9680" w:leader="none"/>
        </w:tabs>
        <w:rPr>
          <w:rFonts w:cs="仿宋"/>
          <w:b/>
          <w:sz w:val="24"/>
          <w:szCs w:val="24"/>
        </w:rPr>
      </w:pPr>
      <w:r>
        <w:rPr>
          <w:rFonts w:hint="eastAsia" w:cs="仿宋"/>
          <w:b/>
          <w:sz w:val="24"/>
          <w:szCs w:val="24"/>
        </w:rPr>
        <w:t xml:space="preserve">14.</w:t>
      </w:r>
      <w:r>
        <w:rPr>
          <w:rFonts w:cs="仿宋"/>
          <w:b/>
          <w:sz w:val="24"/>
          <w:szCs w:val="24"/>
        </w:rPr>
        <w:t xml:space="preserve">投标保证金</w:t>
      </w:r>
      <w:r/>
    </w:p>
    <w:p>
      <w:pPr>
        <w:ind w:firstLine="468"/>
        <w:rPr>
          <w:rFonts w:cs="仿宋"/>
          <w:spacing w:val="-3"/>
          <w:sz w:val="24"/>
          <w:szCs w:val="24"/>
        </w:rPr>
      </w:pPr>
      <w:r>
        <w:rPr>
          <w:rFonts w:hint="eastAsia" w:cs="仿宋"/>
          <w:spacing w:val="-3"/>
          <w:sz w:val="24"/>
          <w:szCs w:val="24"/>
        </w:rPr>
        <w:t xml:space="preserve">本次招标不收取投标保证金。</w:t>
      </w:r>
      <w:r/>
    </w:p>
    <w:p>
      <w:pPr>
        <w:pStyle w:val="1104"/>
        <w:ind w:left="0" w:right="-191" w:firstLine="482"/>
        <w:spacing w:before="139"/>
        <w:tabs>
          <w:tab w:val="left" w:pos="1167" w:leader="none"/>
        </w:tabs>
        <w:rPr>
          <w:rFonts w:cs="仿宋"/>
          <w:b/>
          <w:sz w:val="24"/>
          <w:szCs w:val="24"/>
        </w:rPr>
      </w:pPr>
      <w:r>
        <w:rPr>
          <w:rFonts w:hint="eastAsia" w:cs="仿宋"/>
          <w:b/>
          <w:sz w:val="24"/>
          <w:szCs w:val="24"/>
        </w:rPr>
        <w:t xml:space="preserve">15.</w:t>
      </w:r>
      <w:r>
        <w:rPr>
          <w:rFonts w:cs="仿宋"/>
          <w:b/>
          <w:sz w:val="24"/>
          <w:szCs w:val="24"/>
        </w:rPr>
        <w:t xml:space="preserve">投标有效期</w:t>
      </w:r>
      <w:r/>
    </w:p>
    <w:p>
      <w:pPr>
        <w:pStyle w:val="1104"/>
        <w:ind w:left="0" w:firstLine="468"/>
        <w:tabs>
          <w:tab w:val="left" w:pos="1164" w:leader="none"/>
        </w:tabs>
        <w:rPr>
          <w:rFonts w:cs="仿宋"/>
          <w:sz w:val="24"/>
          <w:szCs w:val="24"/>
        </w:rPr>
      </w:pPr>
      <w:r>
        <w:rPr>
          <w:rFonts w:cs="仿宋"/>
          <w:spacing w:val="-3"/>
          <w:sz w:val="24"/>
          <w:szCs w:val="24"/>
          <w:lang w:val="en-US"/>
        </w:rPr>
        <w:t xml:space="preserve">15.1</w:t>
      </w:r>
      <w:r>
        <w:rPr>
          <w:rFonts w:hint="eastAsia" w:cs="仿宋"/>
          <w:spacing w:val="-3"/>
          <w:sz w:val="24"/>
          <w:szCs w:val="24"/>
        </w:rPr>
        <w:t xml:space="preserve">自开标之日起</w:t>
      </w:r>
      <w:r>
        <w:rPr>
          <w:rFonts w:cs="仿宋"/>
          <w:sz w:val="24"/>
          <w:szCs w:val="24"/>
          <w:lang w:val="en-US"/>
        </w:rPr>
        <w:t xml:space="preserve">6</w:t>
      </w:r>
      <w:r>
        <w:rPr>
          <w:rFonts w:cs="仿宋"/>
          <w:sz w:val="24"/>
          <w:szCs w:val="24"/>
        </w:rPr>
        <w:t xml:space="preserve">0</w:t>
      </w:r>
      <w:r>
        <w:rPr>
          <w:rFonts w:hint="eastAsia" w:cs="仿宋"/>
          <w:spacing w:val="-3"/>
          <w:sz w:val="24"/>
          <w:szCs w:val="24"/>
        </w:rPr>
        <w:t xml:space="preserve">天内投标有效。</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16.投标文件的密封和递交</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16.1投标人应当按照《操作手册》规定，在招标公告规定的投标截止时间</w:t>
      </w:r>
      <w:r>
        <w:rPr>
          <w:rFonts w:hint="eastAsia" w:cs="仿宋"/>
          <w:spacing w:val="-3"/>
          <w:sz w:val="24"/>
          <w:szCs w:val="24"/>
          <w:lang w:val="en-US"/>
        </w:rPr>
        <w:t xml:space="preserve">前制作</w:t>
      </w:r>
      <w:r>
        <w:rPr>
          <w:rFonts w:hint="eastAsia" w:cs="仿宋"/>
          <w:spacing w:val="-3"/>
          <w:sz w:val="24"/>
          <w:szCs w:val="24"/>
          <w:lang w:val="en-US"/>
        </w:rPr>
        <w:t xml:space="preserve">并上传电子投标文件。</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投标人应充分考虑网络环境、网络带宽等因素可能对投标产生的影响，如因投标人自身原因造成的电子投标文件上传不成功的，做无效投标处理。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17.有下列情形之一的投标文件将拒收</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18.</w:t>
      </w:r>
      <w:r>
        <w:rPr>
          <w:rFonts w:cs="仿宋"/>
          <w:b/>
          <w:spacing w:val="-3"/>
          <w:sz w:val="24"/>
          <w:szCs w:val="24"/>
          <w:lang w:val="en-US"/>
        </w:rPr>
        <w:t xml:space="preserve">投标文件的撤回</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18.1投标人可在投标截止时间前撤回其电子投标文件，具体操作方法见《操作手册》。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18.2投标人撤回电子投标文件，则认为其不再参与本项目投标活动。</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18.3在投标截止时间至招标文件中规定的投标有效期满之间的这段时间内，投标人不得撤回其投标。</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19.</w:t>
      </w:r>
      <w:r>
        <w:rPr>
          <w:rFonts w:cs="仿宋"/>
          <w:b/>
          <w:spacing w:val="-3"/>
          <w:sz w:val="24"/>
          <w:szCs w:val="24"/>
          <w:lang w:val="en-US"/>
        </w:rPr>
        <w:t xml:space="preserve">投标文件的修改</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.1投标人可在投标截止时间前对其电子投标文件进行修改，具体操作方法见《操作手册》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.2投标截止时间之后，投标人不得对其电子投标文件作任何修改。</w:t>
      </w:r>
      <w:r/>
    </w:p>
    <w:p>
      <w:pPr>
        <w:pStyle w:val="868"/>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w:t>
      </w:r>
      <w:r>
        <w:rPr>
          <w:rFonts w:cs="仿宋"/>
          <w:spacing w:val="-3"/>
          <w:sz w:val="24"/>
          <w:szCs w:val="24"/>
          <w:lang w:val="en-US"/>
        </w:rPr>
        <w:t xml:space="preserve">开标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20.1招标代理机构在招标公告中规定的时间和地点组织公开开标。投标人按照《操作手册》</w:t>
      </w:r>
      <w:r>
        <w:rPr>
          <w:rFonts w:cs="仿宋"/>
          <w:spacing w:val="-3"/>
          <w:sz w:val="24"/>
          <w:szCs w:val="24"/>
          <w:lang w:val="en-US"/>
        </w:rPr>
        <w:t xml:space="preserve">规定参加开标活动，并在苏</w:t>
      </w:r>
      <w:r>
        <w:rPr>
          <w:rFonts w:hint="eastAsia" w:cs="仿宋"/>
          <w:spacing w:val="-3"/>
          <w:sz w:val="24"/>
          <w:szCs w:val="24"/>
          <w:lang w:val="en-US"/>
        </w:rPr>
        <w:t xml:space="preserve">采云</w:t>
      </w:r>
      <w:r>
        <w:rPr>
          <w:rFonts w:hint="eastAsia" w:cs="仿宋"/>
          <w:spacing w:val="-3"/>
          <w:sz w:val="24"/>
          <w:szCs w:val="24"/>
          <w:lang w:val="en-US"/>
        </w:rPr>
        <w:t xml:space="preserve">系统规定的时间内对投标文件进行解密。苏</w:t>
      </w:r>
      <w:r>
        <w:rPr>
          <w:rFonts w:hint="eastAsia" w:cs="仿宋"/>
          <w:spacing w:val="-3"/>
          <w:sz w:val="24"/>
          <w:szCs w:val="24"/>
          <w:lang w:val="en-US"/>
        </w:rPr>
        <w:t xml:space="preserve">采云</w:t>
      </w:r>
      <w:r>
        <w:rPr>
          <w:rFonts w:hint="eastAsia" w:cs="仿宋"/>
          <w:spacing w:val="-3"/>
          <w:sz w:val="24"/>
          <w:szCs w:val="24"/>
          <w:lang w:val="en-US"/>
        </w:rPr>
        <w:t xml:space="preserve">系统公布各投标人名称和投标价格。</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20.2投标人在开标过程中涉及到的投标文件解密、开标结果确认等工作，应按照《操作手册》规定执行。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20.3投标人如果对开标过程和开标结果有疑义，应当根据《操作手册》规定提出，苏</w:t>
      </w:r>
      <w:r>
        <w:rPr>
          <w:rFonts w:hint="eastAsia" w:cs="仿宋"/>
          <w:spacing w:val="-3"/>
          <w:sz w:val="24"/>
          <w:szCs w:val="24"/>
          <w:lang w:val="en-US"/>
        </w:rPr>
        <w:t xml:space="preserve">采云</w:t>
      </w:r>
      <w:r>
        <w:rPr>
          <w:rFonts w:hint="eastAsia" w:cs="仿宋"/>
          <w:spacing w:val="-3"/>
          <w:sz w:val="24"/>
          <w:szCs w:val="24"/>
          <w:lang w:val="en-US"/>
        </w:rPr>
        <w:t xml:space="preserve">系统中《开标记录表》公布后</w:t>
      </w:r>
      <w:r>
        <w:rPr>
          <w:rFonts w:cs="仿宋"/>
          <w:spacing w:val="-3"/>
          <w:sz w:val="24"/>
          <w:szCs w:val="24"/>
          <w:lang w:val="en-US"/>
        </w:rPr>
        <w:t xml:space="preserve">5分钟内未提出的，视同认可开标结果。</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w:t>
      </w:r>
      <w:r>
        <w:rPr>
          <w:rFonts w:cs="仿宋"/>
          <w:b/>
          <w:spacing w:val="-3"/>
          <w:sz w:val="24"/>
          <w:szCs w:val="24"/>
          <w:lang w:val="en-US"/>
        </w:rPr>
        <w:t xml:space="preserve">评标</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21.1</w:t>
      </w:r>
      <w:r>
        <w:rPr>
          <w:rFonts w:hint="eastAsia" w:cs="仿宋"/>
          <w:b/>
          <w:spacing w:val="-3"/>
          <w:sz w:val="24"/>
          <w:szCs w:val="24"/>
          <w:lang w:val="en-US"/>
        </w:rPr>
        <w:t xml:space="preserve">评标组织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21.1.1评标工作由代理机构负责组织，具体评标事务由依法组建的评标委员会负责，并独立履行下列职责：</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1）审查、评价投标文件是否符合招标文件的商务、技术等实质性要求；</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2）要求投标人对投标文件有关事项</w:t>
      </w:r>
      <w:r>
        <w:rPr>
          <w:rFonts w:hint="eastAsia" w:cs="仿宋"/>
          <w:spacing w:val="-3"/>
          <w:sz w:val="24"/>
          <w:szCs w:val="24"/>
          <w:lang w:val="en-US"/>
        </w:rPr>
        <w:t xml:space="preserve">作出</w:t>
      </w:r>
      <w:r>
        <w:rPr>
          <w:rFonts w:hint="eastAsia" w:cs="仿宋"/>
          <w:spacing w:val="-3"/>
          <w:sz w:val="24"/>
          <w:szCs w:val="24"/>
          <w:lang w:val="en-US"/>
        </w:rPr>
        <w:t xml:space="preserve">澄清或者说明；</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3）对投标文件进行比较和评价；</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3）根据采购人委托协议直接确定中标人；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4）向采购人、财政部门报告评标中发现的违法行为。</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21.1.2评标委员会由采购人代表和有关技术、经济等方面的专家组成，独立开展评审工作。</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21.2评标程序</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21.2.1投标文件的资格审查。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21.2.1.1采购人代表将依法对投标人的资格进行审查。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21.2.1.3在进行资格性审查的同时，将在“信用中国”网站（www.creditchina.gov.cn）、“中国政府采购网”</w:t>
      </w:r>
      <w:r>
        <w:rPr>
          <w:rFonts w:hint="eastAsia" w:cs="仿宋"/>
          <w:spacing w:val="-3"/>
          <w:sz w:val="24"/>
          <w:szCs w:val="24"/>
          <w:lang w:val="en-US"/>
        </w:rPr>
        <w:t xml:space="preserve">（</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21.2.1.4投标文件有下列情况之一的，在资格性审查时按照无效投标处理：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1）不具备招标文件中规定资格条件的；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2）供应商被“信用中国”网站（www.creditchina.gov.cn）、“中国政府采购网”(www.ccgp.gov.cn</w:t>
      </w:r>
      <w:r>
        <w:rPr>
          <w:rFonts w:hint="eastAsia" w:cs="仿宋"/>
          <w:spacing w:val="-3"/>
          <w:sz w:val="24"/>
          <w:szCs w:val="24"/>
          <w:lang w:val="en-US"/>
        </w:rPr>
        <w:t xml:space="preserve">）</w:t>
      </w:r>
      <w:r>
        <w:rPr>
          <w:rFonts w:cs="仿宋"/>
          <w:spacing w:val="-3"/>
          <w:sz w:val="24"/>
          <w:szCs w:val="24"/>
          <w:lang w:val="en-US"/>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21.2.2投标文件的符合性审查。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w:t>
      </w:r>
      <w:r>
        <w:rPr>
          <w:rFonts w:hint="eastAsia" w:cs="仿宋"/>
          <w:spacing w:val="-3"/>
          <w:sz w:val="24"/>
          <w:szCs w:val="24"/>
          <w:lang w:val="en-US"/>
        </w:rPr>
        <w:t xml:space="preserve">响应。</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21.2.2.2实质性要求是指本招标文件中用带星号（“★</w:t>
      </w:r>
      <w:r>
        <w:rPr>
          <w:rFonts w:hint="eastAsia" w:cs="仿宋"/>
          <w:spacing w:val="-3"/>
          <w:sz w:val="24"/>
          <w:szCs w:val="24"/>
          <w:lang w:val="en-US"/>
        </w:rPr>
        <w:t xml:space="preserve">”）的商务和技术要求。</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21.2.2.4投标文件有下列情况之一的，在符合性审查时按照无效投标处理：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1）投标文件未按照招标文件要求加盖电子公章的。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2）投标总价超出采购预算金额或者最高限价的；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w:t>
      </w:r>
      <w:r>
        <w:rPr>
          <w:rFonts w:cs="仿宋"/>
          <w:spacing w:val="-3"/>
          <w:sz w:val="24"/>
          <w:szCs w:val="24"/>
          <w:lang w:val="en-US"/>
        </w:rPr>
        <w:t xml:space="preserve">或法定代表人、项目经理、项目总监、项目负责人等</w:t>
      </w:r>
      <w:r>
        <w:rPr>
          <w:rFonts w:hint="eastAsia" w:cs="仿宋"/>
          <w:spacing w:val="-3"/>
          <w:sz w:val="24"/>
          <w:szCs w:val="24"/>
          <w:lang w:val="en-US"/>
        </w:rPr>
        <w:t xml:space="preserve">）</w:t>
      </w:r>
      <w:r>
        <w:rPr>
          <w:rFonts w:cs="仿宋"/>
          <w:spacing w:val="-3"/>
          <w:sz w:val="24"/>
          <w:szCs w:val="24"/>
          <w:lang w:val="en-US"/>
        </w:rPr>
        <w:t xml:space="preserve">在采购文件发布日上月至投标截止日当月在同一单位缴纳社会保险的；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11</w:t>
      </w:r>
      <w:r>
        <w:rPr>
          <w:rFonts w:hint="eastAsia" w:cs="仿宋"/>
          <w:spacing w:val="-3"/>
          <w:sz w:val="24"/>
          <w:szCs w:val="24"/>
          <w:lang w:val="en-US"/>
        </w:rPr>
        <w:t xml:space="preserve">）服务承诺和付款条件未响应招标要求的；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12</w:t>
      </w:r>
      <w:r>
        <w:rPr>
          <w:rFonts w:hint="eastAsia" w:cs="仿宋"/>
          <w:spacing w:val="-3"/>
          <w:sz w:val="24"/>
          <w:szCs w:val="24"/>
          <w:lang w:val="en-US"/>
        </w:rPr>
        <w:t xml:space="preserve">）投标文件含有采购人不能接受的附加条件的；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14</w:t>
      </w:r>
      <w:r>
        <w:rPr>
          <w:rFonts w:hint="eastAsia" w:cs="仿宋"/>
          <w:spacing w:val="-3"/>
          <w:sz w:val="24"/>
          <w:szCs w:val="24"/>
          <w:lang w:val="en-US"/>
        </w:rPr>
        <w:t xml:space="preserve">）不符合法律、法规和招标文件规定的其他无效情形。</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5</w:t>
      </w:r>
      <w:r>
        <w:rPr>
          <w:rFonts w:cs="仿宋"/>
          <w:spacing w:val="-3"/>
          <w:sz w:val="24"/>
          <w:szCs w:val="24"/>
          <w:lang w:val="en-US"/>
        </w:rPr>
        <w:t xml:space="preserve">在评标期间，出现符合专业条件的供应商或者对招标文件</w:t>
      </w:r>
      <w:r>
        <w:rPr>
          <w:rFonts w:hint="eastAsia" w:cs="仿宋"/>
          <w:spacing w:val="-3"/>
          <w:sz w:val="24"/>
          <w:szCs w:val="24"/>
          <w:lang w:val="en-US"/>
        </w:rPr>
        <w:t xml:space="preserve">作出</w:t>
      </w:r>
      <w:r>
        <w:rPr>
          <w:rFonts w:hint="eastAsia" w:cs="仿宋"/>
          <w:spacing w:val="-3"/>
          <w:sz w:val="24"/>
          <w:szCs w:val="24"/>
          <w:lang w:val="en-US"/>
        </w:rPr>
        <w:t xml:space="preserve">实质性响应的供应商不足三家情形的，本项目废标。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6</w:t>
      </w:r>
      <w:r>
        <w:rPr>
          <w:rFonts w:cs="仿宋"/>
          <w:spacing w:val="-3"/>
          <w:sz w:val="24"/>
          <w:szCs w:val="24"/>
          <w:lang w:val="en-US"/>
        </w:rPr>
        <w:t xml:space="preserve">有下列情形之一的予以废标，同时将</w:t>
      </w:r>
      <w:r>
        <w:rPr>
          <w:rFonts w:hint="eastAsia" w:cs="仿宋"/>
          <w:spacing w:val="-3"/>
          <w:sz w:val="24"/>
          <w:szCs w:val="24"/>
          <w:lang w:val="en-US"/>
        </w:rPr>
        <w:t xml:space="preserve">废标理由</w:t>
      </w:r>
      <w:r>
        <w:rPr>
          <w:rFonts w:hint="eastAsia" w:cs="仿宋"/>
          <w:spacing w:val="-3"/>
          <w:sz w:val="24"/>
          <w:szCs w:val="24"/>
          <w:lang w:val="en-US"/>
        </w:rPr>
        <w:t xml:space="preserve">通知所有供应商：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5）投标文件存在歧义、重大缺陷，或者招标文件内容违反国家有关强制性规定的。</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7根据《关于推动解决政府采购异常低价问题的通知》</w:t>
      </w:r>
      <w:r>
        <w:rPr>
          <w:rFonts w:cs="仿宋"/>
          <w:spacing w:val="-3"/>
          <w:sz w:val="24"/>
          <w:szCs w:val="24"/>
          <w:lang w:val="en-US"/>
        </w:rPr>
        <w:t xml:space="preserve">财库〔2026〕2号的要求，评审委员会应当启动异常低价投标（响应）审查程序的情形包括：</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（一）评审过程中出现下列情形之一的，评审委员会应当启动异常低价投标（响应）审查程序：</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1.投标（响应）报价低于全部通过符合性审查供应商投标（响应）报价平均值50%的，即投标（响应）报价&lt;全部通过符合性审查供应商投标（响应）报价平均值×50%；</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2.投标（响应）报价低于通过符合性审查的次低报价供应商投标（响应）报价50%的，即投标（响应）报价&lt;通过符合性审查的次低报价供应商投标（响应）报价×50%；</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3.投标（响应）报价低于采购项目最高限价45%的，即投标（响应）报价&lt;采购项目最高限价×45%；</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4.评审委员会基于专业判断，认为供应商报价过低，有可能影响产品质量或者不能诚信履约的其他情形。</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采购人可以结合具体项目实际情况，提高上述第</w:t>
      </w:r>
      <w:r>
        <w:rPr>
          <w:rFonts w:cs="仿宋"/>
          <w:spacing w:val="-3"/>
          <w:sz w:val="24"/>
          <w:szCs w:val="24"/>
          <w:lang w:val="en-US"/>
        </w:rPr>
        <w:t xml:space="preserve">1项至第3项中启动异常低价投标（响应）审查的数值标准，但是最高不得超过65%。</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相关法律法规对供应商报价有规定的，从其规定。</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（二）评审委员会启动异常低价投标（响应）审查后，属于前述第</w:t>
      </w:r>
      <w:r>
        <w:rPr>
          <w:rFonts w:cs="仿宋"/>
          <w:spacing w:val="-3"/>
          <w:sz w:val="24"/>
          <w:szCs w:val="24"/>
          <w:lang w:val="en-US"/>
        </w:rPr>
        <w:t xml:space="preserve">1项至第4项情形的，应当要求相关供应商在评审现场合理的时间内对投标（响应）价格</w:t>
      </w:r>
      <w:r>
        <w:rPr>
          <w:rFonts w:cs="仿宋"/>
          <w:spacing w:val="-3"/>
          <w:sz w:val="24"/>
          <w:szCs w:val="24"/>
          <w:lang w:val="en-US"/>
        </w:rPr>
        <w:t xml:space="preserve">作出</w:t>
      </w:r>
      <w:r>
        <w:rPr>
          <w:rFonts w:cs="仿宋"/>
          <w:spacing w:val="-3"/>
          <w:sz w:val="24"/>
          <w:szCs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异常低价投标（响应）审查的启动原因、审查意见和审查结果应当在评审报告中记录，</w:t>
      </w:r>
      <w:r>
        <w:rPr>
          <w:rFonts w:hint="eastAsia" w:cs="仿宋"/>
          <w:spacing w:val="-3"/>
          <w:sz w:val="24"/>
          <w:szCs w:val="24"/>
          <w:lang w:val="en-US"/>
        </w:rPr>
        <w:t xml:space="preserve">并随供应商提供的相关书面说明及证明材料，以及评审委员会有关互联网浏览、查询历史一并归档。</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21.2.3投标文件的进一步评审。</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如果用数字表示的金额和用文字表示的金额不一致时，应以文字表示的金额为准进行修正；</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当单价与数量的乘积和总价不一致时，以单价为准进行修正。只有在评委会认为单价有明显的小数点错误时，才能以标出的总价为准，并修改单价。</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21.2.3.3评委会将允许修正投标文件中不构成重大偏离的、微小的、非正规的、不一致的或不规则的地方，但这些修改不能影响任何投标人相应的名次排列。</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21.2.3.4澄清有关问题。</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1.评标期间，评委会对投标文件中含义不明确、同类问题表述不一致或者有明显文字和计算错误的内容，有权要求投标人</w:t>
      </w:r>
      <w:r>
        <w:rPr>
          <w:rFonts w:hint="eastAsia" w:cs="仿宋"/>
          <w:spacing w:val="-3"/>
          <w:sz w:val="24"/>
          <w:szCs w:val="24"/>
          <w:lang w:val="en-US"/>
        </w:rPr>
        <w:t xml:space="preserve">作出</w:t>
      </w:r>
      <w:r>
        <w:rPr>
          <w:rFonts w:hint="eastAsia" w:cs="仿宋"/>
          <w:spacing w:val="-3"/>
          <w:sz w:val="24"/>
          <w:szCs w:val="24"/>
          <w:lang w:val="en-US"/>
        </w:rPr>
        <w:t xml:space="preserve">必要的澄清、说明或者补正。</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2.需要供应商进行澄清、说明和补正的，评委会将通过苏</w:t>
      </w:r>
      <w:r>
        <w:rPr>
          <w:rFonts w:hint="eastAsia" w:cs="仿宋"/>
          <w:spacing w:val="-3"/>
          <w:sz w:val="24"/>
          <w:szCs w:val="24"/>
          <w:lang w:val="en-US"/>
        </w:rPr>
        <w:t xml:space="preserve">采云</w:t>
      </w:r>
      <w:r>
        <w:rPr>
          <w:rFonts w:hint="eastAsia" w:cs="仿宋"/>
          <w:spacing w:val="-3"/>
          <w:sz w:val="24"/>
          <w:szCs w:val="24"/>
          <w:lang w:val="en-US"/>
        </w:rPr>
        <w:t xml:space="preserve">系统向投标人发出《澄清要求函》，接到《澄清要求函》的投标人应当按照要求在苏</w:t>
      </w:r>
      <w:r>
        <w:rPr>
          <w:rFonts w:hint="eastAsia" w:cs="仿宋"/>
          <w:spacing w:val="-3"/>
          <w:sz w:val="24"/>
          <w:szCs w:val="24"/>
          <w:lang w:val="en-US"/>
        </w:rPr>
        <w:t xml:space="preserve">采云</w:t>
      </w:r>
      <w:r>
        <w:rPr>
          <w:rFonts w:hint="eastAsia" w:cs="仿宋"/>
          <w:spacing w:val="-3"/>
          <w:sz w:val="24"/>
          <w:szCs w:val="24"/>
          <w:lang w:val="en-US"/>
        </w:rPr>
        <w:t xml:space="preserve">系统中提交《澄清响应函》并加盖电子公章。澄清、说明和补正的内容作为投标文件的补充部分，具体操作方式见《操作手册》。</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3.接到评委会澄清、说明和补正要求的，投标人如未按规定</w:t>
      </w:r>
      <w:r>
        <w:rPr>
          <w:rFonts w:hint="eastAsia" w:cs="仿宋"/>
          <w:spacing w:val="-3"/>
          <w:sz w:val="24"/>
          <w:szCs w:val="24"/>
          <w:lang w:val="en-US"/>
        </w:rPr>
        <w:t xml:space="preserve">作出</w:t>
      </w:r>
      <w:r>
        <w:rPr>
          <w:rFonts w:hint="eastAsia" w:cs="仿宋"/>
          <w:spacing w:val="-3"/>
          <w:sz w:val="24"/>
          <w:szCs w:val="24"/>
          <w:lang w:val="en-US"/>
        </w:rPr>
        <w:t xml:space="preserve">澄清、说明和补正，其风险由投标人自行承担。</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21.3评标方法和标准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21.3.1采用综合评分法。即在投标文件满足招标文件全部实质性要求前提下，</w:t>
      </w:r>
      <w:r>
        <w:rPr>
          <w:rFonts w:hint="eastAsia" w:cs="仿宋"/>
          <w:spacing w:val="-3"/>
          <w:sz w:val="24"/>
          <w:szCs w:val="24"/>
          <w:lang w:val="en-US"/>
        </w:rPr>
        <w:t xml:space="preserve">且按照</w:t>
      </w:r>
      <w:r>
        <w:rPr>
          <w:rFonts w:hint="eastAsia" w:cs="仿宋"/>
          <w:spacing w:val="-3"/>
          <w:sz w:val="24"/>
          <w:szCs w:val="24"/>
          <w:lang w:val="en-US"/>
        </w:rPr>
        <w:t xml:space="preserve">评审因素的量化指标评审得分最高的投标人为中标人的评标方法。</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21.3.2综合评分的主要因素：评分标准详见文件第</w:t>
      </w:r>
      <w:r>
        <w:rPr>
          <w:rFonts w:hint="eastAsia" w:cs="仿宋"/>
          <w:spacing w:val="-3"/>
          <w:sz w:val="24"/>
          <w:szCs w:val="24"/>
          <w:lang w:val="en-US"/>
        </w:rPr>
        <w:t xml:space="preserve">三</w:t>
      </w:r>
      <w:r>
        <w:rPr>
          <w:rFonts w:cs="仿宋"/>
          <w:spacing w:val="-3"/>
          <w:sz w:val="24"/>
          <w:szCs w:val="24"/>
          <w:lang w:val="en-US"/>
        </w:rPr>
        <w:t xml:space="preserve">章。</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w:t>
      </w:r>
      <w:r>
        <w:rPr>
          <w:rFonts w:cs="仿宋"/>
          <w:b/>
          <w:spacing w:val="-3"/>
          <w:sz w:val="24"/>
          <w:szCs w:val="24"/>
          <w:lang w:val="en-US"/>
        </w:rPr>
        <w:t xml:space="preserve">确定中标供应商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w:t>
      </w:r>
      <w:r>
        <w:rPr>
          <w:rFonts w:hint="eastAsia" w:cs="仿宋"/>
          <w:spacing w:val="-3"/>
          <w:sz w:val="24"/>
          <w:szCs w:val="24"/>
          <w:lang w:val="en-US"/>
        </w:rPr>
        <w:t xml:space="preserve">。</w:t>
      </w:r>
      <w:r>
        <w:rPr>
          <w:rFonts w:cs="仿宋"/>
          <w:spacing w:val="-3"/>
          <w:sz w:val="24"/>
          <w:szCs w:val="24"/>
          <w:lang w:val="en-US"/>
        </w:rPr>
        <w:t xml:space="preserve">技术指标仍一致的，按照</w:t>
      </w:r>
      <w:r>
        <w:rPr>
          <w:rFonts w:hint="eastAsia" w:cs="仿宋"/>
          <w:spacing w:val="-3"/>
          <w:sz w:val="24"/>
          <w:szCs w:val="24"/>
          <w:lang w:val="en-US"/>
        </w:rPr>
        <w:t xml:space="preserve">参与投标时间先后进行排序</w:t>
      </w:r>
      <w:r>
        <w:rPr>
          <w:rFonts w:cs="仿宋"/>
          <w:spacing w:val="-3"/>
          <w:sz w:val="24"/>
          <w:szCs w:val="24"/>
          <w:lang w:val="en-US"/>
        </w:rPr>
        <w:t xml:space="preserve">。</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22.2按以下第（2</w:t>
      </w:r>
      <w:r>
        <w:rPr>
          <w:rFonts w:hint="eastAsia" w:cs="仿宋"/>
          <w:spacing w:val="-3"/>
          <w:sz w:val="24"/>
          <w:szCs w:val="24"/>
          <w:lang w:val="en-US"/>
        </w:rPr>
        <w:t xml:space="preserve">）种方式确定中标人：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1）评委会直接确定排名第一的中标候选人为中标人；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2）采购人在评委会推荐的中标候选人中按顺序确定中标人。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22.3招标代理机构将在“江苏政府采购网”发布中标公告，公告期限为1个工作日。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22.4</w:t>
      </w:r>
      <w:r>
        <w:rPr>
          <w:rFonts w:hint="eastAsia" w:cs="仿宋"/>
          <w:spacing w:val="-3"/>
          <w:sz w:val="24"/>
          <w:szCs w:val="24"/>
          <w:lang w:val="en-US"/>
        </w:rPr>
        <w:t xml:space="preserve">中标通知书对采购人和中标供应商具有同等法律效力。</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22.5</w:t>
      </w:r>
      <w:r>
        <w:rPr>
          <w:rFonts w:hint="eastAsia" w:cs="仿宋"/>
          <w:spacing w:val="-3"/>
          <w:sz w:val="24"/>
          <w:szCs w:val="24"/>
          <w:lang w:val="en-US"/>
        </w:rPr>
        <w:t xml:space="preserve">中标通知书发出后，中标</w:t>
      </w:r>
      <w:r>
        <w:rPr>
          <w:rFonts w:hint="eastAsia" w:cs="仿宋"/>
          <w:spacing w:val="-3"/>
          <w:sz w:val="24"/>
          <w:szCs w:val="24"/>
          <w:lang w:val="en-US"/>
        </w:rPr>
        <w:t xml:space="preserve">供应商无正当</w:t>
      </w:r>
      <w:r>
        <w:rPr>
          <w:rFonts w:hint="eastAsia" w:cs="仿宋"/>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6</w:t>
      </w:r>
      <w:r>
        <w:rPr>
          <w:rFonts w:cs="仿宋"/>
          <w:spacing w:val="-3"/>
          <w:sz w:val="24"/>
          <w:szCs w:val="24"/>
          <w:lang w:val="en-US"/>
        </w:rPr>
        <w:t xml:space="preserve">代理机构和评标委员会对未中标的供应商</w:t>
      </w:r>
      <w:r>
        <w:rPr>
          <w:rFonts w:cs="仿宋"/>
          <w:spacing w:val="-3"/>
          <w:sz w:val="24"/>
          <w:szCs w:val="24"/>
          <w:lang w:val="en-US"/>
        </w:rPr>
        <w:t xml:space="preserve">不作未中标</w:t>
      </w:r>
      <w:r>
        <w:rPr>
          <w:rFonts w:cs="仿宋"/>
          <w:spacing w:val="-3"/>
          <w:sz w:val="24"/>
          <w:szCs w:val="24"/>
          <w:lang w:val="en-US"/>
        </w:rPr>
        <w:t xml:space="preserve">原因的解释。</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7</w:t>
      </w:r>
      <w:r>
        <w:rPr>
          <w:rFonts w:cs="仿宋"/>
          <w:spacing w:val="-3"/>
          <w:sz w:val="24"/>
          <w:szCs w:val="24"/>
          <w:lang w:val="en-US"/>
        </w:rPr>
        <w:t xml:space="preserve">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23.1评标委员会根据全体评标成员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w:t>
      </w:r>
      <w:r>
        <w:rPr>
          <w:rFonts w:cs="仿宋"/>
          <w:b/>
          <w:spacing w:val="-3"/>
          <w:sz w:val="24"/>
          <w:szCs w:val="24"/>
          <w:lang w:val="en-US"/>
        </w:rPr>
        <w:t xml:space="preserve">评标过程的保密性</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24.1代理机构将采取必要措施，保证评标在严格保密的情况下进行。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24.2任何单位和个人不得非法干预、影响评标办法的确定，以及评标过程和结果。</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24.3凡是与审查、澄清、评价和比较投标的有关资料等，均不向供应商及与评标无关的其他人员透露。</w:t>
      </w:r>
      <w:r/>
    </w:p>
    <w:p>
      <w:pPr>
        <w:pStyle w:val="868"/>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25.</w:t>
      </w:r>
      <w:r>
        <w:rPr>
          <w:rFonts w:cs="仿宋"/>
          <w:b/>
          <w:spacing w:val="-3"/>
          <w:sz w:val="24"/>
          <w:szCs w:val="24"/>
          <w:lang w:val="en-US"/>
        </w:rPr>
        <w:t xml:space="preserve">签订合同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25.1</w:t>
      </w:r>
      <w:r>
        <w:rPr>
          <w:rFonts w:hint="eastAsia" w:cs="仿宋"/>
          <w:spacing w:val="-3"/>
          <w:sz w:val="24"/>
          <w:szCs w:val="24"/>
          <w:lang w:val="en-US"/>
        </w:rPr>
        <w:t xml:space="preserve">采购人应当自中标通知书发出之日起</w:t>
      </w:r>
      <w:r>
        <w:rPr>
          <w:rFonts w:cs="仿宋"/>
          <w:spacing w:val="-3"/>
          <w:sz w:val="24"/>
          <w:szCs w:val="24"/>
          <w:lang w:val="en-US"/>
        </w:rPr>
        <w:t xml:space="preserve">30日内，按照招标文件和中标人投标文件的规定与中标人签订书面合同。所签订的合同不得对招标文件确定事项和中标人投标文件作实质性修改。</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w:t>
      </w:r>
      <w:r>
        <w:rPr>
          <w:rFonts w:hint="eastAsia" w:cs="仿宋"/>
          <w:spacing w:val="-3"/>
          <w:sz w:val="24"/>
          <w:szCs w:val="24"/>
          <w:lang w:val="en-US"/>
        </w:rPr>
        <w:t xml:space="preserve">10%</w:t>
      </w:r>
      <w:r>
        <w:rPr>
          <w:rFonts w:cs="仿宋"/>
          <w:spacing w:val="-3"/>
          <w:sz w:val="24"/>
          <w:szCs w:val="24"/>
          <w:lang w:val="en-US"/>
        </w:rPr>
        <w:t xml:space="preserve">。</w:t>
      </w:r>
      <w:r/>
    </w:p>
    <w:p>
      <w:pPr>
        <w:pStyle w:val="868"/>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26.</w:t>
      </w:r>
      <w:r>
        <w:rPr>
          <w:rFonts w:cs="仿宋"/>
          <w:b/>
          <w:spacing w:val="-3"/>
          <w:sz w:val="24"/>
          <w:szCs w:val="24"/>
          <w:lang w:val="en-US"/>
        </w:rPr>
        <w:t xml:space="preserve">询问</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26.1</w:t>
      </w:r>
      <w:r>
        <w:rPr>
          <w:rFonts w:hint="eastAsia" w:cs="仿宋"/>
          <w:spacing w:val="-3"/>
          <w:sz w:val="24"/>
          <w:szCs w:val="24"/>
          <w:lang w:val="en-US"/>
        </w:rPr>
        <w:t xml:space="preserve">供应商对招标活动事项有疑问的，可以向代理机构或采购人提出询问，代理机构或采购人将在两个工作日内</w:t>
      </w:r>
      <w:r>
        <w:rPr>
          <w:rFonts w:hint="eastAsia" w:cs="仿宋"/>
          <w:spacing w:val="-3"/>
          <w:sz w:val="24"/>
          <w:szCs w:val="24"/>
          <w:lang w:val="en-US"/>
        </w:rPr>
        <w:t xml:space="preserve">作出</w:t>
      </w:r>
      <w:r>
        <w:rPr>
          <w:rFonts w:hint="eastAsia" w:cs="仿宋"/>
          <w:spacing w:val="-3"/>
          <w:sz w:val="24"/>
          <w:szCs w:val="24"/>
          <w:lang w:val="en-US"/>
        </w:rPr>
        <w:t xml:space="preserve">答复，但答复的内容不涉及商业秘密。</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w:t>
      </w:r>
      <w:r>
        <w:rPr>
          <w:rFonts w:cs="仿宋"/>
          <w:b/>
          <w:spacing w:val="-3"/>
          <w:sz w:val="24"/>
          <w:szCs w:val="24"/>
          <w:lang w:val="en-US"/>
        </w:rPr>
        <w:t xml:space="preserve">质疑</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27.2 质疑供应商</w:t>
      </w:r>
      <w:r>
        <w:rPr>
          <w:rFonts w:hint="eastAsia" w:cs="仿宋"/>
          <w:spacing w:val="-3"/>
          <w:sz w:val="24"/>
          <w:szCs w:val="24"/>
          <w:lang w:val="en-US"/>
        </w:rPr>
        <w:t xml:space="preserve">的质疑行为应符合财政部</w:t>
      </w:r>
      <w:r>
        <w:rPr>
          <w:rFonts w:cs="仿宋"/>
          <w:spacing w:val="-3"/>
          <w:sz w:val="24"/>
          <w:szCs w:val="24"/>
          <w:lang w:val="en-US"/>
        </w:rPr>
        <w:t xml:space="preserve">94号令相关规定，未参加采购活动的供应商或在采购活动中自身权益未受到损害的供应商所提出的质疑不予受理。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27.3上述应知其权益受到损害之日是指：</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2）对采购过程提出质疑的，自采购程序环节结束之日起计算；</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3）对中标结果提出质疑的，自中标结果公告期限届满之日起计算。</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27.4质疑供应商在法定质疑期内应当一次性提出针对同一采购环节的质疑事项。</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27.5代理机构在收到供应商的质疑后将及时组织调查核实，在七个工作日内</w:t>
      </w:r>
      <w:r>
        <w:rPr>
          <w:rFonts w:hint="eastAsia" w:cs="仿宋"/>
          <w:spacing w:val="-3"/>
          <w:sz w:val="24"/>
          <w:szCs w:val="24"/>
          <w:lang w:val="en-US"/>
        </w:rPr>
        <w:t xml:space="preserve">作出</w:t>
      </w:r>
      <w:r>
        <w:rPr>
          <w:rFonts w:hint="eastAsia" w:cs="仿宋"/>
          <w:spacing w:val="-3"/>
          <w:sz w:val="24"/>
          <w:szCs w:val="24"/>
          <w:lang w:val="en-US"/>
        </w:rPr>
        <w:t xml:space="preserve">答复，答复的内容不涉及商业秘密。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27.6代理机构遵循“谁过错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w:t>
      </w:r>
      <w:r>
        <w:rPr>
          <w:rFonts w:cs="仿宋"/>
          <w:b/>
          <w:spacing w:val="-3"/>
          <w:sz w:val="24"/>
          <w:szCs w:val="24"/>
          <w:lang w:val="en-US"/>
        </w:rPr>
        <w:t xml:space="preserve">投诉</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28.1质疑供应商对代理机构的答复不满意，或代理机构未在规定的时间内</w:t>
      </w:r>
      <w:r>
        <w:rPr>
          <w:rFonts w:hint="eastAsia" w:cs="仿宋"/>
          <w:spacing w:val="-3"/>
          <w:sz w:val="24"/>
          <w:szCs w:val="24"/>
          <w:lang w:val="en-US"/>
        </w:rPr>
        <w:t xml:space="preserve">作出</w:t>
      </w:r>
      <w:r>
        <w:rPr>
          <w:rFonts w:hint="eastAsia" w:cs="仿宋"/>
          <w:spacing w:val="-3"/>
          <w:sz w:val="24"/>
          <w:szCs w:val="24"/>
          <w:lang w:val="en-US"/>
        </w:rPr>
        <w:t xml:space="preserve">答复的，可以在答复期满后十五个工作日内向采购项目同级财政部门投诉。</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w:t>
      </w:r>
      <w:r>
        <w:rPr>
          <w:rFonts w:cs="仿宋"/>
          <w:b/>
          <w:spacing w:val="-3"/>
          <w:sz w:val="24"/>
          <w:szCs w:val="24"/>
          <w:lang w:val="en-US"/>
        </w:rPr>
        <w:t xml:space="preserve">诚实信用</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29.1</w:t>
      </w:r>
      <w:r>
        <w:rPr>
          <w:rFonts w:hint="eastAsia" w:cs="仿宋"/>
          <w:spacing w:val="-3"/>
          <w:sz w:val="24"/>
          <w:szCs w:val="24"/>
          <w:lang w:val="en-US"/>
        </w:rPr>
        <w:t xml:space="preserve">供应商之间不得相互串通投标报价，不得妨碍其他供应商的公平竞争，不得损害采购人和其他供应商的合法权益。</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29.2供应商不得以向代理机构工作人员、评标委员会成员行贿或者采取其他不正当手段谋取中标。经查实供应商有此行为的，政府采购管理部门将供应商列入不良行为记录名单，按照</w:t>
      </w:r>
      <w:r>
        <w:rPr>
          <w:rFonts w:cs="仿宋"/>
          <w:spacing w:val="-3"/>
          <w:sz w:val="24"/>
          <w:szCs w:val="24"/>
          <w:lang w:val="en-US"/>
        </w:rPr>
        <w:t xml:space="preserve">《</w:t>
      </w:r>
      <w:r>
        <w:rPr>
          <w:rFonts w:hint="eastAsia" w:cs="仿宋"/>
          <w:spacing w:val="-3"/>
          <w:sz w:val="24"/>
          <w:szCs w:val="24"/>
          <w:lang w:val="en-US"/>
        </w:rPr>
        <w:t xml:space="preserve">中华人民共和国政府采购法</w:t>
      </w:r>
      <w:r>
        <w:rPr>
          <w:rFonts w:cs="仿宋"/>
          <w:spacing w:val="-3"/>
          <w:sz w:val="24"/>
          <w:szCs w:val="24"/>
          <w:lang w:val="en-US"/>
        </w:rPr>
        <w:t xml:space="preserve">》有关规定处理。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29.4供应商不得虚假承诺，否则，按照提供虚假材料谋取中标成交处理。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p>
    <w:p>
      <w:pPr>
        <w:pStyle w:val="1104"/>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9" w:name="_Toc32667"/>
      <w:r/>
      <w:bookmarkStart w:id="10" w:name="_Toc18811"/>
      <w:r>
        <w:rPr>
          <w:rFonts w:hint="eastAsia"/>
          <w:b/>
          <w:bCs/>
          <w:sz w:val="36"/>
          <w:szCs w:val="36"/>
          <w:lang w:val="en-US"/>
        </w:rPr>
        <w:t xml:space="preserve">第三章</w:t>
      </w:r>
      <w:r>
        <w:rPr>
          <w:b/>
          <w:bCs/>
          <w:sz w:val="36"/>
          <w:szCs w:val="36"/>
          <w:lang w:val="en-US"/>
        </w:rPr>
        <w:t xml:space="preserve"> </w:t>
      </w:r>
      <w:r>
        <w:rPr>
          <w:b/>
          <w:bCs/>
          <w:sz w:val="36"/>
          <w:szCs w:val="36"/>
        </w:rPr>
        <w:t xml:space="preserve"> 评标标准</w:t>
      </w:r>
      <w:bookmarkEnd w:id="9"/>
      <w:r/>
      <w:bookmarkEnd w:id="10"/>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w:t>
      </w:r>
      <w:r/>
    </w:p>
    <w:tbl>
      <w:tblPr>
        <w:tblW w:w="10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right w:w="57" w:type="dxa"/>
        </w:tblCellMar>
        <w:tblLook w:val="04A0" w:firstRow="1" w:lastRow="0" w:firstColumn="1" w:lastColumn="0" w:noHBand="0" w:noVBand="1"/>
      </w:tblPr>
      <w:tblGrid>
        <w:gridCol w:w="718"/>
        <w:gridCol w:w="1165"/>
        <w:gridCol w:w="668"/>
        <w:gridCol w:w="7805"/>
      </w:tblGrid>
      <w:tr>
        <w:trPr>
          <w:jc w:val="center"/>
          <w:trHeight w:val="93"/>
          <w:tblHeader/>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分数</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评审标准</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rPr>
            </w:pPr>
            <w:r>
              <w:rPr>
                <w:rFonts w:hint="eastAsia"/>
                <w:b/>
                <w:szCs w:val="21"/>
                <w:lang w:eastAsia="en-US"/>
              </w:rPr>
              <w:t xml:space="preserve">价格</w:t>
            </w:r>
            <w:r/>
          </w:p>
          <w:p>
            <w:pPr>
              <w:jc w:val="center"/>
              <w:spacing w:line="240" w:lineRule="exact"/>
              <w:rPr>
                <w:b/>
                <w:szCs w:val="21"/>
                <w:lang w:eastAsia="en-US"/>
              </w:rPr>
            </w:pPr>
            <w:r>
              <w:rPr>
                <w:rFonts w:hint="eastAsia"/>
                <w:b/>
                <w:szCs w:val="21"/>
                <w:lang w:eastAsia="en-US"/>
              </w:rPr>
              <w:t xml:space="preserve">（10分）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10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spacing w:line="240" w:lineRule="exact"/>
              <w:rPr>
                <w:sz w:val="21"/>
                <w:szCs w:val="21"/>
              </w:rPr>
            </w:pPr>
            <w:r>
              <w:rPr>
                <w:rFonts w:hint="eastAsia"/>
                <w:sz w:val="21"/>
                <w:szCs w:val="21"/>
              </w:rPr>
              <w:t xml:space="preserve">采用低价优先法计算，即满足招标文件要求且投标价格低的投标报价为评标基准价，其价格分为满分。其他投标人的价格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下列公式计算：投标报价得分=（评标基准价/投标报价）×10分</w:t>
            </w:r>
            <w:r/>
          </w:p>
          <w:p>
            <w:pPr>
              <w:jc w:val="both"/>
              <w:spacing w:line="240" w:lineRule="exact"/>
            </w:pPr>
            <w:r>
              <w:rPr>
                <w:rFonts w:hint="eastAsia"/>
                <w:sz w:val="21"/>
                <w:szCs w:val="21"/>
              </w:rPr>
              <w:t xml:space="preserve">为保证报价合理性，根据财政部《关于推动解决政府采购异常低价问题的通知》（财库〔</w:t>
            </w:r>
            <w:r>
              <w:rPr>
                <w:sz w:val="21"/>
                <w:szCs w:val="21"/>
              </w:rPr>
              <w:t xml:space="preserve">2026〕2号），当供应商投标</w:t>
            </w:r>
            <w:r>
              <w:rPr>
                <w:rFonts w:hint="eastAsia"/>
                <w:sz w:val="21"/>
                <w:szCs w:val="21"/>
              </w:rPr>
              <w:t xml:space="preserve">价格</w:t>
            </w:r>
            <w:r>
              <w:rPr>
                <w:sz w:val="21"/>
                <w:szCs w:val="21"/>
              </w:rPr>
              <w:t xml:space="preserve">系数低于</w:t>
            </w:r>
            <w:r>
              <w:rPr>
                <w:rFonts w:hint="eastAsia"/>
                <w:sz w:val="21"/>
                <w:szCs w:val="21"/>
              </w:rPr>
              <w:t xml:space="preserve">30%（不含）</w:t>
            </w:r>
            <w:r>
              <w:rPr>
                <w:sz w:val="21"/>
                <w:szCs w:val="21"/>
              </w:rPr>
              <w:t xml:space="preserve">时，供应商在投标报价时</w:t>
            </w:r>
            <w:r>
              <w:rPr>
                <w:rFonts w:hint="eastAsia"/>
                <w:sz w:val="21"/>
                <w:szCs w:val="21"/>
                <w:lang w:val="en-US"/>
              </w:rPr>
              <w:t xml:space="preserve">须</w:t>
            </w:r>
            <w:r>
              <w:rPr>
                <w:b/>
                <w:sz w:val="21"/>
                <w:szCs w:val="21"/>
              </w:rPr>
              <w:t xml:space="preserve">提供完整的成本明细说明</w:t>
            </w:r>
            <w:r>
              <w:rPr>
                <w:sz w:val="21"/>
                <w:szCs w:val="21"/>
              </w:rPr>
              <w:t xml:space="preserve">，评标委员会将根据供应商所提供的成本明细说明进行论证，分析报价合理性。若供应商提供的成本明细说明不能证明其报价合理性，则评标委员会应当将其作为无效投标处理。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组长业绩</w:t>
            </w:r>
            <w:r/>
          </w:p>
          <w:p>
            <w:pPr>
              <w:jc w:val="center"/>
              <w:spacing w:line="240" w:lineRule="exact"/>
              <w:rPr>
                <w:b/>
                <w:szCs w:val="21"/>
                <w:lang w:eastAsia="en-US"/>
              </w:rPr>
            </w:pPr>
            <w:r>
              <w:rPr>
                <w:rFonts w:hint="eastAsia"/>
                <w:b/>
                <w:szCs w:val="21"/>
                <w:lang w:eastAsia="en-US"/>
              </w:rPr>
              <w:t xml:space="preserve">（9分）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lang w:eastAsia="en-US"/>
              </w:rPr>
            </w:pPr>
            <w:r>
              <w:rPr>
                <w:rFonts w:hint="eastAsia"/>
                <w:sz w:val="21"/>
                <w:szCs w:val="21"/>
                <w:lang w:val="en-US"/>
              </w:rPr>
              <w:t xml:space="preserve">项目组组长</w:t>
            </w:r>
            <w:r>
              <w:rPr>
                <w:rFonts w:hint="eastAsia"/>
                <w:sz w:val="21"/>
                <w:szCs w:val="21"/>
              </w:rPr>
              <w:t xml:space="preserve">提供2021年1月1日以来担任政府投资项目（国有资金或财政资金投资）竣工结算审计项目负责人的业绩，每提供一个得3分，本项最高得9分（</w:t>
            </w:r>
            <w:r>
              <w:rPr>
                <w:rFonts w:hint="eastAsia"/>
                <w:sz w:val="21"/>
                <w:szCs w:val="21"/>
                <w:lang w:val="en-US"/>
              </w:rPr>
              <w:t xml:space="preserve">项目组组长必须是所提供业绩的项目负责人，</w:t>
            </w:r>
            <w:r>
              <w:rPr>
                <w:rFonts w:hint="eastAsia"/>
                <w:sz w:val="21"/>
                <w:szCs w:val="21"/>
              </w:rPr>
              <w:t xml:space="preserve">提供合同</w:t>
            </w:r>
            <w:r>
              <w:rPr>
                <w:rFonts w:hint="eastAsia"/>
                <w:sz w:val="21"/>
                <w:szCs w:val="21"/>
                <w:lang w:val="en-US"/>
              </w:rPr>
              <w:t xml:space="preserve">原件</w:t>
            </w:r>
            <w:r>
              <w:rPr>
                <w:sz w:val="21"/>
                <w:szCs w:val="21"/>
              </w:rPr>
              <w:t xml:space="preserve">彩色扫描件</w:t>
            </w:r>
            <w:r>
              <w:rPr>
                <w:rFonts w:hint="eastAsia"/>
                <w:sz w:val="21"/>
                <w:szCs w:val="21"/>
              </w:rPr>
              <w:t xml:space="preserve">加盖公章，时间以合同签订时间为准，合同</w:t>
            </w:r>
            <w:r>
              <w:rPr>
                <w:rFonts w:hint="eastAsia"/>
                <w:sz w:val="21"/>
                <w:szCs w:val="21"/>
              </w:rPr>
              <w:t xml:space="preserve">需反映</w:t>
            </w:r>
            <w:r>
              <w:rPr>
                <w:rFonts w:hint="eastAsia"/>
                <w:sz w:val="21"/>
                <w:szCs w:val="21"/>
              </w:rPr>
              <w:t xml:space="preserve">项目组</w:t>
            </w:r>
            <w:r>
              <w:rPr>
                <w:rFonts w:hint="eastAsia"/>
                <w:sz w:val="21"/>
                <w:szCs w:val="21"/>
                <w:lang w:val="en-US"/>
              </w:rPr>
              <w:t xml:space="preserve">组长</w:t>
            </w:r>
            <w:r>
              <w:rPr>
                <w:rFonts w:hint="eastAsia"/>
                <w:sz w:val="21"/>
                <w:szCs w:val="21"/>
              </w:rPr>
              <w:t xml:space="preserve">姓名，合同未载明时间的不予认可。</w:t>
            </w:r>
            <w:r>
              <w:rPr>
                <w:rFonts w:hint="eastAsia"/>
                <w:sz w:val="21"/>
                <w:szCs w:val="21"/>
                <w:lang w:eastAsia="en-US"/>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组长资质（</w:t>
            </w:r>
            <w:r>
              <w:rPr>
                <w:rFonts w:hint="eastAsia"/>
                <w:b/>
                <w:szCs w:val="21"/>
                <w:lang w:val="en-US"/>
              </w:rPr>
              <w:t xml:space="preserve">3</w:t>
            </w:r>
            <w:r>
              <w:rPr>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rPr>
            </w:pPr>
            <w:r>
              <w:rPr>
                <w:rFonts w:hint="eastAsia"/>
                <w:b/>
                <w:szCs w:val="21"/>
                <w:lang w:val="en-US"/>
              </w:rPr>
              <w:t xml:space="preserve">3</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拟派项目组组长在满足实质性条件的情况下（详见第四</w:t>
            </w:r>
            <w:r>
              <w:rPr>
                <w:rFonts w:hint="eastAsia"/>
                <w:sz w:val="21"/>
                <w:szCs w:val="21"/>
              </w:rPr>
              <w:t xml:space="preserve">章项目</w:t>
            </w:r>
            <w:r>
              <w:rPr>
                <w:rFonts w:hint="eastAsia"/>
                <w:sz w:val="21"/>
                <w:szCs w:val="21"/>
              </w:rPr>
              <w:t xml:space="preserve">需求）同时具有其他工程建设</w:t>
            </w:r>
            <w:r>
              <w:rPr>
                <w:rFonts w:hint="eastAsia"/>
                <w:sz w:val="21"/>
                <w:szCs w:val="21"/>
              </w:rPr>
              <w:t xml:space="preserve">类注册</w:t>
            </w:r>
            <w:r>
              <w:rPr>
                <w:rFonts w:hint="eastAsia"/>
                <w:sz w:val="21"/>
                <w:szCs w:val="21"/>
              </w:rPr>
              <w:t xml:space="preserve">职业资格的</w:t>
            </w:r>
            <w:r>
              <w:rPr>
                <w:rFonts w:hint="eastAsia"/>
                <w:sz w:val="21"/>
              </w:rPr>
              <w:t xml:space="preserve">加</w:t>
            </w:r>
            <w:r>
              <w:rPr>
                <w:rFonts w:hint="eastAsia"/>
                <w:sz w:val="21"/>
                <w:szCs w:val="21"/>
                <w:lang w:val="en-US"/>
              </w:rPr>
              <w:t xml:space="preserve">3</w:t>
            </w:r>
            <w:r>
              <w:rPr>
                <w:sz w:val="21"/>
              </w:rPr>
              <w:t xml:space="preserve">分</w:t>
            </w:r>
            <w:r>
              <w:rPr>
                <w:sz w:val="21"/>
                <w:szCs w:val="21"/>
              </w:rPr>
              <w:t xml:space="preserve">。</w:t>
            </w:r>
            <w:r>
              <w:rPr>
                <w:rFonts w:hint="eastAsia"/>
                <w:sz w:val="21"/>
                <w:szCs w:val="21"/>
              </w:rPr>
              <w:t xml:space="preserve">（</w:t>
            </w:r>
            <w:r>
              <w:rPr>
                <w:sz w:val="21"/>
                <w:szCs w:val="21"/>
              </w:rPr>
              <w:t xml:space="preserve">注</w:t>
            </w:r>
            <w:r>
              <w:rPr>
                <w:rFonts w:hint="eastAsia"/>
                <w:sz w:val="21"/>
                <w:szCs w:val="21"/>
              </w:rPr>
              <w:t xml:space="preserve">：</w:t>
            </w:r>
            <w:r>
              <w:rPr>
                <w:sz w:val="21"/>
                <w:szCs w:val="21"/>
              </w:rPr>
              <w:t xml:space="preserve">工程建设</w:t>
            </w:r>
            <w:r>
              <w:rPr>
                <w:sz w:val="21"/>
                <w:szCs w:val="21"/>
              </w:rPr>
              <w:t xml:space="preserve">类注册</w:t>
            </w:r>
            <w:r>
              <w:rPr>
                <w:sz w:val="21"/>
                <w:szCs w:val="21"/>
              </w:rPr>
              <w:t xml:space="preserve">执业资格</w:t>
            </w:r>
            <w:r>
              <w:rPr>
                <w:rFonts w:hint="eastAsia"/>
                <w:sz w:val="21"/>
                <w:szCs w:val="21"/>
                <w:lang w:val="en-US"/>
              </w:rPr>
              <w:t xml:space="preserve">指</w:t>
            </w:r>
            <w:r>
              <w:rPr>
                <w:sz w:val="21"/>
                <w:szCs w:val="21"/>
              </w:rPr>
              <w:t xml:space="preserve">国家注册监理工程师、咨询工程师（投资）、一级注册建筑师、一级注册建造师、一级注册结构工程师。提供有效注册证书原件</w:t>
            </w:r>
            <w:r>
              <w:rPr>
                <w:rFonts w:hint="eastAsia"/>
                <w:sz w:val="21"/>
                <w:szCs w:val="21"/>
              </w:rPr>
              <w:t xml:space="preserve">彩色</w:t>
            </w:r>
            <w:r>
              <w:rPr>
                <w:sz w:val="21"/>
                <w:szCs w:val="21"/>
              </w:rPr>
              <w:t xml:space="preserve">扫描件加盖公章。</w:t>
            </w:r>
            <w:r>
              <w:rPr>
                <w:rFonts w:hint="eastAsia"/>
                <w:sz w:val="21"/>
                <w:szCs w:val="21"/>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4</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服务团队</w:t>
            </w:r>
            <w:r/>
          </w:p>
          <w:p>
            <w:pPr>
              <w:jc w:val="center"/>
              <w:spacing w:line="240" w:lineRule="exact"/>
              <w:rPr>
                <w:lang w:eastAsia="en-US"/>
              </w:rPr>
            </w:pPr>
            <w:r>
              <w:rPr>
                <w:rFonts w:hint="eastAsia"/>
                <w:b/>
                <w:szCs w:val="21"/>
                <w:lang w:eastAsia="en-US"/>
              </w:rPr>
              <w:t xml:space="preserve">（</w:t>
            </w:r>
            <w:r>
              <w:rPr>
                <w:rFonts w:hint="eastAsia"/>
                <w:b/>
                <w:szCs w:val="21"/>
                <w:lang w:val="en-US"/>
              </w:rPr>
              <w:t xml:space="preserve">24</w:t>
            </w:r>
            <w:r>
              <w:rPr>
                <w:rFonts w:hint="eastAsia"/>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val="en-US"/>
              </w:rPr>
            </w:pPr>
            <w:r>
              <w:rPr>
                <w:rFonts w:hint="eastAsia"/>
                <w:b/>
                <w:szCs w:val="21"/>
                <w:lang w:val="en-US"/>
              </w:rPr>
              <w:t xml:space="preserve">24</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服务团队（含项目组长）在满足实质性条件的情况下（详见第四</w:t>
            </w:r>
            <w:r>
              <w:rPr>
                <w:rFonts w:hint="eastAsia"/>
                <w:sz w:val="21"/>
                <w:szCs w:val="21"/>
              </w:rPr>
              <w:t xml:space="preserve">章项目</w:t>
            </w:r>
            <w:r>
              <w:rPr>
                <w:rFonts w:hint="eastAsia"/>
                <w:sz w:val="21"/>
                <w:szCs w:val="21"/>
              </w:rPr>
              <w:t xml:space="preserve">需求），供应商项目组成员每增加</w:t>
            </w:r>
            <w:r>
              <w:rPr>
                <w:sz w:val="21"/>
                <w:szCs w:val="21"/>
              </w:rPr>
              <w:t xml:space="preserve">1名一级注册造价工程师得3分，本小项最多得</w:t>
            </w:r>
            <w:r>
              <w:rPr>
                <w:rFonts w:hint="eastAsia"/>
                <w:sz w:val="21"/>
                <w:szCs w:val="21"/>
                <w:lang w:val="en-US"/>
              </w:rPr>
              <w:t xml:space="preserve">24</w:t>
            </w:r>
            <w:r>
              <w:rPr>
                <w:sz w:val="21"/>
                <w:szCs w:val="21"/>
              </w:rPr>
              <w:t xml:space="preserve">分。</w:t>
            </w:r>
            <w:r>
              <w:rPr>
                <w:rFonts w:hint="eastAsia"/>
                <w:sz w:val="21"/>
                <w:szCs w:val="21"/>
              </w:rPr>
              <w:t xml:space="preserve">（提供注册在本单位的注册证书原件彩色扫描件及</w:t>
            </w:r>
            <w:r>
              <w:rPr>
                <w:sz w:val="21"/>
                <w:szCs w:val="21"/>
              </w:rPr>
              <w:t xml:space="preserve">2026年1月至2026年6月期间投标人为其缴纳的至少一个月社保缴纳证明，年龄以身份证年龄为准）</w:t>
            </w:r>
            <w:r/>
          </w:p>
        </w:tc>
      </w:tr>
      <w:tr>
        <w:trPr>
          <w:cantSplit/>
          <w:jc w:val="center"/>
          <w:trHeight w:val="431"/>
        </w:trPr>
        <w:tc>
          <w:tcPr>
            <w:tcBorders>
              <w:top w:val="single" w:color="000000" w:sz="4" w:space="0"/>
              <w:left w:val="single" w:color="000000" w:sz="4" w:space="0"/>
              <w:right w:val="single" w:color="000000" w:sz="4" w:space="0"/>
            </w:tcBorders>
            <w:tcW w:w="718"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5</w:t>
            </w:r>
            <w:r/>
          </w:p>
        </w:tc>
        <w:tc>
          <w:tcPr>
            <w:tcBorders>
              <w:top w:val="single" w:color="000000" w:sz="4" w:space="0"/>
              <w:left w:val="single" w:color="000000" w:sz="4" w:space="0"/>
              <w:right w:val="single" w:color="000000" w:sz="4" w:space="0"/>
            </w:tcBorders>
            <w:tcW w:w="1165"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服务方案</w:t>
            </w:r>
            <w:r/>
          </w:p>
          <w:p>
            <w:pPr>
              <w:jc w:val="center"/>
              <w:spacing w:line="240" w:lineRule="exact"/>
              <w:rPr>
                <w:b/>
                <w:sz w:val="21"/>
                <w:szCs w:val="21"/>
                <w:lang w:eastAsia="en-US"/>
              </w:rPr>
            </w:pPr>
            <w:r>
              <w:rPr>
                <w:rFonts w:hint="eastAsia"/>
                <w:b/>
                <w:sz w:val="21"/>
                <w:szCs w:val="21"/>
                <w:lang w:eastAsia="en-US"/>
              </w:rPr>
              <w:t xml:space="preserve">（</w:t>
            </w:r>
            <w:r>
              <w:rPr>
                <w:rFonts w:hint="eastAsia"/>
                <w:b/>
                <w:sz w:val="21"/>
                <w:szCs w:val="21"/>
                <w:lang w:val="en-US"/>
              </w:rPr>
              <w:t xml:space="preserve">54</w:t>
            </w:r>
            <w:r>
              <w:rPr>
                <w:b/>
                <w:sz w:val="21"/>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5.1根据供应商对本项目理解是否准确、思路是否清晰、规划内容是否全面、是否具有相应深度进行评价；</w:t>
            </w:r>
            <w:r/>
          </w:p>
          <w:p>
            <w:pPr>
              <w:jc w:val="both"/>
              <w:spacing w:line="240" w:lineRule="exact"/>
              <w:rPr>
                <w:sz w:val="21"/>
              </w:rPr>
            </w:pPr>
            <w:r>
              <w:rPr>
                <w:sz w:val="21"/>
              </w:rPr>
              <w:t xml:space="preserve">1.理解准确、思路清晰、规划全面得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2.理解较准确、思路较清晰、规划较全面得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3.理解</w:t>
            </w:r>
            <w:r>
              <w:rPr>
                <w:rFonts w:hint="eastAsia"/>
                <w:sz w:val="21"/>
              </w:rPr>
              <w:t xml:space="preserve">一般</w:t>
            </w:r>
            <w:r>
              <w:rPr>
                <w:sz w:val="21"/>
              </w:rPr>
              <w:t xml:space="preserve">准确、思路</w:t>
            </w:r>
            <w:r>
              <w:rPr>
                <w:rFonts w:hint="eastAsia"/>
                <w:sz w:val="21"/>
              </w:rPr>
              <w:t xml:space="preserve">一般</w:t>
            </w:r>
            <w:r>
              <w:rPr>
                <w:sz w:val="21"/>
              </w:rPr>
              <w:t xml:space="preserve">清晰、规划</w:t>
            </w:r>
            <w:r>
              <w:rPr>
                <w:rFonts w:hint="eastAsia"/>
                <w:sz w:val="21"/>
              </w:rPr>
              <w:t xml:space="preserve">一般</w:t>
            </w:r>
            <w:r>
              <w:rPr>
                <w:sz w:val="21"/>
              </w:rPr>
              <w:t xml:space="preserve">全面得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4.理解不够准确、思路不够清晰、规划不够全面得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5.2审计实施方案的内容、方法和措施（包括审计目标明确、审计内容和重点详实、审计组织和分工合理）；</w:t>
            </w:r>
            <w:r/>
          </w:p>
          <w:p>
            <w:pPr>
              <w:jc w:val="both"/>
              <w:spacing w:line="240" w:lineRule="exact"/>
              <w:rPr>
                <w:sz w:val="21"/>
              </w:rPr>
            </w:pPr>
            <w:r>
              <w:rPr>
                <w:sz w:val="21"/>
              </w:rPr>
              <w:t xml:space="preserve">1.内容明确、重点详实、分工合理的得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2.内容较明确、重点较详实、</w:t>
            </w:r>
            <w:r>
              <w:rPr>
                <w:rFonts w:hint="eastAsia"/>
                <w:sz w:val="21"/>
              </w:rPr>
              <w:t xml:space="preserve">分工较</w:t>
            </w:r>
            <w:r>
              <w:rPr>
                <w:rFonts w:hint="eastAsia"/>
                <w:sz w:val="21"/>
              </w:rPr>
              <w:t xml:space="preserve">合理的得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3.内容</w:t>
            </w:r>
            <w:r>
              <w:rPr>
                <w:rFonts w:hint="eastAsia"/>
                <w:sz w:val="21"/>
              </w:rPr>
              <w:t xml:space="preserve">一般</w:t>
            </w:r>
            <w:r>
              <w:rPr>
                <w:sz w:val="21"/>
              </w:rPr>
              <w:t xml:space="preserve">明确、重点</w:t>
            </w:r>
            <w:r>
              <w:rPr>
                <w:rFonts w:hint="eastAsia"/>
                <w:sz w:val="21"/>
              </w:rPr>
              <w:t xml:space="preserve">一般</w:t>
            </w:r>
            <w:r>
              <w:rPr>
                <w:sz w:val="21"/>
              </w:rPr>
              <w:t xml:space="preserve">详实、</w:t>
            </w:r>
            <w:r>
              <w:rPr>
                <w:rFonts w:hint="eastAsia"/>
                <w:sz w:val="21"/>
              </w:rPr>
              <w:t xml:space="preserve">分工一般合理的得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4.内容不够明确、重点不够详实、分工不够合理的得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rPr>
                <w:rFonts w:hint="eastAsia"/>
                <w:sz w:val="21"/>
              </w:rPr>
              <w:t xml:space="preserve">。</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5.3、针对本项目的特点，提高审计质量控制方法和措施的方案、先进的信息化管理方案。</w:t>
            </w:r>
            <w:r/>
          </w:p>
          <w:p>
            <w:pPr>
              <w:jc w:val="both"/>
              <w:spacing w:line="240" w:lineRule="exact"/>
              <w:rPr>
                <w:sz w:val="21"/>
              </w:rPr>
            </w:pPr>
            <w:r>
              <w:rPr>
                <w:sz w:val="21"/>
              </w:rPr>
              <w:t xml:space="preserve">1.对本项目针对性强的得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2.对本项目针对性较强的得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3.对本项目针对性</w:t>
            </w:r>
            <w:r>
              <w:rPr>
                <w:rFonts w:hint="eastAsia"/>
                <w:sz w:val="21"/>
              </w:rPr>
              <w:t xml:space="preserve">一般</w:t>
            </w:r>
            <w:r>
              <w:rPr>
                <w:sz w:val="21"/>
              </w:rPr>
              <w:t xml:space="preserve">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4.对本项目针对性不够强的得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eastAsia="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.4、审计服务和配合承诺；</w:t>
            </w:r>
            <w:r/>
          </w:p>
          <w:p>
            <w:pPr>
              <w:jc w:val="both"/>
              <w:spacing w:line="240" w:lineRule="exact"/>
              <w:rPr>
                <w:sz w:val="21"/>
                <w:szCs w:val="21"/>
              </w:rPr>
            </w:pPr>
            <w:r>
              <w:rPr>
                <w:rFonts w:hint="eastAsia"/>
                <w:sz w:val="21"/>
                <w:szCs w:val="21"/>
              </w:rPr>
              <w:t xml:space="preserve">1.</w:t>
            </w:r>
            <w:r>
              <w:rPr>
                <w:sz w:val="21"/>
                <w:szCs w:val="21"/>
              </w:rPr>
              <w:t xml:space="preserve">服务承诺完善合理的得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服务</w:t>
            </w:r>
            <w:r>
              <w:rPr>
                <w:rFonts w:hint="eastAsia"/>
                <w:sz w:val="21"/>
                <w:szCs w:val="21"/>
              </w:rPr>
              <w:t xml:space="preserve">承诺较</w:t>
            </w:r>
            <w:r>
              <w:rPr>
                <w:rFonts w:hint="eastAsia"/>
                <w:sz w:val="21"/>
                <w:szCs w:val="21"/>
              </w:rPr>
              <w:t xml:space="preserve">完善合理的得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服务</w:t>
            </w:r>
            <w:r>
              <w:rPr>
                <w:rFonts w:hint="eastAsia"/>
                <w:sz w:val="21"/>
                <w:szCs w:val="21"/>
              </w:rPr>
              <w:t xml:space="preserve">承诺一般完善合理的得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服务承诺不够完善合理的得</w:t>
            </w:r>
            <w:r>
              <w:rPr>
                <w:rFonts w:hint="eastAsia"/>
                <w:sz w:val="21"/>
                <w:szCs w:val="21"/>
                <w:lang w:val="en-US"/>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cantSplit/>
          <w:jc w:val="center"/>
          <w:trHeight w:val="431"/>
        </w:trPr>
        <w:tc>
          <w:tcPr>
            <w:tcBorders>
              <w:left w:val="single" w:color="000000" w:sz="4" w:space="0"/>
              <w:bottom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bottom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.5、</w:t>
            </w:r>
            <w:r>
              <w:rPr>
                <w:rFonts w:hint="eastAsia"/>
                <w:sz w:val="21"/>
                <w:szCs w:val="21"/>
              </w:rPr>
              <w:t xml:space="preserve">廉洁从审的</w:t>
            </w:r>
            <w:r>
              <w:rPr>
                <w:rFonts w:hint="eastAsia"/>
                <w:sz w:val="21"/>
                <w:szCs w:val="21"/>
              </w:rPr>
              <w:t xml:space="preserve">制度、管理办法、管理措施。</w:t>
            </w:r>
            <w:r/>
          </w:p>
          <w:p>
            <w:pPr>
              <w:jc w:val="both"/>
              <w:spacing w:line="240" w:lineRule="exact"/>
              <w:rPr>
                <w:sz w:val="21"/>
                <w:szCs w:val="21"/>
              </w:rPr>
            </w:pPr>
            <w:r>
              <w:rPr>
                <w:rFonts w:hint="eastAsia"/>
                <w:sz w:val="21"/>
                <w:szCs w:val="21"/>
              </w:rPr>
              <w:t xml:space="preserve">1.</w:t>
            </w:r>
            <w:r>
              <w:rPr>
                <w:sz w:val="21"/>
                <w:szCs w:val="21"/>
              </w:rPr>
              <w:t xml:space="preserve">内容全面、有针对性、措施得当的得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内容较完整、较有针对性、措施较完整的得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完整、有</w:t>
            </w:r>
            <w:r>
              <w:rPr>
                <w:rFonts w:hint="eastAsia"/>
                <w:sz w:val="21"/>
                <w:szCs w:val="21"/>
              </w:rPr>
              <w:t xml:space="preserve">一般</w:t>
            </w:r>
            <w:r>
              <w:rPr>
                <w:sz w:val="21"/>
                <w:szCs w:val="21"/>
              </w:rPr>
              <w:t xml:space="preserve">针对性、措施</w:t>
            </w:r>
            <w:r>
              <w:rPr>
                <w:rFonts w:hint="eastAsia"/>
                <w:sz w:val="21"/>
                <w:szCs w:val="21"/>
              </w:rPr>
              <w:t xml:space="preserve">一般</w:t>
            </w:r>
            <w:r>
              <w:rPr>
                <w:sz w:val="21"/>
                <w:szCs w:val="21"/>
              </w:rPr>
              <w:t xml:space="preserve">完整的得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内容欠缺且针对性不强的得</w:t>
            </w:r>
            <w:r>
              <w:rPr>
                <w:rFonts w:hint="eastAsia"/>
                <w:sz w:val="21"/>
                <w:szCs w:val="21"/>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151"/>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合计</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bCs/>
                <w:szCs w:val="21"/>
                <w:lang w:eastAsia="en-US"/>
              </w:rPr>
              <w:t xml:space="preserve">100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szCs w:val="21"/>
                <w:lang w:eastAsia="en-US"/>
              </w:rPr>
            </w:pPr>
            <w:r>
              <w:rPr>
                <w:szCs w:val="21"/>
                <w:lang w:eastAsia="en-US"/>
              </w:rPr>
            </w:r>
            <w:r/>
          </w:p>
        </w:tc>
      </w:tr>
    </w:tbl>
    <w:p>
      <w:pPr>
        <w:ind w:firstLine="480"/>
        <w:rPr>
          <w:rFonts w:cs="仿宋"/>
          <w:sz w:val="24"/>
          <w:szCs w:val="24"/>
        </w:rPr>
      </w:pPr>
      <w:r>
        <w:rPr>
          <w:rFonts w:cs="仿宋"/>
          <w:sz w:val="24"/>
          <w:szCs w:val="24"/>
        </w:rPr>
      </w:r>
      <w:r/>
    </w:p>
    <w:p>
      <w:pPr>
        <w:pStyle w:val="962"/>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62"/>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62"/>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仿宋" w:hAnsi="仿宋" w:eastAsia="仿宋" w:cs="仿宋"/>
          <w:b/>
          <w:szCs w:val="24"/>
          <w:lang w:val="en-US"/>
        </w:rPr>
        <w:t xml:space="preserve">所有证书、业绩（提供合同）均以</w:t>
      </w:r>
      <w:r>
        <w:rPr>
          <w:rFonts w:hint="eastAsia" w:ascii="仿宋" w:hAnsi="仿宋" w:eastAsia="仿宋" w:cs="仿宋"/>
          <w:b/>
          <w:szCs w:val="24"/>
          <w:lang w:val="en-US"/>
        </w:rPr>
        <w:t xml:space="preserve">原件</w:t>
      </w:r>
      <w:r>
        <w:rPr>
          <w:rFonts w:ascii="仿宋" w:hAnsi="仿宋" w:eastAsia="仿宋" w:cs="仿宋"/>
          <w:b/>
          <w:szCs w:val="24"/>
          <w:lang w:val="en-US"/>
        </w:rPr>
        <w:t xml:space="preserve">彩色扫描加盖公章为依据。</w:t>
      </w:r>
      <w:r>
        <w:rPr>
          <w:rFonts w:hint="eastAsia" w:ascii="仿宋" w:hAnsi="仿宋" w:eastAsia="仿宋" w:cs="仿宋"/>
          <w:b/>
          <w:szCs w:val="24"/>
          <w:lang w:val="en-US"/>
        </w:rPr>
        <w:t xml:space="preserve">若提供的证书不完整、模糊等无法识别出有效信息的，视为无效。</w:t>
      </w:r>
      <w:r/>
    </w:p>
    <w:p>
      <w:pPr>
        <w:pStyle w:val="962"/>
        <w:ind w:firstLine="482"/>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8"/>
        <w:ind w:firstLine="161"/>
        <w:spacing w:before="5"/>
        <w:rPr>
          <w:b/>
          <w:sz w:val="8"/>
        </w:rPr>
      </w:pPr>
      <w:r>
        <w:rPr>
          <w:b/>
          <w:sz w:val="8"/>
        </w:rPr>
      </w:r>
      <w:r/>
    </w:p>
    <w:p>
      <w:pPr>
        <w:ind w:firstLine="723"/>
        <w:jc w:val="center"/>
        <w:rPr>
          <w:b/>
          <w:bCs/>
          <w:sz w:val="36"/>
          <w:szCs w:val="36"/>
          <w:lang w:val="en-US"/>
        </w:rPr>
        <w:outlineLvl w:val="0"/>
      </w:pPr>
      <w:r/>
      <w:bookmarkStart w:id="11" w:name="_Toc32495"/>
      <w:r/>
      <w:bookmarkStart w:id="12" w:name="_Toc3408"/>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1"/>
      <w:r/>
      <w:bookmarkEnd w:id="12"/>
      <w:r/>
      <w:r/>
    </w:p>
    <w:p>
      <w:pPr>
        <w:ind w:firstLine="482"/>
        <w:spacing w:line="288" w:lineRule="auto"/>
        <w:rPr>
          <w:b/>
          <w:bCs/>
          <w:sz w:val="24"/>
          <w:szCs w:val="24"/>
        </w:rPr>
      </w:pPr>
      <w:r>
        <w:rPr>
          <w:rFonts w:hint="eastAsia"/>
          <w:b/>
          <w:bCs/>
          <w:sz w:val="24"/>
          <w:szCs w:val="24"/>
        </w:rPr>
        <w:t xml:space="preserve">一、项目概况及分包</w:t>
      </w:r>
      <w:r/>
    </w:p>
    <w:p>
      <w:pPr>
        <w:ind w:firstLine="480"/>
        <w:jc w:val="both"/>
        <w:spacing w:line="288" w:lineRule="auto"/>
        <w:rPr>
          <w:sz w:val="24"/>
          <w:szCs w:val="24"/>
        </w:rPr>
      </w:pPr>
      <w:r>
        <w:rPr>
          <w:rFonts w:hint="eastAsia"/>
          <w:sz w:val="24"/>
          <w:szCs w:val="24"/>
        </w:rPr>
        <w:t xml:space="preserve">本项目包含子项如下：</w:t>
      </w:r>
      <w:r/>
    </w:p>
    <w:p>
      <w:pPr>
        <w:ind w:firstLine="480"/>
        <w:jc w:val="both"/>
        <w:spacing w:line="288" w:lineRule="auto"/>
        <w:rPr>
          <w:sz w:val="24"/>
          <w:szCs w:val="24"/>
        </w:rPr>
      </w:pPr>
      <w:r>
        <w:rPr>
          <w:rFonts w:hint="eastAsia"/>
          <w:sz w:val="24"/>
          <w:szCs w:val="24"/>
        </w:rPr>
        <w:t xml:space="preserve">1.</w:t>
      </w:r>
      <w:r>
        <w:rPr>
          <w:rFonts w:hint="eastAsia"/>
          <w:sz w:val="24"/>
          <w:szCs w:val="24"/>
        </w:rPr>
        <w:t xml:space="preserve">华商路（云龙路-福禄路）道路改造工程项目由南京江宁经济技术开发集团有限公司投资建设，经宁经管</w:t>
      </w:r>
      <w:r>
        <w:rPr>
          <w:rFonts w:hint="eastAsia"/>
          <w:sz w:val="24"/>
          <w:szCs w:val="24"/>
        </w:rPr>
        <w:t xml:space="preserve">委行审投资</w:t>
      </w:r>
      <w:r>
        <w:rPr>
          <w:rFonts w:hint="eastAsia"/>
          <w:sz w:val="24"/>
          <w:szCs w:val="24"/>
        </w:rPr>
        <w:t xml:space="preserve">[2019]75号批文批准立项，计划总投资6.6亿元。该项目的竣工验收（或成果评审）及资料归集工作已完成，相应的竣工结算已经南京江宁经济技术开发集团有限公司组织审核确认，已完成竣工结算的初审工作，初审单位为南京永平项目建设管理有限公司。</w:t>
      </w:r>
      <w:r/>
    </w:p>
    <w:p>
      <w:pPr>
        <w:ind w:firstLine="480"/>
        <w:jc w:val="both"/>
        <w:spacing w:line="288" w:lineRule="auto"/>
        <w:rPr>
          <w:sz w:val="24"/>
          <w:szCs w:val="24"/>
        </w:rPr>
      </w:pPr>
      <w:r>
        <w:rPr>
          <w:rFonts w:hint="eastAsia"/>
          <w:sz w:val="24"/>
          <w:szCs w:val="24"/>
        </w:rPr>
        <w:t xml:space="preserve">2.</w:t>
      </w:r>
      <w:r>
        <w:rPr>
          <w:rFonts w:hint="eastAsia"/>
          <w:sz w:val="24"/>
          <w:szCs w:val="24"/>
        </w:rPr>
        <w:t xml:space="preserve">南京空港开发区</w:t>
      </w:r>
      <w:r>
        <w:rPr>
          <w:rFonts w:hint="eastAsia"/>
          <w:sz w:val="24"/>
          <w:szCs w:val="24"/>
        </w:rPr>
        <w:t xml:space="preserve">鹏程路</w:t>
      </w:r>
      <w:r>
        <w:rPr>
          <w:rFonts w:hint="eastAsia"/>
          <w:sz w:val="24"/>
          <w:szCs w:val="24"/>
        </w:rPr>
        <w:t xml:space="preserve">等7条市政道路工程项目由南京江宁经济技术开发集团有限公司投资建设，经宁经管委发[2018]359号批文批准立项，计划总投资70000万元。该项目的竣工验收（或成果评审）及资料归集工作已完成，相应的竣工结算已经南京江宁经济技术开发集团有限公司组织审核确认，已完成竣工结算的初审工作，</w:t>
      </w:r>
      <w:r>
        <w:rPr>
          <w:sz w:val="24"/>
          <w:szCs w:val="24"/>
        </w:rPr>
        <w:t xml:space="preserve">初审单位</w:t>
      </w:r>
      <w:r>
        <w:rPr>
          <w:rFonts w:hint="eastAsia"/>
          <w:sz w:val="24"/>
          <w:szCs w:val="24"/>
        </w:rPr>
        <w:t xml:space="preserve">为</w:t>
      </w:r>
      <w:r>
        <w:rPr>
          <w:sz w:val="24"/>
          <w:szCs w:val="24"/>
        </w:rPr>
        <w:t xml:space="preserve">南京鼎衡工程咨询有限公司。</w:t>
      </w:r>
      <w:r/>
    </w:p>
    <w:p>
      <w:pPr>
        <w:ind w:firstLine="480"/>
        <w:jc w:val="both"/>
        <w:spacing w:line="288" w:lineRule="auto"/>
        <w:rPr>
          <w:sz w:val="24"/>
          <w:szCs w:val="24"/>
        </w:rPr>
      </w:pPr>
      <w:r>
        <w:rPr>
          <w:rFonts w:hint="eastAsia"/>
          <w:sz w:val="24"/>
          <w:szCs w:val="24"/>
        </w:rPr>
        <w:t xml:space="preserve">3.</w:t>
      </w:r>
      <w:r>
        <w:rPr>
          <w:rFonts w:hint="eastAsia"/>
          <w:sz w:val="24"/>
          <w:szCs w:val="24"/>
        </w:rPr>
        <w:t xml:space="preserve">苏源大道景观提升改造工程项目由南京江宁经济技术开发集团有限公司非财政投资建设，经“宁经管委发[2021]176号”、“宁经管委发[2022]17号”批文批准立项，计划总投资12900万元，采用分部分项工程量清单方式发包，施工总承包中标合同价9626.95万元，施工单位为南京锦江园林景观有限公司，项目于2022年7月15日完成施工。该项目资料归集工作已完成，相应的竣工结算已经南京江宁经济技术开发集团有限公司组织审核确认，已完成竣工结算的初审工作，初审单位为南京建</w:t>
      </w:r>
      <w:r>
        <w:rPr>
          <w:rFonts w:hint="eastAsia"/>
          <w:sz w:val="24"/>
          <w:szCs w:val="24"/>
        </w:rPr>
        <w:t xml:space="preserve">淳造价师</w:t>
      </w:r>
      <w:r>
        <w:rPr>
          <w:rFonts w:hint="eastAsia"/>
          <w:sz w:val="24"/>
          <w:szCs w:val="24"/>
        </w:rPr>
        <w:t xml:space="preserve">事务所有限公司。</w:t>
      </w:r>
      <w:r/>
    </w:p>
    <w:p>
      <w:pPr>
        <w:ind w:firstLine="480"/>
        <w:jc w:val="both"/>
        <w:spacing w:line="288" w:lineRule="auto"/>
        <w:rPr>
          <w:sz w:val="24"/>
          <w:szCs w:val="24"/>
        </w:rPr>
      </w:pPr>
      <w:r>
        <w:rPr>
          <w:rFonts w:hint="eastAsia"/>
          <w:sz w:val="24"/>
          <w:szCs w:val="24"/>
        </w:rPr>
        <w:t xml:space="preserve">本项目初审价暂以委托</w:t>
      </w:r>
      <w:r>
        <w:rPr>
          <w:rFonts w:hint="eastAsia"/>
          <w:sz w:val="24"/>
          <w:szCs w:val="24"/>
        </w:rPr>
        <w:t xml:space="preserve">函金额</w:t>
      </w:r>
      <w:r>
        <w:rPr>
          <w:rFonts w:hint="eastAsia"/>
          <w:sz w:val="24"/>
          <w:szCs w:val="24"/>
        </w:rPr>
        <w:t xml:space="preserve">为准，本次招标项目为复审，详见下表。</w:t>
      </w:r>
      <w:r/>
    </w:p>
    <w:tbl>
      <w:tblPr>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right w:w="57" w:type="dxa"/>
        </w:tblCellMar>
        <w:tblLook w:val="04A0" w:firstRow="1" w:lastRow="0" w:firstColumn="1" w:lastColumn="0" w:noHBand="0" w:noVBand="1"/>
      </w:tblPr>
      <w:tblGrid>
        <w:gridCol w:w="747"/>
        <w:gridCol w:w="679"/>
        <w:gridCol w:w="3791"/>
        <w:gridCol w:w="1277"/>
        <w:gridCol w:w="852"/>
        <w:gridCol w:w="1135"/>
        <w:gridCol w:w="589"/>
      </w:tblGrid>
      <w:tr>
        <w:trPr>
          <w:jc w:val="center"/>
          <w:trHeight w:val="113"/>
          <w:tblHeader/>
        </w:trPr>
        <w:tc>
          <w:tcPr>
            <w:tcW w:w="74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序号</w:t>
            </w:r>
            <w:r/>
          </w:p>
        </w:tc>
        <w:tc>
          <w:tcPr>
            <w:tcW w:w="67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分包</w:t>
            </w:r>
            <w:r/>
          </w:p>
        </w:tc>
        <w:tc>
          <w:tcPr>
            <w:tcW w:w="3791"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项</w:t>
            </w:r>
            <w:r>
              <w:rPr>
                <w:b/>
                <w:bCs/>
                <w:sz w:val="20"/>
                <w:szCs w:val="20"/>
                <w:lang w:val="en-US" w:bidi="ar-SA"/>
              </w:rPr>
              <w:t xml:space="preserve"> </w:t>
            </w:r>
            <w:r>
              <w:rPr>
                <w:rFonts w:hint="eastAsia"/>
                <w:b/>
                <w:bCs/>
                <w:sz w:val="20"/>
                <w:szCs w:val="20"/>
                <w:lang w:val="en-US" w:bidi="ar-SA"/>
              </w:rPr>
              <w:t xml:space="preserve">目</w:t>
            </w:r>
            <w:r>
              <w:rPr>
                <w:b/>
                <w:bCs/>
                <w:sz w:val="20"/>
                <w:szCs w:val="20"/>
                <w:lang w:val="en-US" w:bidi="ar-SA"/>
              </w:rPr>
              <w:t xml:space="preserve"> </w:t>
            </w:r>
            <w:r>
              <w:rPr>
                <w:rFonts w:hint="eastAsia"/>
                <w:b/>
                <w:bCs/>
                <w:sz w:val="20"/>
                <w:szCs w:val="20"/>
                <w:lang w:val="en-US" w:bidi="ar-SA"/>
              </w:rPr>
              <w:t xml:space="preserve">名</w:t>
            </w:r>
            <w:r>
              <w:rPr>
                <w:b/>
                <w:bCs/>
                <w:sz w:val="20"/>
                <w:szCs w:val="20"/>
                <w:lang w:val="en-US" w:bidi="ar-SA"/>
              </w:rPr>
              <w:t xml:space="preserve"> </w:t>
            </w:r>
            <w:r>
              <w:rPr>
                <w:rFonts w:hint="eastAsia"/>
                <w:b/>
                <w:bCs/>
                <w:sz w:val="20"/>
                <w:szCs w:val="20"/>
                <w:lang w:val="en-US" w:bidi="ar-SA"/>
              </w:rPr>
              <w:t xml:space="preserve">称</w:t>
            </w:r>
            <w:r/>
          </w:p>
        </w:tc>
        <w:tc>
          <w:tcPr>
            <w:tcW w:w="127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初审价</w:t>
            </w:r>
            <w:r/>
          </w:p>
          <w:p>
            <w:pPr>
              <w:jc w:val="center"/>
              <w:spacing w:line="240" w:lineRule="exact"/>
              <w:widowControl/>
              <w:rPr>
                <w:b/>
                <w:bCs/>
                <w:sz w:val="20"/>
                <w:szCs w:val="20"/>
                <w:lang w:val="en-US" w:bidi="ar-SA"/>
              </w:rPr>
            </w:pPr>
            <w:r>
              <w:rPr>
                <w:rFonts w:hint="eastAsia"/>
                <w:b/>
                <w:bCs/>
                <w:sz w:val="20"/>
                <w:szCs w:val="20"/>
                <w:lang w:val="en-US" w:bidi="ar-SA"/>
              </w:rPr>
              <w:t xml:space="preserve">（万元）</w:t>
            </w:r>
            <w:r/>
          </w:p>
        </w:tc>
        <w:tc>
          <w:tcPr>
            <w:tcW w:w="852"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核减率（暂估）</w:t>
            </w:r>
            <w:r/>
          </w:p>
        </w:tc>
        <w:tc>
          <w:tcPr>
            <w:tcW w:w="1135"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预估审计费（万元，按</w:t>
            </w:r>
            <w:r>
              <w:rPr>
                <w:b/>
                <w:bCs/>
                <w:sz w:val="20"/>
                <w:szCs w:val="20"/>
                <w:lang w:val="en-US" w:bidi="ar-SA"/>
              </w:rPr>
              <w:t xml:space="preserve">60%限价）</w:t>
            </w:r>
            <w:r/>
          </w:p>
        </w:tc>
        <w:tc>
          <w:tcPr>
            <w:tcW w:w="58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预算（万元）</w:t>
            </w:r>
            <w:r/>
          </w:p>
        </w:tc>
      </w:tr>
      <w:tr>
        <w:trPr>
          <w:jc w:val="center"/>
          <w:trHeight w:val="113"/>
        </w:trPr>
        <w:tc>
          <w:tcPr>
            <w:tcW w:w="747" w:type="dxa"/>
            <w:vAlign w:val="center"/>
            <w:textDirection w:val="lrTb"/>
            <w:noWrap w:val="false"/>
          </w:tcPr>
          <w:p>
            <w:pPr>
              <w:pStyle w:val="859"/>
              <w:numPr>
                <w:ilvl w:val="0"/>
                <w:numId w:val="5"/>
              </w:numPr>
              <w:jc w:val="center"/>
              <w:spacing w:line="240" w:lineRule="exact"/>
            </w:pPr>
            <w:r/>
            <w:r/>
          </w:p>
        </w:tc>
        <w:tc>
          <w:tcPr>
            <w:tcW w:w="679" w:type="dxa"/>
            <w:vAlign w:val="center"/>
            <w:vMerge w:val="restart"/>
            <w:textDirection w:val="lrTb"/>
            <w:noWrap w:val="false"/>
          </w:tcPr>
          <w:p>
            <w:pPr>
              <w:jc w:val="center"/>
              <w:spacing w:line="240" w:lineRule="exact"/>
            </w:pPr>
            <w:r>
              <w:rPr>
                <w:rFonts w:hint="eastAsia"/>
              </w:rPr>
              <w:t xml:space="preserve">包一</w:t>
            </w:r>
            <w:r/>
          </w:p>
        </w:tc>
        <w:tc>
          <w:tcPr>
            <w:tcW w:w="3791" w:type="dxa"/>
            <w:textDirection w:val="lrTb"/>
            <w:noWrap w:val="false"/>
          </w:tcPr>
          <w:p>
            <w:pPr>
              <w:jc w:val="center"/>
              <w:spacing w:line="240" w:lineRule="exact"/>
            </w:pPr>
            <w:r>
              <w:rPr>
                <w:rFonts w:hint="eastAsia"/>
              </w:rPr>
              <w:t xml:space="preserve">华商路（云龙路</w:t>
            </w:r>
            <w:r>
              <w:t xml:space="preserve">-福禄路）道路改造工程</w:t>
            </w:r>
            <w:r/>
          </w:p>
        </w:tc>
        <w:tc>
          <w:tcPr>
            <w:tcW w:w="1277" w:type="dxa"/>
            <w:vAlign w:val="center"/>
            <w:textDirection w:val="lrTb"/>
            <w:noWrap w:val="false"/>
          </w:tcPr>
          <w:p>
            <w:pPr>
              <w:jc w:val="center"/>
              <w:spacing w:line="240" w:lineRule="exact"/>
            </w:pPr>
            <w:r>
              <w:t xml:space="preserve"> 37,378.28 </w:t>
            </w:r>
            <w:r/>
          </w:p>
        </w:tc>
        <w:tc>
          <w:tcPr>
            <w:tcW w:w="852" w:type="dxa"/>
            <w:vAlign w:val="center"/>
            <w:textDirection w:val="lrTb"/>
            <w:noWrap w:val="false"/>
          </w:tcPr>
          <w:p>
            <w:pPr>
              <w:jc w:val="center"/>
              <w:spacing w:line="240" w:lineRule="exact"/>
            </w:pPr>
            <w:r>
              <w:t xml:space="preserve">5%</w:t>
            </w:r>
            <w:r/>
          </w:p>
        </w:tc>
        <w:tc>
          <w:tcPr>
            <w:tcW w:w="1135" w:type="dxa"/>
            <w:vAlign w:val="center"/>
            <w:textDirection w:val="lrTb"/>
            <w:noWrap w:val="false"/>
          </w:tcPr>
          <w:p>
            <w:pPr>
              <w:jc w:val="center"/>
              <w:spacing w:line="240" w:lineRule="exact"/>
            </w:pPr>
            <w:r>
              <w:t xml:space="preserve"> 85.08 </w:t>
            </w:r>
            <w:r/>
          </w:p>
        </w:tc>
        <w:tc>
          <w:tcPr>
            <w:tcW w:w="589" w:type="dxa"/>
            <w:vAlign w:val="center"/>
            <w:vMerge w:val="restart"/>
            <w:textDirection w:val="lrTb"/>
            <w:noWrap w:val="false"/>
          </w:tcPr>
          <w:p>
            <w:pPr>
              <w:jc w:val="center"/>
              <w:spacing w:line="240" w:lineRule="exact"/>
            </w:pPr>
            <w:r>
              <w:t xml:space="preserve">142</w:t>
            </w:r>
            <w:r/>
          </w:p>
        </w:tc>
      </w:tr>
      <w:tr>
        <w:trPr>
          <w:jc w:val="center"/>
          <w:trHeight w:val="113"/>
        </w:trPr>
        <w:tc>
          <w:tcPr>
            <w:tcW w:w="747" w:type="dxa"/>
            <w:vAlign w:val="center"/>
            <w:textDirection w:val="lrTb"/>
            <w:noWrap w:val="false"/>
          </w:tcPr>
          <w:p>
            <w:pPr>
              <w:pStyle w:val="859"/>
              <w:numPr>
                <w:ilvl w:val="0"/>
                <w:numId w:val="5"/>
              </w:numPr>
              <w:jc w:val="center"/>
              <w:spacing w:line="240" w:lineRule="exact"/>
            </w:pPr>
            <w:r/>
            <w:r/>
          </w:p>
        </w:tc>
        <w:tc>
          <w:tcPr>
            <w:tcW w:w="679" w:type="dxa"/>
            <w:vAlign w:val="center"/>
            <w:vMerge w:val="continue"/>
            <w:textDirection w:val="lrTb"/>
            <w:noWrap w:val="false"/>
          </w:tcPr>
          <w:p>
            <w:pPr>
              <w:jc w:val="center"/>
              <w:spacing w:line="240" w:lineRule="exact"/>
            </w:pPr>
            <w:r/>
            <w:r/>
          </w:p>
        </w:tc>
        <w:tc>
          <w:tcPr>
            <w:tcW w:w="3791" w:type="dxa"/>
            <w:textDirection w:val="lrTb"/>
            <w:noWrap w:val="false"/>
          </w:tcPr>
          <w:p>
            <w:pPr>
              <w:jc w:val="center"/>
              <w:spacing w:line="240" w:lineRule="exact"/>
            </w:pPr>
            <w:r>
              <w:rPr>
                <w:rFonts w:hint="eastAsia"/>
              </w:rPr>
              <w:t xml:space="preserve">南京空港开发区</w:t>
            </w:r>
            <w:r>
              <w:rPr>
                <w:rFonts w:hint="eastAsia"/>
              </w:rPr>
              <w:t xml:space="preserve">鹏程路</w:t>
            </w:r>
            <w:r>
              <w:rPr>
                <w:rFonts w:hint="eastAsia"/>
              </w:rPr>
              <w:t xml:space="preserve">等</w:t>
            </w:r>
            <w:r>
              <w:t xml:space="preserve"> 7 条市政道路工程项目信诚大道（S002西部干线横溪河段）、千帆路、中</w:t>
            </w:r>
            <w:r>
              <w:t xml:space="preserve">萃</w:t>
            </w:r>
            <w:r>
              <w:t xml:space="preserve">路、定远路、雄鹰路、</w:t>
            </w:r>
            <w:r>
              <w:t xml:space="preserve">银燕路和鹏程路</w:t>
            </w:r>
            <w:r>
              <w:t xml:space="preserve">-信诚大道（S002 西部干线横溪河段）</w:t>
            </w:r>
            <w:r/>
          </w:p>
        </w:tc>
        <w:tc>
          <w:tcPr>
            <w:tcW w:w="1277" w:type="dxa"/>
            <w:vAlign w:val="center"/>
            <w:textDirection w:val="lrTb"/>
            <w:noWrap w:val="false"/>
          </w:tcPr>
          <w:p>
            <w:pPr>
              <w:jc w:val="center"/>
              <w:spacing w:line="240" w:lineRule="exact"/>
            </w:pPr>
            <w:r>
              <w:t xml:space="preserve"> 14,343.38 </w:t>
            </w:r>
            <w:r/>
          </w:p>
        </w:tc>
        <w:tc>
          <w:tcPr>
            <w:tcW w:w="852" w:type="dxa"/>
            <w:vAlign w:val="center"/>
            <w:textDirection w:val="lrTb"/>
            <w:noWrap w:val="false"/>
          </w:tcPr>
          <w:p>
            <w:pPr>
              <w:jc w:val="center"/>
              <w:spacing w:line="240" w:lineRule="exact"/>
            </w:pPr>
            <w:r>
              <w:t xml:space="preserve">5%</w:t>
            </w:r>
            <w:r/>
          </w:p>
        </w:tc>
        <w:tc>
          <w:tcPr>
            <w:tcW w:w="1135" w:type="dxa"/>
            <w:vAlign w:val="center"/>
            <w:textDirection w:val="lrTb"/>
            <w:noWrap w:val="false"/>
          </w:tcPr>
          <w:p>
            <w:pPr>
              <w:jc w:val="center"/>
              <w:spacing w:line="240" w:lineRule="exact"/>
            </w:pPr>
            <w:r>
              <w:t xml:space="preserve">33.94</w:t>
            </w:r>
            <w:r/>
          </w:p>
        </w:tc>
        <w:tc>
          <w:tcPr>
            <w:tcW w:w="589" w:type="dxa"/>
            <w:vAlign w:val="center"/>
            <w:vMerge w:val="continue"/>
            <w:textDirection w:val="lrTb"/>
            <w:noWrap w:val="false"/>
          </w:tcPr>
          <w:p>
            <w:pPr>
              <w:jc w:val="center"/>
              <w:spacing w:line="240" w:lineRule="exact"/>
            </w:pPr>
            <w:r/>
            <w:r/>
          </w:p>
        </w:tc>
      </w:tr>
      <w:tr>
        <w:trPr>
          <w:jc w:val="center"/>
          <w:trHeight w:val="113"/>
        </w:trPr>
        <w:tc>
          <w:tcPr>
            <w:tcW w:w="747" w:type="dxa"/>
            <w:vAlign w:val="center"/>
            <w:textDirection w:val="lrTb"/>
            <w:noWrap w:val="false"/>
          </w:tcPr>
          <w:p>
            <w:pPr>
              <w:pStyle w:val="859"/>
              <w:numPr>
                <w:ilvl w:val="0"/>
                <w:numId w:val="5"/>
              </w:numPr>
              <w:jc w:val="center"/>
              <w:spacing w:line="240" w:lineRule="exact"/>
            </w:pPr>
            <w:r/>
            <w:r/>
          </w:p>
        </w:tc>
        <w:tc>
          <w:tcPr>
            <w:tcW w:w="679" w:type="dxa"/>
            <w:vAlign w:val="center"/>
            <w:vMerge w:val="continue"/>
            <w:textDirection w:val="lrTb"/>
            <w:noWrap w:val="false"/>
          </w:tcPr>
          <w:p>
            <w:pPr>
              <w:jc w:val="center"/>
              <w:spacing w:line="240" w:lineRule="exact"/>
            </w:pPr>
            <w:r/>
            <w:r/>
          </w:p>
        </w:tc>
        <w:tc>
          <w:tcPr>
            <w:tcW w:w="3791" w:type="dxa"/>
            <w:textDirection w:val="lrTb"/>
            <w:noWrap w:val="false"/>
          </w:tcPr>
          <w:p>
            <w:pPr>
              <w:jc w:val="center"/>
              <w:spacing w:line="240" w:lineRule="exact"/>
            </w:pPr>
            <w:r>
              <w:rPr>
                <w:rFonts w:hint="eastAsia"/>
              </w:rPr>
              <w:t xml:space="preserve">苏源大道景观提升改造</w:t>
            </w:r>
            <w:r/>
          </w:p>
        </w:tc>
        <w:tc>
          <w:tcPr>
            <w:tcW w:w="1277" w:type="dxa"/>
            <w:vAlign w:val="center"/>
            <w:textDirection w:val="lrTb"/>
            <w:noWrap w:val="false"/>
          </w:tcPr>
          <w:p>
            <w:pPr>
              <w:jc w:val="center"/>
              <w:spacing w:line="240" w:lineRule="exact"/>
            </w:pPr>
            <w:r>
              <w:t xml:space="preserve"> 9,081.82 </w:t>
            </w:r>
            <w:r/>
          </w:p>
        </w:tc>
        <w:tc>
          <w:tcPr>
            <w:tcW w:w="852" w:type="dxa"/>
            <w:vAlign w:val="center"/>
            <w:textDirection w:val="lrTb"/>
            <w:noWrap w:val="false"/>
          </w:tcPr>
          <w:p>
            <w:pPr>
              <w:jc w:val="center"/>
              <w:spacing w:line="240" w:lineRule="exact"/>
            </w:pPr>
            <w:r>
              <w:t xml:space="preserve">5%</w:t>
            </w:r>
            <w:r/>
          </w:p>
        </w:tc>
        <w:tc>
          <w:tcPr>
            <w:tcW w:w="1135" w:type="dxa"/>
            <w:vAlign w:val="center"/>
            <w:textDirection w:val="lrTb"/>
            <w:noWrap w:val="false"/>
          </w:tcPr>
          <w:p>
            <w:pPr>
              <w:jc w:val="center"/>
              <w:spacing w:line="240" w:lineRule="exact"/>
            </w:pPr>
            <w:r>
              <w:t xml:space="preserve">22.15</w:t>
            </w:r>
            <w:r/>
          </w:p>
        </w:tc>
        <w:tc>
          <w:tcPr>
            <w:tcW w:w="589" w:type="dxa"/>
            <w:vAlign w:val="center"/>
            <w:vMerge w:val="continue"/>
            <w:textDirection w:val="lrTb"/>
            <w:noWrap w:val="false"/>
          </w:tcPr>
          <w:p>
            <w:pPr>
              <w:jc w:val="center"/>
              <w:spacing w:line="240" w:lineRule="exact"/>
            </w:pPr>
            <w:r/>
            <w:r/>
          </w:p>
        </w:tc>
      </w:tr>
    </w:tbl>
    <w:p>
      <w:pPr>
        <w:ind w:firstLine="482"/>
        <w:spacing w:line="340" w:lineRule="exact"/>
        <w:rPr>
          <w:b/>
          <w:bCs/>
          <w:sz w:val="24"/>
          <w:szCs w:val="24"/>
        </w:rPr>
      </w:pPr>
      <w:r>
        <w:rPr>
          <w:rFonts w:hint="eastAsia"/>
          <w:b/>
          <w:bCs/>
          <w:sz w:val="24"/>
          <w:szCs w:val="24"/>
        </w:rPr>
        <w:t xml:space="preserve">二、供应商基本要求</w:t>
      </w:r>
      <w:r/>
    </w:p>
    <w:p>
      <w:pPr>
        <w:ind w:firstLine="480"/>
        <w:spacing w:line="340" w:lineRule="exact"/>
        <w:rPr>
          <w:sz w:val="24"/>
          <w:szCs w:val="24"/>
        </w:rPr>
      </w:pPr>
      <w:r>
        <w:rPr>
          <w:rFonts w:hint="eastAsia"/>
          <w:sz w:val="24"/>
          <w:szCs w:val="24"/>
        </w:rPr>
        <w:t xml:space="preserve">（一）服务内容</w:t>
      </w:r>
      <w:r/>
    </w:p>
    <w:p>
      <w:pPr>
        <w:ind w:firstLine="480"/>
        <w:jc w:val="both"/>
        <w:spacing w:line="340" w:lineRule="exact"/>
        <w:rPr>
          <w:sz w:val="24"/>
          <w:szCs w:val="24"/>
        </w:rPr>
      </w:pPr>
      <w:r>
        <w:rPr>
          <w:rFonts w:hint="eastAsia"/>
          <w:sz w:val="24"/>
          <w:szCs w:val="24"/>
        </w:rPr>
        <w:t xml:space="preserve">华商路</w:t>
      </w:r>
      <w:r>
        <w:rPr>
          <w:rFonts w:hint="eastAsia"/>
          <w:sz w:val="24"/>
          <w:szCs w:val="24"/>
        </w:rPr>
        <w:t xml:space="preserve">改造、</w:t>
      </w:r>
      <w:r>
        <w:rPr>
          <w:rFonts w:hint="eastAsia"/>
          <w:sz w:val="24"/>
          <w:szCs w:val="24"/>
        </w:rPr>
        <w:t xml:space="preserve">鹏程路</w:t>
      </w:r>
      <w:r>
        <w:rPr>
          <w:rFonts w:hint="eastAsia"/>
          <w:sz w:val="24"/>
          <w:szCs w:val="24"/>
        </w:rPr>
        <w:t xml:space="preserve">等7条市政道路、苏源大道景观提升改造结算审计服务。</w:t>
      </w:r>
      <w:r/>
    </w:p>
    <w:p>
      <w:pPr>
        <w:ind w:firstLine="480"/>
        <w:spacing w:line="340" w:lineRule="exact"/>
        <w:rPr>
          <w:sz w:val="24"/>
          <w:szCs w:val="24"/>
        </w:rPr>
      </w:pPr>
      <w:r>
        <w:rPr>
          <w:rFonts w:hint="eastAsia"/>
          <w:sz w:val="24"/>
          <w:szCs w:val="24"/>
        </w:rPr>
        <w:t xml:space="preserve">（二）服务要求</w:t>
      </w:r>
      <w:r/>
    </w:p>
    <w:p>
      <w:pPr>
        <w:ind w:firstLine="480"/>
        <w:jc w:val="both"/>
        <w:spacing w:line="340" w:lineRule="exact"/>
        <w:rPr>
          <w:sz w:val="24"/>
          <w:szCs w:val="24"/>
        </w:rPr>
      </w:pPr>
      <w:r>
        <w:rPr>
          <w:sz w:val="24"/>
          <w:szCs w:val="24"/>
        </w:rPr>
        <w:t xml:space="preserve">1.主要审计事项</w:t>
      </w:r>
      <w:r/>
    </w:p>
    <w:p>
      <w:pPr>
        <w:ind w:firstLine="480"/>
        <w:jc w:val="both"/>
        <w:spacing w:line="340" w:lineRule="exact"/>
        <w:rPr>
          <w:sz w:val="24"/>
          <w:szCs w:val="24"/>
        </w:rPr>
      </w:pPr>
      <w:r>
        <w:rPr>
          <w:rFonts w:hint="eastAsia"/>
          <w:sz w:val="24"/>
          <w:szCs w:val="24"/>
        </w:rPr>
        <w:t xml:space="preserve">供应</w:t>
      </w:r>
      <w:r>
        <w:rPr>
          <w:rFonts w:hint="eastAsia"/>
          <w:sz w:val="24"/>
          <w:szCs w:val="24"/>
        </w:rPr>
        <w:t xml:space="preserve">商按照</w:t>
      </w:r>
      <w:r>
        <w:rPr>
          <w:rFonts w:hint="eastAsia"/>
          <w:sz w:val="24"/>
          <w:szCs w:val="24"/>
        </w:rPr>
        <w:t xml:space="preserve">相关法律法规文件、江宁区审计局《公共工程建设项目竣工决（结）算审计质量控制规程（试行）》，提供采购方需要的工程项目管理和造价专业服务。如履行基本建设程序情况、投资控制情况、项目管理情况、竣工决（结）算情况、项目建设资金筹集及使用情况等。供应商提供的审计人员编入审计组，按照审计方</w:t>
      </w:r>
      <w:r>
        <w:rPr>
          <w:rFonts w:hint="eastAsia"/>
          <w:sz w:val="24"/>
          <w:szCs w:val="24"/>
        </w:rPr>
        <w:t xml:space="preserve">案要求，负责审计取证及调查分析、编写审计底稿、提交工作报告、协助撰写其他所需材料、按照审计局档案归档规范协助编制项目档案等服务。</w:t>
      </w:r>
      <w:r/>
    </w:p>
    <w:p>
      <w:pPr>
        <w:ind w:firstLine="480"/>
        <w:jc w:val="both"/>
        <w:spacing w:line="340" w:lineRule="exact"/>
        <w:rPr>
          <w:sz w:val="24"/>
          <w:szCs w:val="24"/>
        </w:rPr>
      </w:pPr>
      <w:r>
        <w:rPr>
          <w:sz w:val="24"/>
          <w:szCs w:val="24"/>
        </w:rPr>
        <w:t xml:space="preserve">2.供应商依据造价行业主管部门及国家的有关规定及要求开展造价咨询工作，咨询质量满足</w:t>
      </w:r>
      <w:r>
        <w:rPr>
          <w:rFonts w:hint="eastAsia"/>
          <w:sz w:val="24"/>
          <w:szCs w:val="24"/>
        </w:rPr>
        <w:t xml:space="preserve">采购</w:t>
      </w:r>
      <w:r>
        <w:rPr>
          <w:sz w:val="24"/>
          <w:szCs w:val="24"/>
        </w:rPr>
        <w:t xml:space="preserve">人及行业主管的要求。供应商提交的咨询成果报告须文字清晰整齐，有较强的可复查性。</w:t>
      </w:r>
      <w:r/>
    </w:p>
    <w:p>
      <w:pPr>
        <w:ind w:firstLine="480"/>
        <w:jc w:val="both"/>
        <w:spacing w:line="340" w:lineRule="exact"/>
        <w:rPr>
          <w:sz w:val="24"/>
          <w:szCs w:val="24"/>
        </w:rPr>
      </w:pPr>
      <w:r>
        <w:rPr>
          <w:sz w:val="24"/>
          <w:szCs w:val="24"/>
        </w:rPr>
        <w:t xml:space="preserve">3.供应商提供工程项目的竣工结算相关审计服务工作，以整个工程项目或独立工程标段为审计服务标的。审计服务工作应严格履行供应商内部质量控制程序，并就审计服务内容提交加盖企业和执业印章的审计报告以及审计过程资料。</w:t>
      </w:r>
      <w:r/>
    </w:p>
    <w:p>
      <w:pPr>
        <w:ind w:firstLine="480"/>
        <w:jc w:val="both"/>
        <w:spacing w:line="340" w:lineRule="exact"/>
        <w:rPr>
          <w:sz w:val="24"/>
          <w:szCs w:val="24"/>
        </w:rPr>
      </w:pPr>
      <w:r>
        <w:rPr>
          <w:sz w:val="24"/>
          <w:szCs w:val="24"/>
        </w:rPr>
        <w:t xml:space="preserve">4.项目结束后，供应商需按照采购人要求提交审计取证单及审计证据、审计工作底稿、记录、纪要等资料（含电子稿），所有资料全面、完整、真实、准确；审计文书格式符合规范或审计要求、内容真实、证据充分（审定的事实清楚，数据确凿，表述准确，语言简练等）。</w:t>
      </w:r>
      <w:r/>
    </w:p>
    <w:p>
      <w:pPr>
        <w:ind w:firstLine="480"/>
        <w:spacing w:line="340" w:lineRule="exact"/>
        <w:rPr>
          <w:sz w:val="24"/>
          <w:szCs w:val="24"/>
        </w:rPr>
      </w:pPr>
      <w:r>
        <w:rPr>
          <w:rFonts w:hint="eastAsia"/>
          <w:sz w:val="24"/>
          <w:szCs w:val="24"/>
        </w:rPr>
        <w:t xml:space="preserve">（三）服务方式及人员要求</w:t>
      </w:r>
      <w:r/>
    </w:p>
    <w:p>
      <w:pPr>
        <w:ind w:firstLine="480"/>
        <w:spacing w:line="34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供应商应严格按照采购人提出的人员要求，提供足够数量，与审计服务需求相匹配的审计服务人员，并按通知时间到达审计现场</w:t>
      </w:r>
      <w:r>
        <w:rPr>
          <w:rFonts w:hint="eastAsia"/>
          <w:sz w:val="24"/>
          <w:szCs w:val="24"/>
        </w:rPr>
        <w:t xml:space="preserve">，现场审计时间不超过2个月</w:t>
      </w:r>
      <w:r>
        <w:rPr>
          <w:rFonts w:hint="eastAsia"/>
          <w:sz w:val="24"/>
          <w:szCs w:val="24"/>
        </w:rPr>
        <w:t xml:space="preserve">。</w:t>
      </w:r>
      <w:r/>
    </w:p>
    <w:p>
      <w:pPr>
        <w:ind w:firstLine="480"/>
        <w:spacing w:line="340" w:lineRule="exact"/>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w:t>
      </w:r>
      <w:r/>
    </w:p>
    <w:p>
      <w:pPr>
        <w:ind w:firstLine="480"/>
        <w:jc w:val="both"/>
        <w:spacing w:line="340" w:lineRule="exact"/>
        <w:rPr>
          <w:sz w:val="24"/>
          <w:szCs w:val="24"/>
        </w:rPr>
      </w:pPr>
      <w:r>
        <w:rPr>
          <w:rFonts w:hint="eastAsia"/>
          <w:sz w:val="24"/>
          <w:szCs w:val="24"/>
        </w:rPr>
        <w:t xml:space="preserve">供应商投入不少于</w:t>
      </w:r>
      <w:r>
        <w:rPr>
          <w:rFonts w:hint="eastAsia"/>
          <w:sz w:val="24"/>
          <w:szCs w:val="24"/>
          <w:lang w:val="en-US"/>
        </w:rPr>
        <w:t xml:space="preserve">10</w:t>
      </w:r>
      <w:r>
        <w:rPr>
          <w:sz w:val="24"/>
          <w:szCs w:val="24"/>
        </w:rPr>
        <w:t xml:space="preserve">人团队成员，其中至少</w:t>
      </w:r>
      <w:r>
        <w:rPr>
          <w:sz w:val="24"/>
          <w:szCs w:val="24"/>
          <w:lang w:val="en-US"/>
        </w:rPr>
        <w:t xml:space="preserve">6</w:t>
      </w:r>
      <w:r>
        <w:rPr>
          <w:sz w:val="24"/>
          <w:szCs w:val="24"/>
        </w:rPr>
        <w:t xml:space="preserve">名团队成员同时具备一级注册造价工程师和建设工程类高级工程师及以上职称，团队成员中应当具有</w:t>
      </w:r>
      <w:r>
        <w:rPr>
          <w:sz w:val="24"/>
          <w:szCs w:val="24"/>
          <w:lang w:val="en-US"/>
        </w:rPr>
        <w:t xml:space="preserve">2</w:t>
      </w:r>
      <w:r>
        <w:rPr>
          <w:sz w:val="24"/>
          <w:szCs w:val="24"/>
        </w:rPr>
        <w:t xml:space="preserve">名成员为“安装工程”专业、</w:t>
      </w:r>
      <w:r>
        <w:rPr>
          <w:sz w:val="24"/>
          <w:szCs w:val="24"/>
          <w:lang w:val="en-US"/>
        </w:rPr>
        <w:t xml:space="preserve">2</w:t>
      </w:r>
      <w:r>
        <w:rPr>
          <w:sz w:val="24"/>
          <w:szCs w:val="24"/>
        </w:rPr>
        <w:t xml:space="preserve">名成员为“</w:t>
      </w:r>
      <w:r>
        <w:rPr>
          <w:rFonts w:hint="eastAsia"/>
          <w:sz w:val="24"/>
          <w:szCs w:val="24"/>
        </w:rPr>
        <w:t xml:space="preserve">交通</w:t>
      </w:r>
      <w:r>
        <w:rPr>
          <w:sz w:val="24"/>
          <w:szCs w:val="24"/>
        </w:rPr>
        <w:t xml:space="preserve">运输工程”专业的一级注册造价工程师，所有成员男性不超过60周岁，女性不超过55周岁。（</w:t>
      </w:r>
      <w:r>
        <w:rPr>
          <w:rFonts w:hint="eastAsia"/>
          <w:sz w:val="24"/>
          <w:szCs w:val="24"/>
        </w:rPr>
        <w:t xml:space="preserve">提供注册在本单位的注册证书、职称证书原件彩色扫描件及</w:t>
      </w:r>
      <w:r>
        <w:rPr>
          <w:sz w:val="24"/>
          <w:szCs w:val="24"/>
        </w:rPr>
        <w:t xml:space="preserve">2026年1月至2026年6月期间投标人为其缴纳的至少一个月社保缴纳证明，年龄以身份证</w:t>
      </w:r>
      <w:r>
        <w:rPr>
          <w:sz w:val="24"/>
          <w:szCs w:val="24"/>
        </w:rPr>
        <w:t xml:space="preserve">号</w:t>
      </w:r>
      <w:r>
        <w:rPr>
          <w:sz w:val="24"/>
          <w:szCs w:val="24"/>
        </w:rPr>
        <w:t xml:space="preserve">年龄为准，</w:t>
      </w:r>
      <w:r>
        <w:rPr>
          <w:rFonts w:hint="eastAsia"/>
          <w:sz w:val="24"/>
          <w:szCs w:val="24"/>
        </w:rPr>
        <w:t xml:space="preserve">若上传的证书不完整、模糊等无法识别出有效信息的，视为无效）</w:t>
      </w:r>
      <w:r>
        <w:rPr>
          <w:sz w:val="24"/>
          <w:szCs w:val="24"/>
        </w:rPr>
        <w:t xml:space="preserve">。</w:t>
      </w:r>
      <w:r/>
    </w:p>
    <w:p>
      <w:pPr>
        <w:ind w:firstLine="482"/>
        <w:jc w:val="both"/>
        <w:spacing w:line="340" w:lineRule="exact"/>
        <w:rPr>
          <w:bCs/>
          <w:sz w:val="24"/>
          <w:szCs w:val="24"/>
        </w:rPr>
      </w:pPr>
      <w:r>
        <w:rPr>
          <w:rFonts w:hint="eastAsia"/>
          <w:bCs/>
          <w:sz w:val="24"/>
          <w:szCs w:val="24"/>
        </w:rPr>
        <w:t xml:space="preserve">供应商应在以上人员中明确</w:t>
      </w:r>
      <w:r>
        <w:rPr>
          <w:bCs/>
          <w:sz w:val="24"/>
          <w:szCs w:val="24"/>
        </w:rPr>
        <w:t xml:space="preserve">1</w:t>
      </w:r>
      <w:r>
        <w:rPr>
          <w:rFonts w:hint="eastAsia"/>
          <w:bCs/>
          <w:sz w:val="24"/>
          <w:szCs w:val="24"/>
        </w:rPr>
        <w:t xml:space="preserve">人为项目</w:t>
      </w:r>
      <w:r>
        <w:rPr>
          <w:rFonts w:hint="eastAsia"/>
          <w:bCs/>
          <w:sz w:val="24"/>
          <w:szCs w:val="24"/>
        </w:rPr>
        <w:t xml:space="preserve">组组长。组长须为</w:t>
      </w:r>
      <w:r>
        <w:rPr>
          <w:sz w:val="24"/>
          <w:szCs w:val="24"/>
        </w:rPr>
        <w:t xml:space="preserve">一级注册造价工程师</w:t>
      </w:r>
      <w:r>
        <w:rPr>
          <w:rFonts w:hint="eastAsia"/>
          <w:bCs/>
          <w:sz w:val="24"/>
          <w:szCs w:val="24"/>
        </w:rPr>
        <w:t xml:space="preserve">且具备高级工程师及以上技术职称（</w:t>
      </w:r>
      <w:r>
        <w:rPr>
          <w:sz w:val="24"/>
          <w:szCs w:val="24"/>
        </w:rPr>
        <w:t xml:space="preserve">建设工程类</w:t>
      </w:r>
      <w:r>
        <w:rPr>
          <w:rFonts w:hint="eastAsia"/>
          <w:bCs/>
          <w:sz w:val="24"/>
          <w:szCs w:val="24"/>
        </w:rPr>
        <w:t xml:space="preserve">）。供应商派出的项目组组长需全程参与审计过程，供应商无权撤出响应文件中提供的人员，如因人员离职、丧失工作能力等原因有增补调换须得到采购人的同意。</w:t>
      </w:r>
      <w:r/>
    </w:p>
    <w:p>
      <w:pPr>
        <w:pStyle w:val="1135"/>
        <w:jc w:val="left"/>
        <w:spacing w:line="340" w:lineRule="exact"/>
        <w:rPr>
          <w:bCs/>
          <w:sz w:val="24"/>
          <w:szCs w:val="24"/>
        </w:rPr>
      </w:pPr>
      <w:r>
        <w:rPr>
          <w:rFonts w:hint="eastAsia"/>
          <w:bCs/>
          <w:sz w:val="24"/>
          <w:szCs w:val="24"/>
        </w:rPr>
        <w:t xml:space="preserve">3</w:t>
      </w:r>
      <w:r>
        <w:rPr>
          <w:bCs/>
          <w:sz w:val="24"/>
          <w:szCs w:val="24"/>
        </w:rPr>
        <w:t xml:space="preserve">.</w:t>
      </w:r>
      <w:r>
        <w:rPr>
          <w:rFonts w:hint="eastAsia"/>
          <w:bCs/>
          <w:sz w:val="24"/>
          <w:szCs w:val="24"/>
          <w:lang w:val="en-US"/>
        </w:rPr>
        <w:t xml:space="preserve">项目组组长必须</w:t>
      </w:r>
      <w:r>
        <w:rPr>
          <w:rFonts w:hint="eastAsia"/>
          <w:bCs/>
          <w:sz w:val="24"/>
          <w:szCs w:val="24"/>
        </w:rPr>
        <w:t xml:space="preserve">驻场审计，</w:t>
      </w:r>
      <w:r>
        <w:rPr>
          <w:rFonts w:hint="eastAsia"/>
          <w:bCs/>
          <w:sz w:val="24"/>
          <w:szCs w:val="24"/>
          <w:lang w:val="en-US"/>
        </w:rPr>
        <w:t xml:space="preserve">项目组成员中至少</w:t>
      </w:r>
      <w:r>
        <w:rPr>
          <w:bCs/>
          <w:sz w:val="24"/>
          <w:szCs w:val="24"/>
          <w:lang w:val="en-US"/>
        </w:rPr>
        <w:t xml:space="preserve">3人</w:t>
      </w:r>
      <w:r>
        <w:rPr>
          <w:rFonts w:hint="eastAsia"/>
          <w:bCs/>
          <w:sz w:val="24"/>
          <w:szCs w:val="24"/>
          <w:lang w:val="en-US"/>
        </w:rPr>
        <w:t xml:space="preserve">驻场审计（含项目组组长）。</w:t>
      </w:r>
      <w:r>
        <w:rPr>
          <w:rFonts w:hint="eastAsia"/>
          <w:bCs/>
          <w:sz w:val="24"/>
          <w:szCs w:val="24"/>
        </w:rPr>
        <w:t xml:space="preserve">驻场地址南京市江宁区通淮街</w:t>
      </w:r>
      <w:r>
        <w:rPr>
          <w:bCs/>
          <w:sz w:val="24"/>
          <w:szCs w:val="24"/>
        </w:rPr>
        <w:t xml:space="preserve">38</w:t>
      </w:r>
      <w:r>
        <w:rPr>
          <w:rFonts w:hint="eastAsia"/>
          <w:bCs/>
          <w:sz w:val="24"/>
          <w:szCs w:val="24"/>
        </w:rPr>
        <w:t xml:space="preserve">号，采购人为供应商提供不少于</w:t>
      </w:r>
      <w:r>
        <w:rPr>
          <w:rFonts w:hint="eastAsia"/>
          <w:bCs/>
          <w:sz w:val="24"/>
          <w:szCs w:val="24"/>
          <w:lang w:val="en-US"/>
        </w:rPr>
        <w:t xml:space="preserve">3</w:t>
      </w:r>
      <w:r>
        <w:rPr>
          <w:rFonts w:hint="eastAsia"/>
          <w:bCs/>
          <w:sz w:val="24"/>
          <w:szCs w:val="24"/>
        </w:rPr>
        <w:t xml:space="preserve">个办公工位及基本办公条件，供应商支付租赁费</w:t>
      </w:r>
      <w:r>
        <w:rPr>
          <w:bCs/>
          <w:sz w:val="24"/>
          <w:szCs w:val="24"/>
        </w:rPr>
        <w:t xml:space="preserve">300</w:t>
      </w:r>
      <w:r>
        <w:rPr>
          <w:rFonts w:hint="eastAsia"/>
          <w:bCs/>
          <w:sz w:val="24"/>
          <w:szCs w:val="24"/>
        </w:rPr>
        <w:t xml:space="preserve">元</w:t>
      </w:r>
      <w:r>
        <w:rPr>
          <w:bCs/>
          <w:sz w:val="24"/>
          <w:szCs w:val="24"/>
        </w:rPr>
        <w:t xml:space="preserve">/</w:t>
      </w:r>
      <w:r>
        <w:rPr>
          <w:rFonts w:hint="eastAsia"/>
          <w:bCs/>
          <w:sz w:val="24"/>
          <w:szCs w:val="24"/>
        </w:rPr>
        <w:t xml:space="preserve">月</w:t>
      </w:r>
      <w:r>
        <w:rPr>
          <w:bCs/>
          <w:sz w:val="24"/>
          <w:szCs w:val="24"/>
        </w:rPr>
        <w:t xml:space="preserve">/</w:t>
      </w:r>
      <w:r>
        <w:rPr>
          <w:rFonts w:hint="eastAsia"/>
          <w:bCs/>
          <w:sz w:val="24"/>
          <w:szCs w:val="24"/>
        </w:rPr>
        <w:t xml:space="preserve">工位，供应商与办公点管理方签订租赁合同。</w:t>
      </w:r>
      <w:r>
        <w:rPr>
          <w:rFonts w:hint="eastAsia"/>
          <w:bCs/>
          <w:sz w:val="24"/>
          <w:szCs w:val="24"/>
          <w:lang w:val="en-US"/>
        </w:rPr>
        <w:t xml:space="preserve">工作时间按国家法定工作时间执行。项目审计过程中，如遇需要攻坚、集中审核等特殊情况，供应商提供的</w:t>
      </w:r>
      <w:r>
        <w:rPr>
          <w:rFonts w:hint="eastAsia"/>
          <w:bCs/>
          <w:sz w:val="24"/>
          <w:szCs w:val="24"/>
        </w:rPr>
        <w:t xml:space="preserve">人员数量视采购人需求确定。</w:t>
      </w:r>
      <w:r/>
    </w:p>
    <w:p>
      <w:pPr>
        <w:pStyle w:val="1135"/>
        <w:spacing w:line="340" w:lineRule="exact"/>
        <w:rPr>
          <w:sz w:val="24"/>
          <w:szCs w:val="24"/>
        </w:rPr>
      </w:pPr>
      <w:r>
        <w:rPr>
          <w:rFonts w:hint="eastAsia"/>
          <w:sz w:val="24"/>
          <w:szCs w:val="24"/>
        </w:rPr>
        <w:t xml:space="preserve">4.供应商须承诺，为保障项目实施进度及质量，供应商拟派</w:t>
      </w:r>
      <w:r>
        <w:rPr>
          <w:rFonts w:hint="eastAsia"/>
          <w:sz w:val="24"/>
          <w:szCs w:val="24"/>
        </w:rPr>
        <w:t xml:space="preserve">出项目团队成员必须按采购人要求驻场审计，专注实施本项目。如因供应商原因造成项目延误，我局有权要求调整（包括增加或更换）不能胜任的项目团队成员；拒不调整的，我局有权解除服务合同并且不支付任何审计费用。供应商须在承诺书中明确说明有无正在实施的我局结算审计项目。如有此类项目，须在承诺书附表中如实填写正在实施的我局结算审计项目团队成员信息，承诺拟派出本项目团队成员与正在实施的我局结算审计项目驻场人员（包含项目负责人）不重复，未填写或虚假填写视同未响应实质性要求；如无此类项目，可不填写此表。（承诺书格式详见本章后附）</w:t>
      </w:r>
      <w:r/>
    </w:p>
    <w:p>
      <w:pPr>
        <w:ind w:firstLine="482"/>
        <w:spacing w:line="340" w:lineRule="exact"/>
        <w:rPr>
          <w:b/>
          <w:bCs/>
          <w:sz w:val="24"/>
          <w:szCs w:val="24"/>
        </w:rPr>
      </w:pPr>
      <w:r>
        <w:rPr>
          <w:rFonts w:hint="eastAsia"/>
          <w:b/>
          <w:bCs/>
          <w:sz w:val="24"/>
          <w:szCs w:val="24"/>
        </w:rPr>
        <w:t xml:space="preserve">三、项目服务周期</w:t>
      </w:r>
      <w:r/>
    </w:p>
    <w:p>
      <w:pPr>
        <w:ind w:firstLine="482"/>
        <w:spacing w:line="340" w:lineRule="exact"/>
        <w:rPr>
          <w:sz w:val="24"/>
          <w:szCs w:val="24"/>
        </w:rPr>
      </w:pPr>
      <w:r>
        <w:rPr>
          <w:rFonts w:hint="eastAsia"/>
          <w:sz w:val="24"/>
          <w:szCs w:val="24"/>
        </w:rPr>
        <w:t xml:space="preserve">自签订合同后</w:t>
      </w:r>
      <w:r>
        <w:rPr>
          <w:sz w:val="24"/>
          <w:szCs w:val="24"/>
        </w:rPr>
        <w:t xml:space="preserve">6个月。</w:t>
      </w:r>
      <w:r/>
    </w:p>
    <w:p>
      <w:pPr>
        <w:ind w:firstLine="482"/>
        <w:spacing w:line="340" w:lineRule="exact"/>
        <w:rPr>
          <w:b/>
          <w:bCs/>
          <w:sz w:val="24"/>
          <w:szCs w:val="24"/>
        </w:rPr>
      </w:pPr>
      <w:r>
        <w:rPr>
          <w:rFonts w:hint="eastAsia"/>
          <w:b/>
          <w:bCs/>
          <w:sz w:val="24"/>
          <w:szCs w:val="24"/>
        </w:rPr>
        <w:t xml:space="preserve">四、价格确定</w:t>
      </w:r>
      <w:r/>
    </w:p>
    <w:p>
      <w:pPr>
        <w:ind w:firstLine="482"/>
        <w:jc w:val="both"/>
        <w:spacing w:line="340" w:lineRule="exact"/>
        <w:rPr>
          <w:sz w:val="24"/>
          <w:szCs w:val="24"/>
        </w:rPr>
      </w:pPr>
      <w:r>
        <w:rPr>
          <w:sz w:val="24"/>
          <w:szCs w:val="24"/>
        </w:rPr>
        <w:t xml:space="preserve">1.本项目造价咨询服务费参照“苏价服〔2014〕383号文件”中工程结算审核（基本收费+效益收费）收费标准*</w:t>
      </w:r>
      <w:r>
        <w:rPr>
          <w:rFonts w:hint="eastAsia"/>
          <w:sz w:val="24"/>
          <w:szCs w:val="24"/>
          <w:lang w:val="en-US"/>
        </w:rPr>
        <w:t xml:space="preserve">价格系数</w:t>
      </w:r>
      <w:r>
        <w:rPr>
          <w:sz w:val="24"/>
          <w:szCs w:val="24"/>
        </w:rPr>
        <w:t xml:space="preserve">。</w:t>
      </w:r>
      <w:r>
        <w:rPr>
          <w:rFonts w:hint="eastAsia"/>
          <w:sz w:val="24"/>
          <w:szCs w:val="24"/>
          <w:lang w:val="en-US"/>
        </w:rPr>
        <w:t xml:space="preserve">价格系数</w:t>
      </w:r>
      <w:r>
        <w:rPr>
          <w:sz w:val="24"/>
          <w:szCs w:val="24"/>
        </w:rPr>
        <w:t xml:space="preserve">不得超过本项目最高限价</w:t>
      </w:r>
      <w:r>
        <w:rPr>
          <w:rFonts w:hint="eastAsia"/>
          <w:sz w:val="24"/>
          <w:szCs w:val="24"/>
        </w:rPr>
        <w:t xml:space="preserve">（</w:t>
      </w:r>
      <w:r>
        <w:rPr>
          <w:rFonts w:hint="eastAsia"/>
          <w:sz w:val="24"/>
          <w:szCs w:val="24"/>
          <w:lang w:val="en-US"/>
        </w:rPr>
        <w:t xml:space="preserve">即</w:t>
      </w:r>
      <w:r>
        <w:rPr>
          <w:sz w:val="24"/>
          <w:szCs w:val="24"/>
        </w:rPr>
        <w:t xml:space="preserve">60%</w:t>
      </w:r>
      <w:r>
        <w:rPr>
          <w:rFonts w:hint="eastAsia"/>
          <w:sz w:val="24"/>
          <w:szCs w:val="24"/>
        </w:rPr>
        <w:t xml:space="preserve">）</w:t>
      </w:r>
      <w:r>
        <w:rPr>
          <w:sz w:val="24"/>
          <w:szCs w:val="24"/>
        </w:rPr>
        <w:t xml:space="preserve">，否则视为无效投标。</w:t>
      </w:r>
      <w:r/>
    </w:p>
    <w:p>
      <w:pPr>
        <w:ind w:firstLine="482"/>
        <w:jc w:val="both"/>
        <w:spacing w:line="340" w:lineRule="exact"/>
        <w:rPr>
          <w:sz w:val="24"/>
          <w:szCs w:val="24"/>
        </w:rPr>
      </w:pPr>
      <w:r>
        <w:rPr>
          <w:sz w:val="24"/>
          <w:szCs w:val="24"/>
        </w:rPr>
        <w:t xml:space="preserve">2.本项目结算时，“基本收费”的收费基数为实际送审总金额。</w:t>
      </w:r>
      <w:r/>
    </w:p>
    <w:p>
      <w:pPr>
        <w:ind w:firstLine="482"/>
        <w:jc w:val="both"/>
        <w:spacing w:line="340" w:lineRule="exact"/>
        <w:rPr>
          <w:sz w:val="24"/>
          <w:szCs w:val="24"/>
        </w:rPr>
      </w:pPr>
      <w:r>
        <w:rPr>
          <w:sz w:val="24"/>
          <w:szCs w:val="24"/>
        </w:rPr>
        <w:t xml:space="preserve">3.任何原因导致最终造价咨询服务费超出本项目预算金额（即142万元）均不予增加。</w:t>
      </w:r>
      <w:r/>
    </w:p>
    <w:p>
      <w:pPr>
        <w:ind w:firstLine="482"/>
        <w:jc w:val="both"/>
        <w:spacing w:line="340" w:lineRule="exact"/>
        <w:rPr>
          <w:sz w:val="24"/>
          <w:szCs w:val="24"/>
        </w:rPr>
      </w:pPr>
      <w:r>
        <w:rPr>
          <w:sz w:val="24"/>
          <w:szCs w:val="24"/>
        </w:rPr>
        <w:t xml:space="preserve">4.投标报价应包含开展工作的全部费用以及成交供应商派出人员提供服务的所有费用。</w:t>
      </w:r>
      <w:r/>
    </w:p>
    <w:p>
      <w:pPr>
        <w:ind w:firstLine="482"/>
        <w:jc w:val="both"/>
        <w:spacing w:line="340" w:lineRule="exact"/>
        <w:rPr>
          <w:sz w:val="24"/>
          <w:szCs w:val="24"/>
        </w:rPr>
      </w:pPr>
      <w:r>
        <w:rPr>
          <w:sz w:val="24"/>
          <w:szCs w:val="24"/>
        </w:rPr>
        <w:t xml:space="preserve">5.最终服务费=“苏价服〔2014〕383号文件”中工程结算审核（基本收费+效益收费）收费标准*</w:t>
      </w:r>
      <w:r>
        <w:rPr>
          <w:rFonts w:hint="eastAsia"/>
          <w:sz w:val="24"/>
          <w:szCs w:val="24"/>
          <w:lang w:val="en-US"/>
        </w:rPr>
        <w:t xml:space="preserve">价格系数</w:t>
      </w:r>
      <w:r>
        <w:rPr>
          <w:sz w:val="24"/>
          <w:szCs w:val="24"/>
        </w:rPr>
        <w:t xml:space="preserve">*调整比例，最高不超过本项目预算金额</w:t>
      </w:r>
      <w:r>
        <w:rPr>
          <w:rFonts w:hint="eastAsia"/>
          <w:sz w:val="24"/>
          <w:szCs w:val="24"/>
        </w:rPr>
        <w:t xml:space="preserve">（即142万元</w:t>
      </w:r>
      <w:r>
        <w:rPr>
          <w:sz w:val="24"/>
          <w:szCs w:val="24"/>
        </w:rPr>
        <w:t xml:space="preserve">）。</w:t>
      </w:r>
      <w:r/>
    </w:p>
    <w:p>
      <w:pPr>
        <w:ind w:firstLine="482"/>
        <w:jc w:val="both"/>
        <w:spacing w:line="340" w:lineRule="exact"/>
        <w:rPr>
          <w:sz w:val="24"/>
          <w:szCs w:val="24"/>
        </w:rPr>
      </w:pPr>
      <w:r>
        <w:rPr>
          <w:sz w:val="24"/>
          <w:szCs w:val="24"/>
        </w:rPr>
        <w:t xml:space="preserve">6.本次招标项目为复审，采购人复审平均核减率约为</w:t>
      </w:r>
      <w:r>
        <w:rPr>
          <w:rFonts w:hint="eastAsia"/>
          <w:sz w:val="24"/>
          <w:szCs w:val="24"/>
        </w:rPr>
        <w:t xml:space="preserve">5%</w:t>
      </w:r>
      <w:r>
        <w:rPr>
          <w:sz w:val="24"/>
          <w:szCs w:val="24"/>
        </w:rPr>
        <w:t xml:space="preserve">，最终以实际为准。预算金额均为暂按</w:t>
      </w:r>
      <w:r>
        <w:rPr>
          <w:rFonts w:hint="eastAsia"/>
          <w:sz w:val="24"/>
          <w:szCs w:val="24"/>
        </w:rPr>
        <w:t xml:space="preserve">5%</w:t>
      </w:r>
      <w:r>
        <w:rPr>
          <w:sz w:val="24"/>
          <w:szCs w:val="24"/>
        </w:rPr>
        <w:t xml:space="preserve"> 核减率及“苏价服〔2014〕383号文件”中工程结算审核（基本收费+效益收费）收费标准*60%测算。</w:t>
      </w:r>
      <w:r/>
    </w:p>
    <w:p>
      <w:pPr>
        <w:ind w:firstLine="482"/>
        <w:jc w:val="both"/>
        <w:spacing w:line="340" w:lineRule="exact"/>
        <w:rPr>
          <w:sz w:val="24"/>
          <w:szCs w:val="24"/>
          <w:lang w:val="en-US"/>
        </w:rPr>
      </w:pPr>
      <w:r>
        <w:rPr>
          <w:rFonts w:hint="eastAsia"/>
          <w:sz w:val="24"/>
          <w:szCs w:val="24"/>
          <w:lang w:val="en-US"/>
        </w:rPr>
        <w:t xml:space="preserve">（注：因投标文件投标报价一览表格式为系统自带模板，不可更改，模板中“优惠率”即价格系数。价格系数应在0%（含）-60%（含）之间填报。举例，如供应商拟报价格系数4</w:t>
      </w:r>
      <w:r>
        <w:rPr>
          <w:sz w:val="24"/>
          <w:szCs w:val="24"/>
          <w:lang w:val="en-US"/>
        </w:rPr>
        <w:t xml:space="preserve">0%，请直接将“</w:t>
      </w:r>
      <w:r>
        <w:rPr>
          <w:rFonts w:hint="eastAsia"/>
          <w:sz w:val="24"/>
          <w:szCs w:val="24"/>
          <w:lang w:val="en-US"/>
        </w:rPr>
        <w:t xml:space="preserve">4</w:t>
      </w:r>
      <w:r>
        <w:rPr>
          <w:sz w:val="24"/>
          <w:szCs w:val="24"/>
          <w:lang w:val="en-US"/>
        </w:rPr>
        <w:t xml:space="preserve">0%”填入苏</w:t>
      </w:r>
      <w:r>
        <w:rPr>
          <w:sz w:val="24"/>
          <w:szCs w:val="24"/>
          <w:lang w:val="en-US"/>
        </w:rPr>
        <w:t xml:space="preserve">采云</w:t>
      </w:r>
      <w:r>
        <w:rPr>
          <w:sz w:val="24"/>
          <w:szCs w:val="24"/>
          <w:lang w:val="en-US"/>
        </w:rPr>
        <w:t xml:space="preserve">报价一览表，</w:t>
      </w:r>
      <w:r>
        <w:rPr>
          <w:sz w:val="24"/>
          <w:szCs w:val="24"/>
          <w:lang w:val="en-US"/>
        </w:rPr>
        <w:t xml:space="preserve">勿填“</w:t>
      </w:r>
      <w:r>
        <w:rPr>
          <w:rFonts w:hint="eastAsia"/>
          <w:sz w:val="24"/>
          <w:szCs w:val="24"/>
          <w:lang w:val="en-US"/>
        </w:rPr>
        <w:t xml:space="preserve">6</w:t>
      </w:r>
      <w:r>
        <w:rPr>
          <w:sz w:val="24"/>
          <w:szCs w:val="24"/>
          <w:lang w:val="en-US"/>
        </w:rPr>
        <w:t xml:space="preserve">0%”</w:t>
      </w:r>
      <w:r>
        <w:rPr>
          <w:sz w:val="24"/>
          <w:szCs w:val="24"/>
          <w:lang w:val="en-US"/>
        </w:rPr>
        <w:t xml:space="preserve">。当在苏</w:t>
      </w:r>
      <w:r>
        <w:rPr>
          <w:sz w:val="24"/>
          <w:szCs w:val="24"/>
          <w:lang w:val="en-US"/>
        </w:rPr>
        <w:t xml:space="preserve">采云</w:t>
      </w:r>
      <w:r>
        <w:rPr>
          <w:sz w:val="24"/>
          <w:szCs w:val="24"/>
          <w:lang w:val="en-US"/>
        </w:rPr>
        <w:t xml:space="preserve">报价一览表中填写</w:t>
      </w:r>
      <w:r>
        <w:rPr>
          <w:rFonts w:hint="eastAsia"/>
          <w:sz w:val="24"/>
          <w:szCs w:val="24"/>
          <w:lang w:val="en-US"/>
        </w:rPr>
        <w:t xml:space="preserve">4</w:t>
      </w:r>
      <w:r>
        <w:rPr>
          <w:sz w:val="24"/>
          <w:szCs w:val="24"/>
          <w:lang w:val="en-US"/>
        </w:rPr>
        <w:t xml:space="preserve">0%时，</w:t>
      </w:r>
      <w:r>
        <w:rPr>
          <w:sz w:val="24"/>
          <w:szCs w:val="24"/>
        </w:rPr>
        <w:t xml:space="preserve">最终服务费=“苏价服〔2014〕383号文件”中工程结算审核（基本收费+效益收费）收费标准*</w:t>
      </w:r>
      <w:r>
        <w:rPr>
          <w:rFonts w:hint="eastAsia"/>
          <w:sz w:val="24"/>
          <w:szCs w:val="24"/>
          <w:lang w:val="en-US"/>
        </w:rPr>
        <w:t xml:space="preserve">40%</w:t>
      </w:r>
      <w:r>
        <w:rPr>
          <w:sz w:val="24"/>
          <w:szCs w:val="24"/>
        </w:rPr>
        <w:t xml:space="preserve">*调整比例，最高不超过本项目预算金额。</w:t>
      </w:r>
      <w:r>
        <w:rPr>
          <w:sz w:val="24"/>
          <w:szCs w:val="24"/>
          <w:lang w:val="en-US"/>
        </w:rPr>
        <w:t xml:space="preserve">如有理解不清，请提前拨打电话025-86170600或</w:t>
      </w:r>
      <w:r>
        <w:rPr>
          <w:rFonts w:hint="eastAsia"/>
          <w:sz w:val="24"/>
          <w:szCs w:val="24"/>
          <w:lang w:val="en-US"/>
        </w:rPr>
        <w:t xml:space="preserve">电子邮件</w:t>
      </w:r>
      <w:r>
        <w:rPr>
          <w:sz w:val="24"/>
          <w:szCs w:val="24"/>
          <w:lang w:val="en-US"/>
        </w:rPr>
        <w:t xml:space="preserve">njjszxlll@163.com咨询）</w:t>
      </w:r>
      <w:r/>
    </w:p>
    <w:p>
      <w:pPr>
        <w:ind w:firstLine="482"/>
        <w:spacing w:line="340" w:lineRule="exact"/>
      </w:pPr>
      <w:r>
        <w:rPr>
          <w:rFonts w:hint="eastAsia"/>
          <w:b/>
          <w:bCs/>
          <w:sz w:val="24"/>
          <w:szCs w:val="24"/>
        </w:rPr>
        <w:t xml:space="preserve">五、用户反馈和评价机制</w:t>
      </w:r>
      <w:r/>
    </w:p>
    <w:p>
      <w:pPr>
        <w:ind w:firstLine="480"/>
        <w:jc w:val="both"/>
        <w:spacing w:line="340" w:lineRule="exact"/>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p>
    <w:p>
      <w:pPr>
        <w:ind w:firstLine="482"/>
        <w:spacing w:line="340" w:lineRule="exact"/>
        <w:rPr>
          <w:b/>
          <w:bCs/>
          <w:sz w:val="24"/>
          <w:szCs w:val="24"/>
        </w:rPr>
      </w:pPr>
      <w:r>
        <w:rPr>
          <w:rFonts w:hint="eastAsia"/>
          <w:b/>
          <w:bCs/>
          <w:sz w:val="24"/>
          <w:szCs w:val="24"/>
        </w:rPr>
        <w:t xml:space="preserve">六、付款条件</w:t>
      </w:r>
      <w:r/>
    </w:p>
    <w:p>
      <w:pPr>
        <w:ind w:firstLine="480"/>
        <w:jc w:val="both"/>
        <w:spacing w:line="340" w:lineRule="exact"/>
        <w:rPr>
          <w:sz w:val="24"/>
          <w:szCs w:val="24"/>
        </w:rPr>
      </w:pPr>
      <w:r>
        <w:rPr>
          <w:rFonts w:hint="eastAsia"/>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p>
    <w:p>
      <w:pPr>
        <w:ind w:firstLine="482"/>
        <w:jc w:val="both"/>
        <w:spacing w:line="340" w:lineRule="exact"/>
        <w:rPr>
          <w:sz w:val="24"/>
          <w:szCs w:val="24"/>
        </w:rPr>
      </w:pPr>
      <w:r>
        <w:rPr>
          <w:sz w:val="24"/>
          <w:szCs w:val="24"/>
        </w:rPr>
        <w:t xml:space="preserve">合同价款根据考核结果</w:t>
      </w:r>
      <w:r>
        <w:rPr>
          <w:rFonts w:hint="eastAsia"/>
          <w:sz w:val="24"/>
          <w:szCs w:val="24"/>
        </w:rPr>
        <w:t xml:space="preserve">（《审计服务中介机构履约考核表》考核）</w:t>
      </w:r>
      <w:r>
        <w:rPr>
          <w:sz w:val="24"/>
          <w:szCs w:val="24"/>
        </w:rPr>
        <w:t xml:space="preserve">分值按如下原则确定调整比例：90分（含）以上为100%，80分为95%，70分为85%，60分为70%，中间分值按插值法计算，从60分起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r/>
    </w:p>
    <w:p>
      <w:pPr>
        <w:ind w:firstLine="482"/>
        <w:spacing w:line="340" w:lineRule="exact"/>
        <w:rPr>
          <w:b/>
          <w:bCs/>
          <w:sz w:val="28"/>
          <w:szCs w:val="24"/>
        </w:r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并提供承诺书（格式如下），否则视为无效响应文件。</w:t>
      </w:r>
      <w:r/>
    </w:p>
    <w:p>
      <w:pPr>
        <w:ind w:firstLine="482"/>
        <w:spacing w:line="340" w:lineRule="exact"/>
        <w:rPr>
          <w:b/>
          <w:bCs/>
          <w:sz w:val="28"/>
          <w:szCs w:val="24"/>
        </w:rPr>
      </w:pPr>
      <w:r>
        <w:rPr>
          <w:b/>
          <w:bCs/>
          <w:sz w:val="28"/>
          <w:szCs w:val="24"/>
        </w:rPr>
      </w:r>
      <w:r/>
    </w:p>
    <w:p>
      <w:pPr>
        <w:jc w:val="center"/>
        <w:spacing w:before="251" w:line="360" w:lineRule="auto"/>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jc w:val="center"/>
        <w:spacing w:before="251" w:line="360" w:lineRule="auto"/>
        <w:rPr>
          <w:b/>
          <w:spacing w:val="1"/>
          <w:sz w:val="36"/>
        </w:rPr>
      </w:pPr>
      <w:r>
        <w:rPr>
          <w:rFonts w:hint="eastAsia"/>
          <w:b/>
          <w:spacing w:val="1"/>
          <w:sz w:val="36"/>
        </w:rPr>
        <w:t xml:space="preserve">实质性要求</w:t>
      </w:r>
      <w:r>
        <w:rPr>
          <w:rFonts w:hint="eastAsia"/>
          <w:b/>
          <w:spacing w:val="1"/>
          <w:sz w:val="36"/>
        </w:rPr>
        <w:t xml:space="preserve">完全响应</w:t>
      </w:r>
      <w:r>
        <w:rPr>
          <w:rFonts w:hint="eastAsia"/>
          <w:b/>
          <w:spacing w:val="1"/>
          <w:sz w:val="36"/>
        </w:rPr>
        <w:t xml:space="preserve">承诺书</w:t>
      </w:r>
      <w:r/>
    </w:p>
    <w:p>
      <w:pPr>
        <w:ind w:firstLine="482"/>
        <w:spacing w:line="360" w:lineRule="auto"/>
      </w:pPr>
      <w:r>
        <w:rPr>
          <w:rFonts w:hint="eastAsia"/>
          <w:szCs w:val="21"/>
        </w:rPr>
        <w:t xml:space="preserve">南京市江宁区审计局</w:t>
      </w:r>
      <w:r>
        <w:rPr>
          <w:rFonts w:hint="eastAsia"/>
        </w:rPr>
        <w:t xml:space="preserve">：</w:t>
      </w:r>
      <w:r/>
    </w:p>
    <w:p>
      <w:pPr>
        <w:ind w:firstLine="482"/>
      </w:pPr>
      <w:r>
        <w:rPr>
          <w:rFonts w:hint="eastAsia"/>
        </w:rPr>
        <w:t xml:space="preserve">我司承诺，</w:t>
      </w:r>
      <w:r>
        <w:rPr>
          <w:rFonts w:hint="eastAsia"/>
        </w:rPr>
        <w:t xml:space="preserve">完全响应</w:t>
      </w:r>
      <w:r>
        <w:rPr>
          <w:u w:val="single"/>
        </w:rPr>
        <w:t xml:space="preserve">        </w:t>
      </w:r>
      <w:r>
        <w:rPr>
          <w:rFonts w:hint="eastAsia"/>
        </w:rPr>
        <w:t xml:space="preserve">（项目名称）</w:t>
      </w:r>
      <w:r>
        <w:rPr>
          <w:u w:val="single"/>
        </w:rPr>
        <w:t xml:space="preserve">     </w:t>
      </w:r>
      <w:r>
        <w:rPr>
          <w:rFonts w:hint="eastAsia"/>
        </w:rPr>
        <w:t xml:space="preserve">（</w:t>
      </w:r>
      <w:r>
        <w:t xml:space="preserve">项目编号</w:t>
      </w:r>
      <w:r>
        <w:rPr>
          <w:rFonts w:hint="eastAsia"/>
        </w:rPr>
        <w:t xml:space="preserve">）</w:t>
      </w:r>
      <w:r>
        <w:rPr>
          <w:rFonts w:hint="eastAsia"/>
          <w:u w:val="single"/>
        </w:rPr>
        <w:t xml:space="preserve">    </w:t>
      </w:r>
      <w:r>
        <w:rPr>
          <w:rFonts w:hint="eastAsia"/>
        </w:rPr>
        <w:t xml:space="preserve">（包号，如有）招标文件“第四章</w:t>
      </w:r>
      <w:r>
        <w:t xml:space="preserve"> </w:t>
      </w:r>
      <w:r>
        <w:rPr>
          <w:rFonts w:hint="eastAsia"/>
        </w:rPr>
        <w:t xml:space="preserve">项目需求”中所有“实质性要求”。</w:t>
      </w:r>
      <w:r/>
    </w:p>
    <w:p>
      <w:pPr>
        <w:ind w:firstLine="482"/>
      </w:pPr>
      <w:r>
        <w:t xml:space="preserve">我</w:t>
      </w:r>
      <w:r>
        <w:rPr>
          <w:rFonts w:hint="eastAsia"/>
        </w:rPr>
        <w:t xml:space="preserve">司</w:t>
      </w:r>
      <w:r>
        <w:t xml:space="preserve">在贵局</w:t>
      </w:r>
      <w:r>
        <w:rPr>
          <w:rFonts w:hint="eastAsia"/>
          <w:u w:val="single"/>
        </w:rPr>
        <w:t xml:space="preserve">          </w:t>
      </w:r>
      <w:r>
        <w:rPr>
          <w:rFonts w:hint="eastAsia"/>
        </w:rPr>
        <w:t xml:space="preserve">（有/无）</w:t>
      </w:r>
      <w:r>
        <w:t xml:space="preserve">正在实施的结算审计项目</w:t>
      </w:r>
      <w:r>
        <w:rPr>
          <w:rFonts w:hint="eastAsia"/>
        </w:rPr>
        <w:t xml:space="preserve">。如有，拟派出团队成员与我司正在实施的贵局结算审计项目驻场人员（包含项目负责人）不重复。我司拟派出项目团队将保质保量、按时完成本项目，如我方原因造成项目延误，视同解除合同，并且不收取任何审计费用。</w:t>
      </w:r>
      <w:r/>
    </w:p>
    <w:p>
      <w:pPr>
        <w:ind w:firstLine="482"/>
      </w:pPr>
      <w:r>
        <w:rPr>
          <w:rFonts w:hint="eastAsia"/>
        </w:rPr>
        <w:t xml:space="preserve">我公司对上述承诺的真实性负责，如有虚假，将依法承担相应责任。</w:t>
      </w:r>
      <w:r/>
    </w:p>
    <w:p>
      <w:pPr>
        <w:ind w:firstLine="4400"/>
        <w:spacing w:line="240" w:lineRule="exact"/>
      </w:pPr>
      <w:r/>
      <w:r/>
    </w:p>
    <w:p>
      <w:pPr>
        <w:ind w:firstLine="4400"/>
        <w:spacing w:line="240" w:lineRule="exact"/>
      </w:pPr>
      <w:r>
        <w:rPr>
          <w:rFonts w:hint="eastAsia"/>
        </w:rPr>
        <w:t xml:space="preserve">供应商名称：</w:t>
      </w:r>
      <w:r/>
    </w:p>
    <w:p>
      <w:pPr>
        <w:ind w:firstLine="4400"/>
        <w:spacing w:line="240" w:lineRule="exact"/>
        <w:rPr>
          <w:rFonts w:hAnsi="Calibri"/>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pPr>
        <w:rPr>
          <w:szCs w:val="21"/>
        </w:rPr>
      </w:pPr>
      <w:r>
        <w:rPr>
          <w:rFonts w:hint="eastAsia"/>
          <w:szCs w:val="21"/>
        </w:rPr>
        <w:t xml:space="preserve">实质性要求</w:t>
      </w:r>
      <w:r>
        <w:rPr>
          <w:rFonts w:hint="eastAsia"/>
          <w:szCs w:val="21"/>
        </w:rPr>
        <w:t xml:space="preserve">完全响应</w:t>
      </w:r>
      <w:r>
        <w:rPr>
          <w:rFonts w:hint="eastAsia"/>
          <w:szCs w:val="21"/>
        </w:rPr>
        <w:t xml:space="preserve">承诺书</w:t>
      </w:r>
      <w:r>
        <w:rPr>
          <w:szCs w:val="21"/>
        </w:rPr>
        <w:t xml:space="preserve">附表：</w:t>
      </w:r>
      <w:r/>
    </w:p>
    <w:tbl>
      <w:tblPr>
        <w:tblStyle w:val="851"/>
        <w:tblW w:w="8690" w:type="dxa"/>
        <w:jc w:val="center"/>
        <w:tblInd w:w="0" w:type="dxa"/>
        <w:tblLook w:val="04A0" w:firstRow="1" w:lastRow="0" w:firstColumn="1" w:lastColumn="0" w:noHBand="0" w:noVBand="1"/>
      </w:tblPr>
      <w:tblGrid>
        <w:gridCol w:w="807"/>
        <w:gridCol w:w="1347"/>
        <w:gridCol w:w="1807"/>
        <w:gridCol w:w="1282"/>
        <w:gridCol w:w="1328"/>
        <w:gridCol w:w="2119"/>
      </w:tblGrid>
      <w:tr>
        <w:trPr>
          <w:jc w:val="center"/>
          <w:trHeight w:val="91"/>
        </w:trPr>
        <w:tc>
          <w:tcPr>
            <w:tcW w:w="807" w:type="dxa"/>
            <w:vAlign w:val="center"/>
            <w:vMerge w:val="restart"/>
            <w:textDirection w:val="lrTb"/>
            <w:noWrap w:val="false"/>
          </w:tcPr>
          <w:p>
            <w:pPr>
              <w:jc w:val="center"/>
              <w:rPr>
                <w:sz w:val="20"/>
                <w:szCs w:val="20"/>
              </w:rPr>
            </w:pPr>
            <w:r>
              <w:rPr>
                <w:sz w:val="20"/>
                <w:szCs w:val="20"/>
              </w:rPr>
              <w:t xml:space="preserve">序号</w:t>
            </w:r>
            <w:r/>
          </w:p>
        </w:tc>
        <w:tc>
          <w:tcPr>
            <w:tcW w:w="1347" w:type="dxa"/>
            <w:vAlign w:val="center"/>
            <w:vMerge w:val="restart"/>
            <w:textDirection w:val="lrTb"/>
            <w:noWrap w:val="false"/>
          </w:tcPr>
          <w:p>
            <w:pPr>
              <w:jc w:val="center"/>
              <w:rPr>
                <w:sz w:val="20"/>
                <w:szCs w:val="20"/>
              </w:rPr>
            </w:pPr>
            <w:r>
              <w:rPr>
                <w:sz w:val="20"/>
                <w:szCs w:val="20"/>
              </w:rPr>
              <w:t xml:space="preserve">项目名称</w:t>
            </w:r>
            <w:r/>
          </w:p>
        </w:tc>
        <w:tc>
          <w:tcPr>
            <w:tcW w:w="1807" w:type="dxa"/>
            <w:vAlign w:val="center"/>
            <w:vMerge w:val="restart"/>
            <w:textDirection w:val="lrTb"/>
            <w:noWrap w:val="false"/>
          </w:tcPr>
          <w:p>
            <w:pPr>
              <w:jc w:val="center"/>
              <w:rPr>
                <w:sz w:val="20"/>
                <w:szCs w:val="20"/>
              </w:rPr>
            </w:pPr>
            <w:r>
              <w:rPr>
                <w:sz w:val="20"/>
                <w:szCs w:val="20"/>
              </w:rPr>
              <w:t xml:space="preserve">初审额（万元）</w:t>
            </w:r>
            <w:r/>
          </w:p>
        </w:tc>
        <w:tc>
          <w:tcPr>
            <w:tcW w:w="1282" w:type="dxa"/>
            <w:vAlign w:val="center"/>
            <w:vMerge w:val="restart"/>
            <w:textDirection w:val="lrTb"/>
            <w:noWrap w:val="false"/>
          </w:tcPr>
          <w:p>
            <w:pPr>
              <w:jc w:val="center"/>
              <w:rPr>
                <w:sz w:val="20"/>
                <w:szCs w:val="20"/>
              </w:rPr>
            </w:pPr>
            <w:r>
              <w:rPr>
                <w:sz w:val="20"/>
                <w:szCs w:val="20"/>
              </w:rPr>
              <w:t xml:space="preserve">委托时间</w:t>
            </w:r>
            <w:r/>
          </w:p>
        </w:tc>
        <w:tc>
          <w:tcPr>
            <w:gridSpan w:val="2"/>
            <w:tcW w:w="3447" w:type="dxa"/>
            <w:vAlign w:val="center"/>
            <w:textDirection w:val="lrTb"/>
            <w:noWrap w:val="false"/>
          </w:tcPr>
          <w:p>
            <w:pPr>
              <w:jc w:val="center"/>
              <w:rPr>
                <w:sz w:val="20"/>
                <w:szCs w:val="20"/>
              </w:rPr>
            </w:pPr>
            <w:r>
              <w:rPr>
                <w:rFonts w:hint="eastAsia"/>
                <w:sz w:val="20"/>
                <w:szCs w:val="20"/>
              </w:rPr>
              <w:t xml:space="preserve">驻场</w:t>
            </w:r>
            <w:r>
              <w:rPr>
                <w:sz w:val="20"/>
                <w:szCs w:val="20"/>
              </w:rPr>
              <w:t xml:space="preserve">审计人员</w:t>
            </w:r>
            <w:r/>
          </w:p>
        </w:tc>
      </w:tr>
      <w:tr>
        <w:trPr>
          <w:jc w:val="center"/>
          <w:trHeight w:val="95"/>
        </w:trPr>
        <w:tc>
          <w:tcPr>
            <w:tcW w:w="807" w:type="dxa"/>
            <w:vAlign w:val="center"/>
            <w:vMerge w:val="continue"/>
            <w:textDirection w:val="lrTb"/>
            <w:noWrap w:val="false"/>
          </w:tcPr>
          <w:p>
            <w:pPr>
              <w:jc w:val="center"/>
              <w:rPr>
                <w:sz w:val="20"/>
                <w:szCs w:val="20"/>
              </w:rPr>
            </w:pPr>
            <w:r>
              <w:rPr>
                <w:sz w:val="20"/>
                <w:szCs w:val="20"/>
              </w:rPr>
            </w:r>
            <w:r/>
          </w:p>
        </w:tc>
        <w:tc>
          <w:tcPr>
            <w:tcW w:w="1347" w:type="dxa"/>
            <w:vAlign w:val="center"/>
            <w:vMerge w:val="continue"/>
            <w:textDirection w:val="lrTb"/>
            <w:noWrap w:val="false"/>
          </w:tcPr>
          <w:p>
            <w:pPr>
              <w:jc w:val="center"/>
              <w:rPr>
                <w:sz w:val="20"/>
                <w:szCs w:val="20"/>
              </w:rPr>
            </w:pPr>
            <w:r>
              <w:rPr>
                <w:sz w:val="20"/>
                <w:szCs w:val="20"/>
              </w:rPr>
            </w:r>
            <w:r/>
          </w:p>
        </w:tc>
        <w:tc>
          <w:tcPr>
            <w:tcW w:w="1807" w:type="dxa"/>
            <w:vAlign w:val="center"/>
            <w:vMerge w:val="continue"/>
            <w:textDirection w:val="lrTb"/>
            <w:noWrap w:val="false"/>
          </w:tcPr>
          <w:p>
            <w:pPr>
              <w:jc w:val="center"/>
              <w:rPr>
                <w:sz w:val="20"/>
                <w:szCs w:val="20"/>
              </w:rPr>
            </w:pPr>
            <w:r>
              <w:rPr>
                <w:sz w:val="20"/>
                <w:szCs w:val="20"/>
              </w:rPr>
            </w:r>
            <w:r/>
          </w:p>
        </w:tc>
        <w:tc>
          <w:tcPr>
            <w:tcW w:w="1282" w:type="dxa"/>
            <w:vAlign w:val="center"/>
            <w:vMerge w:val="continue"/>
            <w:textDirection w:val="lrTb"/>
            <w:noWrap w:val="false"/>
          </w:tcPr>
          <w:p>
            <w:pPr>
              <w:jc w:val="center"/>
              <w:rPr>
                <w:sz w:val="20"/>
                <w:szCs w:val="20"/>
              </w:rPr>
            </w:pPr>
            <w:r>
              <w:rPr>
                <w:sz w:val="20"/>
                <w:szCs w:val="20"/>
              </w:rPr>
            </w:r>
            <w:r/>
          </w:p>
        </w:tc>
        <w:tc>
          <w:tcPr>
            <w:tcW w:w="1328" w:type="dxa"/>
            <w:vAlign w:val="center"/>
            <w:textDirection w:val="lrTb"/>
            <w:noWrap w:val="false"/>
          </w:tcPr>
          <w:p>
            <w:pPr>
              <w:jc w:val="center"/>
              <w:rPr>
                <w:sz w:val="20"/>
                <w:szCs w:val="20"/>
              </w:rPr>
            </w:pPr>
            <w:r>
              <w:rPr>
                <w:sz w:val="20"/>
                <w:szCs w:val="20"/>
              </w:rPr>
              <w:t xml:space="preserve">项目负责人</w:t>
            </w:r>
            <w:r/>
          </w:p>
        </w:tc>
        <w:tc>
          <w:tcPr>
            <w:tcW w:w="2119" w:type="dxa"/>
            <w:vAlign w:val="center"/>
            <w:textDirection w:val="lrTb"/>
            <w:noWrap w:val="false"/>
          </w:tcPr>
          <w:p>
            <w:pPr>
              <w:jc w:val="center"/>
              <w:rPr>
                <w:sz w:val="20"/>
                <w:szCs w:val="20"/>
              </w:rPr>
            </w:pPr>
            <w:r>
              <w:rPr>
                <w:rFonts w:hint="eastAsia"/>
                <w:sz w:val="20"/>
                <w:szCs w:val="20"/>
              </w:rPr>
              <w:t xml:space="preserve">其他驻场</w:t>
            </w:r>
            <w:r>
              <w:rPr>
                <w:sz w:val="20"/>
                <w:szCs w:val="20"/>
              </w:rPr>
              <w:t xml:space="preserve">审计人员</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1</w:t>
            </w:r>
            <w:r/>
          </w:p>
        </w:tc>
        <w:tc>
          <w:tcPr>
            <w:tcW w:w="1347" w:type="dxa"/>
            <w:textDirection w:val="lrTb"/>
            <w:noWrap w:val="false"/>
          </w:tcPr>
          <w:p>
            <w:pPr>
              <w:jc w:val="center"/>
              <w:rPr>
                <w:sz w:val="20"/>
                <w:szCs w:val="20"/>
              </w:rPr>
            </w:pPr>
            <w:r>
              <w:rPr>
                <w:sz w:val="20"/>
                <w:szCs w:val="20"/>
              </w:rPr>
              <w:t xml:space="preserve">Xxx项目</w:t>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t xml:space="preserve">X年x月</w:t>
            </w:r>
            <w:r/>
          </w:p>
        </w:tc>
        <w:tc>
          <w:tcPr>
            <w:tcW w:w="1328" w:type="dxa"/>
            <w:textDirection w:val="lrTb"/>
            <w:noWrap w:val="false"/>
          </w:tcPr>
          <w:p>
            <w:pPr>
              <w:jc w:val="center"/>
              <w:rPr>
                <w:sz w:val="20"/>
                <w:szCs w:val="20"/>
              </w:rPr>
            </w:pPr>
            <w:r>
              <w:rPr>
                <w:sz w:val="20"/>
                <w:szCs w:val="20"/>
              </w:rPr>
              <w:t xml:space="preserve">张x</w:t>
            </w:r>
            <w:r/>
          </w:p>
        </w:tc>
        <w:tc>
          <w:tcPr>
            <w:tcW w:w="2119" w:type="dxa"/>
            <w:textDirection w:val="lrTb"/>
            <w:noWrap w:val="false"/>
          </w:tcPr>
          <w:p>
            <w:pPr>
              <w:jc w:val="center"/>
              <w:rPr>
                <w:sz w:val="20"/>
                <w:szCs w:val="20"/>
              </w:rPr>
            </w:pPr>
            <w:r>
              <w:rPr>
                <w:sz w:val="20"/>
                <w:szCs w:val="20"/>
              </w:rPr>
              <w:t xml:space="preserve">李x、王x、……</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2</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bl>
    <w:p>
      <w:pPr>
        <w:ind w:firstLine="482"/>
      </w:pPr>
      <w:r>
        <w:rPr>
          <w:rFonts w:hint="eastAsia"/>
        </w:rPr>
        <w:t xml:space="preserve">我司承诺本项目拟派出团队成员与我司正在实施的贵局结算审计项目驻场人员（包含项目负责人）不重复。</w:t>
      </w:r>
      <w:r/>
    </w:p>
    <w:p>
      <w:pPr>
        <w:ind w:firstLine="482"/>
      </w:pPr>
      <w:r/>
      <w:r/>
    </w:p>
    <w:p>
      <w:pPr>
        <w:ind w:firstLine="482"/>
      </w:pPr>
      <w:r>
        <w:rPr>
          <w:rFonts w:hint="eastAsia"/>
        </w:rPr>
        <w:t xml:space="preserve">注：1.如有正在实施的我局结算审计项目，必须填此表，未填写或虚假填写视同未响应实质性要求；</w:t>
      </w:r>
      <w:r/>
    </w:p>
    <w:p>
      <w:pPr>
        <w:ind w:firstLine="922"/>
      </w:pPr>
      <w:r>
        <w:rPr>
          <w:rFonts w:hint="eastAsia"/>
        </w:rPr>
        <w:t xml:space="preserve">2.如</w:t>
      </w:r>
      <w:r>
        <w:rPr>
          <w:rFonts w:hint="eastAsia"/>
        </w:rPr>
        <w:t xml:space="preserve">无正在</w:t>
      </w:r>
      <w:r>
        <w:rPr>
          <w:rFonts w:hint="eastAsia"/>
        </w:rPr>
        <w:t xml:space="preserve">实施的我局结算审计项目，可不填此表。</w:t>
      </w:r>
      <w:r/>
    </w:p>
    <w:p>
      <w:r/>
      <w:r/>
    </w:p>
    <w:p>
      <w:pPr>
        <w:ind w:firstLine="482"/>
        <w:rPr>
          <w:b/>
          <w:bCs/>
          <w:sz w:val="28"/>
          <w:szCs w:val="24"/>
        </w:rPr>
        <w:sectPr>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3" w:name="_Toc27448"/>
      <w:r/>
      <w:bookmarkStart w:id="14" w:name="_Toc28983"/>
      <w:r>
        <w:rPr>
          <w:rFonts w:hint="eastAsia"/>
          <w:b/>
          <w:sz w:val="36"/>
        </w:rPr>
        <w:t xml:space="preserve">第五章</w:t>
      </w:r>
      <w:r>
        <w:rPr>
          <w:b/>
          <w:sz w:val="36"/>
        </w:rPr>
        <w:t xml:space="preserve">  </w:t>
      </w:r>
      <w:r>
        <w:rPr>
          <w:rFonts w:hint="eastAsia"/>
          <w:b/>
          <w:sz w:val="36"/>
        </w:rPr>
        <w:t xml:space="preserve">合同条款及格式合同</w:t>
      </w:r>
      <w:bookmarkEnd w:id="13"/>
      <w:r/>
      <w:bookmarkEnd w:id="14"/>
      <w:r/>
      <w:r/>
    </w:p>
    <w:p>
      <w:pPr>
        <w:pStyle w:val="895"/>
        <w:jc w:val="center"/>
        <w:spacing w:before="120" w:after="120" w:line="288" w:lineRule="auto"/>
        <w:rPr>
          <w:rFonts w:ascii="黑体" w:hAnsi="黑体" w:eastAsia="黑体"/>
          <w:b/>
          <w:sz w:val="40"/>
          <w:szCs w:val="24"/>
        </w:rPr>
      </w:pPr>
      <w:r/>
      <w:bookmarkStart w:id="15" w:name="_Toc16938559"/>
      <w:r/>
      <w:bookmarkStart w:id="16" w:name="_Toc20823315"/>
      <w:r/>
      <w:bookmarkStart w:id="17" w:name="_Toc513029243"/>
      <w:r>
        <w:rPr>
          <w:rFonts w:hint="eastAsia" w:ascii="黑体" w:hAnsi="黑体" w:eastAsia="黑体"/>
          <w:b/>
          <w:sz w:val="40"/>
          <w:szCs w:val="24"/>
        </w:rPr>
        <w:t xml:space="preserve">南京市政府采购合同（服务）</w:t>
      </w:r>
      <w:r/>
    </w:p>
    <w:p>
      <w:pPr>
        <w:pStyle w:val="895"/>
        <w:jc w:val="center"/>
        <w:spacing w:before="120" w:after="120" w:line="288" w:lineRule="auto"/>
        <w:rPr>
          <w:rFonts w:hAnsi="宋体"/>
          <w:sz w:val="24"/>
          <w:szCs w:val="24"/>
        </w:rPr>
      </w:pPr>
      <w:r>
        <w:rPr>
          <w:rFonts w:hint="eastAsia" w:hAnsi="宋体"/>
          <w:sz w:val="24"/>
          <w:szCs w:val="24"/>
        </w:rPr>
        <w:t xml:space="preserve">（合同编号）</w:t>
      </w:r>
      <w:r/>
    </w:p>
    <w:p>
      <w:pPr>
        <w:pStyle w:val="895"/>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5"/>
        <w:ind w:firstLine="480"/>
        <w:spacing w:before="120" w:after="120" w:line="288" w:lineRule="auto"/>
        <w:rPr>
          <w:rFonts w:hAnsi="宋体"/>
          <w:sz w:val="24"/>
          <w:szCs w:val="24"/>
        </w:rPr>
      </w:pPr>
      <w:r>
        <w:rPr>
          <w:rFonts w:hint="eastAsia" w:hAnsi="宋体"/>
          <w:sz w:val="24"/>
          <w:szCs w:val="24"/>
        </w:rPr>
        <w:t xml:space="preserve">乙方：</w:t>
      </w:r>
      <w:r>
        <w:rPr>
          <w:rFonts w:hint="eastAsia" w:hAnsi="宋体"/>
          <w:sz w:val="24"/>
          <w:szCs w:val="24"/>
          <w:u w:val="single"/>
        </w:rPr>
        <w:t xml:space="preserve">（成交</w:t>
      </w:r>
      <w:r>
        <w:rPr>
          <w:rFonts w:hAnsi="宋体"/>
          <w:sz w:val="24"/>
          <w:szCs w:val="24"/>
          <w:u w:val="single"/>
        </w:rPr>
        <w:t xml:space="preserve">供应商</w:t>
      </w:r>
      <w:r>
        <w:rPr>
          <w:rFonts w:hint="eastAsia" w:hAnsi="宋体"/>
          <w:sz w:val="24"/>
          <w:szCs w:val="24"/>
          <w:u w:val="single"/>
        </w:rPr>
        <w:t xml:space="preserve">）</w:t>
      </w:r>
      <w:r/>
    </w:p>
    <w:p>
      <w:pPr>
        <w:pStyle w:val="895"/>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华商路</w:t>
      </w:r>
      <w:r>
        <w:rPr>
          <w:rFonts w:hint="eastAsia" w:hAnsi="宋体"/>
          <w:sz w:val="24"/>
          <w:szCs w:val="24"/>
          <w:u w:val="single"/>
        </w:rPr>
        <w:t xml:space="preserve">改造、</w:t>
      </w:r>
      <w:r>
        <w:rPr>
          <w:rFonts w:hint="eastAsia" w:hAnsi="宋体"/>
          <w:sz w:val="24"/>
          <w:szCs w:val="24"/>
          <w:u w:val="single"/>
        </w:rPr>
        <w:t xml:space="preserve">鹏程路</w:t>
      </w:r>
      <w:r>
        <w:rPr>
          <w:rFonts w:hint="eastAsia" w:hAnsi="宋体"/>
          <w:sz w:val="24"/>
          <w:szCs w:val="24"/>
          <w:u w:val="single"/>
        </w:rPr>
        <w:t xml:space="preserve">等7条市政道路、苏源大道景观提升改造结算审计服务</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w:t>
      </w:r>
      <w:r>
        <w:t xml:space="preserve"> </w:t>
      </w:r>
      <w:r>
        <w:rPr>
          <w:rFonts w:hint="eastAsia"/>
          <w:sz w:val="24"/>
          <w:szCs w:val="24"/>
        </w:rPr>
        <w:t xml:space="preserve">乙方不能按合同约定派出审计人员的，甲方有权单方解除合同。</w:t>
      </w:r>
      <w:r/>
    </w:p>
    <w:p>
      <w:pPr>
        <w:ind w:firstLine="480"/>
        <w:spacing w:line="288" w:lineRule="auto"/>
        <w:rPr>
          <w:sz w:val="24"/>
          <w:szCs w:val="24"/>
        </w:rPr>
      </w:pPr>
      <w:r>
        <w:rPr>
          <w:sz w:val="24"/>
          <w:szCs w:val="24"/>
        </w:rPr>
        <w:t xml:space="preserve">2.甲方有权规定审计服务的具体内容、要求，可以根据工作需要和乙方派出人员的工作情况，要求乙方更换或撤回不能胜任服务的派出人员。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1.按照约定的条件，按时足额支付项目审计服务费用。</w:t>
      </w:r>
      <w:r/>
    </w:p>
    <w:p>
      <w:pPr>
        <w:ind w:firstLine="480"/>
        <w:spacing w:line="288" w:lineRule="auto"/>
        <w:rPr>
          <w:sz w:val="24"/>
          <w:szCs w:val="24"/>
        </w:rPr>
      </w:pPr>
      <w:r>
        <w:rPr>
          <w:sz w:val="24"/>
          <w:szCs w:val="24"/>
        </w:rPr>
        <w:t xml:space="preserve">2.负责帮助乙方协调与审计相关的各项工作。</w:t>
      </w:r>
      <w:r/>
    </w:p>
    <w:p>
      <w:pPr>
        <w:pStyle w:val="888"/>
        <w:spacing w:line="288" w:lineRule="auto"/>
        <w:rPr>
          <w:sz w:val="24"/>
          <w:szCs w:val="24"/>
        </w:rPr>
      </w:pPr>
      <w:r>
        <w:rPr>
          <w:sz w:val="24"/>
          <w:szCs w:val="24"/>
        </w:rPr>
        <w:t xml:space="preserve">    3.负责召集重大审计事项的研究和处理。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2.乙方及派出人员参与工作，必须遵守甲方制定印发的制度、办法、规程要求及廉政纪律；</w:t>
      </w:r>
      <w:r/>
    </w:p>
    <w:p>
      <w:pPr>
        <w:ind w:firstLine="480"/>
        <w:spacing w:line="288" w:lineRule="auto"/>
        <w:rPr>
          <w:sz w:val="24"/>
          <w:szCs w:val="24"/>
        </w:rPr>
      </w:pPr>
      <w:r>
        <w:rPr>
          <w:sz w:val="24"/>
          <w:szCs w:val="24"/>
        </w:rPr>
        <w:t xml:space="preserve">3.乙方及派出人员在甲方明确其参与工作对象和任务后，乙方派出人员如与工作对象有利害关系，应主动向甲方反映并申请回避；</w:t>
      </w:r>
      <w:r/>
    </w:p>
    <w:p>
      <w:pPr>
        <w:ind w:firstLine="480"/>
        <w:spacing w:line="288" w:lineRule="auto"/>
        <w:rPr>
          <w:sz w:val="24"/>
          <w:szCs w:val="24"/>
        </w:rPr>
      </w:pPr>
      <w:r>
        <w:rPr>
          <w:sz w:val="24"/>
          <w:szCs w:val="24"/>
        </w:rPr>
        <w:t xml:space="preserve">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5.乙方及其派出人员必须遵守保密协议和保密承诺书要求，履行保密义务；</w:t>
      </w:r>
      <w:r/>
    </w:p>
    <w:p>
      <w:pPr>
        <w:ind w:firstLine="480"/>
        <w:spacing w:line="288" w:lineRule="auto"/>
        <w:rPr>
          <w:sz w:val="24"/>
          <w:szCs w:val="24"/>
        </w:rPr>
      </w:pPr>
      <w:r>
        <w:rPr>
          <w:sz w:val="24"/>
          <w:szCs w:val="24"/>
        </w:rPr>
        <w:t xml:space="preserve">6.乙方发生违法违规行为造成被检查单位或其他相关单位合法权益受到损害的，需承担相应赔偿责任。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自签订合同后6个月</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081"/>
        <w:gridCol w:w="851"/>
        <w:gridCol w:w="1134"/>
        <w:gridCol w:w="1984"/>
        <w:gridCol w:w="3007"/>
      </w:tblGrid>
      <w:tr>
        <w:trPr>
          <w:jc w:val="center"/>
          <w:trHeight w:val="406"/>
        </w:trPr>
        <w:tc>
          <w:tcPr>
            <w:tcW w:w="942" w:type="dxa"/>
            <w:vAlign w:val="center"/>
            <w:textDirection w:val="lrTb"/>
            <w:noWrap w:val="false"/>
          </w:tcPr>
          <w:p>
            <w:pPr>
              <w:jc w:val="center"/>
              <w:spacing w:line="288" w:lineRule="auto"/>
              <w:rPr>
                <w:sz w:val="24"/>
                <w:szCs w:val="24"/>
              </w:rPr>
            </w:pPr>
            <w:r>
              <w:rPr>
                <w:rFonts w:hint="eastAsia"/>
                <w:sz w:val="24"/>
                <w:szCs w:val="24"/>
              </w:rPr>
              <w:t xml:space="preserve">序号</w:t>
            </w:r>
            <w:r/>
          </w:p>
        </w:tc>
        <w:tc>
          <w:tcPr>
            <w:tcW w:w="1081" w:type="dxa"/>
            <w:vAlign w:val="center"/>
            <w:textDirection w:val="lrTb"/>
            <w:noWrap w:val="false"/>
          </w:tcPr>
          <w:p>
            <w:pPr>
              <w:jc w:val="center"/>
              <w:spacing w:line="288" w:lineRule="auto"/>
              <w:rPr>
                <w:sz w:val="24"/>
                <w:szCs w:val="24"/>
              </w:rPr>
            </w:pPr>
            <w:r>
              <w:rPr>
                <w:rFonts w:hint="eastAsia"/>
                <w:sz w:val="24"/>
                <w:szCs w:val="24"/>
              </w:rPr>
              <w:t xml:space="preserve">姓名</w:t>
            </w:r>
            <w:r/>
          </w:p>
        </w:tc>
        <w:tc>
          <w:tcPr>
            <w:tcW w:w="851" w:type="dxa"/>
            <w:vAlign w:val="center"/>
            <w:textDirection w:val="lrTb"/>
            <w:noWrap w:val="false"/>
          </w:tcPr>
          <w:p>
            <w:pPr>
              <w:jc w:val="center"/>
              <w:spacing w:line="288" w:lineRule="auto"/>
              <w:rPr>
                <w:sz w:val="24"/>
                <w:szCs w:val="24"/>
              </w:rPr>
            </w:pPr>
            <w:r>
              <w:rPr>
                <w:rFonts w:hint="eastAsia"/>
                <w:sz w:val="24"/>
                <w:szCs w:val="24"/>
              </w:rPr>
              <w:t xml:space="preserve">性别</w:t>
            </w:r>
            <w:r/>
          </w:p>
        </w:tc>
        <w:tc>
          <w:tcPr>
            <w:tcW w:w="1134" w:type="dxa"/>
            <w:textDirection w:val="lrTb"/>
            <w:noWrap w:val="false"/>
          </w:tcPr>
          <w:p>
            <w:pPr>
              <w:jc w:val="center"/>
              <w:spacing w:line="288" w:lineRule="auto"/>
              <w:rPr>
                <w:sz w:val="24"/>
                <w:szCs w:val="24"/>
              </w:rPr>
            </w:pPr>
            <w:r>
              <w:rPr>
                <w:rFonts w:hint="eastAsia"/>
                <w:sz w:val="24"/>
                <w:szCs w:val="24"/>
              </w:rPr>
              <w:t xml:space="preserve">职称</w:t>
            </w:r>
            <w:r/>
          </w:p>
        </w:tc>
        <w:tc>
          <w:tcPr>
            <w:tcW w:w="1984" w:type="dxa"/>
            <w:vAlign w:val="center"/>
            <w:textDirection w:val="lrTb"/>
            <w:noWrap w:val="false"/>
          </w:tcPr>
          <w:p>
            <w:pPr>
              <w:jc w:val="center"/>
              <w:spacing w:line="288" w:lineRule="auto"/>
              <w:rPr>
                <w:sz w:val="24"/>
                <w:szCs w:val="24"/>
              </w:rPr>
            </w:pPr>
            <w:r>
              <w:rPr>
                <w:rFonts w:hint="eastAsia"/>
                <w:sz w:val="24"/>
                <w:szCs w:val="24"/>
              </w:rPr>
              <w:t xml:space="preserve">职（执）业资格</w:t>
            </w:r>
            <w:r/>
          </w:p>
        </w:tc>
        <w:tc>
          <w:tcPr>
            <w:tcW w:w="3007" w:type="dxa"/>
            <w:vAlign w:val="center"/>
            <w:textDirection w:val="lrTb"/>
            <w:noWrap w:val="false"/>
          </w:tcPr>
          <w:p>
            <w:pPr>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081" w:type="dxa"/>
            <w:vAlign w:val="bottom"/>
            <w:textDirection w:val="lrTb"/>
            <w:noWrap w:val="false"/>
          </w:tcPr>
          <w:p>
            <w:pPr>
              <w:ind w:firstLine="200"/>
              <w:jc w:val="center"/>
              <w:spacing w:line="288" w:lineRule="auto"/>
              <w:rPr>
                <w:sz w:val="24"/>
                <w:szCs w:val="24"/>
              </w:rPr>
            </w:pPr>
            <w:r>
              <w:rPr>
                <w:sz w:val="24"/>
                <w:szCs w:val="24"/>
              </w:rPr>
            </w:r>
            <w:r/>
          </w:p>
        </w:tc>
        <w:tc>
          <w:tcPr>
            <w:tcW w:w="851" w:type="dxa"/>
            <w:vAlign w:val="bottom"/>
            <w:textDirection w:val="lrTb"/>
            <w:noWrap w:val="false"/>
          </w:tcPr>
          <w:p>
            <w:pPr>
              <w:ind w:firstLine="200"/>
              <w:jc w:val="center"/>
              <w:spacing w:line="288" w:lineRule="auto"/>
              <w:rPr>
                <w:sz w:val="24"/>
                <w:szCs w:val="24"/>
              </w:rPr>
            </w:pPr>
            <w:r>
              <w:rPr>
                <w:sz w:val="24"/>
                <w:szCs w:val="24"/>
              </w:rPr>
            </w:r>
            <w:r/>
          </w:p>
        </w:tc>
        <w:tc>
          <w:tcPr>
            <w:tcW w:w="1134" w:type="dxa"/>
            <w:textDirection w:val="lrTb"/>
            <w:noWrap w:val="false"/>
          </w:tcPr>
          <w:p>
            <w:pPr>
              <w:ind w:firstLine="200"/>
              <w:jc w:val="center"/>
              <w:spacing w:line="288" w:lineRule="auto"/>
              <w:rPr>
                <w:sz w:val="24"/>
                <w:szCs w:val="24"/>
              </w:rPr>
            </w:pPr>
            <w:r>
              <w:rPr>
                <w:sz w:val="24"/>
                <w:szCs w:val="24"/>
              </w:rPr>
            </w:r>
            <w:r/>
          </w:p>
        </w:tc>
        <w:tc>
          <w:tcPr>
            <w:tcW w:w="1984" w:type="dxa"/>
            <w:textDirection w:val="lrTb"/>
            <w:noWrap w:val="false"/>
          </w:tcPr>
          <w:p>
            <w:pPr>
              <w:ind w:firstLine="200"/>
              <w:jc w:val="center"/>
              <w:spacing w:line="288" w:lineRule="auto"/>
              <w:rPr>
                <w:sz w:val="24"/>
                <w:szCs w:val="24"/>
              </w:rPr>
            </w:pPr>
            <w:r>
              <w:rPr>
                <w:sz w:val="24"/>
                <w:szCs w:val="24"/>
              </w:rPr>
            </w:r>
            <w:r/>
          </w:p>
        </w:tc>
        <w:tc>
          <w:tcPr>
            <w:tcW w:w="3007" w:type="dxa"/>
            <w:vAlign w:val="bottom"/>
            <w:textDirection w:val="lrTb"/>
            <w:noWrap w:val="false"/>
          </w:tcPr>
          <w:p>
            <w:pPr>
              <w:ind w:firstLine="200"/>
              <w:jc w:val="center"/>
              <w:spacing w:line="288" w:lineRule="auto"/>
              <w:rPr>
                <w:sz w:val="24"/>
                <w:szCs w:val="24"/>
              </w:rPr>
            </w:pPr>
            <w:r>
              <w:rPr>
                <w:sz w:val="24"/>
                <w:szCs w:val="24"/>
              </w:rPr>
              <w:t xml:space="preserve">项目</w:t>
            </w:r>
            <w:r>
              <w:rPr>
                <w:sz w:val="24"/>
                <w:szCs w:val="24"/>
              </w:rPr>
              <w:t xml:space="preserve">组</w:t>
            </w:r>
            <w:r>
              <w:rPr>
                <w:sz w:val="24"/>
                <w:szCs w:val="24"/>
              </w:rPr>
              <w:t xml:space="preserve">组长</w:t>
            </w:r>
            <w:r>
              <w:rPr>
                <w:rFonts w:hint="eastAsia"/>
                <w:sz w:val="24"/>
                <w:szCs w:val="24"/>
              </w:rPr>
              <w:t xml:space="preserve">/项目组成员</w:t>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jc w:val="both"/>
        <w:spacing w:line="288" w:lineRule="auto"/>
        <w:rPr>
          <w:sz w:val="24"/>
          <w:szCs w:val="24"/>
        </w:rPr>
      </w:pPr>
      <w:r>
        <w:rPr>
          <w:sz w:val="24"/>
          <w:szCs w:val="24"/>
        </w:rPr>
        <w:t xml:space="preserve">1.本项目造价咨询服务费参照“苏价服</w:t>
      </w:r>
      <w:r>
        <w:rPr>
          <w:rFonts w:hint="eastAsia"/>
          <w:sz w:val="24"/>
          <w:szCs w:val="24"/>
        </w:rPr>
        <w:t xml:space="preserve">〔</w:t>
      </w:r>
      <w:r>
        <w:rPr>
          <w:sz w:val="24"/>
          <w:szCs w:val="24"/>
        </w:rPr>
        <w:t xml:space="preserve">2014〕383号文件”中工程结算审核（基本收费+效益收费）收费标准*价格系数*调整比例。</w:t>
      </w:r>
      <w:r/>
    </w:p>
    <w:p>
      <w:pPr>
        <w:ind w:firstLine="480"/>
        <w:jc w:val="both"/>
        <w:spacing w:line="288" w:lineRule="auto"/>
        <w:rPr>
          <w:sz w:val="24"/>
          <w:szCs w:val="24"/>
        </w:rPr>
      </w:pPr>
      <w:r>
        <w:rPr>
          <w:sz w:val="24"/>
          <w:szCs w:val="24"/>
        </w:rPr>
        <w:t xml:space="preserve">2.本项目结算时，“基本收费”的收费基数为实际送审总金额。</w:t>
      </w:r>
      <w:r/>
    </w:p>
    <w:p>
      <w:pPr>
        <w:ind w:firstLine="480"/>
        <w:jc w:val="both"/>
        <w:spacing w:line="288" w:lineRule="auto"/>
        <w:rPr>
          <w:sz w:val="24"/>
          <w:szCs w:val="24"/>
        </w:rPr>
      </w:pPr>
      <w:r>
        <w:rPr>
          <w:sz w:val="24"/>
          <w:szCs w:val="24"/>
        </w:rPr>
        <w:t xml:space="preserve">3.任何原因导致最终造价咨询服务费超出本项目预算金额</w:t>
      </w:r>
      <w:r>
        <w:rPr>
          <w:rFonts w:hint="eastAsia"/>
          <w:sz w:val="24"/>
          <w:szCs w:val="24"/>
        </w:rPr>
        <w:t xml:space="preserve">（即142万元</w:t>
      </w:r>
      <w:r>
        <w:rPr>
          <w:sz w:val="24"/>
          <w:szCs w:val="24"/>
        </w:rPr>
        <w:t xml:space="preserve">）均不予增加。</w:t>
      </w:r>
      <w:r/>
    </w:p>
    <w:p>
      <w:pPr>
        <w:ind w:firstLine="480"/>
        <w:jc w:val="both"/>
        <w:spacing w:line="288" w:lineRule="auto"/>
        <w:rPr>
          <w:sz w:val="24"/>
          <w:szCs w:val="24"/>
        </w:rPr>
      </w:pPr>
      <w:r>
        <w:rPr>
          <w:sz w:val="24"/>
          <w:szCs w:val="24"/>
        </w:rPr>
        <w:t xml:space="preserve">4.投标报价（费率）应包含开展工作的全部费用以及成交供应商派出人员提供服务的所有费用。</w:t>
      </w:r>
      <w:r/>
    </w:p>
    <w:p>
      <w:pPr>
        <w:ind w:firstLine="480"/>
        <w:jc w:val="both"/>
        <w:spacing w:line="288" w:lineRule="auto"/>
        <w:rPr>
          <w:sz w:val="24"/>
          <w:szCs w:val="24"/>
        </w:rPr>
      </w:pPr>
      <w:r>
        <w:rPr>
          <w:sz w:val="24"/>
          <w:szCs w:val="24"/>
        </w:rPr>
        <w:t xml:space="preserve">5.</w:t>
      </w:r>
      <w:r>
        <w:rPr>
          <w:rFonts w:hint="eastAsia"/>
          <w:sz w:val="24"/>
          <w:szCs w:val="24"/>
          <w:lang w:val="en-US"/>
        </w:rPr>
        <w:t xml:space="preserve">最终服务费</w:t>
      </w:r>
      <w:r>
        <w:rPr>
          <w:sz w:val="24"/>
          <w:szCs w:val="24"/>
          <w:lang w:val="en-US"/>
        </w:rPr>
        <w:t xml:space="preserve">=投标报价</w:t>
      </w:r>
      <w:r>
        <w:rPr>
          <w:sz w:val="24"/>
          <w:szCs w:val="24"/>
        </w:rPr>
        <w:t xml:space="preserve">*调整比例</w:t>
      </w:r>
      <w:r>
        <w:rPr>
          <w:rFonts w:hint="eastAsia"/>
          <w:sz w:val="24"/>
          <w:szCs w:val="24"/>
        </w:rPr>
        <w:t xml:space="preserve">，</w:t>
      </w:r>
      <w:r>
        <w:rPr>
          <w:rFonts w:hint="eastAsia"/>
          <w:sz w:val="24"/>
          <w:szCs w:val="24"/>
          <w:lang w:val="en-US"/>
        </w:rPr>
        <w:t xml:space="preserve">最高不超过本项目预算。</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w:t>
      </w:r>
      <w:r>
        <w:rPr>
          <w:sz w:val="24"/>
          <w:szCs w:val="24"/>
          <w:lang w:val="en-US"/>
        </w:rPr>
        <w:t xml:space="preserve">比例</w:t>
      </w:r>
      <w:r>
        <w:rPr>
          <w:sz w:val="24"/>
          <w:szCs w:val="24"/>
        </w:rPr>
        <w:t xml:space="preserve">2%（例：考核结果分值若为59分、调整</w:t>
      </w:r>
      <w:r>
        <w:rPr>
          <w:sz w:val="24"/>
          <w:szCs w:val="24"/>
          <w:lang w:val="en-US"/>
        </w:rPr>
        <w:t xml:space="preserve">比例</w:t>
      </w:r>
      <w:r>
        <w:rPr>
          <w:sz w:val="24"/>
          <w:szCs w:val="24"/>
        </w:rPr>
        <w:t xml:space="preserve">为68%，考核结果分值若为58分、调整</w:t>
      </w:r>
      <w:r>
        <w:rPr>
          <w:sz w:val="24"/>
          <w:szCs w:val="24"/>
          <w:lang w:val="en-US"/>
        </w:rPr>
        <w:t xml:space="preserve">比例</w:t>
      </w:r>
      <w:r>
        <w:rPr>
          <w:sz w:val="24"/>
          <w:szCs w:val="24"/>
        </w:rPr>
        <w:t xml:space="preserve">为66%，以此类推）。60分以下纳入江宁区审计局黑名单管理，3年之内不能参加我局审计项目的投标。</w:t>
      </w:r>
      <w:r/>
    </w:p>
    <w:p>
      <w:pPr>
        <w:ind w:firstLine="480"/>
        <w:jc w:val="both"/>
        <w:rPr>
          <w:sz w:val="24"/>
          <w:szCs w:val="24"/>
        </w:rPr>
      </w:pPr>
      <w:r>
        <w:rPr>
          <w:rFonts w:hint="eastAsia"/>
          <w:sz w:val="24"/>
          <w:szCs w:val="24"/>
        </w:rPr>
        <w:t xml:space="preserve">中标</w:t>
      </w:r>
      <w:r>
        <w:rPr>
          <w:sz w:val="24"/>
          <w:szCs w:val="24"/>
        </w:rPr>
        <w:t xml:space="preserve">价格系数</w:t>
      </w:r>
      <w:r>
        <w:rPr>
          <w:sz w:val="24"/>
          <w:szCs w:val="24"/>
          <w:u w:val="single"/>
        </w:rPr>
        <w:t xml:space="preserve">       （%）</w:t>
      </w:r>
      <w:r>
        <w:rPr>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rPr>
          <w:rFonts w:hint="eastAsia"/>
          <w:sz w:val="24"/>
          <w:szCs w:val="24"/>
        </w:rPr>
        <w:t xml:space="preserve">满足合同约定支付条件的，采购人收到中标供应商发票后</w:t>
      </w:r>
      <w:r>
        <w:rPr>
          <w:sz w:val="24"/>
          <w:szCs w:val="24"/>
        </w:rPr>
        <w:t xml:space="preserve">15日内，将资金支付到合同约定的中标供应商账户。</w:t>
      </w:r>
      <w:r/>
    </w:p>
    <w:p>
      <w:pPr>
        <w:ind w:firstLine="480"/>
        <w:jc w:val="both"/>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w:t>
      </w:r>
      <w:r>
        <w:rPr>
          <w:rFonts w:hint="eastAsia"/>
          <w:sz w:val="24"/>
          <w:szCs w:val="24"/>
        </w:rPr>
        <w:t xml:space="preserve">履约考核结果为</w:t>
      </w:r>
      <w:r>
        <w:rPr>
          <w:sz w:val="24"/>
          <w:szCs w:val="24"/>
        </w:rPr>
        <w:t xml:space="preserve">60分（不含）以下的，严重影响审计质量，或导致合同无法继续执行的。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8"/>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（一）招标文件；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如有未尽事宜，遵照《中华人民共和国民法典》《中华人民共和国政府采购法》有关条文，甲乙双方经协商后可签订书面补充协议，补充协议与本协议具有同等法律效力。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本合同正本一式贰份，甲、乙双方各执壹份，具有同等法律效力。</w:t>
      </w:r>
      <w:r/>
    </w:p>
    <w:p>
      <w:pPr>
        <w:pStyle w:val="895"/>
        <w:ind w:firstLine="482"/>
        <w:spacing w:before="120" w:after="120" w:line="240" w:lineRule="exact"/>
        <w:rPr>
          <w:rFonts w:hAnsi="宋体"/>
          <w:b/>
          <w:sz w:val="24"/>
          <w:szCs w:val="24"/>
        </w:rPr>
      </w:pPr>
      <w:r>
        <w:rPr>
          <w:rFonts w:hAnsi="宋体"/>
          <w:b/>
          <w:sz w:val="24"/>
          <w:szCs w:val="24"/>
        </w:rPr>
        <w:t xml:space="preserve">附件：1.审计服务中介机构履约考核表</w:t>
      </w:r>
      <w:r/>
    </w:p>
    <w:p>
      <w:pPr>
        <w:pStyle w:val="895"/>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采购需求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rPr>
          <w:rFonts w:hint="eastAsia"/>
          <w:b/>
          <w:bCs/>
          <w:sz w:val="24"/>
          <w:szCs w:val="24"/>
        </w:rPr>
        <w:t xml:space="preserve">1</w:t>
      </w:r>
      <w:r/>
    </w:p>
    <w:p>
      <w:pPr>
        <w:ind w:firstLine="450"/>
        <w:rPr>
          <w:szCs w:val="21"/>
        </w:rPr>
      </w:pPr>
      <w:r/>
      <w:bookmarkStart w:id="18" w:name="_Toc32290"/>
      <w:r/>
      <w:bookmarkStart w:id="19" w:name="_Toc12329"/>
      <w:r/>
      <w:bookmarkEnd w:id="15"/>
      <w:r/>
      <w:bookmarkEnd w:id="16"/>
      <w:r/>
      <w:bookmarkEnd w:id="17"/>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44"/>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64"/>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8"/>
      <w:r/>
      <w:bookmarkEnd w:id="19"/>
      <w:r/>
      <w:r/>
    </w:p>
    <w:p>
      <w:pPr>
        <w:ind w:firstLine="600"/>
        <w:jc w:val="center"/>
        <w:spacing w:line="495" w:lineRule="exact"/>
        <w:rPr>
          <w:sz w:val="30"/>
        </w:rPr>
      </w:pPr>
      <w:r>
        <w:rPr>
          <w:sz w:val="30"/>
        </w:rPr>
        <w:t xml:space="preserve">（格式供参考）</w:t>
      </w:r>
      <w:r/>
    </w:p>
    <w:p>
      <w:pPr>
        <w:pStyle w:val="888"/>
        <w:ind w:firstLine="723"/>
        <w:rPr>
          <w:b/>
          <w:sz w:val="36"/>
        </w:rPr>
      </w:pPr>
      <w:r>
        <w:rPr>
          <w:b/>
          <w:sz w:val="36"/>
        </w:rPr>
      </w:r>
      <w:r/>
    </w:p>
    <w:p>
      <w:pPr>
        <w:pStyle w:val="888"/>
        <w:ind w:firstLine="502"/>
        <w:spacing w:before="8"/>
        <w:rPr>
          <w:b/>
          <w:sz w:val="25"/>
        </w:rPr>
      </w:pPr>
      <w:r>
        <w:rPr>
          <w:b/>
          <w:sz w:val="25"/>
        </w:rPr>
      </w:r>
      <w:r/>
    </w:p>
    <w:p>
      <w:pPr>
        <w:ind w:right="451" w:firstLine="2000"/>
        <w:jc w:val="center"/>
        <w:spacing w:line="1241" w:lineRule="exact"/>
        <w:rPr>
          <w:sz w:val="100"/>
        </w:rPr>
      </w:pPr>
      <w:r/>
      <w:bookmarkStart w:id="20" w:name="_Toc11012"/>
      <w:r/>
      <w:bookmarkStart w:id="21" w:name="_Toc838"/>
      <w:r/>
      <w:bookmarkStart w:id="22" w:name="_Toc1284"/>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20"/>
      <w:r/>
      <w:bookmarkEnd w:id="21"/>
      <w:r/>
      <w:bookmarkEnd w:id="22"/>
      <w:r/>
      <w:r/>
    </w:p>
    <w:p>
      <w:pPr>
        <w:pStyle w:val="888"/>
        <w:ind w:firstLine="1446"/>
        <w:rPr>
          <w:b/>
          <w:sz w:val="72"/>
        </w:rPr>
      </w:pPr>
      <w:r>
        <w:rPr>
          <w:b/>
          <w:sz w:val="72"/>
        </w:rPr>
      </w:r>
      <w:r/>
    </w:p>
    <w:p>
      <w:pPr>
        <w:pStyle w:val="888"/>
        <w:ind w:firstLine="1305"/>
        <w:spacing w:before="5"/>
        <w:rPr>
          <w:b/>
          <w:sz w:val="65"/>
        </w:rPr>
      </w:pPr>
      <w:r>
        <w:rPr>
          <w:b/>
          <w:sz w:val="65"/>
        </w:rPr>
      </w:r>
      <w:r/>
    </w:p>
    <w:p>
      <w:pPr>
        <w:ind w:firstLine="883"/>
        <w:spacing w:line="360" w:lineRule="auto"/>
        <w:rPr>
          <w:b/>
          <w:sz w:val="44"/>
          <w:szCs w:val="44"/>
          <w:u w:val="single"/>
        </w:rPr>
      </w:pPr>
      <w:r/>
      <w:bookmarkStart w:id="23" w:name="_Toc24074"/>
      <w:r>
        <w:rPr>
          <w:rFonts w:hint="eastAsia"/>
          <w:b/>
          <w:sz w:val="44"/>
          <w:szCs w:val="44"/>
        </w:rPr>
        <w:t xml:space="preserve">项目编号：</w:t>
      </w:r>
      <w:bookmarkEnd w:id="23"/>
      <w:r/>
      <w:r/>
    </w:p>
    <w:p>
      <w:pPr>
        <w:ind w:firstLine="883"/>
        <w:spacing w:line="360" w:lineRule="auto"/>
        <w:rPr>
          <w:b/>
          <w:sz w:val="44"/>
          <w:szCs w:val="44"/>
        </w:rPr>
      </w:pPr>
      <w:r/>
      <w:bookmarkStart w:id="24" w:name="_Toc14883"/>
      <w:r>
        <w:rPr>
          <w:rFonts w:hint="eastAsia"/>
          <w:b/>
          <w:sz w:val="44"/>
          <w:szCs w:val="44"/>
        </w:rPr>
        <w:t xml:space="preserve">项目名称：</w:t>
      </w:r>
      <w:bookmarkEnd w:id="24"/>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25" w:name="_Toc26250"/>
      <w:r>
        <w:rPr>
          <w:rFonts w:hint="eastAsia"/>
          <w:b/>
          <w:sz w:val="44"/>
          <w:szCs w:val="44"/>
        </w:rPr>
        <w:t xml:space="preserve">投标人名称：</w:t>
      </w:r>
      <w:bookmarkEnd w:id="25"/>
      <w:r/>
      <w:r/>
    </w:p>
    <w:p>
      <w:pPr>
        <w:ind w:firstLine="883"/>
        <w:spacing w:line="360" w:lineRule="auto"/>
        <w:rPr>
          <w:b/>
          <w:sz w:val="44"/>
          <w:szCs w:val="44"/>
        </w:rPr>
      </w:pPr>
      <w:r/>
      <w:bookmarkStart w:id="26" w:name="_Toc32435"/>
      <w:r>
        <w:rPr>
          <w:rFonts w:hint="eastAsia"/>
          <w:b/>
          <w:sz w:val="44"/>
          <w:szCs w:val="44"/>
        </w:rPr>
        <w:t xml:space="preserve">日</w:t>
      </w:r>
      <w:r>
        <w:rPr>
          <w:b/>
          <w:sz w:val="44"/>
          <w:szCs w:val="44"/>
        </w:rPr>
        <w:tab/>
        <w:t xml:space="preserve">  期：</w:t>
      </w:r>
      <w:bookmarkEnd w:id="26"/>
      <w:r/>
      <w:r/>
    </w:p>
    <w:p>
      <w:pPr>
        <w:pStyle w:val="891"/>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000000"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ind w:firstLine="440"/>
              <w:spacing w:line="276" w:lineRule="auto"/>
            </w:pPr>
            <w:r/>
            <w:r/>
          </w:p>
        </w:tc>
      </w:tr>
    </w:tbl>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ind w:firstLine="600"/>
        <w:rPr>
          <w:sz w:val="30"/>
        </w:rPr>
      </w:pPr>
      <w:r>
        <w:rPr>
          <w:sz w:val="30"/>
        </w:rPr>
        <w:br w:type="page" w:clear="all"/>
      </w:r>
      <w:r/>
    </w:p>
    <w:p>
      <w:pPr>
        <w:pStyle w:val="962"/>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27" w:name="_Toc32721"/>
      <w:r>
        <w:rPr>
          <w:rFonts w:ascii="仿宋" w:hAnsi="仿宋" w:eastAsia="仿宋"/>
          <w:b/>
          <w:sz w:val="32"/>
        </w:rPr>
        <w:t xml:space="preserve">附件一、投标申请及声明格式</w:t>
      </w:r>
      <w:bookmarkEnd w:id="27"/>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92"/>
        <w:ind w:firstLine="723"/>
        <w:rPr>
          <w:rFonts w:ascii="仿宋" w:hAnsi="仿宋" w:eastAsia="仿宋"/>
          <w:b/>
          <w:sz w:val="36"/>
        </w:rPr>
      </w:pPr>
      <w:r>
        <w:rPr>
          <w:rFonts w:ascii="仿宋" w:hAnsi="仿宋" w:eastAsia="仿宋"/>
          <w:b/>
          <w:sz w:val="36"/>
        </w:rPr>
      </w:r>
      <w:r/>
    </w:p>
    <w:p>
      <w:pPr>
        <w:pStyle w:val="888"/>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p>
    <w:p>
      <w:pPr>
        <w:pStyle w:val="1119"/>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_________________号招标文件，正式授权下述签字人_______________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代表我方______________（投标人的名称），全权处理本次项目投标的有关事宜。</w:t>
      </w:r>
      <w:r/>
    </w:p>
    <w:p>
      <w:pPr>
        <w:pStyle w:val="1119"/>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w:t>
      </w:r>
      <w:r>
        <w:rPr>
          <w:rFonts w:hint="eastAsia" w:ascii="仿宋" w:hAnsi="仿宋" w:eastAsia="仿宋" w:cs="仿宋"/>
          <w:szCs w:val="21"/>
        </w:rPr>
        <w:t xml:space="preserve">同意如下：</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1.按招标文件规定的各项要求，向买方提供所需货物与服务。</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2.我们完全理解贵方不一定将合同授予最低报价的投标人。</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3.我们已详细审核全部招标文件及其有效补充文件，我们知道必须放弃提出含糊不清或误解问题的权利。</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4.我们同意从规定的开标日期起遵循本投标文件，并在规定的投标有效期期满之前均具有约束力。</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6.一旦我方中标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7.与本投标有关的正式通讯地址为：</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编：</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户：</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28"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28"/>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rPr>
      </w:pPr>
      <w:r>
        <w:rPr>
          <w:rFonts w:hint="eastAsia" w:ascii="仿宋" w:hAnsi="仿宋" w:eastAsia="仿宋" w:cs="仿宋"/>
          <w:b/>
        </w:rPr>
        <w:t xml:space="preserve">法人授权委托书</w:t>
      </w:r>
      <w:r/>
    </w:p>
    <w:p>
      <w:pPr>
        <w:jc w:val="both"/>
        <w:spacing w:line="360" w:lineRule="auto"/>
        <w:shd w:val="clear" w:color="auto" w:fill="ffffff"/>
        <w:rPr>
          <w:szCs w:val="21"/>
        </w:rPr>
      </w:pPr>
      <w:r>
        <w:rPr>
          <w:rFonts w:hint="eastAsia"/>
          <w:szCs w:val="21"/>
        </w:rPr>
        <w:t xml:space="preserve">致：南京市江宁区审计局、南京江审咨询有限公司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29" w:name="_Hlk45291991"/>
      <w:r>
        <w:rPr>
          <w:rFonts w:hint="eastAsia"/>
          <w:szCs w:val="21"/>
        </w:rPr>
        <w:t xml:space="preserve">法定代表人的身份证的复印件（正反面）：</w:t>
      </w:r>
      <w:bookmarkEnd w:id="29"/>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30" w:name="page44"/>
      <w:r/>
      <w:bookmarkStart w:id="31" w:name="_Toc7699"/>
      <w:r/>
      <w:bookmarkEnd w:id="30"/>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法人或其他组织的营业执照等证明文件（复印件加盖公章）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spacing w:line="240" w:lineRule="exact"/>
        <w:rPr>
          <w:sz w:val="24"/>
          <w:szCs w:val="24"/>
          <w:lang w:bidi="en-US"/>
        </w:rPr>
      </w:pPr>
      <w:r>
        <w:rPr>
          <w:sz w:val="24"/>
          <w:szCs w:val="24"/>
          <w:lang w:bidi="en-US"/>
        </w:rPr>
        <w:t xml:space="preserve">我公司郑重声明：我公司具有履行合同所必需的设备和专业技术能力。</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P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法定代表人或授权代表签字：_____________</w:t>
      </w:r>
      <w:r/>
    </w:p>
    <w:p>
      <w:pPr>
        <w:ind w:firstLine="482"/>
        <w:spacing w:line="240" w:lineRule="exact"/>
        <w:rPr>
          <w:sz w:val="24"/>
          <w:szCs w:val="24"/>
          <w:lang w:bidi="en-US"/>
        </w:rP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hint="eastAsia" w:ascii="Times New Roman" w:hAnsi="Times New Roman" w:cs="Times New Roman"/>
          <w:b/>
          <w:sz w:val="21"/>
          <w:szCs w:val="20"/>
          <w:lang w:val="en-US" w:bidi="ar-SA"/>
        </w:rPr>
        <w:t xml:space="preserve">2</w:t>
      </w:r>
      <w:r>
        <w:rPr>
          <w:rFonts w:ascii="Times New Roman" w:hAnsi="Times New Roman" w:cs="Times New Roman"/>
          <w:b/>
          <w:sz w:val="21"/>
          <w:szCs w:val="20"/>
          <w:lang w:val="en-US" w:bidi="ar-SA"/>
        </w:rPr>
        <w:t xml:space="preserve">-7</w:t>
      </w:r>
      <w:r>
        <w:rPr>
          <w:rFonts w:hint="eastAsia" w:ascii="Times New Roman" w:hAnsi="Times New Roman" w:cs="Times New Roman"/>
          <w:b/>
          <w:sz w:val="21"/>
          <w:szCs w:val="20"/>
          <w:lang w:val="en-US" w:bidi="ar-SA"/>
        </w:rPr>
        <w:t xml:space="preserve">”供应商可以在投标文件中一次性提交资格证明材料，也可以在投标文件中提供“南京市政府采购供应商信用记录表暨信用承诺书”。</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r>
        <w:fldChar w:fldCharType="begin"/>
      </w:r>
      <w:r>
        <w:rPr>
          <w:lang w:val="en-US"/>
        </w:rPr>
        <w:instrText xml:space="preserve"> HYPERLINK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\o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w:instrText>
      </w:r>
      <w:r>
        <w:fldChar w:fldCharType="separate"/>
      </w:r>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r>
        <w:rPr>
          <w:rFonts w:ascii="Times New Roman" w:hAnsi="Times New Roman" w:cs="Times New Roman"/>
          <w:b/>
          <w:sz w:val="21"/>
          <w:szCs w:val="20"/>
          <w:lang w:val="en-US" w:bidi="ar-SA"/>
        </w:rPr>
        <w:fldChar w:fldCharType="end"/>
      </w:r>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《南京市政府采购供应商信用记录表暨信用承诺书》</w:t>
      </w:r>
      <w:r/>
    </w:p>
    <w:p>
      <w:pPr>
        <w:ind w:firstLine="440"/>
        <w:spacing w:line="370" w:lineRule="exact"/>
        <w:rPr>
          <w:rFonts w:ascii="仿宋" w:hAnsi="仿宋" w:eastAsia="仿宋"/>
        </w:rPr>
      </w:pPr>
      <w:r>
        <w:rPr>
          <w:rFonts w:ascii="仿宋" w:hAnsi="仿宋" w:eastAsia="仿宋"/>
        </w:rPr>
      </w:r>
      <w:r/>
    </w:p>
    <w:p>
      <w:pPr>
        <w:ind w:right="206" w:firstLine="560"/>
        <w:jc w:val="center"/>
        <w:spacing w:line="320" w:lineRule="exact"/>
        <w:rPr>
          <w:sz w:val="24"/>
          <w:szCs w:val="24"/>
        </w:rPr>
      </w:pPr>
      <w:r>
        <w:rPr>
          <w:rFonts w:hint="eastAsia" w:ascii="仿宋" w:hAnsi="仿宋" w:eastAsia="仿宋"/>
          <w:sz w:val="28"/>
          <w:szCs w:val="24"/>
        </w:rPr>
        <w:t xml:space="preserve">在线打印（提醒：投标文件中需提供由法定代表人</w:t>
      </w:r>
      <w:r>
        <w:rPr>
          <w:rFonts w:hint="eastAsia" w:ascii="仿宋" w:hAnsi="仿宋" w:eastAsia="仿宋"/>
          <w:b/>
          <w:sz w:val="28"/>
          <w:szCs w:val="24"/>
        </w:rPr>
        <w:t xml:space="preserve">签字</w:t>
      </w:r>
      <w:r>
        <w:rPr>
          <w:rFonts w:hint="eastAsia" w:ascii="仿宋" w:hAnsi="仿宋" w:eastAsia="仿宋"/>
          <w:sz w:val="28"/>
          <w:szCs w:val="24"/>
        </w:rPr>
        <w:t xml:space="preserve">并</w:t>
      </w:r>
      <w:r>
        <w:rPr>
          <w:rFonts w:hint="eastAsia" w:ascii="仿宋" w:hAnsi="仿宋" w:eastAsia="仿宋"/>
          <w:b/>
          <w:sz w:val="28"/>
          <w:szCs w:val="24"/>
        </w:rPr>
        <w:t xml:space="preserve">加盖单位公章</w:t>
      </w:r>
      <w:r>
        <w:rPr>
          <w:rFonts w:hint="eastAsia" w:ascii="仿宋" w:hAnsi="仿宋" w:eastAsia="仿宋"/>
          <w:sz w:val="28"/>
          <w:szCs w:val="24"/>
        </w:rPr>
        <w:t xml:space="preserve">的原件扫描件）</w:t>
      </w:r>
      <w:r/>
    </w:p>
    <w:p>
      <w:pPr>
        <w:ind w:firstLine="480"/>
        <w:spacing w:line="200" w:lineRule="exact"/>
        <w:rPr>
          <w:sz w:val="24"/>
          <w:szCs w:val="24"/>
        </w:rPr>
      </w:pPr>
      <w:r>
        <w:rPr>
          <w:sz w:val="24"/>
          <w:szCs w:val="24"/>
        </w:rPr>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w:t>
      </w:r>
      <w:r>
        <w:rPr>
          <w:rFonts w:hint="eastAsia" w:ascii="仿宋" w:hAnsi="仿宋" w:eastAsia="仿宋"/>
          <w:b/>
          <w:sz w:val="32"/>
        </w:rPr>
        <w:t xml:space="preserve">技术要求响应及偏离表</w:t>
      </w:r>
      <w:r>
        <w:rPr>
          <w:rFonts w:ascii="仿宋" w:hAnsi="仿宋" w:eastAsia="仿宋"/>
          <w:b/>
          <w:sz w:val="32"/>
        </w:rPr>
        <w:t xml:space="preserve">格式</w:t>
      </w:r>
      <w:bookmarkEnd w:id="31"/>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hint="eastAsia" w:ascii="仿宋" w:hAnsi="仿宋" w:eastAsia="仿宋"/>
          <w:b/>
          <w:sz w:val="36"/>
        </w:rPr>
        <w:t xml:space="preserve">技术要求响应及偏离表</w:t>
      </w:r>
      <w:r/>
    </w:p>
    <w:tbl>
      <w:tblPr>
        <w:tblStyle w:val="851"/>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6"/>
        <w:gridCol w:w="2842"/>
        <w:gridCol w:w="2435"/>
        <w:gridCol w:w="1176"/>
        <w:gridCol w:w="1024"/>
      </w:tblGrid>
      <w:tr>
        <w:trPr>
          <w:jc w:val="center"/>
        </w:trPr>
        <w:tc>
          <w:tcPr>
            <w:tcW w:w="496" w:type="dxa"/>
            <w:vAlign w:val="center"/>
            <w:textDirection w:val="lrTb"/>
            <w:noWrap w:val="false"/>
          </w:tcPr>
          <w:p>
            <w:pPr>
              <w:jc w:val="center"/>
              <w:rPr>
                <w:rFonts w:eastAsiaTheme="minorEastAsia"/>
              </w:rPr>
            </w:pPr>
            <w:r>
              <w:rPr>
                <w:rFonts w:hint="eastAsia"/>
                <w:sz w:val="24"/>
              </w:rPr>
              <w:t xml:space="preserve">序号</w:t>
            </w:r>
            <w:r/>
          </w:p>
        </w:tc>
        <w:tc>
          <w:tcPr>
            <w:tcW w:w="2842" w:type="dxa"/>
            <w:vAlign w:val="center"/>
            <w:textDirection w:val="lrTb"/>
            <w:noWrap w:val="false"/>
          </w:tcPr>
          <w:p>
            <w:pPr>
              <w:jc w:val="center"/>
              <w:rPr>
                <w:rFonts w:eastAsiaTheme="minorEastAsia"/>
              </w:rPr>
            </w:pPr>
            <w:r>
              <w:rPr>
                <w:rFonts w:hint="eastAsia"/>
                <w:sz w:val="24"/>
              </w:rPr>
              <w:t xml:space="preserve">招标文件要求</w:t>
            </w:r>
            <w:r/>
          </w:p>
        </w:tc>
        <w:tc>
          <w:tcPr>
            <w:tcW w:w="2435" w:type="dxa"/>
            <w:vAlign w:val="center"/>
            <w:textDirection w:val="lrTb"/>
            <w:noWrap w:val="false"/>
          </w:tcPr>
          <w:p>
            <w:pPr>
              <w:jc w:val="center"/>
              <w:rPr>
                <w:rFonts w:eastAsiaTheme="minorEastAsia"/>
              </w:rPr>
            </w:pPr>
            <w:r>
              <w:rPr>
                <w:rFonts w:hint="eastAsia"/>
                <w:sz w:val="24"/>
              </w:rPr>
              <w:t xml:space="preserve">投标响应情况</w:t>
            </w:r>
            <w:r/>
          </w:p>
        </w:tc>
        <w:tc>
          <w:tcPr>
            <w:tcW w:w="1176" w:type="dxa"/>
            <w:vAlign w:val="center"/>
            <w:textDirection w:val="lrTb"/>
            <w:noWrap w:val="false"/>
          </w:tcPr>
          <w:p>
            <w:pPr>
              <w:jc w:val="center"/>
              <w:rPr>
                <w:rFonts w:eastAsiaTheme="minorEastAsia"/>
              </w:rPr>
            </w:pPr>
            <w:r>
              <w:rPr>
                <w:rFonts w:hint="eastAsia"/>
                <w:sz w:val="24"/>
              </w:rPr>
              <w:t xml:space="preserve">超出、符合或偏离</w:t>
            </w:r>
            <w:r/>
          </w:p>
        </w:tc>
        <w:tc>
          <w:tcPr>
            <w:tcW w:w="1024" w:type="dxa"/>
            <w:vAlign w:val="center"/>
            <w:textDirection w:val="lrTb"/>
            <w:noWrap w:val="false"/>
          </w:tcPr>
          <w:p>
            <w:pPr>
              <w:jc w:val="center"/>
              <w:rPr>
                <w:rFonts w:eastAsiaTheme="minorEastAsia"/>
              </w:rPr>
            </w:pPr>
            <w:r>
              <w:rPr>
                <w:rFonts w:hint="eastAsia"/>
                <w:sz w:val="24"/>
              </w:rPr>
              <w:t xml:space="preserve">证明</w:t>
            </w:r>
            <w:r/>
          </w:p>
          <w:p>
            <w:pPr>
              <w:jc w:val="center"/>
              <w:rPr>
                <w:rFonts w:eastAsiaTheme="minorEastAsia"/>
              </w:rPr>
            </w:pPr>
            <w:r>
              <w:rPr>
                <w:rFonts w:hint="eastAsia"/>
                <w:sz w:val="24"/>
              </w:rPr>
              <w:t xml:space="preserve">材料</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 </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bl>
    <w:p>
      <w:pPr>
        <w:ind w:firstLine="440"/>
        <w:spacing w:line="299" w:lineRule="exact"/>
        <w:rPr>
          <w:rFonts w:ascii="仿宋" w:hAnsi="仿宋" w:eastAsia="仿宋"/>
        </w:rPr>
      </w:pPr>
      <w:r>
        <w:rPr>
          <w:rFonts w:ascii="仿宋" w:hAnsi="仿宋" w:eastAsia="仿宋"/>
        </w:rPr>
      </w:r>
      <w:r/>
    </w:p>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r/>
    </w:p>
    <w:p>
      <w:pPr>
        <w:ind w:firstLine="440"/>
        <w:spacing w:line="302" w:lineRule="exact"/>
        <w:rPr>
          <w:rFonts w:ascii="仿宋" w:hAnsi="仿宋" w:eastAsia="仿宋"/>
        </w:rPr>
      </w:pPr>
      <w:r>
        <w:rPr>
          <w:rFonts w:ascii="仿宋" w:hAnsi="仿宋" w:eastAsia="仿宋"/>
        </w:rPr>
      </w:r>
      <w:r/>
    </w:p>
    <w:p>
      <w:pPr>
        <w:pStyle w:val="1107"/>
        <w:numPr>
          <w:ilvl w:val="0"/>
          <w:numId w:val="0"/>
        </w:numPr>
      </w:pPr>
      <w:r/>
      <w:r/>
    </w:p>
    <w:p>
      <w:pPr>
        <w:ind w:left="220" w:firstLine="643"/>
        <w:spacing w:line="366" w:lineRule="exact"/>
        <w:rPr>
          <w:rFonts w:ascii="仿宋" w:hAnsi="仿宋" w:eastAsia="仿宋"/>
          <w:b/>
          <w:sz w:val="32"/>
        </w:rPr>
        <w:outlineLvl w:val="0"/>
      </w:pPr>
      <w:r/>
      <w:bookmarkStart w:id="32" w:name="_Toc21935"/>
      <w:r>
        <w:rPr>
          <w:rFonts w:ascii="仿宋" w:hAnsi="仿宋" w:eastAsia="仿宋"/>
          <w:b/>
          <w:sz w:val="32"/>
        </w:rPr>
        <w:t xml:space="preserve">附件六、</w:t>
      </w:r>
      <w:r>
        <w:rPr>
          <w:rFonts w:hint="eastAsia" w:ascii="仿宋" w:hAnsi="仿宋" w:eastAsia="仿宋"/>
          <w:b/>
          <w:sz w:val="32"/>
        </w:rPr>
        <w:t xml:space="preserve">商务要求响应及偏离表</w:t>
      </w:r>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bookmarkEnd w:id="32"/>
      <w:r/>
      <w:r/>
    </w:p>
    <w:p>
      <w:pPr>
        <w:ind w:firstLine="440"/>
        <w:spacing w:line="363" w:lineRule="exact"/>
        <w:rPr>
          <w:rFonts w:ascii="仿宋" w:hAnsi="仿宋" w:eastAsia="仿宋"/>
        </w:rPr>
      </w:pPr>
      <w:r>
        <w:rPr>
          <w:rFonts w:ascii="仿宋" w:hAnsi="仿宋" w:eastAsia="仿宋"/>
        </w:rPr>
      </w:r>
      <w:r/>
    </w:p>
    <w:p>
      <w:pPr>
        <w:ind w:firstLine="442"/>
        <w:jc w:val="center"/>
        <w:rPr>
          <w:rFonts w:ascii="仿宋" w:hAnsi="仿宋" w:eastAsia="仿宋"/>
        </w:rPr>
      </w:pPr>
      <w:r>
        <w:rPr>
          <w:rFonts w:hint="eastAsia" w:ascii="仿宋" w:hAnsi="仿宋" w:eastAsia="仿宋"/>
          <w:b/>
          <w:sz w:val="36"/>
        </w:rPr>
        <w:t xml:space="preserve">商务要求响应及偏离表</w:t>
      </w:r>
      <w:r/>
    </w:p>
    <w:tbl>
      <w:tblPr>
        <w:tblW w:w="7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92"/>
        <w:gridCol w:w="1468"/>
        <w:gridCol w:w="2168"/>
        <w:gridCol w:w="2601"/>
        <w:gridCol w:w="1040"/>
      </w:tblGrid>
      <w:tr>
        <w:trPr>
          <w:jc w:val="center"/>
          <w:trHeight w:val="510"/>
        </w:trPr>
        <w:tc>
          <w:tcPr>
            <w:tcW w:w="4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4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招标文件要求</w:t>
            </w:r>
            <w:r/>
          </w:p>
        </w:tc>
        <w:tc>
          <w:tcPr>
            <w:tcW w:w="21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投标响应情况</w:t>
            </w:r>
            <w:r/>
          </w:p>
        </w:tc>
        <w:tc>
          <w:tcPr>
            <w:tcW w:w="260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超出、符合或偏离</w:t>
            </w:r>
            <w:r/>
          </w:p>
        </w:tc>
        <w:tc>
          <w:tcPr>
            <w:tcW w:w="104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证明</w:t>
            </w:r>
            <w:r/>
          </w:p>
          <w:p>
            <w:pPr>
              <w:jc w:val="center"/>
              <w:rPr>
                <w:rFonts w:ascii="仿宋" w:hAnsi="仿宋" w:eastAsia="仿宋"/>
                <w:sz w:val="24"/>
              </w:rPr>
            </w:pPr>
            <w:r>
              <w:rPr>
                <w:rFonts w:hint="eastAsia" w:ascii="仿宋" w:hAnsi="仿宋" w:eastAsia="仿宋"/>
                <w:sz w:val="24"/>
              </w:rPr>
              <w:t xml:space="preserve">材料</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bl>
    <w:p>
      <w:pPr>
        <w:ind w:left="220" w:firstLine="420"/>
        <w:spacing w:line="240" w:lineRule="exact"/>
        <w:rPr>
          <w:rFonts w:ascii="仿宋" w:hAnsi="仿宋" w:eastAsia="仿宋"/>
          <w:sz w:val="21"/>
        </w:rPr>
      </w:pPr>
      <w:r>
        <w:rPr>
          <w:rFonts w:ascii="仿宋" w:hAnsi="仿宋" w:eastAsia="仿宋"/>
          <w:sz w:val="21"/>
        </w:rPr>
      </w:r>
      <w:r/>
    </w:p>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00" w:lineRule="exact"/>
        <w:rPr>
          <w:rFonts w:ascii="仿宋" w:hAnsi="仿宋" w:eastAsia="仿宋"/>
        </w:rPr>
      </w:pPr>
      <w:r>
        <w:rPr>
          <w:rFonts w:ascii="仿宋" w:hAnsi="仿宋" w:eastAsia="仿宋"/>
        </w:rPr>
      </w:r>
      <w:r/>
    </w:p>
    <w:p>
      <w:pPr>
        <w:ind w:firstLine="440"/>
        <w:spacing w:line="233"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33" w:name="_Toc16140"/>
      <w:r/>
      <w:bookmarkStart w:id="34" w:name="_Toc1477"/>
      <w:r/>
      <w:bookmarkStart w:id="35"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3"/>
      <w:r>
        <w:rPr>
          <w:rFonts w:hint="eastAsia" w:ascii="仿宋" w:hAnsi="仿宋" w:eastAsia="仿宋"/>
          <w:b/>
          <w:sz w:val="32"/>
        </w:rPr>
        <w:t xml:space="preserve">开标</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tbl>
      <w:tblPr>
        <w:tblW w:w="946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35"/>
        <w:gridCol w:w="7229"/>
      </w:tblGrid>
      <w:tr>
        <w:trPr>
          <w:trHeight w:val="458"/>
        </w:trPr>
        <w:tc>
          <w:tcPr>
            <w:tcW w:w="2235" w:type="dxa"/>
            <w:vAlign w:val="center"/>
            <w:textDirection w:val="lrTb"/>
            <w:noWrap w:val="false"/>
          </w:tcPr>
          <w:p>
            <w:pPr>
              <w:jc w:val="center"/>
              <w:rPr>
                <w:rFonts w:cs="Arial"/>
                <w:szCs w:val="21"/>
                <w:lang w:eastAsia="en-US"/>
              </w:rPr>
            </w:pPr>
            <w:r>
              <w:rPr>
                <w:rFonts w:cs="Arial"/>
                <w:szCs w:val="21"/>
                <w:lang w:eastAsia="en-US"/>
              </w:rPr>
              <w:t xml:space="preserve">项目名称</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8"/>
        </w:trPr>
        <w:tc>
          <w:tcPr>
            <w:tcW w:w="2235" w:type="dxa"/>
            <w:vAlign w:val="center"/>
            <w:textDirection w:val="lrTb"/>
            <w:noWrap w:val="false"/>
          </w:tcPr>
          <w:p>
            <w:pPr>
              <w:jc w:val="center"/>
              <w:rPr>
                <w:rFonts w:cs="Arial"/>
                <w:szCs w:val="21"/>
                <w:lang w:eastAsia="en-US"/>
              </w:rPr>
            </w:pPr>
            <w:r>
              <w:rPr>
                <w:rFonts w:hint="eastAsia" w:cs="Arial"/>
                <w:szCs w:val="21"/>
                <w:lang w:eastAsia="en-US"/>
              </w:rPr>
              <w:t xml:space="preserve">项目编号</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6"/>
        </w:trPr>
        <w:tc>
          <w:tcPr>
            <w:tcW w:w="2235" w:type="dxa"/>
            <w:vAlign w:val="center"/>
            <w:textDirection w:val="lrTb"/>
            <w:noWrap w:val="false"/>
          </w:tcPr>
          <w:p>
            <w:pPr>
              <w:jc w:val="center"/>
              <w:rPr>
                <w:rFonts w:cs="Arial"/>
                <w:i/>
                <w:szCs w:val="21"/>
                <w:lang w:eastAsia="en-US"/>
              </w:rPr>
            </w:pPr>
            <w:r>
              <w:rPr>
                <w:rFonts w:cs="Arial"/>
                <w:szCs w:val="21"/>
                <w:lang w:eastAsia="en-US"/>
              </w:rPr>
              <w:t xml:space="preserve">包号（如有</w:t>
            </w:r>
            <w:r>
              <w:rPr>
                <w:rFonts w:cs="Arial"/>
                <w:szCs w:val="21"/>
                <w:lang w:eastAsia="en-US"/>
              </w:rPr>
              <w:t xml:space="preserve">）</w:t>
            </w:r>
            <w:r/>
          </w:p>
        </w:tc>
        <w:tc>
          <w:tcPr>
            <w:tcW w:w="7229" w:type="dxa"/>
            <w:vAlign w:val="center"/>
            <w:textDirection w:val="lrTb"/>
            <w:noWrap w:val="false"/>
          </w:tcPr>
          <w:p>
            <w:pPr>
              <w:spacing w:line="360" w:lineRule="auto"/>
              <w:rPr>
                <w:rFonts w:cs="Arial"/>
                <w:szCs w:val="21"/>
                <w:lang w:eastAsia="en-US"/>
              </w:rPr>
            </w:pPr>
            <w:r>
              <w:rPr>
                <w:rFonts w:cs="Arial"/>
                <w:szCs w:val="21"/>
                <w:lang w:eastAsia="en-US"/>
              </w:rPr>
            </w:r>
            <w:r/>
          </w:p>
        </w:tc>
      </w:tr>
      <w:tr>
        <w:trPr>
          <w:trHeight w:val="733"/>
        </w:trPr>
        <w:tc>
          <w:tcPr>
            <w:tcW w:w="2235" w:type="dxa"/>
            <w:vAlign w:val="center"/>
            <w:textDirection w:val="lrTb"/>
            <w:noWrap w:val="false"/>
          </w:tcPr>
          <w:p>
            <w:pPr>
              <w:jc w:val="center"/>
              <w:rPr>
                <w:rFonts w:cs="Arial"/>
                <w:szCs w:val="21"/>
                <w:lang w:eastAsia="en-US"/>
              </w:rPr>
            </w:pPr>
            <w:r>
              <w:rPr>
                <w:rFonts w:cs="Arial"/>
                <w:szCs w:val="21"/>
                <w:lang w:eastAsia="en-US"/>
              </w:rPr>
              <w:t xml:space="preserve">投标报价</w:t>
            </w:r>
            <w:r/>
          </w:p>
        </w:tc>
        <w:tc>
          <w:tcPr>
            <w:tcW w:w="7229" w:type="dxa"/>
            <w:vAlign w:val="center"/>
            <w:textDirection w:val="lrTb"/>
            <w:noWrap w:val="false"/>
          </w:tcPr>
          <w:p>
            <w:pPr>
              <w:spacing w:line="360" w:lineRule="auto"/>
              <w:rPr>
                <w:sz w:val="24"/>
                <w:szCs w:val="24"/>
                <w:lang w:eastAsia="en-US"/>
              </w:rPr>
            </w:pPr>
            <w:r>
              <w:rPr>
                <w:rFonts w:hint="eastAsia" w:cs="Arial"/>
                <w:szCs w:val="21"/>
              </w:rPr>
              <w:t xml:space="preserve">价格</w:t>
            </w:r>
            <w:r>
              <w:rPr>
                <w:rFonts w:hint="eastAsia" w:cs="Arial"/>
                <w:szCs w:val="21"/>
                <w:lang w:eastAsia="en-US"/>
              </w:rPr>
              <w:t xml:space="preserve">系数</w:t>
            </w:r>
            <w:r>
              <w:rPr>
                <w:rFonts w:hint="eastAsia" w:cs="Arial"/>
                <w:szCs w:val="21"/>
                <w:lang w:eastAsia="en-US"/>
              </w:rPr>
              <w:t xml:space="preserve">：</w:t>
            </w:r>
            <w:r>
              <w:rPr>
                <w:rFonts w:hint="eastAsia" w:cs="Arial"/>
                <w:szCs w:val="21"/>
                <w:u w:val="single"/>
                <w:lang w:eastAsia="en-US"/>
              </w:rPr>
              <w:t xml:space="preserve">           （%）</w:t>
            </w:r>
            <w:r/>
          </w:p>
        </w:tc>
      </w:tr>
    </w:tbl>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注：</w:t>
      </w:r>
      <w:r>
        <w:rPr>
          <w:rFonts w:ascii="仿宋" w:hAnsi="仿宋" w:eastAsia="仿宋" w:cs="仿宋"/>
          <w:sz w:val="24"/>
          <w:szCs w:val="24"/>
        </w:rPr>
        <w:t xml:space="preserve">1</w:t>
      </w:r>
      <w:r>
        <w:rPr>
          <w:rFonts w:hint="eastAsia" w:ascii="仿宋" w:hAnsi="仿宋" w:eastAsia="仿宋" w:cs="仿宋"/>
          <w:sz w:val="24"/>
          <w:szCs w:val="24"/>
        </w:rPr>
        <w:t xml:space="preserve">.</w:t>
      </w:r>
      <w:r>
        <w:rPr>
          <w:rFonts w:ascii="仿宋" w:hAnsi="仿宋" w:eastAsia="仿宋" w:cs="仿宋"/>
          <w:sz w:val="24"/>
          <w:szCs w:val="24"/>
        </w:rPr>
        <w:t xml:space="preserve">请将报价填至苏</w:t>
      </w:r>
      <w:r>
        <w:rPr>
          <w:rFonts w:ascii="仿宋" w:hAnsi="仿宋" w:eastAsia="仿宋" w:cs="仿宋"/>
          <w:sz w:val="24"/>
          <w:szCs w:val="24"/>
        </w:rPr>
        <w:t xml:space="preserve">采云</w:t>
      </w:r>
      <w:r>
        <w:rPr>
          <w:rFonts w:ascii="仿宋" w:hAnsi="仿宋" w:eastAsia="仿宋" w:cs="仿宋"/>
          <w:sz w:val="24"/>
          <w:szCs w:val="24"/>
        </w:rPr>
        <w:t xml:space="preserve">投标系统。</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2.因投标文件投标报价一览表格式为系统自带模板，不可更改，模板中“优惠率”即价格系数。</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3.价格系数应在</w:t>
      </w:r>
      <w:r>
        <w:rPr>
          <w:rFonts w:ascii="仿宋" w:hAnsi="仿宋" w:eastAsia="仿宋" w:cs="仿宋"/>
          <w:sz w:val="24"/>
          <w:szCs w:val="24"/>
        </w:rPr>
        <w:t xml:space="preserve">0%（含）-60%（含）之间填报。举例，如供应商拟报价格系数40%，请直接将“40%”填入苏</w:t>
      </w:r>
      <w:r>
        <w:rPr>
          <w:rFonts w:ascii="仿宋" w:hAnsi="仿宋" w:eastAsia="仿宋" w:cs="仿宋"/>
          <w:sz w:val="24"/>
          <w:szCs w:val="24"/>
        </w:rPr>
        <w:t xml:space="preserve">采云</w:t>
      </w:r>
      <w:r>
        <w:rPr>
          <w:rFonts w:ascii="仿宋" w:hAnsi="仿宋" w:eastAsia="仿宋" w:cs="仿宋"/>
          <w:sz w:val="24"/>
          <w:szCs w:val="24"/>
        </w:rPr>
        <w:t xml:space="preserve">报价一览表，</w:t>
      </w:r>
      <w:r>
        <w:rPr>
          <w:rFonts w:ascii="仿宋" w:hAnsi="仿宋" w:eastAsia="仿宋" w:cs="仿宋"/>
          <w:sz w:val="24"/>
          <w:szCs w:val="24"/>
        </w:rPr>
        <w:t xml:space="preserve">勿填“60%”</w:t>
      </w:r>
      <w:r>
        <w:rPr>
          <w:rFonts w:ascii="仿宋" w:hAnsi="仿宋" w:eastAsia="仿宋" w:cs="仿宋"/>
          <w:sz w:val="24"/>
          <w:szCs w:val="24"/>
        </w:rPr>
        <w:t xml:space="preserve">。当在苏</w:t>
      </w:r>
      <w:r>
        <w:rPr>
          <w:rFonts w:ascii="仿宋" w:hAnsi="仿宋" w:eastAsia="仿宋" w:cs="仿宋"/>
          <w:sz w:val="24"/>
          <w:szCs w:val="24"/>
        </w:rPr>
        <w:t xml:space="preserve">采云</w:t>
      </w:r>
      <w:r>
        <w:rPr>
          <w:rFonts w:ascii="仿宋" w:hAnsi="仿宋" w:eastAsia="仿宋" w:cs="仿宋"/>
          <w:sz w:val="24"/>
          <w:szCs w:val="24"/>
        </w:rPr>
        <w:t xml:space="preserve">报价一览表中填写40%时，最终服务费=“苏价服〔2014〕383号文件”中工程结算审核（基本收费+效益收费）收费标准*40%*调整比例，最高不超过本项目预算金额。如有理解不清，请提前拨打电话025-86170600</w:t>
      </w:r>
      <w:r>
        <w:rPr>
          <w:rFonts w:hint="eastAsia" w:ascii="仿宋" w:hAnsi="仿宋" w:eastAsia="仿宋" w:cs="仿宋"/>
          <w:sz w:val="24"/>
          <w:szCs w:val="24"/>
        </w:rPr>
        <w:t xml:space="preserve">或电子邮件</w:t>
      </w:r>
      <w:r>
        <w:rPr>
          <w:rFonts w:ascii="仿宋" w:hAnsi="仿宋" w:eastAsia="仿宋" w:cs="仿宋"/>
          <w:sz w:val="24"/>
          <w:szCs w:val="24"/>
        </w:rPr>
        <w:t xml:space="preserve">njjszxlll@163.com咨询</w:t>
      </w:r>
      <w:r>
        <w:rPr>
          <w:rFonts w:hint="eastAsia" w:ascii="仿宋" w:hAnsi="仿宋" w:eastAsia="仿宋" w:cs="仿宋"/>
          <w:sz w:val="24"/>
          <w:szCs w:val="24"/>
        </w:rPr>
        <w:t xml:space="preserve">。</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34"/>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4"/>
        <w:gridCol w:w="884"/>
        <w:gridCol w:w="709"/>
        <w:gridCol w:w="709"/>
        <w:gridCol w:w="1814"/>
        <w:gridCol w:w="933"/>
        <w:gridCol w:w="978"/>
        <w:gridCol w:w="815"/>
        <w:gridCol w:w="1183"/>
        <w:gridCol w:w="445"/>
      </w:tblGrid>
      <w:tr>
        <w:trPr>
          <w:jc w:val="center"/>
          <w:trHeight w:val="111"/>
        </w:trPr>
        <w:tc>
          <w:tcPr>
            <w:tcW w:w="6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88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W w:w="18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职（执）业资格及注册专业（如有）</w:t>
            </w:r>
            <w:r/>
          </w:p>
        </w:tc>
        <w:tc>
          <w:tcPr>
            <w:tcW w:w="93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W w:w="978"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技术职称及专业大类</w:t>
            </w:r>
            <w:r/>
          </w:p>
        </w:tc>
        <w:tc>
          <w:tcPr>
            <w:tcW w:w="81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W w:w="118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W w:w="44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8" o:spid="_x0000_s8"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说明：</w:t>
      </w:r>
      <w:r/>
    </w:p>
    <w:p>
      <w:pPr>
        <w:spacing w:line="360" w:lineRule="auto"/>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w:t>
      </w:r>
      <w:r/>
    </w:p>
    <w:p>
      <w:pPr>
        <w:spacing w:line="360" w:lineRule="auto"/>
        <w:rPr>
          <w:rFonts w:ascii="仿宋" w:hAnsi="仿宋" w:eastAsia="仿宋"/>
          <w:sz w:val="24"/>
          <w:szCs w:val="24"/>
        </w:rPr>
      </w:pPr>
      <w:r>
        <w:rPr>
          <w:rFonts w:hint="eastAsia" w:ascii="仿宋" w:hAnsi="仿宋" w:eastAsia="仿宋"/>
          <w:sz w:val="24"/>
          <w:szCs w:val="24"/>
        </w:rPr>
        <w:t xml:space="preserve">2.如果行数不够，请自行增加。</w:t>
      </w:r>
      <w:r/>
    </w:p>
    <w:p>
      <w:pPr>
        <w:spacing w:line="360" w:lineRule="auto"/>
        <w:rPr>
          <w:rFonts w:ascii="仿宋" w:hAnsi="仿宋" w:eastAsia="仿宋"/>
          <w:sz w:val="24"/>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放置，若上传的证书等资料无法识别有效信息的，视为无效。</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34"/>
        <w:gridCol w:w="1701"/>
        <w:gridCol w:w="1134"/>
        <w:gridCol w:w="852"/>
        <w:gridCol w:w="1275"/>
        <w:gridCol w:w="1135"/>
        <w:gridCol w:w="1135"/>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1134"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85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合同签订日期</w:t>
            </w:r>
            <w:r/>
          </w:p>
        </w:tc>
        <w:tc>
          <w:tcPr>
            <w:tcW w:w="113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firstLine="480"/>
        <w:rPr>
          <w:b/>
          <w:sz w:val="24"/>
          <w:szCs w:val="24"/>
        </w:rPr>
      </w:pPr>
      <w:r>
        <w:rPr>
          <w:b/>
          <w:sz w:val="24"/>
          <w:szCs w:val="24"/>
        </w:rPr>
      </w:r>
      <w:r/>
    </w:p>
    <w:p>
      <w:pPr>
        <w:ind w:firstLine="480"/>
        <w:rPr>
          <w:b/>
          <w:sz w:val="24"/>
          <w:szCs w:val="24"/>
        </w:rPr>
      </w:pPr>
      <w:r>
        <w:rPr>
          <w:b/>
          <w:sz w:val="24"/>
          <w:szCs w:val="24"/>
        </w:rPr>
      </w:r>
      <w:r/>
    </w:p>
    <w:p>
      <w:pPr>
        <w:ind w:firstLine="480"/>
        <w:rPr>
          <w:b/>
          <w:sz w:val="24"/>
          <w:szCs w:val="24"/>
        </w:rPr>
      </w:pPr>
      <w:r>
        <w:rPr>
          <w:b/>
          <w:sz w:val="24"/>
          <w:szCs w:val="24"/>
        </w:rPr>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440"/>
        <w:rPr>
          <w:rFonts w:ascii="仿宋" w:hAnsi="仿宋" w:eastAsia="仿宋"/>
        </w:rPr>
      </w:pPr>
      <w:r>
        <w:rPr>
          <w:rFonts w:ascii="仿宋" w:hAnsi="仿宋" w:eastAsia="仿宋"/>
        </w:rPr>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36" w:name="_Toc31149"/>
      <w:r/>
      <w:bookmarkEnd w:id="35"/>
      <w:r/>
      <w:r/>
    </w:p>
    <w:p>
      <w:pPr>
        <w:ind w:left="160" w:firstLine="643"/>
        <w:spacing w:line="366" w:lineRule="exact"/>
        <w:rPr>
          <w:rFonts w:ascii="仿宋" w:hAnsi="仿宋" w:eastAsia="仿宋"/>
          <w:b/>
          <w:sz w:val="32"/>
        </w:rPr>
        <w:outlineLvl w:val="0"/>
      </w:pPr>
      <w:r/>
      <w:bookmarkStart w:id="37" w:name="page49"/>
      <w:r/>
      <w:bookmarkStart w:id="38" w:name="_Toc27856"/>
      <w:r/>
      <w:bookmarkEnd w:id="36"/>
      <w:r/>
      <w:bookmarkEnd w:id="37"/>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38"/>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39" w:name="bookmark32"/>
      <w:r/>
      <w:bookmarkStart w:id="40" w:name="bookmark34"/>
      <w:r/>
      <w:bookmarkStart w:id="41" w:name="bookmark33"/>
      <w:r>
        <w:rPr>
          <w:rFonts w:hint="eastAsia" w:ascii="仿宋" w:hAnsi="仿宋" w:eastAsia="仿宋" w:cs="仿宋"/>
          <w:b/>
          <w:bCs/>
          <w:sz w:val="24"/>
          <w:szCs w:val="24"/>
        </w:rPr>
        <w:t xml:space="preserve">中小企业声明函（服务）</w:t>
      </w:r>
      <w:bookmarkEnd w:id="39"/>
      <w:r/>
      <w:bookmarkEnd w:id="40"/>
      <w:r/>
      <w:bookmarkEnd w:id="41"/>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21"/>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102"/>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hint="eastAsia"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723"/>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b/>
          <w:sz w:val="36"/>
        </w:rPr>
        <w:t xml:space="preserve">关于符合本国产品标准的声明函</w:t>
      </w:r>
      <w:r/>
    </w:p>
    <w:p>
      <w:pPr>
        <w:ind w:firstLine="420"/>
        <w:spacing w:before="15" w:after="15"/>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w:t>
      </w:r>
      <w:r>
        <w:rPr>
          <w:sz w:val="24"/>
          <w:u w:val="single"/>
        </w:rPr>
        <w:t xml:space="preserve">（产品名称1）</w:t>
      </w:r>
      <w:r>
        <w:rPr>
          <w:sz w:val="24"/>
          <w:vertAlign w:val="superscript"/>
        </w:rPr>
        <w:t xml:space="preserve">1</w:t>
      </w:r>
      <w:r>
        <w:rPr>
          <w:sz w:val="24"/>
        </w:rPr>
        <w:t xml:space="preserve">，生产厂为</w:t>
      </w:r>
      <w:r>
        <w:rPr>
          <w:sz w:val="24"/>
          <w:u w:val="single"/>
        </w:rPr>
        <w:t xml:space="preserve">（厂名）</w:t>
      </w:r>
      <w:r>
        <w:rPr>
          <w:sz w:val="20"/>
          <w:vertAlign w:val="superscript"/>
        </w:rPr>
        <w:t xml:space="preserve">2</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0"/>
          <w:vertAlign w:val="superscript"/>
        </w:rPr>
        <w:t xml:space="preserve">3</w:t>
      </w:r>
      <w:r>
        <w:rPr>
          <w:sz w:val="24"/>
        </w:rPr>
        <w:t xml:space="preserve">。</w:t>
      </w:r>
      <w:r>
        <w:rPr>
          <w:sz w:val="24"/>
          <w:u w:val="single"/>
        </w:rPr>
        <w:t xml:space="preserve">  /  </w:t>
      </w:r>
      <w:r>
        <w:rPr>
          <w:sz w:val="24"/>
        </w:rPr>
        <w:t xml:space="preserve">的</w:t>
      </w:r>
      <w:r>
        <w:rPr>
          <w:sz w:val="24"/>
          <w:u w:val="single"/>
        </w:rPr>
        <w:t xml:space="preserve">  /  </w:t>
      </w:r>
      <w:r>
        <w:rPr>
          <w:sz w:val="20"/>
          <w:vertAlign w:val="superscript"/>
        </w:rPr>
        <w:t xml:space="preserve">4</w:t>
      </w:r>
      <w:r>
        <w:rPr>
          <w:sz w:val="24"/>
        </w:rPr>
        <w:t xml:space="preserve">在中国境内生产。</w:t>
      </w:r>
      <w:r>
        <w:rPr>
          <w:sz w:val="24"/>
          <w:u w:val="single"/>
        </w:rPr>
        <w:t xml:space="preserve">  /  </w:t>
      </w:r>
      <w:r>
        <w:rPr>
          <w:sz w:val="24"/>
        </w:rPr>
        <w:t xml:space="preserve">的</w:t>
      </w:r>
      <w:r>
        <w:rPr>
          <w:sz w:val="24"/>
          <w:u w:val="single"/>
        </w:rPr>
        <w:t xml:space="preserve">  /  </w:t>
      </w:r>
      <w:r>
        <w:rPr>
          <w:sz w:val="20"/>
          <w:vertAlign w:val="superscript"/>
        </w:rPr>
        <w:t xml:space="preserve">5</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w:t>
      </w:r>
      <w:r>
        <w:rPr>
          <w:sz w:val="24"/>
          <w:u w:val="single"/>
        </w:rPr>
        <w:t xml:space="preserve">（产品名称2）</w:t>
      </w:r>
      <w:r>
        <w:rPr>
          <w:sz w:val="24"/>
        </w:rPr>
        <w:t xml:space="preserve">，生产厂为</w:t>
      </w:r>
      <w:r>
        <w:rPr>
          <w:sz w:val="24"/>
          <w:u w:val="single"/>
        </w:rPr>
        <w:t xml:space="preserve">（厂名）</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4"/>
        </w:rPr>
        <w:t xml:space="preserve">。</w:t>
      </w:r>
      <w:r>
        <w:rPr>
          <w:sz w:val="24"/>
          <w:u w:val="single"/>
        </w:rPr>
        <w:t xml:space="preserve">  /  </w:t>
      </w:r>
      <w:r>
        <w:rPr>
          <w:sz w:val="24"/>
        </w:rPr>
        <w:t xml:space="preserve">的</w:t>
      </w:r>
      <w:r>
        <w:rPr>
          <w:sz w:val="24"/>
          <w:u w:val="single"/>
        </w:rPr>
        <w:t xml:space="preserve">  /  </w:t>
      </w:r>
      <w:r>
        <w:rPr>
          <w:sz w:val="24"/>
        </w:rPr>
        <w:t xml:space="preserve">在中国境内生产。</w:t>
      </w:r>
      <w:r>
        <w:rPr>
          <w:sz w:val="24"/>
          <w:u w:val="single"/>
        </w:rPr>
        <w:t xml:space="preserve">  / </w:t>
      </w:r>
      <w:r>
        <w:rPr>
          <w:sz w:val="24"/>
        </w:rPr>
        <w:t xml:space="preserve">的</w:t>
      </w:r>
      <w:r>
        <w:rPr>
          <w:sz w:val="24"/>
          <w:u w:val="single"/>
        </w:rPr>
        <w:t xml:space="preserve">  /  </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本公司（单位）对上述声明内容的真实性负责。如有虚假，愿承担相应法律责任。</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公司（单位）名称（加盖CA电子公章）：        </w:t>
      </w:r>
      <w:r/>
    </w:p>
    <w:p>
      <w:pPr>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日期：      年   月   日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_________________</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1.产品如有型号，请在“产品名称”栏一并填写。</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2.生产厂名与厂址应与生产厂营业执照载明的相关信息保持一致。</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3.该产品的中国境内生产的组件成本占比相关要求实施前，“规定比例”栏可不填，下同。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4.该产品的关键组件要求实施前，“关键组件”栏可不填，下同。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5.该产品的关键工序要求实施前，“关键工序”栏可不填，下同。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6.《声明函》中标注“</w:t>
      </w:r>
      <w:r>
        <w:rPr>
          <w:sz w:val="24"/>
          <w:u w:val="single"/>
        </w:rPr>
        <w:t xml:space="preserve">  /  </w:t>
      </w:r>
      <w:r>
        <w:rPr>
          <w:sz w:val="24"/>
        </w:rPr>
        <w:t xml:space="preserve">”的地方无需填写。</w:t>
      </w:r>
      <w:r/>
    </w:p>
    <w:p>
      <w:pPr>
        <w:ind w:firstLine="440"/>
        <w:spacing w:line="360" w:lineRule="auto"/>
        <w:rPr>
          <w:rFonts w:ascii="仿宋" w:hAnsi="仿宋" w:eastAsia="仿宋" w:cs="仿宋"/>
          <w:szCs w:val="21"/>
        </w:rPr>
      </w:pPr>
      <w:r>
        <w:rPr>
          <w:rFonts w:ascii="仿宋" w:hAnsi="仿宋" w:eastAsia="仿宋" w:cs="仿宋"/>
          <w:szCs w:val="21"/>
        </w:rPr>
      </w:r>
      <w:r/>
    </w:p>
    <w:p>
      <w:pPr>
        <w:ind w:firstLine="643"/>
        <w:widowControl/>
        <w:rPr>
          <w:rFonts w:ascii="仿宋" w:hAnsi="仿宋" w:eastAsia="仿宋" w:cs="Microsoft JhengHei"/>
          <w:b/>
          <w:bCs/>
          <w:sz w:val="32"/>
          <w:szCs w:val="21"/>
        </w:rPr>
        <w:outlineLvl w:val="0"/>
      </w:pPr>
      <w:r/>
      <w:bookmarkStart w:id="42" w:name="_Toc28593"/>
      <w:r/>
      <w:bookmarkStart w:id="43" w:name="_Toc1860"/>
      <w:r>
        <w:rPr>
          <w:rFonts w:hint="eastAsia" w:ascii="仿宋" w:hAnsi="仿宋" w:eastAsia="仿宋" w:cs="Microsoft JhengHei"/>
          <w:b/>
          <w:bCs/>
          <w:sz w:val="32"/>
          <w:szCs w:val="21"/>
        </w:rPr>
        <w:t xml:space="preserve">附件十二、成本明细说明（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附件十三、</w:t>
      </w:r>
      <w:bookmarkEnd w:id="42"/>
      <w:r>
        <w:rPr>
          <w:rFonts w:hint="eastAsia" w:ascii="仿宋" w:hAnsi="仿宋" w:eastAsia="仿宋" w:cs="Microsoft JhengHei"/>
          <w:b/>
          <w:bCs/>
          <w:sz w:val="32"/>
          <w:szCs w:val="21"/>
        </w:rPr>
        <w:t xml:space="preserve">招标文件要求及投标人认为需要提供的证明文件及材料等（格式自拟）</w:t>
      </w:r>
      <w:bookmarkEnd w:id="43"/>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17</w:t>
    </w:r>
    <w:r>
      <w:rPr>
        <w:rFonts w:ascii="Times New Roman" w:hAnsi="Times New Roman" w:cs="Times New Roman"/>
      </w:rPr>
      <w:fldChar w:fldCharType="end"/>
    </w:r>
    <w:r/>
  </w:p>
  <w:p>
    <w:pPr>
      <w:pStyle w:val="90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jc w:val="center"/>
                          </w:pPr>
                          <w:r>
                            <w:fldChar w:fldCharType="begin"/>
                          </w:r>
                          <w:r>
                            <w:instrText xml:space="preserve"> PAGE   \* MERGEFORMAT </w:instrText>
                          </w:r>
                          <w:r>
                            <w:fldChar w:fldCharType="separate"/>
                          </w:r>
                          <w:r>
                            <w:t xml:space="preserve">32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03"/>
                      <w:jc w:val="center"/>
                    </w:pPr>
                    <w:r>
                      <w:fldChar w:fldCharType="begin"/>
                    </w:r>
                    <w:r>
                      <w:instrText xml:space="preserve"> PAGE   \* MERGEFORMAT </w:instrText>
                    </w:r>
                    <w:r>
                      <w:fldChar w:fldCharType="separate"/>
                    </w:r>
                    <w:r>
                      <w:t xml:space="preserve">32</w:t>
                    </w:r>
                    <w:r>
                      <w:fldChar w:fldCharType="end"/>
                    </w:r>
                    <w:r/>
                  </w:p>
                  <w:p>
                    <w:r/>
                    <w:r/>
                  </w:p>
                </w:txbxContent>
              </v:textbox>
            </v:shape>
          </w:pict>
        </mc:Fallback>
      </mc:AlternateContent>
    </w:r>
    <w:r/>
  </w:p>
  <w:p>
    <w:pPr>
      <w:pStyle w:val="90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9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110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818" w:default="1">
    <w:name w:val="Normal"/>
    <w:uiPriority w:val="1"/>
    <w:qFormat/>
    <w:pPr>
      <w:widowControl w:val="off"/>
    </w:pPr>
    <w:rPr>
      <w:rFonts w:ascii="宋体" w:hAnsi="宋体" w:cs="宋体"/>
      <w:sz w:val="22"/>
      <w:szCs w:val="22"/>
      <w:lang w:val="zh-CN" w:bidi="zh-CN"/>
    </w:rPr>
  </w:style>
  <w:style w:type="paragraph" w:styleId="819">
    <w:name w:val="Heading 1"/>
    <w:basedOn w:val="818"/>
    <w:next w:val="818"/>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uiPriority w:val="9"/>
    <w:unhideWhenUsed/>
    <w:qFormat/>
    <w:pPr>
      <w:keepLines/>
      <w:keepNext/>
      <w:spacing w:before="320" w:after="200"/>
      <w:outlineLvl w:val="5"/>
    </w:pPr>
    <w:rPr>
      <w:rFonts w:ascii="Arial" w:hAnsi="Arial" w:eastAsia="Arial" w:cs="Arial"/>
      <w:b/>
      <w:bCs/>
    </w:rPr>
  </w:style>
  <w:style w:type="paragraph" w:styleId="825">
    <w:name w:val="Heading 7"/>
    <w:basedOn w:val="818"/>
    <w:next w:val="818"/>
    <w:uiPriority w:val="9"/>
    <w:unhideWhenUsed/>
    <w:qFormat/>
    <w:pPr>
      <w:keepLines/>
      <w:keepNext/>
      <w:spacing w:before="320" w:after="200"/>
      <w:outlineLvl w:val="6"/>
    </w:pPr>
    <w:rPr>
      <w:rFonts w:ascii="Arial" w:hAnsi="Arial" w:eastAsia="Arial" w:cs="Arial"/>
      <w:b/>
      <w:bCs/>
      <w:i/>
      <w:iCs/>
    </w:rPr>
  </w:style>
  <w:style w:type="paragraph" w:styleId="826">
    <w:name w:val="Heading 8"/>
    <w:basedOn w:val="818"/>
    <w:next w:val="818"/>
    <w:uiPriority w:val="9"/>
    <w:unhideWhenUsed/>
    <w:qFormat/>
    <w:pPr>
      <w:keepLines/>
      <w:keepNext/>
      <w:spacing w:before="320" w:after="200"/>
      <w:outlineLvl w:val="7"/>
    </w:pPr>
    <w:rPr>
      <w:rFonts w:ascii="Arial" w:hAnsi="Arial" w:eastAsia="Arial" w:cs="Arial"/>
      <w:i/>
      <w:iCs/>
    </w:rPr>
  </w:style>
  <w:style w:type="paragraph" w:styleId="827">
    <w:name w:val="Heading 9"/>
    <w:basedOn w:val="818"/>
    <w:next w:val="818"/>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toc 7"/>
    <w:basedOn w:val="818"/>
    <w:next w:val="818"/>
    <w:uiPriority w:val="39"/>
    <w:unhideWhenUsed/>
    <w:qFormat/>
    <w:pPr>
      <w:ind w:left="1701"/>
      <w:spacing w:after="57"/>
    </w:pPr>
  </w:style>
  <w:style w:type="paragraph" w:styleId="832">
    <w:name w:val="Caption"/>
    <w:basedOn w:val="818"/>
    <w:next w:val="818"/>
    <w:uiPriority w:val="35"/>
    <w:semiHidden/>
    <w:unhideWhenUsed/>
    <w:qFormat/>
    <w:pPr>
      <w:spacing w:line="276" w:lineRule="auto"/>
    </w:pPr>
    <w:rPr>
      <w:b/>
      <w:bCs/>
      <w:color w:val="4f81bd" w:themeColor="accent1"/>
      <w:sz w:val="18"/>
      <w:szCs w:val="18"/>
    </w:rPr>
  </w:style>
  <w:style w:type="paragraph" w:styleId="833">
    <w:name w:val="annotation text"/>
    <w:basedOn w:val="818"/>
    <w:link w:val="1138"/>
    <w:uiPriority w:val="99"/>
    <w:semiHidden/>
    <w:unhideWhenUsed/>
  </w:style>
  <w:style w:type="paragraph" w:styleId="834">
    <w:name w:val="toc 5"/>
    <w:basedOn w:val="818"/>
    <w:next w:val="818"/>
    <w:uiPriority w:val="39"/>
    <w:unhideWhenUsed/>
    <w:qFormat/>
    <w:pPr>
      <w:ind w:left="1134"/>
      <w:spacing w:after="57"/>
    </w:pPr>
  </w:style>
  <w:style w:type="paragraph" w:styleId="835">
    <w:name w:val="toc 3"/>
    <w:basedOn w:val="818"/>
    <w:next w:val="818"/>
    <w:uiPriority w:val="39"/>
    <w:unhideWhenUsed/>
    <w:qFormat/>
    <w:pPr>
      <w:ind w:left="567"/>
      <w:spacing w:after="57"/>
    </w:pPr>
  </w:style>
  <w:style w:type="paragraph" w:styleId="836">
    <w:name w:val="toc 8"/>
    <w:basedOn w:val="818"/>
    <w:next w:val="818"/>
    <w:uiPriority w:val="39"/>
    <w:unhideWhenUsed/>
    <w:qFormat/>
    <w:pPr>
      <w:ind w:left="1984"/>
      <w:spacing w:after="57"/>
    </w:pPr>
  </w:style>
  <w:style w:type="paragraph" w:styleId="837">
    <w:name w:val="endnote text"/>
    <w:basedOn w:val="818"/>
    <w:uiPriority w:val="99"/>
    <w:semiHidden/>
    <w:unhideWhenUsed/>
    <w:qFormat/>
    <w:rPr>
      <w:sz w:val="20"/>
    </w:rPr>
  </w:style>
  <w:style w:type="paragraph" w:styleId="838">
    <w:name w:val="Balloon Text"/>
    <w:basedOn w:val="818"/>
    <w:link w:val="1137"/>
    <w:uiPriority w:val="99"/>
    <w:semiHidden/>
    <w:unhideWhenUsed/>
    <w:qFormat/>
    <w:rPr>
      <w:sz w:val="18"/>
      <w:szCs w:val="18"/>
    </w:rPr>
  </w:style>
  <w:style w:type="paragraph" w:styleId="839">
    <w:name w:val="Footer"/>
    <w:basedOn w:val="818"/>
    <w:uiPriority w:val="99"/>
    <w:unhideWhenUsed/>
    <w:qFormat/>
    <w:pPr>
      <w:tabs>
        <w:tab w:val="center" w:pos="7143" w:leader="none"/>
        <w:tab w:val="right" w:pos="14287" w:leader="none"/>
      </w:tabs>
    </w:pPr>
  </w:style>
  <w:style w:type="paragraph" w:styleId="840">
    <w:name w:val="Header"/>
    <w:basedOn w:val="818"/>
    <w:uiPriority w:val="99"/>
    <w:unhideWhenUsed/>
    <w:qFormat/>
    <w:pPr>
      <w:tabs>
        <w:tab w:val="center" w:pos="7143" w:leader="none"/>
        <w:tab w:val="right" w:pos="14287" w:leader="none"/>
      </w:tabs>
    </w:pPr>
  </w:style>
  <w:style w:type="paragraph" w:styleId="841">
    <w:name w:val="toc 1"/>
    <w:basedOn w:val="818"/>
    <w:next w:val="818"/>
    <w:uiPriority w:val="39"/>
    <w:unhideWhenUsed/>
    <w:qFormat/>
    <w:pPr>
      <w:spacing w:after="57"/>
    </w:pPr>
  </w:style>
  <w:style w:type="paragraph" w:styleId="842">
    <w:name w:val="toc 4"/>
    <w:basedOn w:val="818"/>
    <w:next w:val="818"/>
    <w:uiPriority w:val="39"/>
    <w:unhideWhenUsed/>
    <w:qFormat/>
    <w:pPr>
      <w:ind w:left="850"/>
      <w:spacing w:after="57"/>
    </w:pPr>
  </w:style>
  <w:style w:type="paragraph" w:styleId="843">
    <w:name w:val="Subtitle"/>
    <w:basedOn w:val="818"/>
    <w:next w:val="818"/>
    <w:uiPriority w:val="11"/>
    <w:qFormat/>
    <w:pPr>
      <w:spacing w:before="200" w:after="200"/>
    </w:pPr>
    <w:rPr>
      <w:sz w:val="24"/>
      <w:szCs w:val="24"/>
    </w:rPr>
  </w:style>
  <w:style w:type="paragraph" w:styleId="844">
    <w:name w:val="footnote text"/>
    <w:basedOn w:val="818"/>
    <w:uiPriority w:val="99"/>
    <w:semiHidden/>
    <w:unhideWhenUsed/>
    <w:qFormat/>
    <w:pPr>
      <w:spacing w:after="40"/>
    </w:pPr>
    <w:rPr>
      <w:sz w:val="18"/>
    </w:rPr>
  </w:style>
  <w:style w:type="paragraph" w:styleId="845">
    <w:name w:val="toc 6"/>
    <w:basedOn w:val="818"/>
    <w:next w:val="818"/>
    <w:uiPriority w:val="39"/>
    <w:unhideWhenUsed/>
    <w:qFormat/>
    <w:pPr>
      <w:ind w:left="1417"/>
      <w:spacing w:after="57"/>
    </w:pPr>
  </w:style>
  <w:style w:type="paragraph" w:styleId="846">
    <w:name w:val="table of figures"/>
    <w:basedOn w:val="818"/>
    <w:next w:val="818"/>
    <w:uiPriority w:val="99"/>
    <w:unhideWhenUsed/>
    <w:qFormat/>
  </w:style>
  <w:style w:type="paragraph" w:styleId="847">
    <w:name w:val="toc 2"/>
    <w:basedOn w:val="818"/>
    <w:next w:val="818"/>
    <w:uiPriority w:val="39"/>
    <w:unhideWhenUsed/>
    <w:qFormat/>
    <w:pPr>
      <w:ind w:left="283"/>
      <w:spacing w:after="57"/>
    </w:pPr>
  </w:style>
  <w:style w:type="paragraph" w:styleId="848">
    <w:name w:val="toc 9"/>
    <w:basedOn w:val="818"/>
    <w:next w:val="818"/>
    <w:uiPriority w:val="39"/>
    <w:unhideWhenUsed/>
    <w:qFormat/>
    <w:pPr>
      <w:ind w:left="2268"/>
      <w:spacing w:after="57"/>
    </w:pPr>
  </w:style>
  <w:style w:type="paragraph" w:styleId="849">
    <w:name w:val="Title"/>
    <w:basedOn w:val="818"/>
    <w:next w:val="818"/>
    <w:uiPriority w:val="10"/>
    <w:qFormat/>
    <w:pPr>
      <w:contextualSpacing/>
      <w:spacing w:before="300" w:after="200"/>
    </w:pPr>
    <w:rPr>
      <w:sz w:val="48"/>
      <w:szCs w:val="48"/>
    </w:rPr>
  </w:style>
  <w:style w:type="paragraph" w:styleId="850">
    <w:name w:val="annotation subject"/>
    <w:basedOn w:val="833"/>
    <w:next w:val="833"/>
    <w:link w:val="1139"/>
    <w:uiPriority w:val="99"/>
    <w:semiHidden/>
    <w:unhideWhenUsed/>
    <w:qFormat/>
    <w:rPr>
      <w:b/>
      <w:bCs/>
    </w:rPr>
  </w:style>
  <w:style w:type="table" w:styleId="8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endnote reference"/>
    <w:uiPriority w:val="99"/>
    <w:semiHidden/>
    <w:unhideWhenUsed/>
    <w:qFormat/>
    <w:rPr>
      <w:vertAlign w:val="superscript"/>
    </w:rPr>
  </w:style>
  <w:style w:type="character" w:styleId="853">
    <w:name w:val="Hyperlink"/>
    <w:uiPriority w:val="99"/>
    <w:unhideWhenUsed/>
    <w:qFormat/>
    <w:rPr>
      <w:color w:val="0000ff" w:themeColor="hyperlink"/>
      <w:u w:val="single"/>
    </w:rPr>
  </w:style>
  <w:style w:type="character" w:styleId="854">
    <w:name w:val="annotation reference"/>
    <w:basedOn w:val="828"/>
    <w:uiPriority w:val="99"/>
    <w:semiHidden/>
    <w:unhideWhenUsed/>
    <w:qFormat/>
    <w:rPr>
      <w:sz w:val="21"/>
      <w:szCs w:val="21"/>
    </w:rPr>
  </w:style>
  <w:style w:type="character" w:styleId="855">
    <w:name w:val="footnote reference"/>
    <w:uiPriority w:val="99"/>
    <w:unhideWhenUsed/>
    <w:qFormat/>
    <w:rPr>
      <w:vertAlign w:val="superscript"/>
    </w:rPr>
  </w:style>
  <w:style w:type="paragraph" w:styleId="856" w:customStyle="1">
    <w:name w:val="TOC 标题1"/>
    <w:uiPriority w:val="39"/>
    <w:unhideWhenUsed/>
    <w:rPr>
      <w:rFonts w:ascii="Times New Roman" w:hAnsi="Times New Roman"/>
    </w:rPr>
  </w:style>
  <w:style w:type="paragraph" w:styleId="857" w:customStyle="1">
    <w:name w:val="TOC 标题1"/>
    <w:uiPriority w:val="39"/>
    <w:unhideWhenUsed/>
    <w:qFormat/>
    <w:rPr>
      <w:rFonts w:ascii="Times New Roman" w:hAnsi="Times New Roman"/>
    </w:rPr>
  </w:style>
  <w:style w:type="paragraph" w:styleId="858" w:customStyle="1">
    <w:name w:val="TOC 标题114"/>
    <w:uiPriority w:val="39"/>
    <w:unhideWhenUsed/>
    <w:qFormat/>
    <w:rPr>
      <w:rFonts w:ascii="Times New Roman" w:hAnsi="Times New Roman"/>
    </w:rPr>
  </w:style>
  <w:style w:type="paragraph" w:styleId="859">
    <w:name w:val="List Paragraph"/>
    <w:basedOn w:val="818"/>
    <w:uiPriority w:val="34"/>
    <w:qFormat/>
    <w:pPr>
      <w:contextualSpacing/>
      <w:ind w:left="720"/>
    </w:pPr>
  </w:style>
  <w:style w:type="paragraph" w:styleId="860">
    <w:name w:val="No Spacing"/>
    <w:uiPriority w:val="1"/>
    <w:qFormat/>
    <w:rPr>
      <w:rFonts w:ascii="Times New Roman" w:hAnsi="Times New Roman"/>
    </w:rPr>
  </w:style>
  <w:style w:type="paragraph" w:styleId="861">
    <w:name w:val="Quote"/>
    <w:basedOn w:val="818"/>
    <w:next w:val="818"/>
    <w:uiPriority w:val="29"/>
    <w:qFormat/>
    <w:pPr>
      <w:ind w:left="720" w:right="720"/>
    </w:pPr>
    <w:rPr>
      <w:i/>
    </w:rPr>
  </w:style>
  <w:style w:type="paragraph" w:styleId="862">
    <w:name w:val="Intense Quote"/>
    <w:basedOn w:val="818"/>
    <w:next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3" w:customStyle="1">
    <w:name w:val="TOC 标题113"/>
    <w:uiPriority w:val="39"/>
    <w:unhideWhenUsed/>
    <w:qFormat/>
    <w:rPr>
      <w:rFonts w:ascii="Times New Roman" w:hAnsi="Times New Roman"/>
    </w:rPr>
  </w:style>
  <w:style w:type="paragraph" w:styleId="864" w:customStyle="1">
    <w:name w:val="标题 11"/>
    <w:basedOn w:val="818"/>
    <w:next w:val="818"/>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5" w:customStyle="1">
    <w:name w:val="标题 21"/>
    <w:basedOn w:val="818"/>
    <w:next w:val="818"/>
    <w:uiPriority w:val="1"/>
    <w:qFormat/>
    <w:pPr>
      <w:ind w:left="320"/>
      <w:outlineLvl w:val="1"/>
    </w:pPr>
    <w:rPr>
      <w:sz w:val="36"/>
      <w:szCs w:val="36"/>
    </w:rPr>
  </w:style>
  <w:style w:type="paragraph" w:styleId="866" w:customStyle="1">
    <w:name w:val="标题 31"/>
    <w:basedOn w:val="818"/>
    <w:next w:val="867"/>
    <w:uiPriority w:val="1"/>
    <w:qFormat/>
    <w:pPr>
      <w:jc w:val="center"/>
      <w:outlineLvl w:val="2"/>
    </w:pPr>
    <w:rPr>
      <w:rFonts w:ascii="Microsoft JhengHei" w:hAnsi="Microsoft JhengHei" w:eastAsia="Microsoft JhengHei" w:cs="Microsoft JhengHei"/>
      <w:b/>
      <w:bCs/>
      <w:sz w:val="32"/>
      <w:szCs w:val="32"/>
    </w:rPr>
  </w:style>
  <w:style w:type="paragraph" w:styleId="867" w:customStyle="1">
    <w:name w:val="正文缩进11"/>
    <w:basedOn w:val="818"/>
    <w:qFormat/>
    <w:pPr>
      <w:ind w:firstLine="420"/>
    </w:pPr>
  </w:style>
  <w:style w:type="paragraph" w:styleId="868" w:customStyle="1">
    <w:name w:val="标题 41"/>
    <w:basedOn w:val="818"/>
    <w:next w:val="818"/>
    <w:uiPriority w:val="1"/>
    <w:qFormat/>
    <w:pPr>
      <w:ind w:left="638"/>
      <w:outlineLvl w:val="3"/>
    </w:pPr>
    <w:rPr>
      <w:rFonts w:ascii="Microsoft JhengHei" w:hAnsi="Microsoft JhengHei" w:eastAsia="Microsoft JhengHei" w:cs="Microsoft JhengHei"/>
      <w:b/>
      <w:bCs/>
      <w:sz w:val="21"/>
      <w:szCs w:val="21"/>
    </w:rPr>
  </w:style>
  <w:style w:type="paragraph" w:styleId="869" w:customStyle="1">
    <w:name w:val="标题 51"/>
    <w:basedOn w:val="818"/>
    <w:next w:val="818"/>
    <w:link w:val="876"/>
    <w:uiPriority w:val="9"/>
    <w:qFormat/>
    <w:pPr>
      <w:keepLines/>
      <w:keepNext/>
      <w:spacing w:before="320" w:after="200"/>
      <w:outlineLvl w:val="4"/>
    </w:pPr>
    <w:rPr>
      <w:rFonts w:ascii="Arial" w:hAnsi="Arial" w:eastAsia="Arial" w:cs="Arial"/>
      <w:b/>
      <w:bCs/>
      <w:sz w:val="24"/>
      <w:szCs w:val="24"/>
    </w:rPr>
  </w:style>
  <w:style w:type="paragraph" w:styleId="870" w:customStyle="1">
    <w:name w:val="标题 61"/>
    <w:basedOn w:val="818"/>
    <w:next w:val="818"/>
    <w:link w:val="877"/>
    <w:uiPriority w:val="9"/>
    <w:qFormat/>
    <w:pPr>
      <w:keepLines/>
      <w:keepNext/>
      <w:spacing w:before="320" w:after="200"/>
      <w:outlineLvl w:val="5"/>
    </w:pPr>
    <w:rPr>
      <w:rFonts w:ascii="Arial" w:hAnsi="Arial" w:eastAsia="Arial" w:cs="Arial"/>
      <w:b/>
      <w:bCs/>
    </w:rPr>
  </w:style>
  <w:style w:type="paragraph" w:styleId="871" w:customStyle="1">
    <w:name w:val="标题 71"/>
    <w:basedOn w:val="818"/>
    <w:next w:val="818"/>
    <w:link w:val="878"/>
    <w:uiPriority w:val="9"/>
    <w:qFormat/>
    <w:pPr>
      <w:keepLines/>
      <w:keepNext/>
      <w:spacing w:before="320" w:after="200"/>
      <w:outlineLvl w:val="6"/>
    </w:pPr>
    <w:rPr>
      <w:rFonts w:ascii="Arial" w:hAnsi="Arial" w:eastAsia="Arial" w:cs="Arial"/>
      <w:b/>
      <w:bCs/>
      <w:i/>
      <w:iCs/>
    </w:rPr>
  </w:style>
  <w:style w:type="paragraph" w:styleId="872" w:customStyle="1">
    <w:name w:val="标题 81"/>
    <w:basedOn w:val="818"/>
    <w:next w:val="818"/>
    <w:link w:val="879"/>
    <w:uiPriority w:val="9"/>
    <w:qFormat/>
    <w:pPr>
      <w:keepLines/>
      <w:keepNext/>
      <w:spacing w:before="320" w:after="200"/>
      <w:outlineLvl w:val="7"/>
    </w:pPr>
    <w:rPr>
      <w:rFonts w:ascii="Arial" w:hAnsi="Arial" w:eastAsia="Arial" w:cs="Arial"/>
      <w:i/>
      <w:iCs/>
    </w:rPr>
  </w:style>
  <w:style w:type="paragraph" w:styleId="873" w:customStyle="1">
    <w:name w:val="标题 91"/>
    <w:basedOn w:val="818"/>
    <w:next w:val="818"/>
    <w:link w:val="880"/>
    <w:uiPriority w:val="9"/>
    <w:qFormat/>
    <w:pPr>
      <w:keepLines/>
      <w:keepNext/>
      <w:spacing w:before="320" w:after="200"/>
      <w:outlineLvl w:val="8"/>
    </w:pPr>
    <w:rPr>
      <w:rFonts w:ascii="Arial" w:hAnsi="Arial" w:eastAsia="Arial" w:cs="Arial"/>
      <w:i/>
      <w:iCs/>
      <w:sz w:val="21"/>
      <w:szCs w:val="21"/>
    </w:rPr>
  </w:style>
  <w:style w:type="character" w:styleId="874" w:customStyle="1">
    <w:name w:val="默认段落字体1"/>
    <w:uiPriority w:val="1"/>
    <w:unhideWhenUsed/>
    <w:qFormat/>
  </w:style>
  <w:style w:type="table" w:styleId="875" w:customStyle="1">
    <w:name w:val="普通表格1"/>
    <w:uiPriority w:val="99"/>
    <w:unhideWhenUsed/>
    <w:qFormat/>
    <w:tblPr>
      <w:tblCellMar>
        <w:left w:w="0" w:type="dxa"/>
        <w:top w:w="0" w:type="dxa"/>
        <w:right w:w="0" w:type="dxa"/>
        <w:bottom w:w="0" w:type="dxa"/>
      </w:tblCellMar>
    </w:tblPr>
  </w:style>
  <w:style w:type="character" w:styleId="876" w:customStyle="1">
    <w:name w:val="标题 5 Char"/>
    <w:link w:val="869"/>
    <w:uiPriority w:val="9"/>
    <w:qFormat/>
    <w:rPr>
      <w:rFonts w:ascii="Arial" w:hAnsi="Arial" w:eastAsia="Arial" w:cs="Arial"/>
      <w:b/>
      <w:bCs/>
      <w:sz w:val="24"/>
      <w:szCs w:val="24"/>
    </w:rPr>
  </w:style>
  <w:style w:type="character" w:styleId="877" w:customStyle="1">
    <w:name w:val="标题 6 Char"/>
    <w:link w:val="870"/>
    <w:uiPriority w:val="9"/>
    <w:qFormat/>
    <w:rPr>
      <w:rFonts w:ascii="Arial" w:hAnsi="Arial" w:eastAsia="Arial" w:cs="Arial"/>
      <w:b/>
      <w:bCs/>
      <w:sz w:val="22"/>
      <w:szCs w:val="22"/>
    </w:rPr>
  </w:style>
  <w:style w:type="character" w:styleId="878" w:customStyle="1">
    <w:name w:val="标题 7 Char"/>
    <w:link w:val="871"/>
    <w:uiPriority w:val="9"/>
    <w:qFormat/>
    <w:rPr>
      <w:rFonts w:ascii="Arial" w:hAnsi="Arial" w:eastAsia="Arial" w:cs="Arial"/>
      <w:b/>
      <w:bCs/>
      <w:i/>
      <w:iCs/>
      <w:sz w:val="22"/>
      <w:szCs w:val="22"/>
    </w:rPr>
  </w:style>
  <w:style w:type="character" w:styleId="879" w:customStyle="1">
    <w:name w:val="标题 8 Char"/>
    <w:link w:val="872"/>
    <w:uiPriority w:val="9"/>
    <w:qFormat/>
    <w:rPr>
      <w:rFonts w:ascii="Arial" w:hAnsi="Arial" w:eastAsia="Arial" w:cs="Arial"/>
      <w:i/>
      <w:iCs/>
      <w:sz w:val="22"/>
      <w:szCs w:val="22"/>
    </w:rPr>
  </w:style>
  <w:style w:type="character" w:styleId="880" w:customStyle="1">
    <w:name w:val="标题 9 Char"/>
    <w:link w:val="873"/>
    <w:uiPriority w:val="9"/>
    <w:qFormat/>
    <w:rPr>
      <w:rFonts w:ascii="Arial" w:hAnsi="Arial" w:eastAsia="Arial" w:cs="Arial"/>
      <w:i/>
      <w:iCs/>
      <w:sz w:val="21"/>
      <w:szCs w:val="21"/>
    </w:rPr>
  </w:style>
  <w:style w:type="paragraph" w:styleId="881" w:customStyle="1">
    <w:name w:val="目录 71"/>
    <w:basedOn w:val="818"/>
    <w:next w:val="818"/>
    <w:uiPriority w:val="39"/>
    <w:unhideWhenUsed/>
    <w:qFormat/>
    <w:pPr>
      <w:ind w:left="1701"/>
      <w:spacing w:after="57"/>
    </w:pPr>
  </w:style>
  <w:style w:type="paragraph" w:styleId="882" w:customStyle="1">
    <w:name w:val="题注1"/>
    <w:basedOn w:val="818"/>
    <w:next w:val="818"/>
    <w:uiPriority w:val="35"/>
    <w:qFormat/>
    <w:pPr>
      <w:spacing w:line="276" w:lineRule="auto"/>
    </w:pPr>
    <w:rPr>
      <w:b/>
      <w:bCs/>
      <w:color w:val="4f81bd"/>
      <w:sz w:val="18"/>
      <w:szCs w:val="18"/>
    </w:rPr>
  </w:style>
  <w:style w:type="paragraph" w:styleId="883" w:customStyle="1">
    <w:name w:val="文档结构图1"/>
    <w:basedOn w:val="818"/>
    <w:link w:val="884"/>
    <w:qFormat/>
    <w:rPr>
      <w:sz w:val="18"/>
      <w:szCs w:val="18"/>
    </w:rPr>
  </w:style>
  <w:style w:type="character" w:styleId="884" w:customStyle="1">
    <w:name w:val="文档结构图 Char"/>
    <w:link w:val="883"/>
    <w:qFormat/>
    <w:rPr>
      <w:rFonts w:ascii="宋体" w:hAnsi="宋体" w:cs="宋体"/>
      <w:sz w:val="18"/>
      <w:szCs w:val="18"/>
      <w:lang w:val="zh-CN" w:bidi="zh-CN"/>
    </w:rPr>
  </w:style>
  <w:style w:type="paragraph" w:styleId="885" w:customStyle="1">
    <w:name w:val="批注文字1"/>
    <w:basedOn w:val="818"/>
    <w:link w:val="886"/>
    <w:qFormat/>
  </w:style>
  <w:style w:type="character" w:styleId="886" w:customStyle="1">
    <w:name w:val="批注文字 Char"/>
    <w:link w:val="885"/>
    <w:qFormat/>
    <w:rPr>
      <w:rFonts w:ascii="宋体" w:hAnsi="宋体" w:cs="宋体"/>
      <w:sz w:val="22"/>
      <w:szCs w:val="22"/>
      <w:lang w:val="zh-CN" w:bidi="zh-CN"/>
    </w:rPr>
  </w:style>
  <w:style w:type="paragraph" w:styleId="887" w:customStyle="1">
    <w:name w:val="正文文本 31"/>
    <w:basedOn w:val="818"/>
    <w:qFormat/>
    <w:rPr>
      <w:rFonts w:ascii="仿宋_GB2312" w:hAnsi="Arial" w:eastAsia="仿宋_GB2312"/>
      <w:sz w:val="32"/>
    </w:rPr>
  </w:style>
  <w:style w:type="paragraph" w:styleId="888" w:customStyle="1">
    <w:name w:val="正文文本1"/>
    <w:basedOn w:val="818"/>
    <w:next w:val="818"/>
    <w:link w:val="889"/>
    <w:qFormat/>
    <w:rPr>
      <w:sz w:val="21"/>
      <w:szCs w:val="21"/>
    </w:rPr>
  </w:style>
  <w:style w:type="character" w:styleId="889" w:customStyle="1">
    <w:name w:val="正文文本 Char"/>
    <w:link w:val="888"/>
    <w:qFormat/>
    <w:rPr>
      <w:rFonts w:ascii="宋体" w:hAnsi="宋体" w:cs="宋体"/>
      <w:sz w:val="21"/>
      <w:szCs w:val="21"/>
      <w:lang w:val="zh-CN" w:bidi="zh-CN"/>
    </w:rPr>
  </w:style>
  <w:style w:type="paragraph" w:styleId="890" w:customStyle="1">
    <w:name w:val="正文文本缩进1"/>
    <w:basedOn w:val="818"/>
    <w:qFormat/>
    <w:pPr>
      <w:ind w:firstLine="600"/>
      <w:spacing w:line="400" w:lineRule="atLeast"/>
    </w:pPr>
    <w:rPr>
      <w:rFonts w:ascii="仿宋_GB2312" w:eastAsia="仿宋_GB2312"/>
      <w:bCs/>
      <w:sz w:val="24"/>
    </w:rPr>
  </w:style>
  <w:style w:type="paragraph" w:styleId="891" w:customStyle="1">
    <w:name w:val="列表项目符号 21"/>
    <w:basedOn w:val="818"/>
    <w:qFormat/>
    <w:pPr>
      <w:numPr>
        <w:numId w:val="1"/>
      </w:numPr>
    </w:pPr>
  </w:style>
  <w:style w:type="paragraph" w:styleId="892" w:customStyle="1">
    <w:name w:val="索引 41"/>
    <w:basedOn w:val="818"/>
    <w:next w:val="818"/>
    <w:semiHidden/>
    <w:qFormat/>
    <w:pPr>
      <w:ind w:left="1260"/>
    </w:pPr>
  </w:style>
  <w:style w:type="paragraph" w:styleId="893" w:customStyle="1">
    <w:name w:val="目录 51"/>
    <w:basedOn w:val="818"/>
    <w:next w:val="818"/>
    <w:uiPriority w:val="39"/>
    <w:unhideWhenUsed/>
    <w:qFormat/>
    <w:pPr>
      <w:ind w:left="1134"/>
      <w:spacing w:after="57"/>
    </w:pPr>
  </w:style>
  <w:style w:type="paragraph" w:styleId="894" w:customStyle="1">
    <w:name w:val="目录 31"/>
    <w:basedOn w:val="818"/>
    <w:next w:val="818"/>
    <w:uiPriority w:val="1"/>
    <w:qFormat/>
    <w:pPr>
      <w:ind w:left="218"/>
      <w:spacing w:line="312" w:lineRule="exact"/>
    </w:pPr>
    <w:rPr>
      <w:rFonts w:ascii="Microsoft JhengHei" w:hAnsi="Microsoft JhengHei" w:eastAsia="Microsoft JhengHei" w:cs="Microsoft JhengHei"/>
      <w:b/>
      <w:bCs/>
      <w:i/>
    </w:rPr>
  </w:style>
  <w:style w:type="paragraph" w:styleId="895" w:customStyle="1">
    <w:name w:val="纯文本1"/>
    <w:basedOn w:val="818"/>
    <w:next w:val="818"/>
    <w:link w:val="896"/>
    <w:qFormat/>
    <w:rPr>
      <w:rFonts w:hAnsi="Courier New"/>
    </w:rPr>
  </w:style>
  <w:style w:type="character" w:styleId="896" w:customStyle="1">
    <w:name w:val="纯文本 Char"/>
    <w:link w:val="895"/>
    <w:qFormat/>
    <w:rPr>
      <w:rFonts w:ascii="宋体" w:hAnsi="Courier New" w:cs="宋体"/>
      <w:sz w:val="22"/>
      <w:szCs w:val="22"/>
      <w:lang w:val="zh-CN" w:bidi="zh-CN"/>
    </w:rPr>
  </w:style>
  <w:style w:type="paragraph" w:styleId="897" w:customStyle="1">
    <w:name w:val="目录 81"/>
    <w:basedOn w:val="818"/>
    <w:next w:val="818"/>
    <w:uiPriority w:val="39"/>
    <w:unhideWhenUsed/>
    <w:qFormat/>
    <w:pPr>
      <w:ind w:left="1984"/>
      <w:spacing w:after="57"/>
    </w:pPr>
  </w:style>
  <w:style w:type="paragraph" w:styleId="898" w:customStyle="1">
    <w:name w:val="索引 31"/>
    <w:basedOn w:val="818"/>
    <w:next w:val="818"/>
    <w:qFormat/>
    <w:pPr>
      <w:ind w:left="400"/>
      <w:jc w:val="both"/>
    </w:pPr>
    <w:rPr>
      <w:rFonts w:ascii="Times New Roman" w:hAnsi="Times New Roman" w:cs="Times New Roman"/>
      <w:sz w:val="21"/>
      <w:szCs w:val="20"/>
      <w:lang w:val="en-US" w:bidi="ar-SA"/>
    </w:rPr>
  </w:style>
  <w:style w:type="paragraph" w:styleId="899" w:customStyle="1">
    <w:name w:val="尾注文本1"/>
    <w:basedOn w:val="818"/>
    <w:link w:val="900"/>
    <w:uiPriority w:val="99"/>
    <w:unhideWhenUsed/>
    <w:qFormat/>
    <w:rPr>
      <w:sz w:val="20"/>
    </w:rPr>
  </w:style>
  <w:style w:type="character" w:styleId="900" w:customStyle="1">
    <w:name w:val="尾注文本 Char"/>
    <w:link w:val="899"/>
    <w:uiPriority w:val="99"/>
    <w:qFormat/>
    <w:rPr>
      <w:sz w:val="20"/>
    </w:rPr>
  </w:style>
  <w:style w:type="paragraph" w:styleId="901" w:customStyle="1">
    <w:name w:val="批注框文本1"/>
    <w:basedOn w:val="818"/>
    <w:link w:val="902"/>
    <w:qFormat/>
    <w:rPr>
      <w:sz w:val="18"/>
      <w:szCs w:val="18"/>
    </w:rPr>
  </w:style>
  <w:style w:type="character" w:styleId="902" w:customStyle="1">
    <w:name w:val="批注框文本 Char"/>
    <w:link w:val="901"/>
    <w:qFormat/>
    <w:rPr>
      <w:rFonts w:ascii="宋体" w:hAnsi="宋体" w:cs="宋体"/>
      <w:sz w:val="18"/>
      <w:szCs w:val="18"/>
      <w:lang w:val="zh-CN" w:bidi="zh-CN"/>
    </w:rPr>
  </w:style>
  <w:style w:type="paragraph" w:styleId="903" w:customStyle="1">
    <w:name w:val="页脚1"/>
    <w:basedOn w:val="818"/>
    <w:link w:val="904"/>
    <w:uiPriority w:val="99"/>
    <w:unhideWhenUsed/>
    <w:qFormat/>
    <w:pPr>
      <w:tabs>
        <w:tab w:val="center" w:pos="4153" w:leader="none"/>
        <w:tab w:val="right" w:pos="8306" w:leader="none"/>
      </w:tabs>
    </w:pPr>
    <w:rPr>
      <w:sz w:val="18"/>
      <w:szCs w:val="18"/>
    </w:rPr>
  </w:style>
  <w:style w:type="character" w:styleId="904" w:customStyle="1">
    <w:name w:val="页脚 Char"/>
    <w:link w:val="903"/>
    <w:uiPriority w:val="99"/>
    <w:qFormat/>
    <w:rPr>
      <w:rFonts w:ascii="宋体" w:hAnsi="宋体" w:cs="宋体"/>
      <w:sz w:val="18"/>
      <w:szCs w:val="18"/>
      <w:lang w:val="zh-CN" w:bidi="zh-CN"/>
    </w:rPr>
  </w:style>
  <w:style w:type="paragraph" w:styleId="905" w:customStyle="1">
    <w:name w:val="页眉1"/>
    <w:basedOn w:val="818"/>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6" w:customStyle="1">
    <w:name w:val="目录 11"/>
    <w:basedOn w:val="818"/>
    <w:next w:val="818"/>
    <w:uiPriority w:val="1"/>
    <w:qFormat/>
    <w:pPr>
      <w:ind w:left="218"/>
      <w:spacing w:line="312" w:lineRule="exact"/>
    </w:pPr>
    <w:rPr>
      <w:rFonts w:ascii="Microsoft JhengHei" w:hAnsi="Microsoft JhengHei" w:eastAsia="Microsoft JhengHei" w:cs="Microsoft JhengHei"/>
      <w:b/>
      <w:bCs/>
      <w:sz w:val="21"/>
      <w:szCs w:val="21"/>
    </w:rPr>
  </w:style>
  <w:style w:type="paragraph" w:styleId="907" w:customStyle="1">
    <w:name w:val="目录 41"/>
    <w:basedOn w:val="818"/>
    <w:next w:val="818"/>
    <w:uiPriority w:val="1"/>
    <w:qFormat/>
    <w:pPr>
      <w:ind w:left="1058"/>
      <w:spacing w:line="256" w:lineRule="exact"/>
    </w:pPr>
    <w:rPr>
      <w:sz w:val="21"/>
      <w:szCs w:val="21"/>
    </w:rPr>
  </w:style>
  <w:style w:type="paragraph" w:styleId="908" w:customStyle="1">
    <w:name w:val="副标题1"/>
    <w:basedOn w:val="818"/>
    <w:next w:val="818"/>
    <w:link w:val="909"/>
    <w:uiPriority w:val="11"/>
    <w:qFormat/>
    <w:pPr>
      <w:spacing w:before="200" w:after="200"/>
    </w:pPr>
    <w:rPr>
      <w:sz w:val="24"/>
      <w:szCs w:val="24"/>
    </w:rPr>
  </w:style>
  <w:style w:type="character" w:styleId="909" w:customStyle="1">
    <w:name w:val="副标题 Char"/>
    <w:link w:val="908"/>
    <w:uiPriority w:val="11"/>
    <w:qFormat/>
    <w:rPr>
      <w:sz w:val="24"/>
      <w:szCs w:val="24"/>
    </w:rPr>
  </w:style>
  <w:style w:type="paragraph" w:styleId="910" w:customStyle="1">
    <w:name w:val="脚注文本1"/>
    <w:basedOn w:val="818"/>
    <w:link w:val="911"/>
    <w:uiPriority w:val="99"/>
    <w:unhideWhenUsed/>
    <w:qFormat/>
    <w:pPr>
      <w:spacing w:after="40"/>
    </w:pPr>
    <w:rPr>
      <w:sz w:val="18"/>
    </w:rPr>
  </w:style>
  <w:style w:type="character" w:styleId="911" w:customStyle="1">
    <w:name w:val="脚注文本 Char"/>
    <w:link w:val="910"/>
    <w:uiPriority w:val="99"/>
    <w:qFormat/>
    <w:rPr>
      <w:sz w:val="18"/>
    </w:rPr>
  </w:style>
  <w:style w:type="paragraph" w:styleId="912" w:customStyle="1">
    <w:name w:val="目录 61"/>
    <w:basedOn w:val="818"/>
    <w:next w:val="818"/>
    <w:uiPriority w:val="39"/>
    <w:unhideWhenUsed/>
    <w:qFormat/>
    <w:pPr>
      <w:ind w:left="1417"/>
      <w:spacing w:after="57"/>
    </w:pPr>
  </w:style>
  <w:style w:type="paragraph" w:styleId="913" w:customStyle="1">
    <w:name w:val="图表目录1"/>
    <w:basedOn w:val="818"/>
    <w:next w:val="818"/>
    <w:uiPriority w:val="99"/>
    <w:unhideWhenUsed/>
    <w:qFormat/>
  </w:style>
  <w:style w:type="paragraph" w:styleId="914" w:customStyle="1">
    <w:name w:val="目录 21"/>
    <w:basedOn w:val="818"/>
    <w:next w:val="818"/>
    <w:uiPriority w:val="1"/>
    <w:qFormat/>
    <w:pPr>
      <w:ind w:left="218"/>
      <w:spacing w:before="43"/>
    </w:pPr>
    <w:rPr>
      <w:sz w:val="21"/>
      <w:szCs w:val="21"/>
    </w:rPr>
  </w:style>
  <w:style w:type="paragraph" w:styleId="915" w:customStyle="1">
    <w:name w:val="目录 91"/>
    <w:basedOn w:val="818"/>
    <w:next w:val="818"/>
    <w:uiPriority w:val="39"/>
    <w:unhideWhenUsed/>
    <w:qFormat/>
    <w:pPr>
      <w:ind w:left="2268"/>
      <w:spacing w:after="57"/>
    </w:pPr>
  </w:style>
  <w:style w:type="paragraph" w:styleId="916" w:customStyle="1">
    <w:name w:val="普通(网站)1"/>
    <w:basedOn w:val="818"/>
    <w:uiPriority w:val="99"/>
    <w:qFormat/>
    <w:pPr>
      <w:spacing w:before="100" w:beforeAutospacing="1" w:after="100" w:afterAutospacing="1"/>
      <w:widowControl/>
    </w:pPr>
    <w:rPr>
      <w:rFonts w:ascii="Arial" w:hAnsi="Arial" w:eastAsia="Arial Unicode MS" w:cs="Arial"/>
      <w:sz w:val="24"/>
      <w:szCs w:val="24"/>
    </w:rPr>
  </w:style>
  <w:style w:type="paragraph" w:styleId="917" w:customStyle="1">
    <w:name w:val="索引 11"/>
    <w:basedOn w:val="818"/>
    <w:next w:val="818"/>
    <w:unhideWhenUsed/>
    <w:qFormat/>
  </w:style>
  <w:style w:type="paragraph" w:styleId="918" w:customStyle="1">
    <w:name w:val="标题1"/>
    <w:basedOn w:val="818"/>
    <w:next w:val="818"/>
    <w:link w:val="919"/>
    <w:uiPriority w:val="10"/>
    <w:qFormat/>
    <w:pPr>
      <w:contextualSpacing/>
      <w:spacing w:before="300" w:after="200"/>
    </w:pPr>
    <w:rPr>
      <w:sz w:val="48"/>
      <w:szCs w:val="48"/>
    </w:rPr>
  </w:style>
  <w:style w:type="character" w:styleId="919" w:customStyle="1">
    <w:name w:val="标题 Char"/>
    <w:link w:val="918"/>
    <w:uiPriority w:val="10"/>
    <w:qFormat/>
    <w:rPr>
      <w:sz w:val="48"/>
      <w:szCs w:val="48"/>
    </w:rPr>
  </w:style>
  <w:style w:type="paragraph" w:styleId="920" w:customStyle="1">
    <w:name w:val="批注主题1"/>
    <w:basedOn w:val="885"/>
    <w:next w:val="885"/>
    <w:link w:val="921"/>
    <w:qFormat/>
    <w:rPr>
      <w:b/>
      <w:bCs/>
    </w:rPr>
  </w:style>
  <w:style w:type="character" w:styleId="921" w:customStyle="1">
    <w:name w:val="批注主题 Char"/>
    <w:link w:val="920"/>
    <w:qFormat/>
    <w:rPr>
      <w:rFonts w:ascii="宋体" w:hAnsi="宋体" w:cs="宋体"/>
      <w:b/>
      <w:bCs/>
      <w:sz w:val="22"/>
      <w:szCs w:val="22"/>
      <w:lang w:val="zh-CN" w:bidi="zh-CN"/>
    </w:rPr>
  </w:style>
  <w:style w:type="paragraph" w:styleId="922" w:customStyle="1">
    <w:name w:val="正文首行缩进 21"/>
    <w:basedOn w:val="890"/>
    <w:next w:val="818"/>
    <w:qFormat/>
    <w:pPr>
      <w:ind w:left="420" w:firstLine="420"/>
      <w:spacing w:after="120" w:line="240" w:lineRule="auto"/>
    </w:pPr>
    <w:rPr>
      <w:rFonts w:ascii="Times New Roman" w:eastAsia="宋体"/>
      <w:bCs w:val="0"/>
      <w:sz w:val="21"/>
    </w:rPr>
  </w:style>
  <w:style w:type="table" w:styleId="923" w:customStyle="1">
    <w:name w:val="网格型11"/>
    <w:basedOn w:val="875"/>
    <w:uiPriority w:val="59"/>
    <w:qFormat/>
    <w:pPr>
      <w:jc w:val="both"/>
      <w:widowControl w:val="off"/>
    </w:pPr>
    <w:tblPr>
      <w:tblCellMar>
        <w:left w:w="0" w:type="dxa"/>
        <w:top w:w="0" w:type="dxa"/>
        <w:right w:w="0" w:type="dxa"/>
        <w:bottom w:w="0" w:type="dxa"/>
      </w:tblCellMar>
    </w:tblPr>
  </w:style>
  <w:style w:type="character" w:styleId="924" w:customStyle="1">
    <w:name w:val="尾注引用1"/>
    <w:uiPriority w:val="99"/>
    <w:unhideWhenUsed/>
    <w:qFormat/>
    <w:rPr>
      <w:vertAlign w:val="superscript"/>
    </w:rPr>
  </w:style>
  <w:style w:type="character" w:styleId="925" w:customStyle="1">
    <w:name w:val="访问过的超链接1"/>
    <w:uiPriority w:val="99"/>
    <w:unhideWhenUsed/>
    <w:qFormat/>
    <w:rPr>
      <w:color w:val="800080"/>
      <w:u w:val="single"/>
    </w:rPr>
  </w:style>
  <w:style w:type="character" w:styleId="926" w:customStyle="1">
    <w:name w:val="超链接1"/>
    <w:uiPriority w:val="99"/>
    <w:unhideWhenUsed/>
    <w:qFormat/>
    <w:rPr>
      <w:color w:val="0000ff"/>
      <w:u w:val="single"/>
    </w:rPr>
  </w:style>
  <w:style w:type="character" w:styleId="927" w:customStyle="1">
    <w:name w:val="批注引用1"/>
    <w:qFormat/>
    <w:rPr>
      <w:sz w:val="21"/>
      <w:szCs w:val="21"/>
    </w:rPr>
  </w:style>
  <w:style w:type="character" w:styleId="928" w:customStyle="1">
    <w:name w:val="脚注引用1"/>
    <w:uiPriority w:val="99"/>
    <w:unhideWhenUsed/>
    <w:qFormat/>
    <w:rPr>
      <w:vertAlign w:val="superscript"/>
    </w:rPr>
  </w:style>
  <w:style w:type="paragraph" w:styleId="929" w:customStyle="1">
    <w:name w:val="TOC 标题2"/>
    <w:uiPriority w:val="39"/>
    <w:qFormat/>
    <w:rPr>
      <w:rFonts w:ascii="Times New Roman" w:hAnsi="Times New Roman"/>
    </w:rPr>
  </w:style>
  <w:style w:type="paragraph" w:styleId="930" w:customStyle="1">
    <w:name w:val="TOC 标题112"/>
    <w:uiPriority w:val="39"/>
    <w:unhideWhenUsed/>
    <w:qFormat/>
    <w:rPr>
      <w:rFonts w:ascii="Times New Roman" w:hAnsi="Times New Roman"/>
    </w:rPr>
  </w:style>
  <w:style w:type="character" w:styleId="931" w:customStyle="1">
    <w:name w:val="Heading 5 Char"/>
    <w:uiPriority w:val="9"/>
    <w:qFormat/>
    <w:rPr>
      <w:rFonts w:ascii="Arial" w:hAnsi="Arial" w:eastAsia="Arial" w:cs="Arial"/>
      <w:b/>
      <w:bCs/>
      <w:sz w:val="24"/>
      <w:szCs w:val="24"/>
    </w:rPr>
  </w:style>
  <w:style w:type="character" w:styleId="932" w:customStyle="1">
    <w:name w:val="Heading 6 Char"/>
    <w:uiPriority w:val="9"/>
    <w:qFormat/>
    <w:rPr>
      <w:rFonts w:ascii="Arial" w:hAnsi="Arial" w:eastAsia="Arial" w:cs="Arial"/>
      <w:b/>
      <w:bCs/>
      <w:sz w:val="22"/>
      <w:szCs w:val="22"/>
    </w:rPr>
  </w:style>
  <w:style w:type="character" w:styleId="933" w:customStyle="1">
    <w:name w:val="Heading 7 Char"/>
    <w:uiPriority w:val="9"/>
    <w:qFormat/>
    <w:rPr>
      <w:rFonts w:ascii="Arial" w:hAnsi="Arial" w:eastAsia="Arial" w:cs="Arial"/>
      <w:b/>
      <w:bCs/>
      <w:i/>
      <w:iCs/>
      <w:sz w:val="22"/>
      <w:szCs w:val="22"/>
    </w:rPr>
  </w:style>
  <w:style w:type="character" w:styleId="934" w:customStyle="1">
    <w:name w:val="Heading 8 Char"/>
    <w:uiPriority w:val="9"/>
    <w:qFormat/>
    <w:rPr>
      <w:rFonts w:ascii="Arial" w:hAnsi="Arial" w:eastAsia="Arial" w:cs="Arial"/>
      <w:i/>
      <w:iCs/>
      <w:sz w:val="22"/>
      <w:szCs w:val="22"/>
    </w:rPr>
  </w:style>
  <w:style w:type="character" w:styleId="935" w:customStyle="1">
    <w:name w:val="Heading 9 Char"/>
    <w:uiPriority w:val="9"/>
    <w:qFormat/>
    <w:rPr>
      <w:rFonts w:ascii="Arial" w:hAnsi="Arial" w:eastAsia="Arial" w:cs="Arial"/>
      <w:i/>
      <w:iCs/>
      <w:sz w:val="21"/>
      <w:szCs w:val="21"/>
    </w:rPr>
  </w:style>
  <w:style w:type="character" w:styleId="936" w:customStyle="1">
    <w:name w:val="Title Char"/>
    <w:uiPriority w:val="10"/>
    <w:qFormat/>
    <w:rPr>
      <w:sz w:val="48"/>
      <w:szCs w:val="48"/>
    </w:rPr>
  </w:style>
  <w:style w:type="character" w:styleId="937" w:customStyle="1">
    <w:name w:val="Subtitle Char"/>
    <w:uiPriority w:val="11"/>
    <w:qFormat/>
    <w:rPr>
      <w:sz w:val="24"/>
      <w:szCs w:val="24"/>
    </w:rPr>
  </w:style>
  <w:style w:type="character" w:styleId="938" w:customStyle="1">
    <w:name w:val="Quote Char"/>
    <w:uiPriority w:val="29"/>
    <w:qFormat/>
    <w:rPr>
      <w:i/>
    </w:rPr>
  </w:style>
  <w:style w:type="character" w:styleId="939" w:customStyle="1">
    <w:name w:val="Intense Quote Char"/>
    <w:uiPriority w:val="30"/>
    <w:qFormat/>
    <w:rPr>
      <w:i/>
    </w:rPr>
  </w:style>
  <w:style w:type="table" w:styleId="940" w:customStyle="1">
    <w:name w:val="Plain Table 1"/>
    <w:basedOn w:val="875"/>
    <w:uiPriority w:val="59"/>
    <w:qFormat/>
    <w:tblPr>
      <w:tblCellMar>
        <w:left w:w="0" w:type="dxa"/>
        <w:top w:w="0" w:type="dxa"/>
        <w:right w:w="0" w:type="dxa"/>
        <w:bottom w:w="0" w:type="dxa"/>
      </w:tblCellMar>
    </w:tblPr>
  </w:style>
  <w:style w:type="table" w:styleId="941" w:customStyle="1">
    <w:name w:val="Plain Table 2"/>
    <w:basedOn w:val="875"/>
    <w:uiPriority w:val="59"/>
    <w:qFormat/>
    <w:tblPr>
      <w:tblCellMar>
        <w:left w:w="0" w:type="dxa"/>
        <w:top w:w="0" w:type="dxa"/>
        <w:right w:w="0" w:type="dxa"/>
        <w:bottom w:w="0" w:type="dxa"/>
      </w:tblCellMar>
    </w:tblPr>
  </w:style>
  <w:style w:type="table" w:styleId="942" w:customStyle="1">
    <w:name w:val="Plain Table 3"/>
    <w:basedOn w:val="875"/>
    <w:uiPriority w:val="99"/>
    <w:qFormat/>
    <w:tblPr>
      <w:tblCellMar>
        <w:left w:w="0" w:type="dxa"/>
        <w:top w:w="0" w:type="dxa"/>
        <w:right w:w="0" w:type="dxa"/>
        <w:bottom w:w="0" w:type="dxa"/>
      </w:tblCellMar>
    </w:tblPr>
  </w:style>
  <w:style w:type="table" w:styleId="943" w:customStyle="1">
    <w:name w:val="Plain Table 4"/>
    <w:basedOn w:val="875"/>
    <w:uiPriority w:val="99"/>
    <w:qFormat/>
    <w:tblPr>
      <w:tblCellMar>
        <w:left w:w="0" w:type="dxa"/>
        <w:top w:w="0" w:type="dxa"/>
        <w:right w:w="0" w:type="dxa"/>
        <w:bottom w:w="0" w:type="dxa"/>
      </w:tblCellMar>
    </w:tblPr>
  </w:style>
  <w:style w:type="table" w:styleId="944" w:customStyle="1">
    <w:name w:val="Plain Table 5"/>
    <w:basedOn w:val="875"/>
    <w:uiPriority w:val="99"/>
    <w:qFormat/>
    <w:tblPr>
      <w:tblCellMar>
        <w:left w:w="0" w:type="dxa"/>
        <w:top w:w="0" w:type="dxa"/>
        <w:right w:w="0" w:type="dxa"/>
        <w:bottom w:w="0" w:type="dxa"/>
      </w:tblCellMar>
    </w:tblPr>
  </w:style>
  <w:style w:type="table" w:styleId="945" w:customStyle="1">
    <w:name w:val="Grid Table 1 Light"/>
    <w:basedOn w:val="875"/>
    <w:uiPriority w:val="99"/>
    <w:qFormat/>
    <w:tblPr>
      <w:tblCellMar>
        <w:left w:w="0" w:type="dxa"/>
        <w:top w:w="0" w:type="dxa"/>
        <w:right w:w="0" w:type="dxa"/>
        <w:bottom w:w="0" w:type="dxa"/>
      </w:tblCellMar>
    </w:tblPr>
  </w:style>
  <w:style w:type="table" w:styleId="946" w:customStyle="1">
    <w:name w:val="Grid Table 2"/>
    <w:basedOn w:val="875"/>
    <w:uiPriority w:val="99"/>
    <w:qFormat/>
    <w:tblPr>
      <w:tblCellMar>
        <w:left w:w="0" w:type="dxa"/>
        <w:top w:w="0" w:type="dxa"/>
        <w:right w:w="0" w:type="dxa"/>
        <w:bottom w:w="0" w:type="dxa"/>
      </w:tblCellMar>
    </w:tblPr>
  </w:style>
  <w:style w:type="table" w:styleId="947" w:customStyle="1">
    <w:name w:val="Grid Table 3"/>
    <w:basedOn w:val="875"/>
    <w:uiPriority w:val="99"/>
    <w:qFormat/>
    <w:tblPr>
      <w:tblCellMar>
        <w:left w:w="0" w:type="dxa"/>
        <w:top w:w="0" w:type="dxa"/>
        <w:right w:w="0" w:type="dxa"/>
        <w:bottom w:w="0" w:type="dxa"/>
      </w:tblCellMar>
    </w:tblPr>
  </w:style>
  <w:style w:type="table" w:styleId="948" w:customStyle="1">
    <w:name w:val="Grid Table 4"/>
    <w:basedOn w:val="875"/>
    <w:uiPriority w:val="59"/>
    <w:qFormat/>
    <w:tblPr>
      <w:tblCellMar>
        <w:left w:w="0" w:type="dxa"/>
        <w:top w:w="0" w:type="dxa"/>
        <w:right w:w="0" w:type="dxa"/>
        <w:bottom w:w="0" w:type="dxa"/>
      </w:tblCellMar>
    </w:tblPr>
  </w:style>
  <w:style w:type="table" w:styleId="949" w:customStyle="1">
    <w:name w:val="Grid Table 5 Dark"/>
    <w:basedOn w:val="875"/>
    <w:uiPriority w:val="99"/>
    <w:qFormat/>
    <w:tblPr>
      <w:tblCellMar>
        <w:left w:w="0" w:type="dxa"/>
        <w:top w:w="0" w:type="dxa"/>
        <w:right w:w="0" w:type="dxa"/>
        <w:bottom w:w="0" w:type="dxa"/>
      </w:tblCellMar>
    </w:tblPr>
  </w:style>
  <w:style w:type="table" w:styleId="950" w:customStyle="1">
    <w:name w:val="Grid Table 6 Colorful"/>
    <w:basedOn w:val="875"/>
    <w:uiPriority w:val="99"/>
    <w:qFormat/>
    <w:tblPr>
      <w:tblCellMar>
        <w:left w:w="0" w:type="dxa"/>
        <w:top w:w="0" w:type="dxa"/>
        <w:right w:w="0" w:type="dxa"/>
        <w:bottom w:w="0" w:type="dxa"/>
      </w:tblCellMar>
    </w:tblPr>
  </w:style>
  <w:style w:type="table" w:styleId="951" w:customStyle="1">
    <w:name w:val="Grid Table 7 Colorful"/>
    <w:basedOn w:val="875"/>
    <w:uiPriority w:val="99"/>
    <w:qFormat/>
    <w:tblPr>
      <w:tblCellMar>
        <w:left w:w="0" w:type="dxa"/>
        <w:top w:w="0" w:type="dxa"/>
        <w:right w:w="0" w:type="dxa"/>
        <w:bottom w:w="0" w:type="dxa"/>
      </w:tblCellMar>
    </w:tblPr>
  </w:style>
  <w:style w:type="table" w:styleId="952" w:customStyle="1">
    <w:name w:val="List Table 1 Light"/>
    <w:basedOn w:val="875"/>
    <w:uiPriority w:val="99"/>
    <w:qFormat/>
    <w:tblPr>
      <w:tblCellMar>
        <w:left w:w="0" w:type="dxa"/>
        <w:top w:w="0" w:type="dxa"/>
        <w:right w:w="0" w:type="dxa"/>
        <w:bottom w:w="0" w:type="dxa"/>
      </w:tblCellMar>
    </w:tblPr>
  </w:style>
  <w:style w:type="table" w:styleId="953" w:customStyle="1">
    <w:name w:val="List Table 2"/>
    <w:basedOn w:val="875"/>
    <w:uiPriority w:val="99"/>
    <w:qFormat/>
    <w:tblPr>
      <w:tblCellMar>
        <w:left w:w="0" w:type="dxa"/>
        <w:top w:w="0" w:type="dxa"/>
        <w:right w:w="0" w:type="dxa"/>
        <w:bottom w:w="0" w:type="dxa"/>
      </w:tblCellMar>
    </w:tblPr>
  </w:style>
  <w:style w:type="table" w:styleId="954" w:customStyle="1">
    <w:name w:val="List Table 3"/>
    <w:basedOn w:val="875"/>
    <w:uiPriority w:val="99"/>
    <w:qFormat/>
    <w:tblPr>
      <w:tblCellMar>
        <w:left w:w="0" w:type="dxa"/>
        <w:top w:w="0" w:type="dxa"/>
        <w:right w:w="0" w:type="dxa"/>
        <w:bottom w:w="0" w:type="dxa"/>
      </w:tblCellMar>
    </w:tblPr>
  </w:style>
  <w:style w:type="table" w:styleId="955" w:customStyle="1">
    <w:name w:val="List Table 4"/>
    <w:basedOn w:val="875"/>
    <w:uiPriority w:val="99"/>
    <w:qFormat/>
    <w:tblPr>
      <w:tblCellMar>
        <w:left w:w="0" w:type="dxa"/>
        <w:top w:w="0" w:type="dxa"/>
        <w:right w:w="0" w:type="dxa"/>
        <w:bottom w:w="0" w:type="dxa"/>
      </w:tblCellMar>
    </w:tblPr>
  </w:style>
  <w:style w:type="table" w:styleId="956" w:customStyle="1">
    <w:name w:val="List Table 5 Dark"/>
    <w:basedOn w:val="875"/>
    <w:uiPriority w:val="99"/>
    <w:qFormat/>
    <w:tblPr>
      <w:tblCellMar>
        <w:left w:w="0" w:type="dxa"/>
        <w:top w:w="0" w:type="dxa"/>
        <w:right w:w="0" w:type="dxa"/>
        <w:bottom w:w="0" w:type="dxa"/>
      </w:tblCellMar>
    </w:tblPr>
  </w:style>
  <w:style w:type="table" w:styleId="957" w:customStyle="1">
    <w:name w:val="List Table 6 Colorful"/>
    <w:basedOn w:val="875"/>
    <w:uiPriority w:val="99"/>
    <w:qFormat/>
    <w:tblPr>
      <w:tblCellMar>
        <w:left w:w="0" w:type="dxa"/>
        <w:top w:w="0" w:type="dxa"/>
        <w:right w:w="0" w:type="dxa"/>
        <w:bottom w:w="0" w:type="dxa"/>
      </w:tblCellMar>
    </w:tblPr>
  </w:style>
  <w:style w:type="table" w:styleId="958" w:customStyle="1">
    <w:name w:val="List Table 7 Colorful"/>
    <w:basedOn w:val="875"/>
    <w:uiPriority w:val="99"/>
    <w:qFormat/>
    <w:tblPr>
      <w:tblCellMar>
        <w:left w:w="0" w:type="dxa"/>
        <w:top w:w="0" w:type="dxa"/>
        <w:right w:w="0" w:type="dxa"/>
        <w:bottom w:w="0" w:type="dxa"/>
      </w:tblCellMar>
    </w:tblPr>
  </w:style>
  <w:style w:type="character" w:styleId="959" w:customStyle="1">
    <w:name w:val="Footnote Text Char"/>
    <w:uiPriority w:val="99"/>
    <w:qFormat/>
    <w:rPr>
      <w:sz w:val="18"/>
    </w:rPr>
  </w:style>
  <w:style w:type="character" w:styleId="960" w:customStyle="1">
    <w:name w:val="Endnote Text Char"/>
    <w:uiPriority w:val="99"/>
    <w:qFormat/>
    <w:rPr>
      <w:sz w:val="20"/>
    </w:rPr>
  </w:style>
  <w:style w:type="paragraph" w:styleId="961" w:customStyle="1">
    <w:name w:val="TOC 标题111"/>
    <w:uiPriority w:val="39"/>
    <w:unhideWhenUsed/>
    <w:qFormat/>
    <w:rPr>
      <w:rFonts w:ascii="Times New Roman" w:hAnsi="Times New Roman"/>
    </w:rPr>
  </w:style>
  <w:style w:type="paragraph" w:styleId="962" w:customStyle="1">
    <w:name w:val="首行缩进"/>
    <w:basedOn w:val="818"/>
    <w:qFormat/>
    <w:pPr>
      <w:ind w:firstLine="480"/>
      <w:spacing w:line="360" w:lineRule="auto"/>
    </w:pPr>
    <w:rPr>
      <w:sz w:val="24"/>
    </w:rPr>
  </w:style>
  <w:style w:type="character" w:styleId="963" w:customStyle="1">
    <w:name w:val="Heading 1 Char"/>
    <w:uiPriority w:val="9"/>
    <w:qFormat/>
    <w:rPr>
      <w:rFonts w:ascii="Arial" w:hAnsi="Arial" w:eastAsia="Arial" w:cs="Arial"/>
      <w:sz w:val="40"/>
      <w:szCs w:val="40"/>
    </w:rPr>
  </w:style>
  <w:style w:type="character" w:styleId="964" w:customStyle="1">
    <w:name w:val="Heading 2 Char"/>
    <w:uiPriority w:val="9"/>
    <w:qFormat/>
    <w:rPr>
      <w:rFonts w:ascii="Arial" w:hAnsi="Arial" w:eastAsia="Arial" w:cs="Arial"/>
      <w:sz w:val="34"/>
    </w:rPr>
  </w:style>
  <w:style w:type="character" w:styleId="965" w:customStyle="1">
    <w:name w:val="Heading 3 Char"/>
    <w:uiPriority w:val="9"/>
    <w:qFormat/>
    <w:rPr>
      <w:rFonts w:ascii="Arial" w:hAnsi="Arial" w:eastAsia="Arial" w:cs="Arial"/>
      <w:sz w:val="30"/>
      <w:szCs w:val="30"/>
    </w:rPr>
  </w:style>
  <w:style w:type="character" w:styleId="966" w:customStyle="1">
    <w:name w:val="Heading 4 Char"/>
    <w:uiPriority w:val="9"/>
    <w:qFormat/>
    <w:rPr>
      <w:rFonts w:ascii="Arial" w:hAnsi="Arial" w:eastAsia="Arial" w:cs="Arial"/>
      <w:b/>
      <w:bCs/>
      <w:sz w:val="26"/>
      <w:szCs w:val="26"/>
    </w:rPr>
  </w:style>
  <w:style w:type="paragraph" w:styleId="967" w:customStyle="1">
    <w:name w:val="无间隔1"/>
    <w:uiPriority w:val="1"/>
    <w:qFormat/>
    <w:rPr>
      <w:rFonts w:ascii="Times New Roman" w:hAnsi="Times New Roman"/>
    </w:rPr>
  </w:style>
  <w:style w:type="paragraph" w:styleId="968" w:customStyle="1">
    <w:name w:val="引用1"/>
    <w:basedOn w:val="818"/>
    <w:next w:val="818"/>
    <w:link w:val="969"/>
    <w:uiPriority w:val="29"/>
    <w:qFormat/>
    <w:pPr>
      <w:ind w:left="720" w:right="720"/>
    </w:pPr>
    <w:rPr>
      <w:i/>
    </w:rPr>
  </w:style>
  <w:style w:type="character" w:styleId="969" w:customStyle="1">
    <w:name w:val="引用 Char"/>
    <w:link w:val="968"/>
    <w:uiPriority w:val="29"/>
    <w:qFormat/>
    <w:rPr>
      <w:i/>
    </w:rPr>
  </w:style>
  <w:style w:type="paragraph" w:styleId="970" w:customStyle="1">
    <w:name w:val="明显引用1"/>
    <w:basedOn w:val="818"/>
    <w:next w:val="818"/>
    <w:link w:val="9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customStyle="1">
    <w:name w:val="明显引用 Char"/>
    <w:link w:val="970"/>
    <w:uiPriority w:val="30"/>
    <w:qFormat/>
    <w:rPr>
      <w:i/>
    </w:rPr>
  </w:style>
  <w:style w:type="character" w:styleId="972" w:customStyle="1">
    <w:name w:val="Header Char"/>
    <w:uiPriority w:val="99"/>
    <w:qFormat/>
  </w:style>
  <w:style w:type="character" w:styleId="973" w:customStyle="1">
    <w:name w:val="Footer Char"/>
    <w:uiPriority w:val="99"/>
    <w:qFormat/>
  </w:style>
  <w:style w:type="character" w:styleId="974" w:customStyle="1">
    <w:name w:val="Caption Char"/>
    <w:uiPriority w:val="99"/>
    <w:qFormat/>
  </w:style>
  <w:style w:type="table" w:styleId="975" w:customStyle="1">
    <w:name w:val="Table Grid Light"/>
    <w:basedOn w:val="875"/>
    <w:uiPriority w:val="59"/>
    <w:qFormat/>
    <w:tblPr>
      <w:tblCellMar>
        <w:left w:w="0" w:type="dxa"/>
        <w:top w:w="0" w:type="dxa"/>
        <w:right w:w="0" w:type="dxa"/>
        <w:bottom w:w="0" w:type="dxa"/>
      </w:tblCellMar>
    </w:tblPr>
  </w:style>
  <w:style w:type="table" w:styleId="976" w:customStyle="1">
    <w:name w:val="无格式表格 11"/>
    <w:basedOn w:val="875"/>
    <w:uiPriority w:val="59"/>
    <w:qFormat/>
    <w:tblPr>
      <w:tblCellMar>
        <w:left w:w="0" w:type="dxa"/>
        <w:top w:w="0" w:type="dxa"/>
        <w:right w:w="0" w:type="dxa"/>
        <w:bottom w:w="0" w:type="dxa"/>
      </w:tblCellMar>
    </w:tblPr>
  </w:style>
  <w:style w:type="table" w:styleId="977" w:customStyle="1">
    <w:name w:val="无格式表格 21"/>
    <w:basedOn w:val="875"/>
    <w:uiPriority w:val="59"/>
    <w:qFormat/>
    <w:tblPr>
      <w:tblCellMar>
        <w:left w:w="0" w:type="dxa"/>
        <w:top w:w="0" w:type="dxa"/>
        <w:right w:w="0" w:type="dxa"/>
        <w:bottom w:w="0" w:type="dxa"/>
      </w:tblCellMar>
    </w:tblPr>
  </w:style>
  <w:style w:type="table" w:styleId="978" w:customStyle="1">
    <w:name w:val="无格式表格 31"/>
    <w:basedOn w:val="875"/>
    <w:uiPriority w:val="99"/>
    <w:qFormat/>
    <w:tblPr>
      <w:tblCellMar>
        <w:left w:w="0" w:type="dxa"/>
        <w:top w:w="0" w:type="dxa"/>
        <w:right w:w="0" w:type="dxa"/>
        <w:bottom w:w="0" w:type="dxa"/>
      </w:tblCellMar>
    </w:tblPr>
  </w:style>
  <w:style w:type="table" w:styleId="979" w:customStyle="1">
    <w:name w:val="无格式表格 41"/>
    <w:basedOn w:val="875"/>
    <w:uiPriority w:val="99"/>
    <w:qFormat/>
    <w:tblPr>
      <w:tblCellMar>
        <w:left w:w="0" w:type="dxa"/>
        <w:top w:w="0" w:type="dxa"/>
        <w:right w:w="0" w:type="dxa"/>
        <w:bottom w:w="0" w:type="dxa"/>
      </w:tblCellMar>
    </w:tblPr>
  </w:style>
  <w:style w:type="table" w:styleId="980" w:customStyle="1">
    <w:name w:val="无格式表格 51"/>
    <w:basedOn w:val="875"/>
    <w:uiPriority w:val="99"/>
    <w:qFormat/>
    <w:tblPr>
      <w:tblCellMar>
        <w:left w:w="0" w:type="dxa"/>
        <w:top w:w="0" w:type="dxa"/>
        <w:right w:w="0" w:type="dxa"/>
        <w:bottom w:w="0" w:type="dxa"/>
      </w:tblCellMar>
    </w:tblPr>
  </w:style>
  <w:style w:type="table" w:styleId="981" w:customStyle="1">
    <w:name w:val="网格表 1 浅色1"/>
    <w:basedOn w:val="875"/>
    <w:uiPriority w:val="99"/>
    <w:qFormat/>
    <w:tblPr>
      <w:tblCellMar>
        <w:left w:w="0" w:type="dxa"/>
        <w:top w:w="0" w:type="dxa"/>
        <w:right w:w="0" w:type="dxa"/>
        <w:bottom w:w="0" w:type="dxa"/>
      </w:tblCellMar>
    </w:tblPr>
  </w:style>
  <w:style w:type="table" w:styleId="982" w:customStyle="1">
    <w:name w:val="Grid Table 1 Light - Accent 1"/>
    <w:basedOn w:val="875"/>
    <w:uiPriority w:val="99"/>
    <w:qFormat/>
    <w:tblPr>
      <w:tblCellMar>
        <w:left w:w="0" w:type="dxa"/>
        <w:top w:w="0" w:type="dxa"/>
        <w:right w:w="0" w:type="dxa"/>
        <w:bottom w:w="0" w:type="dxa"/>
      </w:tblCellMar>
    </w:tblPr>
  </w:style>
  <w:style w:type="table" w:styleId="983" w:customStyle="1">
    <w:name w:val="Grid Table 1 Light - Accent 2"/>
    <w:basedOn w:val="875"/>
    <w:uiPriority w:val="99"/>
    <w:qFormat/>
    <w:tblPr>
      <w:tblCellMar>
        <w:left w:w="0" w:type="dxa"/>
        <w:top w:w="0" w:type="dxa"/>
        <w:right w:w="0" w:type="dxa"/>
        <w:bottom w:w="0" w:type="dxa"/>
      </w:tblCellMar>
    </w:tblPr>
  </w:style>
  <w:style w:type="table" w:styleId="984" w:customStyle="1">
    <w:name w:val="Grid Table 1 Light - Accent 3"/>
    <w:basedOn w:val="875"/>
    <w:uiPriority w:val="99"/>
    <w:qFormat/>
    <w:tblPr>
      <w:tblCellMar>
        <w:left w:w="0" w:type="dxa"/>
        <w:top w:w="0" w:type="dxa"/>
        <w:right w:w="0" w:type="dxa"/>
        <w:bottom w:w="0" w:type="dxa"/>
      </w:tblCellMar>
    </w:tblPr>
  </w:style>
  <w:style w:type="table" w:styleId="985" w:customStyle="1">
    <w:name w:val="Grid Table 1 Light - Accent 4"/>
    <w:basedOn w:val="875"/>
    <w:uiPriority w:val="99"/>
    <w:qFormat/>
    <w:tblPr>
      <w:tblCellMar>
        <w:left w:w="0" w:type="dxa"/>
        <w:top w:w="0" w:type="dxa"/>
        <w:right w:w="0" w:type="dxa"/>
        <w:bottom w:w="0" w:type="dxa"/>
      </w:tblCellMar>
    </w:tblPr>
  </w:style>
  <w:style w:type="table" w:styleId="986" w:customStyle="1">
    <w:name w:val="Grid Table 1 Light - Accent 5"/>
    <w:basedOn w:val="875"/>
    <w:uiPriority w:val="99"/>
    <w:qFormat/>
    <w:tblPr>
      <w:tblCellMar>
        <w:left w:w="0" w:type="dxa"/>
        <w:top w:w="0" w:type="dxa"/>
        <w:right w:w="0" w:type="dxa"/>
        <w:bottom w:w="0" w:type="dxa"/>
      </w:tblCellMar>
    </w:tblPr>
  </w:style>
  <w:style w:type="table" w:styleId="987" w:customStyle="1">
    <w:name w:val="Grid Table 1 Light - Accent 6"/>
    <w:basedOn w:val="875"/>
    <w:uiPriority w:val="99"/>
    <w:qFormat/>
    <w:tblPr>
      <w:tblCellMar>
        <w:left w:w="0" w:type="dxa"/>
        <w:top w:w="0" w:type="dxa"/>
        <w:right w:w="0" w:type="dxa"/>
        <w:bottom w:w="0" w:type="dxa"/>
      </w:tblCellMar>
    </w:tblPr>
  </w:style>
  <w:style w:type="table" w:styleId="988" w:customStyle="1">
    <w:name w:val="网格表 21"/>
    <w:basedOn w:val="875"/>
    <w:uiPriority w:val="99"/>
    <w:qFormat/>
    <w:tblPr>
      <w:tblCellMar>
        <w:left w:w="0" w:type="dxa"/>
        <w:top w:w="0" w:type="dxa"/>
        <w:right w:w="0" w:type="dxa"/>
        <w:bottom w:w="0" w:type="dxa"/>
      </w:tblCellMar>
    </w:tblPr>
  </w:style>
  <w:style w:type="table" w:styleId="989" w:customStyle="1">
    <w:name w:val="Grid Table 2 - Accent 1"/>
    <w:basedOn w:val="875"/>
    <w:uiPriority w:val="99"/>
    <w:qFormat/>
    <w:tblPr>
      <w:tblCellMar>
        <w:left w:w="0" w:type="dxa"/>
        <w:top w:w="0" w:type="dxa"/>
        <w:right w:w="0" w:type="dxa"/>
        <w:bottom w:w="0" w:type="dxa"/>
      </w:tblCellMar>
    </w:tblPr>
  </w:style>
  <w:style w:type="table" w:styleId="990" w:customStyle="1">
    <w:name w:val="Grid Table 2 - Accent 2"/>
    <w:basedOn w:val="875"/>
    <w:uiPriority w:val="99"/>
    <w:qFormat/>
    <w:tblPr>
      <w:tblCellMar>
        <w:left w:w="0" w:type="dxa"/>
        <w:top w:w="0" w:type="dxa"/>
        <w:right w:w="0" w:type="dxa"/>
        <w:bottom w:w="0" w:type="dxa"/>
      </w:tblCellMar>
    </w:tblPr>
  </w:style>
  <w:style w:type="table" w:styleId="991" w:customStyle="1">
    <w:name w:val="Grid Table 2 - Accent 3"/>
    <w:basedOn w:val="875"/>
    <w:uiPriority w:val="99"/>
    <w:qFormat/>
    <w:tblPr>
      <w:tblCellMar>
        <w:left w:w="0" w:type="dxa"/>
        <w:top w:w="0" w:type="dxa"/>
        <w:right w:w="0" w:type="dxa"/>
        <w:bottom w:w="0" w:type="dxa"/>
      </w:tblCellMar>
    </w:tblPr>
  </w:style>
  <w:style w:type="table" w:styleId="992" w:customStyle="1">
    <w:name w:val="Grid Table 2 - Accent 4"/>
    <w:basedOn w:val="875"/>
    <w:uiPriority w:val="99"/>
    <w:qFormat/>
    <w:tblPr>
      <w:tblCellMar>
        <w:left w:w="0" w:type="dxa"/>
        <w:top w:w="0" w:type="dxa"/>
        <w:right w:w="0" w:type="dxa"/>
        <w:bottom w:w="0" w:type="dxa"/>
      </w:tblCellMar>
    </w:tblPr>
  </w:style>
  <w:style w:type="table" w:styleId="993" w:customStyle="1">
    <w:name w:val="Grid Table 2 - Accent 5"/>
    <w:basedOn w:val="875"/>
    <w:uiPriority w:val="99"/>
    <w:qFormat/>
    <w:tblPr>
      <w:tblCellMar>
        <w:left w:w="0" w:type="dxa"/>
        <w:top w:w="0" w:type="dxa"/>
        <w:right w:w="0" w:type="dxa"/>
        <w:bottom w:w="0" w:type="dxa"/>
      </w:tblCellMar>
    </w:tblPr>
  </w:style>
  <w:style w:type="table" w:styleId="994" w:customStyle="1">
    <w:name w:val="Grid Table 2 - Accent 6"/>
    <w:basedOn w:val="875"/>
    <w:uiPriority w:val="99"/>
    <w:qFormat/>
    <w:tblPr>
      <w:tblCellMar>
        <w:left w:w="0" w:type="dxa"/>
        <w:top w:w="0" w:type="dxa"/>
        <w:right w:w="0" w:type="dxa"/>
        <w:bottom w:w="0" w:type="dxa"/>
      </w:tblCellMar>
    </w:tblPr>
  </w:style>
  <w:style w:type="table" w:styleId="995" w:customStyle="1">
    <w:name w:val="网格表 31"/>
    <w:basedOn w:val="875"/>
    <w:uiPriority w:val="99"/>
    <w:qFormat/>
    <w:tblPr>
      <w:tblCellMar>
        <w:left w:w="0" w:type="dxa"/>
        <w:top w:w="0" w:type="dxa"/>
        <w:right w:w="0" w:type="dxa"/>
        <w:bottom w:w="0" w:type="dxa"/>
      </w:tblCellMar>
    </w:tblPr>
  </w:style>
  <w:style w:type="table" w:styleId="996" w:customStyle="1">
    <w:name w:val="Grid Table 3 - Accent 1"/>
    <w:basedOn w:val="875"/>
    <w:uiPriority w:val="99"/>
    <w:qFormat/>
    <w:tblPr>
      <w:tblCellMar>
        <w:left w:w="0" w:type="dxa"/>
        <w:top w:w="0" w:type="dxa"/>
        <w:right w:w="0" w:type="dxa"/>
        <w:bottom w:w="0" w:type="dxa"/>
      </w:tblCellMar>
    </w:tblPr>
  </w:style>
  <w:style w:type="table" w:styleId="997" w:customStyle="1">
    <w:name w:val="Grid Table 3 - Accent 2"/>
    <w:basedOn w:val="875"/>
    <w:uiPriority w:val="99"/>
    <w:qFormat/>
    <w:tblPr>
      <w:tblCellMar>
        <w:left w:w="0" w:type="dxa"/>
        <w:top w:w="0" w:type="dxa"/>
        <w:right w:w="0" w:type="dxa"/>
        <w:bottom w:w="0" w:type="dxa"/>
      </w:tblCellMar>
    </w:tblPr>
  </w:style>
  <w:style w:type="table" w:styleId="998" w:customStyle="1">
    <w:name w:val="Grid Table 3 - Accent 3"/>
    <w:basedOn w:val="875"/>
    <w:uiPriority w:val="99"/>
    <w:qFormat/>
    <w:tblPr>
      <w:tblCellMar>
        <w:left w:w="0" w:type="dxa"/>
        <w:top w:w="0" w:type="dxa"/>
        <w:right w:w="0" w:type="dxa"/>
        <w:bottom w:w="0" w:type="dxa"/>
      </w:tblCellMar>
    </w:tblPr>
  </w:style>
  <w:style w:type="table" w:styleId="999" w:customStyle="1">
    <w:name w:val="Grid Table 3 - Accent 4"/>
    <w:basedOn w:val="875"/>
    <w:uiPriority w:val="99"/>
    <w:qFormat/>
    <w:tblPr>
      <w:tblCellMar>
        <w:left w:w="0" w:type="dxa"/>
        <w:top w:w="0" w:type="dxa"/>
        <w:right w:w="0" w:type="dxa"/>
        <w:bottom w:w="0" w:type="dxa"/>
      </w:tblCellMar>
    </w:tblPr>
  </w:style>
  <w:style w:type="table" w:styleId="1000" w:customStyle="1">
    <w:name w:val="Grid Table 3 - Accent 5"/>
    <w:basedOn w:val="875"/>
    <w:uiPriority w:val="99"/>
    <w:qFormat/>
    <w:tblPr>
      <w:tblCellMar>
        <w:left w:w="0" w:type="dxa"/>
        <w:top w:w="0" w:type="dxa"/>
        <w:right w:w="0" w:type="dxa"/>
        <w:bottom w:w="0" w:type="dxa"/>
      </w:tblCellMar>
    </w:tblPr>
  </w:style>
  <w:style w:type="table" w:styleId="1001" w:customStyle="1">
    <w:name w:val="Grid Table 3 - Accent 6"/>
    <w:basedOn w:val="875"/>
    <w:uiPriority w:val="99"/>
    <w:qFormat/>
    <w:tblPr>
      <w:tblCellMar>
        <w:left w:w="0" w:type="dxa"/>
        <w:top w:w="0" w:type="dxa"/>
        <w:right w:w="0" w:type="dxa"/>
        <w:bottom w:w="0" w:type="dxa"/>
      </w:tblCellMar>
    </w:tblPr>
  </w:style>
  <w:style w:type="table" w:styleId="1002" w:customStyle="1">
    <w:name w:val="网格表 41"/>
    <w:basedOn w:val="875"/>
    <w:uiPriority w:val="59"/>
    <w:qFormat/>
    <w:tblPr>
      <w:tblCellMar>
        <w:left w:w="0" w:type="dxa"/>
        <w:top w:w="0" w:type="dxa"/>
        <w:right w:w="0" w:type="dxa"/>
        <w:bottom w:w="0" w:type="dxa"/>
      </w:tblCellMar>
    </w:tblPr>
  </w:style>
  <w:style w:type="table" w:styleId="1003" w:customStyle="1">
    <w:name w:val="Grid Table 4 - Accent 1"/>
    <w:basedOn w:val="875"/>
    <w:uiPriority w:val="59"/>
    <w:qFormat/>
    <w:tblPr>
      <w:tblCellMar>
        <w:left w:w="0" w:type="dxa"/>
        <w:top w:w="0" w:type="dxa"/>
        <w:right w:w="0" w:type="dxa"/>
        <w:bottom w:w="0" w:type="dxa"/>
      </w:tblCellMar>
    </w:tblPr>
  </w:style>
  <w:style w:type="table" w:styleId="1004" w:customStyle="1">
    <w:name w:val="Grid Table 4 - Accent 2"/>
    <w:basedOn w:val="875"/>
    <w:uiPriority w:val="59"/>
    <w:qFormat/>
    <w:tblPr>
      <w:tblCellMar>
        <w:left w:w="0" w:type="dxa"/>
        <w:top w:w="0" w:type="dxa"/>
        <w:right w:w="0" w:type="dxa"/>
        <w:bottom w:w="0" w:type="dxa"/>
      </w:tblCellMar>
    </w:tblPr>
  </w:style>
  <w:style w:type="table" w:styleId="1005" w:customStyle="1">
    <w:name w:val="Grid Table 4 - Accent 3"/>
    <w:basedOn w:val="875"/>
    <w:uiPriority w:val="59"/>
    <w:qFormat/>
    <w:tblPr>
      <w:tblCellMar>
        <w:left w:w="0" w:type="dxa"/>
        <w:top w:w="0" w:type="dxa"/>
        <w:right w:w="0" w:type="dxa"/>
        <w:bottom w:w="0" w:type="dxa"/>
      </w:tblCellMar>
    </w:tblPr>
  </w:style>
  <w:style w:type="table" w:styleId="1006" w:customStyle="1">
    <w:name w:val="Grid Table 4 - Accent 4"/>
    <w:basedOn w:val="875"/>
    <w:uiPriority w:val="59"/>
    <w:qFormat/>
    <w:tblPr>
      <w:tblCellMar>
        <w:left w:w="0" w:type="dxa"/>
        <w:top w:w="0" w:type="dxa"/>
        <w:right w:w="0" w:type="dxa"/>
        <w:bottom w:w="0" w:type="dxa"/>
      </w:tblCellMar>
    </w:tblPr>
  </w:style>
  <w:style w:type="table" w:styleId="1007" w:customStyle="1">
    <w:name w:val="Grid Table 4 - Accent 5"/>
    <w:basedOn w:val="875"/>
    <w:uiPriority w:val="59"/>
    <w:qFormat/>
    <w:tblPr>
      <w:tblCellMar>
        <w:left w:w="0" w:type="dxa"/>
        <w:top w:w="0" w:type="dxa"/>
        <w:right w:w="0" w:type="dxa"/>
        <w:bottom w:w="0" w:type="dxa"/>
      </w:tblCellMar>
    </w:tblPr>
  </w:style>
  <w:style w:type="table" w:styleId="1008" w:customStyle="1">
    <w:name w:val="Grid Table 4 - Accent 6"/>
    <w:basedOn w:val="875"/>
    <w:uiPriority w:val="59"/>
    <w:qFormat/>
    <w:tblPr>
      <w:tblCellMar>
        <w:left w:w="0" w:type="dxa"/>
        <w:top w:w="0" w:type="dxa"/>
        <w:right w:w="0" w:type="dxa"/>
        <w:bottom w:w="0" w:type="dxa"/>
      </w:tblCellMar>
    </w:tblPr>
  </w:style>
  <w:style w:type="table" w:styleId="1009" w:customStyle="1">
    <w:name w:val="网格表 5 深色1"/>
    <w:basedOn w:val="875"/>
    <w:uiPriority w:val="99"/>
    <w:qFormat/>
    <w:tblPr>
      <w:tblCellMar>
        <w:left w:w="0" w:type="dxa"/>
        <w:top w:w="0" w:type="dxa"/>
        <w:right w:w="0" w:type="dxa"/>
        <w:bottom w:w="0" w:type="dxa"/>
      </w:tblCellMar>
    </w:tblPr>
  </w:style>
  <w:style w:type="table" w:styleId="1010" w:customStyle="1">
    <w:name w:val="Grid Table 5 Dark- Accent 1"/>
    <w:basedOn w:val="875"/>
    <w:uiPriority w:val="99"/>
    <w:qFormat/>
    <w:tblPr>
      <w:tblCellMar>
        <w:left w:w="0" w:type="dxa"/>
        <w:top w:w="0" w:type="dxa"/>
        <w:right w:w="0" w:type="dxa"/>
        <w:bottom w:w="0" w:type="dxa"/>
      </w:tblCellMar>
    </w:tblPr>
  </w:style>
  <w:style w:type="table" w:styleId="1011" w:customStyle="1">
    <w:name w:val="Grid Table 5 Dark - Accent 2"/>
    <w:basedOn w:val="875"/>
    <w:uiPriority w:val="99"/>
    <w:qFormat/>
    <w:tblPr>
      <w:tblCellMar>
        <w:left w:w="0" w:type="dxa"/>
        <w:top w:w="0" w:type="dxa"/>
        <w:right w:w="0" w:type="dxa"/>
        <w:bottom w:w="0" w:type="dxa"/>
      </w:tblCellMar>
    </w:tblPr>
  </w:style>
  <w:style w:type="table" w:styleId="1012" w:customStyle="1">
    <w:name w:val="Grid Table 5 Dark - Accent 3"/>
    <w:basedOn w:val="875"/>
    <w:uiPriority w:val="99"/>
    <w:qFormat/>
    <w:tblPr>
      <w:tblCellMar>
        <w:left w:w="0" w:type="dxa"/>
        <w:top w:w="0" w:type="dxa"/>
        <w:right w:w="0" w:type="dxa"/>
        <w:bottom w:w="0" w:type="dxa"/>
      </w:tblCellMar>
    </w:tblPr>
  </w:style>
  <w:style w:type="table" w:styleId="1013" w:customStyle="1">
    <w:name w:val="Grid Table 5 Dark- Accent 4"/>
    <w:basedOn w:val="875"/>
    <w:uiPriority w:val="99"/>
    <w:qFormat/>
    <w:tblPr>
      <w:tblCellMar>
        <w:left w:w="0" w:type="dxa"/>
        <w:top w:w="0" w:type="dxa"/>
        <w:right w:w="0" w:type="dxa"/>
        <w:bottom w:w="0" w:type="dxa"/>
      </w:tblCellMar>
    </w:tblPr>
  </w:style>
  <w:style w:type="table" w:styleId="1014" w:customStyle="1">
    <w:name w:val="Grid Table 5 Dark - Accent 5"/>
    <w:basedOn w:val="875"/>
    <w:uiPriority w:val="99"/>
    <w:qFormat/>
    <w:tblPr>
      <w:tblCellMar>
        <w:left w:w="0" w:type="dxa"/>
        <w:top w:w="0" w:type="dxa"/>
        <w:right w:w="0" w:type="dxa"/>
        <w:bottom w:w="0" w:type="dxa"/>
      </w:tblCellMar>
    </w:tblPr>
  </w:style>
  <w:style w:type="table" w:styleId="1015" w:customStyle="1">
    <w:name w:val="Grid Table 5 Dark - Accent 6"/>
    <w:basedOn w:val="875"/>
    <w:uiPriority w:val="99"/>
    <w:qFormat/>
    <w:tblPr>
      <w:tblCellMar>
        <w:left w:w="0" w:type="dxa"/>
        <w:top w:w="0" w:type="dxa"/>
        <w:right w:w="0" w:type="dxa"/>
        <w:bottom w:w="0" w:type="dxa"/>
      </w:tblCellMar>
    </w:tblPr>
  </w:style>
  <w:style w:type="table" w:styleId="1016" w:customStyle="1">
    <w:name w:val="网格表 6 彩色1"/>
    <w:basedOn w:val="875"/>
    <w:uiPriority w:val="99"/>
    <w:qFormat/>
    <w:tblPr>
      <w:tblCellMar>
        <w:left w:w="0" w:type="dxa"/>
        <w:top w:w="0" w:type="dxa"/>
        <w:right w:w="0" w:type="dxa"/>
        <w:bottom w:w="0" w:type="dxa"/>
      </w:tblCellMar>
    </w:tblPr>
  </w:style>
  <w:style w:type="table" w:styleId="1017" w:customStyle="1">
    <w:name w:val="Grid Table 6 Colorful - Accent 1"/>
    <w:basedOn w:val="875"/>
    <w:uiPriority w:val="99"/>
    <w:qFormat/>
    <w:tblPr>
      <w:tblCellMar>
        <w:left w:w="0" w:type="dxa"/>
        <w:top w:w="0" w:type="dxa"/>
        <w:right w:w="0" w:type="dxa"/>
        <w:bottom w:w="0" w:type="dxa"/>
      </w:tblCellMar>
    </w:tblPr>
  </w:style>
  <w:style w:type="table" w:styleId="1018" w:customStyle="1">
    <w:name w:val="Grid Table 6 Colorful - Accent 2"/>
    <w:basedOn w:val="875"/>
    <w:uiPriority w:val="99"/>
    <w:qFormat/>
    <w:tblPr>
      <w:tblCellMar>
        <w:left w:w="0" w:type="dxa"/>
        <w:top w:w="0" w:type="dxa"/>
        <w:right w:w="0" w:type="dxa"/>
        <w:bottom w:w="0" w:type="dxa"/>
      </w:tblCellMar>
    </w:tblPr>
  </w:style>
  <w:style w:type="table" w:styleId="1019" w:customStyle="1">
    <w:name w:val="Grid Table 6 Colorful - Accent 3"/>
    <w:basedOn w:val="875"/>
    <w:uiPriority w:val="99"/>
    <w:qFormat/>
    <w:tblPr>
      <w:tblCellMar>
        <w:left w:w="0" w:type="dxa"/>
        <w:top w:w="0" w:type="dxa"/>
        <w:right w:w="0" w:type="dxa"/>
        <w:bottom w:w="0" w:type="dxa"/>
      </w:tblCellMar>
    </w:tblPr>
  </w:style>
  <w:style w:type="table" w:styleId="1020" w:customStyle="1">
    <w:name w:val="Grid Table 6 Colorful - Accent 4"/>
    <w:basedOn w:val="875"/>
    <w:uiPriority w:val="99"/>
    <w:qFormat/>
    <w:tblPr>
      <w:tblCellMar>
        <w:left w:w="0" w:type="dxa"/>
        <w:top w:w="0" w:type="dxa"/>
        <w:right w:w="0" w:type="dxa"/>
        <w:bottom w:w="0" w:type="dxa"/>
      </w:tblCellMar>
    </w:tblPr>
  </w:style>
  <w:style w:type="table" w:styleId="1021" w:customStyle="1">
    <w:name w:val="Grid Table 6 Colorful - Accent 5"/>
    <w:basedOn w:val="875"/>
    <w:uiPriority w:val="99"/>
    <w:qFormat/>
    <w:tblPr>
      <w:tblCellMar>
        <w:left w:w="0" w:type="dxa"/>
        <w:top w:w="0" w:type="dxa"/>
        <w:right w:w="0" w:type="dxa"/>
        <w:bottom w:w="0" w:type="dxa"/>
      </w:tblCellMar>
    </w:tblPr>
  </w:style>
  <w:style w:type="table" w:styleId="1022" w:customStyle="1">
    <w:name w:val="Grid Table 6 Colorful - Accent 6"/>
    <w:basedOn w:val="875"/>
    <w:uiPriority w:val="99"/>
    <w:qFormat/>
    <w:tblPr>
      <w:tblCellMar>
        <w:left w:w="0" w:type="dxa"/>
        <w:top w:w="0" w:type="dxa"/>
        <w:right w:w="0" w:type="dxa"/>
        <w:bottom w:w="0" w:type="dxa"/>
      </w:tblCellMar>
    </w:tblPr>
  </w:style>
  <w:style w:type="table" w:styleId="1023" w:customStyle="1">
    <w:name w:val="网格表 7 彩色1"/>
    <w:basedOn w:val="875"/>
    <w:uiPriority w:val="99"/>
    <w:qFormat/>
    <w:tblPr>
      <w:tblCellMar>
        <w:left w:w="0" w:type="dxa"/>
        <w:top w:w="0" w:type="dxa"/>
        <w:right w:w="0" w:type="dxa"/>
        <w:bottom w:w="0" w:type="dxa"/>
      </w:tblCellMar>
    </w:tblPr>
  </w:style>
  <w:style w:type="table" w:styleId="1024" w:customStyle="1">
    <w:name w:val="Grid Table 7 Colorful - Accent 1"/>
    <w:basedOn w:val="875"/>
    <w:uiPriority w:val="99"/>
    <w:qFormat/>
    <w:tblPr>
      <w:tblCellMar>
        <w:left w:w="0" w:type="dxa"/>
        <w:top w:w="0" w:type="dxa"/>
        <w:right w:w="0" w:type="dxa"/>
        <w:bottom w:w="0" w:type="dxa"/>
      </w:tblCellMar>
    </w:tblPr>
  </w:style>
  <w:style w:type="table" w:styleId="1025" w:customStyle="1">
    <w:name w:val="Grid Table 7 Colorful - Accent 2"/>
    <w:basedOn w:val="875"/>
    <w:uiPriority w:val="99"/>
    <w:qFormat/>
    <w:tblPr>
      <w:tblCellMar>
        <w:left w:w="0" w:type="dxa"/>
        <w:top w:w="0" w:type="dxa"/>
        <w:right w:w="0" w:type="dxa"/>
        <w:bottom w:w="0" w:type="dxa"/>
      </w:tblCellMar>
    </w:tblPr>
  </w:style>
  <w:style w:type="table" w:styleId="1026" w:customStyle="1">
    <w:name w:val="Grid Table 7 Colorful - Accent 3"/>
    <w:basedOn w:val="875"/>
    <w:uiPriority w:val="99"/>
    <w:qFormat/>
    <w:tblPr>
      <w:tblCellMar>
        <w:left w:w="0" w:type="dxa"/>
        <w:top w:w="0" w:type="dxa"/>
        <w:right w:w="0" w:type="dxa"/>
        <w:bottom w:w="0" w:type="dxa"/>
      </w:tblCellMar>
    </w:tblPr>
  </w:style>
  <w:style w:type="table" w:styleId="1027" w:customStyle="1">
    <w:name w:val="Grid Table 7 Colorful - Accent 4"/>
    <w:basedOn w:val="875"/>
    <w:uiPriority w:val="99"/>
    <w:qFormat/>
    <w:tblPr>
      <w:tblCellMar>
        <w:left w:w="0" w:type="dxa"/>
        <w:top w:w="0" w:type="dxa"/>
        <w:right w:w="0" w:type="dxa"/>
        <w:bottom w:w="0" w:type="dxa"/>
      </w:tblCellMar>
    </w:tblPr>
  </w:style>
  <w:style w:type="table" w:styleId="1028" w:customStyle="1">
    <w:name w:val="Grid Table 7 Colorful - Accent 5"/>
    <w:basedOn w:val="875"/>
    <w:uiPriority w:val="99"/>
    <w:qFormat/>
    <w:tblPr>
      <w:tblCellMar>
        <w:left w:w="0" w:type="dxa"/>
        <w:top w:w="0" w:type="dxa"/>
        <w:right w:w="0" w:type="dxa"/>
        <w:bottom w:w="0" w:type="dxa"/>
      </w:tblCellMar>
    </w:tblPr>
  </w:style>
  <w:style w:type="table" w:styleId="1029" w:customStyle="1">
    <w:name w:val="Grid Table 7 Colorful - Accent 6"/>
    <w:basedOn w:val="875"/>
    <w:uiPriority w:val="99"/>
    <w:qFormat/>
    <w:tblPr>
      <w:tblCellMar>
        <w:left w:w="0" w:type="dxa"/>
        <w:top w:w="0" w:type="dxa"/>
        <w:right w:w="0" w:type="dxa"/>
        <w:bottom w:w="0" w:type="dxa"/>
      </w:tblCellMar>
    </w:tblPr>
  </w:style>
  <w:style w:type="table" w:styleId="1030" w:customStyle="1">
    <w:name w:val="清单表 1 浅色1"/>
    <w:basedOn w:val="875"/>
    <w:uiPriority w:val="99"/>
    <w:qFormat/>
    <w:tblPr>
      <w:tblCellMar>
        <w:left w:w="0" w:type="dxa"/>
        <w:top w:w="0" w:type="dxa"/>
        <w:right w:w="0" w:type="dxa"/>
        <w:bottom w:w="0" w:type="dxa"/>
      </w:tblCellMar>
    </w:tblPr>
  </w:style>
  <w:style w:type="table" w:styleId="1031" w:customStyle="1">
    <w:name w:val="List Table 1 Light - Accent 1"/>
    <w:basedOn w:val="875"/>
    <w:uiPriority w:val="99"/>
    <w:qFormat/>
    <w:tblPr>
      <w:tblCellMar>
        <w:left w:w="0" w:type="dxa"/>
        <w:top w:w="0" w:type="dxa"/>
        <w:right w:w="0" w:type="dxa"/>
        <w:bottom w:w="0" w:type="dxa"/>
      </w:tblCellMar>
    </w:tblPr>
  </w:style>
  <w:style w:type="table" w:styleId="1032" w:customStyle="1">
    <w:name w:val="List Table 1 Light - Accent 2"/>
    <w:basedOn w:val="875"/>
    <w:uiPriority w:val="99"/>
    <w:qFormat/>
    <w:tblPr>
      <w:tblCellMar>
        <w:left w:w="0" w:type="dxa"/>
        <w:top w:w="0" w:type="dxa"/>
        <w:right w:w="0" w:type="dxa"/>
        <w:bottom w:w="0" w:type="dxa"/>
      </w:tblCellMar>
    </w:tblPr>
  </w:style>
  <w:style w:type="table" w:styleId="1033" w:customStyle="1">
    <w:name w:val="List Table 1 Light - Accent 3"/>
    <w:basedOn w:val="875"/>
    <w:uiPriority w:val="99"/>
    <w:qFormat/>
    <w:tblPr>
      <w:tblCellMar>
        <w:left w:w="0" w:type="dxa"/>
        <w:top w:w="0" w:type="dxa"/>
        <w:right w:w="0" w:type="dxa"/>
        <w:bottom w:w="0" w:type="dxa"/>
      </w:tblCellMar>
    </w:tblPr>
  </w:style>
  <w:style w:type="table" w:styleId="1034" w:customStyle="1">
    <w:name w:val="List Table 1 Light - Accent 4"/>
    <w:basedOn w:val="875"/>
    <w:uiPriority w:val="99"/>
    <w:qFormat/>
    <w:tblPr>
      <w:tblCellMar>
        <w:left w:w="0" w:type="dxa"/>
        <w:top w:w="0" w:type="dxa"/>
        <w:right w:w="0" w:type="dxa"/>
        <w:bottom w:w="0" w:type="dxa"/>
      </w:tblCellMar>
    </w:tblPr>
  </w:style>
  <w:style w:type="table" w:styleId="1035" w:customStyle="1">
    <w:name w:val="List Table 1 Light - Accent 5"/>
    <w:basedOn w:val="875"/>
    <w:uiPriority w:val="99"/>
    <w:qFormat/>
    <w:tblPr>
      <w:tblCellMar>
        <w:left w:w="0" w:type="dxa"/>
        <w:top w:w="0" w:type="dxa"/>
        <w:right w:w="0" w:type="dxa"/>
        <w:bottom w:w="0" w:type="dxa"/>
      </w:tblCellMar>
    </w:tblPr>
  </w:style>
  <w:style w:type="table" w:styleId="1036" w:customStyle="1">
    <w:name w:val="List Table 1 Light - Accent 6"/>
    <w:basedOn w:val="875"/>
    <w:uiPriority w:val="99"/>
    <w:qFormat/>
    <w:tblPr>
      <w:tblCellMar>
        <w:left w:w="0" w:type="dxa"/>
        <w:top w:w="0" w:type="dxa"/>
        <w:right w:w="0" w:type="dxa"/>
        <w:bottom w:w="0" w:type="dxa"/>
      </w:tblCellMar>
    </w:tblPr>
  </w:style>
  <w:style w:type="table" w:styleId="1037" w:customStyle="1">
    <w:name w:val="清单表 21"/>
    <w:basedOn w:val="875"/>
    <w:uiPriority w:val="99"/>
    <w:qFormat/>
    <w:tblPr>
      <w:tblCellMar>
        <w:left w:w="0" w:type="dxa"/>
        <w:top w:w="0" w:type="dxa"/>
        <w:right w:w="0" w:type="dxa"/>
        <w:bottom w:w="0" w:type="dxa"/>
      </w:tblCellMar>
    </w:tblPr>
  </w:style>
  <w:style w:type="table" w:styleId="1038" w:customStyle="1">
    <w:name w:val="List Table 2 - Accent 1"/>
    <w:basedOn w:val="875"/>
    <w:uiPriority w:val="99"/>
    <w:qFormat/>
    <w:tblPr>
      <w:tblCellMar>
        <w:left w:w="0" w:type="dxa"/>
        <w:top w:w="0" w:type="dxa"/>
        <w:right w:w="0" w:type="dxa"/>
        <w:bottom w:w="0" w:type="dxa"/>
      </w:tblCellMar>
    </w:tblPr>
  </w:style>
  <w:style w:type="table" w:styleId="1039" w:customStyle="1">
    <w:name w:val="List Table 2 - Accent 2"/>
    <w:basedOn w:val="875"/>
    <w:uiPriority w:val="99"/>
    <w:qFormat/>
    <w:tblPr>
      <w:tblCellMar>
        <w:left w:w="0" w:type="dxa"/>
        <w:top w:w="0" w:type="dxa"/>
        <w:right w:w="0" w:type="dxa"/>
        <w:bottom w:w="0" w:type="dxa"/>
      </w:tblCellMar>
    </w:tblPr>
  </w:style>
  <w:style w:type="table" w:styleId="1040" w:customStyle="1">
    <w:name w:val="List Table 2 - Accent 3"/>
    <w:basedOn w:val="875"/>
    <w:uiPriority w:val="99"/>
    <w:qFormat/>
    <w:tblPr>
      <w:tblCellMar>
        <w:left w:w="0" w:type="dxa"/>
        <w:top w:w="0" w:type="dxa"/>
        <w:right w:w="0" w:type="dxa"/>
        <w:bottom w:w="0" w:type="dxa"/>
      </w:tblCellMar>
    </w:tblPr>
  </w:style>
  <w:style w:type="table" w:styleId="1041" w:customStyle="1">
    <w:name w:val="List Table 2 - Accent 4"/>
    <w:basedOn w:val="875"/>
    <w:uiPriority w:val="99"/>
    <w:qFormat/>
    <w:tblPr>
      <w:tblCellMar>
        <w:left w:w="0" w:type="dxa"/>
        <w:top w:w="0" w:type="dxa"/>
        <w:right w:w="0" w:type="dxa"/>
        <w:bottom w:w="0" w:type="dxa"/>
      </w:tblCellMar>
    </w:tblPr>
  </w:style>
  <w:style w:type="table" w:styleId="1042" w:customStyle="1">
    <w:name w:val="List Table 2 - Accent 5"/>
    <w:basedOn w:val="875"/>
    <w:uiPriority w:val="99"/>
    <w:qFormat/>
    <w:tblPr>
      <w:tblCellMar>
        <w:left w:w="0" w:type="dxa"/>
        <w:top w:w="0" w:type="dxa"/>
        <w:right w:w="0" w:type="dxa"/>
        <w:bottom w:w="0" w:type="dxa"/>
      </w:tblCellMar>
    </w:tblPr>
  </w:style>
  <w:style w:type="table" w:styleId="1043" w:customStyle="1">
    <w:name w:val="List Table 2 - Accent 6"/>
    <w:basedOn w:val="875"/>
    <w:uiPriority w:val="99"/>
    <w:qFormat/>
    <w:tblPr>
      <w:tblCellMar>
        <w:left w:w="0" w:type="dxa"/>
        <w:top w:w="0" w:type="dxa"/>
        <w:right w:w="0" w:type="dxa"/>
        <w:bottom w:w="0" w:type="dxa"/>
      </w:tblCellMar>
    </w:tblPr>
  </w:style>
  <w:style w:type="table" w:styleId="1044" w:customStyle="1">
    <w:name w:val="清单表 31"/>
    <w:basedOn w:val="875"/>
    <w:uiPriority w:val="99"/>
    <w:qFormat/>
    <w:tblPr>
      <w:tblCellMar>
        <w:left w:w="0" w:type="dxa"/>
        <w:top w:w="0" w:type="dxa"/>
        <w:right w:w="0" w:type="dxa"/>
        <w:bottom w:w="0" w:type="dxa"/>
      </w:tblCellMar>
    </w:tblPr>
  </w:style>
  <w:style w:type="table" w:styleId="1045" w:customStyle="1">
    <w:name w:val="List Table 3 - Accent 1"/>
    <w:basedOn w:val="875"/>
    <w:uiPriority w:val="99"/>
    <w:qFormat/>
    <w:tblPr>
      <w:tblCellMar>
        <w:left w:w="0" w:type="dxa"/>
        <w:top w:w="0" w:type="dxa"/>
        <w:right w:w="0" w:type="dxa"/>
        <w:bottom w:w="0" w:type="dxa"/>
      </w:tblCellMar>
    </w:tblPr>
  </w:style>
  <w:style w:type="table" w:styleId="1046" w:customStyle="1">
    <w:name w:val="List Table 3 - Accent 2"/>
    <w:basedOn w:val="875"/>
    <w:uiPriority w:val="99"/>
    <w:qFormat/>
    <w:tblPr>
      <w:tblCellMar>
        <w:left w:w="0" w:type="dxa"/>
        <w:top w:w="0" w:type="dxa"/>
        <w:right w:w="0" w:type="dxa"/>
        <w:bottom w:w="0" w:type="dxa"/>
      </w:tblCellMar>
    </w:tblPr>
  </w:style>
  <w:style w:type="table" w:styleId="1047" w:customStyle="1">
    <w:name w:val="List Table 3 - Accent 3"/>
    <w:basedOn w:val="875"/>
    <w:uiPriority w:val="99"/>
    <w:qFormat/>
    <w:tblPr>
      <w:tblCellMar>
        <w:left w:w="0" w:type="dxa"/>
        <w:top w:w="0" w:type="dxa"/>
        <w:right w:w="0" w:type="dxa"/>
        <w:bottom w:w="0" w:type="dxa"/>
      </w:tblCellMar>
    </w:tblPr>
  </w:style>
  <w:style w:type="table" w:styleId="1048" w:customStyle="1">
    <w:name w:val="List Table 3 - Accent 4"/>
    <w:basedOn w:val="875"/>
    <w:uiPriority w:val="99"/>
    <w:qFormat/>
    <w:tblPr>
      <w:tblCellMar>
        <w:left w:w="0" w:type="dxa"/>
        <w:top w:w="0" w:type="dxa"/>
        <w:right w:w="0" w:type="dxa"/>
        <w:bottom w:w="0" w:type="dxa"/>
      </w:tblCellMar>
    </w:tblPr>
  </w:style>
  <w:style w:type="table" w:styleId="1049" w:customStyle="1">
    <w:name w:val="List Table 3 - Accent 5"/>
    <w:basedOn w:val="875"/>
    <w:uiPriority w:val="99"/>
    <w:qFormat/>
    <w:tblPr>
      <w:tblCellMar>
        <w:left w:w="0" w:type="dxa"/>
        <w:top w:w="0" w:type="dxa"/>
        <w:right w:w="0" w:type="dxa"/>
        <w:bottom w:w="0" w:type="dxa"/>
      </w:tblCellMar>
    </w:tblPr>
  </w:style>
  <w:style w:type="table" w:styleId="1050" w:customStyle="1">
    <w:name w:val="List Table 3 - Accent 6"/>
    <w:basedOn w:val="875"/>
    <w:uiPriority w:val="99"/>
    <w:qFormat/>
    <w:tblPr>
      <w:tblCellMar>
        <w:left w:w="0" w:type="dxa"/>
        <w:top w:w="0" w:type="dxa"/>
        <w:right w:w="0" w:type="dxa"/>
        <w:bottom w:w="0" w:type="dxa"/>
      </w:tblCellMar>
    </w:tblPr>
  </w:style>
  <w:style w:type="table" w:styleId="1051" w:customStyle="1">
    <w:name w:val="清单表 41"/>
    <w:basedOn w:val="875"/>
    <w:uiPriority w:val="99"/>
    <w:qFormat/>
    <w:tblPr>
      <w:tblCellMar>
        <w:left w:w="0" w:type="dxa"/>
        <w:top w:w="0" w:type="dxa"/>
        <w:right w:w="0" w:type="dxa"/>
        <w:bottom w:w="0" w:type="dxa"/>
      </w:tblCellMar>
    </w:tblPr>
  </w:style>
  <w:style w:type="table" w:styleId="1052" w:customStyle="1">
    <w:name w:val="List Table 4 - Accent 1"/>
    <w:basedOn w:val="875"/>
    <w:uiPriority w:val="99"/>
    <w:qFormat/>
    <w:tblPr>
      <w:tblCellMar>
        <w:left w:w="0" w:type="dxa"/>
        <w:top w:w="0" w:type="dxa"/>
        <w:right w:w="0" w:type="dxa"/>
        <w:bottom w:w="0" w:type="dxa"/>
      </w:tblCellMar>
    </w:tblPr>
  </w:style>
  <w:style w:type="table" w:styleId="1053" w:customStyle="1">
    <w:name w:val="List Table 4 - Accent 2"/>
    <w:basedOn w:val="875"/>
    <w:uiPriority w:val="99"/>
    <w:qFormat/>
    <w:tblPr>
      <w:tblCellMar>
        <w:left w:w="0" w:type="dxa"/>
        <w:top w:w="0" w:type="dxa"/>
        <w:right w:w="0" w:type="dxa"/>
        <w:bottom w:w="0" w:type="dxa"/>
      </w:tblCellMar>
    </w:tblPr>
  </w:style>
  <w:style w:type="table" w:styleId="1054" w:customStyle="1">
    <w:name w:val="List Table 4 - Accent 3"/>
    <w:basedOn w:val="875"/>
    <w:uiPriority w:val="99"/>
    <w:qFormat/>
    <w:tblPr>
      <w:tblCellMar>
        <w:left w:w="0" w:type="dxa"/>
        <w:top w:w="0" w:type="dxa"/>
        <w:right w:w="0" w:type="dxa"/>
        <w:bottom w:w="0" w:type="dxa"/>
      </w:tblCellMar>
    </w:tblPr>
  </w:style>
  <w:style w:type="table" w:styleId="1055" w:customStyle="1">
    <w:name w:val="List Table 4 - Accent 4"/>
    <w:basedOn w:val="875"/>
    <w:uiPriority w:val="99"/>
    <w:qFormat/>
    <w:tblPr>
      <w:tblCellMar>
        <w:left w:w="0" w:type="dxa"/>
        <w:top w:w="0" w:type="dxa"/>
        <w:right w:w="0" w:type="dxa"/>
        <w:bottom w:w="0" w:type="dxa"/>
      </w:tblCellMar>
    </w:tblPr>
  </w:style>
  <w:style w:type="table" w:styleId="1056" w:customStyle="1">
    <w:name w:val="List Table 4 - Accent 5"/>
    <w:basedOn w:val="875"/>
    <w:uiPriority w:val="99"/>
    <w:qFormat/>
    <w:tblPr>
      <w:tblCellMar>
        <w:left w:w="0" w:type="dxa"/>
        <w:top w:w="0" w:type="dxa"/>
        <w:right w:w="0" w:type="dxa"/>
        <w:bottom w:w="0" w:type="dxa"/>
      </w:tblCellMar>
    </w:tblPr>
  </w:style>
  <w:style w:type="table" w:styleId="1057" w:customStyle="1">
    <w:name w:val="List Table 4 - Accent 6"/>
    <w:basedOn w:val="875"/>
    <w:uiPriority w:val="99"/>
    <w:qFormat/>
    <w:tblPr>
      <w:tblCellMar>
        <w:left w:w="0" w:type="dxa"/>
        <w:top w:w="0" w:type="dxa"/>
        <w:right w:w="0" w:type="dxa"/>
        <w:bottom w:w="0" w:type="dxa"/>
      </w:tblCellMar>
    </w:tblPr>
  </w:style>
  <w:style w:type="table" w:styleId="1058" w:customStyle="1">
    <w:name w:val="清单表 5 深色1"/>
    <w:basedOn w:val="875"/>
    <w:uiPriority w:val="99"/>
    <w:qFormat/>
    <w:tblPr>
      <w:tblCellMar>
        <w:left w:w="0" w:type="dxa"/>
        <w:top w:w="0" w:type="dxa"/>
        <w:right w:w="0" w:type="dxa"/>
        <w:bottom w:w="0" w:type="dxa"/>
      </w:tblCellMar>
    </w:tblPr>
  </w:style>
  <w:style w:type="table" w:styleId="1059" w:customStyle="1">
    <w:name w:val="List Table 5 Dark - Accent 1"/>
    <w:basedOn w:val="875"/>
    <w:uiPriority w:val="99"/>
    <w:qFormat/>
    <w:tblPr>
      <w:tblCellMar>
        <w:left w:w="0" w:type="dxa"/>
        <w:top w:w="0" w:type="dxa"/>
        <w:right w:w="0" w:type="dxa"/>
        <w:bottom w:w="0" w:type="dxa"/>
      </w:tblCellMar>
    </w:tblPr>
  </w:style>
  <w:style w:type="table" w:styleId="1060" w:customStyle="1">
    <w:name w:val="List Table 5 Dark - Accent 2"/>
    <w:basedOn w:val="875"/>
    <w:uiPriority w:val="99"/>
    <w:qFormat/>
    <w:tblPr>
      <w:tblCellMar>
        <w:left w:w="0" w:type="dxa"/>
        <w:top w:w="0" w:type="dxa"/>
        <w:right w:w="0" w:type="dxa"/>
        <w:bottom w:w="0" w:type="dxa"/>
      </w:tblCellMar>
    </w:tblPr>
  </w:style>
  <w:style w:type="table" w:styleId="1061" w:customStyle="1">
    <w:name w:val="List Table 5 Dark - Accent 3"/>
    <w:basedOn w:val="875"/>
    <w:uiPriority w:val="99"/>
    <w:qFormat/>
    <w:tblPr>
      <w:tblCellMar>
        <w:left w:w="0" w:type="dxa"/>
        <w:top w:w="0" w:type="dxa"/>
        <w:right w:w="0" w:type="dxa"/>
        <w:bottom w:w="0" w:type="dxa"/>
      </w:tblCellMar>
    </w:tblPr>
  </w:style>
  <w:style w:type="table" w:styleId="1062" w:customStyle="1">
    <w:name w:val="List Table 5 Dark - Accent 4"/>
    <w:basedOn w:val="875"/>
    <w:uiPriority w:val="99"/>
    <w:qFormat/>
    <w:tblPr>
      <w:tblCellMar>
        <w:left w:w="0" w:type="dxa"/>
        <w:top w:w="0" w:type="dxa"/>
        <w:right w:w="0" w:type="dxa"/>
        <w:bottom w:w="0" w:type="dxa"/>
      </w:tblCellMar>
    </w:tblPr>
  </w:style>
  <w:style w:type="table" w:styleId="1063" w:customStyle="1">
    <w:name w:val="List Table 5 Dark - Accent 5"/>
    <w:basedOn w:val="875"/>
    <w:uiPriority w:val="99"/>
    <w:qFormat/>
    <w:tblPr>
      <w:tblCellMar>
        <w:left w:w="0" w:type="dxa"/>
        <w:top w:w="0" w:type="dxa"/>
        <w:right w:w="0" w:type="dxa"/>
        <w:bottom w:w="0" w:type="dxa"/>
      </w:tblCellMar>
    </w:tblPr>
  </w:style>
  <w:style w:type="table" w:styleId="1064" w:customStyle="1">
    <w:name w:val="List Table 5 Dark - Accent 6"/>
    <w:basedOn w:val="875"/>
    <w:uiPriority w:val="99"/>
    <w:qFormat/>
    <w:tblPr>
      <w:tblCellMar>
        <w:left w:w="0" w:type="dxa"/>
        <w:top w:w="0" w:type="dxa"/>
        <w:right w:w="0" w:type="dxa"/>
        <w:bottom w:w="0" w:type="dxa"/>
      </w:tblCellMar>
    </w:tblPr>
  </w:style>
  <w:style w:type="table" w:styleId="1065" w:customStyle="1">
    <w:name w:val="清单表 6 彩色1"/>
    <w:basedOn w:val="875"/>
    <w:uiPriority w:val="99"/>
    <w:qFormat/>
    <w:tblPr>
      <w:tblCellMar>
        <w:left w:w="0" w:type="dxa"/>
        <w:top w:w="0" w:type="dxa"/>
        <w:right w:w="0" w:type="dxa"/>
        <w:bottom w:w="0" w:type="dxa"/>
      </w:tblCellMar>
    </w:tblPr>
  </w:style>
  <w:style w:type="table" w:styleId="1066" w:customStyle="1">
    <w:name w:val="List Table 6 Colorful - Accent 1"/>
    <w:basedOn w:val="875"/>
    <w:uiPriority w:val="99"/>
    <w:qFormat/>
    <w:tblPr>
      <w:tblCellMar>
        <w:left w:w="0" w:type="dxa"/>
        <w:top w:w="0" w:type="dxa"/>
        <w:right w:w="0" w:type="dxa"/>
        <w:bottom w:w="0" w:type="dxa"/>
      </w:tblCellMar>
    </w:tblPr>
  </w:style>
  <w:style w:type="table" w:styleId="1067" w:customStyle="1">
    <w:name w:val="List Table 6 Colorful - Accent 2"/>
    <w:basedOn w:val="875"/>
    <w:uiPriority w:val="99"/>
    <w:qFormat/>
    <w:tblPr>
      <w:tblCellMar>
        <w:left w:w="0" w:type="dxa"/>
        <w:top w:w="0" w:type="dxa"/>
        <w:right w:w="0" w:type="dxa"/>
        <w:bottom w:w="0" w:type="dxa"/>
      </w:tblCellMar>
    </w:tblPr>
  </w:style>
  <w:style w:type="table" w:styleId="1068" w:customStyle="1">
    <w:name w:val="List Table 6 Colorful - Accent 3"/>
    <w:basedOn w:val="875"/>
    <w:uiPriority w:val="99"/>
    <w:qFormat/>
    <w:tblPr>
      <w:tblCellMar>
        <w:left w:w="0" w:type="dxa"/>
        <w:top w:w="0" w:type="dxa"/>
        <w:right w:w="0" w:type="dxa"/>
        <w:bottom w:w="0" w:type="dxa"/>
      </w:tblCellMar>
    </w:tblPr>
  </w:style>
  <w:style w:type="table" w:styleId="1069" w:customStyle="1">
    <w:name w:val="List Table 6 Colorful - Accent 4"/>
    <w:basedOn w:val="875"/>
    <w:uiPriority w:val="99"/>
    <w:qFormat/>
    <w:tblPr>
      <w:tblCellMar>
        <w:left w:w="0" w:type="dxa"/>
        <w:top w:w="0" w:type="dxa"/>
        <w:right w:w="0" w:type="dxa"/>
        <w:bottom w:w="0" w:type="dxa"/>
      </w:tblCellMar>
    </w:tblPr>
  </w:style>
  <w:style w:type="table" w:styleId="1070" w:customStyle="1">
    <w:name w:val="List Table 6 Colorful - Accent 5"/>
    <w:basedOn w:val="875"/>
    <w:uiPriority w:val="99"/>
    <w:qFormat/>
    <w:tblPr>
      <w:tblCellMar>
        <w:left w:w="0" w:type="dxa"/>
        <w:top w:w="0" w:type="dxa"/>
        <w:right w:w="0" w:type="dxa"/>
        <w:bottom w:w="0" w:type="dxa"/>
      </w:tblCellMar>
    </w:tblPr>
  </w:style>
  <w:style w:type="table" w:styleId="1071" w:customStyle="1">
    <w:name w:val="List Table 6 Colorful - Accent 6"/>
    <w:basedOn w:val="875"/>
    <w:uiPriority w:val="99"/>
    <w:qFormat/>
    <w:tblPr>
      <w:tblCellMar>
        <w:left w:w="0" w:type="dxa"/>
        <w:top w:w="0" w:type="dxa"/>
        <w:right w:w="0" w:type="dxa"/>
        <w:bottom w:w="0" w:type="dxa"/>
      </w:tblCellMar>
    </w:tblPr>
  </w:style>
  <w:style w:type="table" w:styleId="1072" w:customStyle="1">
    <w:name w:val="清单表 7 彩色1"/>
    <w:basedOn w:val="875"/>
    <w:uiPriority w:val="99"/>
    <w:qFormat/>
    <w:tblPr>
      <w:tblCellMar>
        <w:left w:w="0" w:type="dxa"/>
        <w:top w:w="0" w:type="dxa"/>
        <w:right w:w="0" w:type="dxa"/>
        <w:bottom w:w="0" w:type="dxa"/>
      </w:tblCellMar>
    </w:tblPr>
  </w:style>
  <w:style w:type="table" w:styleId="1073" w:customStyle="1">
    <w:name w:val="List Table 7 Colorful - Accent 1"/>
    <w:basedOn w:val="875"/>
    <w:uiPriority w:val="99"/>
    <w:qFormat/>
    <w:tblPr>
      <w:tblCellMar>
        <w:left w:w="0" w:type="dxa"/>
        <w:top w:w="0" w:type="dxa"/>
        <w:right w:w="0" w:type="dxa"/>
        <w:bottom w:w="0" w:type="dxa"/>
      </w:tblCellMar>
    </w:tblPr>
  </w:style>
  <w:style w:type="table" w:styleId="1074" w:customStyle="1">
    <w:name w:val="List Table 7 Colorful - Accent 2"/>
    <w:basedOn w:val="875"/>
    <w:uiPriority w:val="99"/>
    <w:qFormat/>
    <w:tblPr>
      <w:tblCellMar>
        <w:left w:w="0" w:type="dxa"/>
        <w:top w:w="0" w:type="dxa"/>
        <w:right w:w="0" w:type="dxa"/>
        <w:bottom w:w="0" w:type="dxa"/>
      </w:tblCellMar>
    </w:tblPr>
  </w:style>
  <w:style w:type="table" w:styleId="1075" w:customStyle="1">
    <w:name w:val="List Table 7 Colorful - Accent 3"/>
    <w:basedOn w:val="875"/>
    <w:uiPriority w:val="99"/>
    <w:qFormat/>
    <w:tblPr>
      <w:tblCellMar>
        <w:left w:w="0" w:type="dxa"/>
        <w:top w:w="0" w:type="dxa"/>
        <w:right w:w="0" w:type="dxa"/>
        <w:bottom w:w="0" w:type="dxa"/>
      </w:tblCellMar>
    </w:tblPr>
  </w:style>
  <w:style w:type="table" w:styleId="1076" w:customStyle="1">
    <w:name w:val="List Table 7 Colorful - Accent 4"/>
    <w:basedOn w:val="875"/>
    <w:uiPriority w:val="99"/>
    <w:qFormat/>
    <w:tblPr>
      <w:tblCellMar>
        <w:left w:w="0" w:type="dxa"/>
        <w:top w:w="0" w:type="dxa"/>
        <w:right w:w="0" w:type="dxa"/>
        <w:bottom w:w="0" w:type="dxa"/>
      </w:tblCellMar>
    </w:tblPr>
  </w:style>
  <w:style w:type="table" w:styleId="1077" w:customStyle="1">
    <w:name w:val="List Table 7 Colorful - Accent 5"/>
    <w:basedOn w:val="875"/>
    <w:uiPriority w:val="99"/>
    <w:qFormat/>
    <w:tblPr>
      <w:tblCellMar>
        <w:left w:w="0" w:type="dxa"/>
        <w:top w:w="0" w:type="dxa"/>
        <w:right w:w="0" w:type="dxa"/>
        <w:bottom w:w="0" w:type="dxa"/>
      </w:tblCellMar>
    </w:tblPr>
  </w:style>
  <w:style w:type="table" w:styleId="1078" w:customStyle="1">
    <w:name w:val="List Table 7 Colorful - Accent 6"/>
    <w:basedOn w:val="875"/>
    <w:uiPriority w:val="99"/>
    <w:qFormat/>
    <w:tblPr>
      <w:tblCellMar>
        <w:left w:w="0" w:type="dxa"/>
        <w:top w:w="0" w:type="dxa"/>
        <w:right w:w="0" w:type="dxa"/>
        <w:bottom w:w="0" w:type="dxa"/>
      </w:tblCellMar>
    </w:tblPr>
  </w:style>
  <w:style w:type="table" w:styleId="1079" w:customStyle="1">
    <w:name w:val="Lined - Accent"/>
    <w:basedOn w:val="875"/>
    <w:uiPriority w:val="99"/>
    <w:qFormat/>
    <w:rPr>
      <w:color w:val="404040"/>
    </w:rPr>
    <w:tblPr>
      <w:tblCellMar>
        <w:left w:w="0" w:type="dxa"/>
        <w:top w:w="0" w:type="dxa"/>
        <w:right w:w="0" w:type="dxa"/>
        <w:bottom w:w="0" w:type="dxa"/>
      </w:tblCellMar>
    </w:tblPr>
  </w:style>
  <w:style w:type="table" w:styleId="1080" w:customStyle="1">
    <w:name w:val="Lined - Accent 1"/>
    <w:basedOn w:val="875"/>
    <w:uiPriority w:val="99"/>
    <w:qFormat/>
    <w:rPr>
      <w:color w:val="404040"/>
    </w:rPr>
    <w:tblPr>
      <w:tblCellMar>
        <w:left w:w="0" w:type="dxa"/>
        <w:top w:w="0" w:type="dxa"/>
        <w:right w:w="0" w:type="dxa"/>
        <w:bottom w:w="0" w:type="dxa"/>
      </w:tblCellMar>
    </w:tblPr>
  </w:style>
  <w:style w:type="table" w:styleId="1081" w:customStyle="1">
    <w:name w:val="Lined - Accent 2"/>
    <w:basedOn w:val="875"/>
    <w:uiPriority w:val="99"/>
    <w:qFormat/>
    <w:rPr>
      <w:color w:val="404040"/>
    </w:rPr>
    <w:tblPr>
      <w:tblCellMar>
        <w:left w:w="0" w:type="dxa"/>
        <w:top w:w="0" w:type="dxa"/>
        <w:right w:w="0" w:type="dxa"/>
        <w:bottom w:w="0" w:type="dxa"/>
      </w:tblCellMar>
    </w:tblPr>
  </w:style>
  <w:style w:type="table" w:styleId="1082" w:customStyle="1">
    <w:name w:val="Lined - Accent 3"/>
    <w:basedOn w:val="875"/>
    <w:uiPriority w:val="99"/>
    <w:qFormat/>
    <w:rPr>
      <w:color w:val="404040"/>
    </w:rPr>
    <w:tblPr>
      <w:tblCellMar>
        <w:left w:w="0" w:type="dxa"/>
        <w:top w:w="0" w:type="dxa"/>
        <w:right w:w="0" w:type="dxa"/>
        <w:bottom w:w="0" w:type="dxa"/>
      </w:tblCellMar>
    </w:tblPr>
  </w:style>
  <w:style w:type="table" w:styleId="1083" w:customStyle="1">
    <w:name w:val="Lined - Accent 4"/>
    <w:basedOn w:val="875"/>
    <w:uiPriority w:val="99"/>
    <w:qFormat/>
    <w:rPr>
      <w:color w:val="404040"/>
    </w:rPr>
    <w:tblPr>
      <w:tblCellMar>
        <w:left w:w="0" w:type="dxa"/>
        <w:top w:w="0" w:type="dxa"/>
        <w:right w:w="0" w:type="dxa"/>
        <w:bottom w:w="0" w:type="dxa"/>
      </w:tblCellMar>
    </w:tblPr>
  </w:style>
  <w:style w:type="table" w:styleId="1084" w:customStyle="1">
    <w:name w:val="Lined - Accent 5"/>
    <w:basedOn w:val="875"/>
    <w:uiPriority w:val="99"/>
    <w:qFormat/>
    <w:rPr>
      <w:color w:val="404040"/>
    </w:rPr>
    <w:tblPr>
      <w:tblCellMar>
        <w:left w:w="0" w:type="dxa"/>
        <w:top w:w="0" w:type="dxa"/>
        <w:right w:w="0" w:type="dxa"/>
        <w:bottom w:w="0" w:type="dxa"/>
      </w:tblCellMar>
    </w:tblPr>
  </w:style>
  <w:style w:type="table" w:styleId="1085" w:customStyle="1">
    <w:name w:val="Lined - Accent 6"/>
    <w:basedOn w:val="875"/>
    <w:uiPriority w:val="99"/>
    <w:qFormat/>
    <w:rPr>
      <w:color w:val="404040"/>
    </w:rPr>
    <w:tblPr>
      <w:tblCellMar>
        <w:left w:w="0" w:type="dxa"/>
        <w:top w:w="0" w:type="dxa"/>
        <w:right w:w="0" w:type="dxa"/>
        <w:bottom w:w="0" w:type="dxa"/>
      </w:tblCellMar>
    </w:tblPr>
  </w:style>
  <w:style w:type="table" w:styleId="1086" w:customStyle="1">
    <w:name w:val="Bordered &amp; Lined - Accent"/>
    <w:basedOn w:val="875"/>
    <w:uiPriority w:val="99"/>
    <w:qFormat/>
    <w:rPr>
      <w:color w:val="404040"/>
    </w:rPr>
    <w:tblPr>
      <w:tblCellMar>
        <w:left w:w="0" w:type="dxa"/>
        <w:top w:w="0" w:type="dxa"/>
        <w:right w:w="0" w:type="dxa"/>
        <w:bottom w:w="0" w:type="dxa"/>
      </w:tblCellMar>
    </w:tblPr>
  </w:style>
  <w:style w:type="table" w:styleId="1087" w:customStyle="1">
    <w:name w:val="Bordered &amp; Lined - Accent 1"/>
    <w:basedOn w:val="875"/>
    <w:uiPriority w:val="99"/>
    <w:qFormat/>
    <w:rPr>
      <w:color w:val="404040"/>
    </w:rPr>
    <w:tblPr>
      <w:tblCellMar>
        <w:left w:w="0" w:type="dxa"/>
        <w:top w:w="0" w:type="dxa"/>
        <w:right w:w="0" w:type="dxa"/>
        <w:bottom w:w="0" w:type="dxa"/>
      </w:tblCellMar>
    </w:tblPr>
  </w:style>
  <w:style w:type="table" w:styleId="1088" w:customStyle="1">
    <w:name w:val="Bordered &amp; Lined - Accent 2"/>
    <w:basedOn w:val="875"/>
    <w:uiPriority w:val="99"/>
    <w:qFormat/>
    <w:rPr>
      <w:color w:val="404040"/>
    </w:rPr>
    <w:tblPr>
      <w:tblCellMar>
        <w:left w:w="0" w:type="dxa"/>
        <w:top w:w="0" w:type="dxa"/>
        <w:right w:w="0" w:type="dxa"/>
        <w:bottom w:w="0" w:type="dxa"/>
      </w:tblCellMar>
    </w:tblPr>
  </w:style>
  <w:style w:type="table" w:styleId="1089" w:customStyle="1">
    <w:name w:val="Bordered &amp; Lined - Accent 3"/>
    <w:basedOn w:val="875"/>
    <w:uiPriority w:val="99"/>
    <w:qFormat/>
    <w:rPr>
      <w:color w:val="404040"/>
    </w:rPr>
    <w:tblPr>
      <w:tblCellMar>
        <w:left w:w="0" w:type="dxa"/>
        <w:top w:w="0" w:type="dxa"/>
        <w:right w:w="0" w:type="dxa"/>
        <w:bottom w:w="0" w:type="dxa"/>
      </w:tblCellMar>
    </w:tblPr>
  </w:style>
  <w:style w:type="table" w:styleId="1090" w:customStyle="1">
    <w:name w:val="Bordered &amp; Lined - Accent 4"/>
    <w:basedOn w:val="875"/>
    <w:uiPriority w:val="99"/>
    <w:qFormat/>
    <w:rPr>
      <w:color w:val="404040"/>
    </w:rPr>
    <w:tblPr>
      <w:tblCellMar>
        <w:left w:w="0" w:type="dxa"/>
        <w:top w:w="0" w:type="dxa"/>
        <w:right w:w="0" w:type="dxa"/>
        <w:bottom w:w="0" w:type="dxa"/>
      </w:tblCellMar>
    </w:tblPr>
  </w:style>
  <w:style w:type="table" w:styleId="1091" w:customStyle="1">
    <w:name w:val="Bordered &amp; Lined - Accent 5"/>
    <w:basedOn w:val="875"/>
    <w:uiPriority w:val="99"/>
    <w:qFormat/>
    <w:rPr>
      <w:color w:val="404040"/>
    </w:rPr>
    <w:tblPr>
      <w:tblCellMar>
        <w:left w:w="0" w:type="dxa"/>
        <w:top w:w="0" w:type="dxa"/>
        <w:right w:w="0" w:type="dxa"/>
        <w:bottom w:w="0" w:type="dxa"/>
      </w:tblCellMar>
    </w:tblPr>
  </w:style>
  <w:style w:type="table" w:styleId="1092" w:customStyle="1">
    <w:name w:val="Bordered &amp; Lined - Accent 6"/>
    <w:basedOn w:val="875"/>
    <w:uiPriority w:val="99"/>
    <w:qFormat/>
    <w:rPr>
      <w:color w:val="404040"/>
    </w:rPr>
    <w:tblPr>
      <w:tblCellMar>
        <w:left w:w="0" w:type="dxa"/>
        <w:top w:w="0" w:type="dxa"/>
        <w:right w:w="0" w:type="dxa"/>
        <w:bottom w:w="0" w:type="dxa"/>
      </w:tblCellMar>
    </w:tblPr>
  </w:style>
  <w:style w:type="table" w:styleId="1093" w:customStyle="1">
    <w:name w:val="Bordered"/>
    <w:basedOn w:val="875"/>
    <w:uiPriority w:val="99"/>
    <w:qFormat/>
    <w:tblPr>
      <w:tblCellMar>
        <w:left w:w="0" w:type="dxa"/>
        <w:top w:w="0" w:type="dxa"/>
        <w:right w:w="0" w:type="dxa"/>
        <w:bottom w:w="0" w:type="dxa"/>
      </w:tblCellMar>
    </w:tblPr>
  </w:style>
  <w:style w:type="table" w:styleId="1094" w:customStyle="1">
    <w:name w:val="Bordered - Accent 1"/>
    <w:basedOn w:val="875"/>
    <w:uiPriority w:val="99"/>
    <w:qFormat/>
    <w:tblPr>
      <w:tblCellMar>
        <w:left w:w="0" w:type="dxa"/>
        <w:top w:w="0" w:type="dxa"/>
        <w:right w:w="0" w:type="dxa"/>
        <w:bottom w:w="0" w:type="dxa"/>
      </w:tblCellMar>
    </w:tblPr>
  </w:style>
  <w:style w:type="table" w:styleId="1095" w:customStyle="1">
    <w:name w:val="Bordered - Accent 2"/>
    <w:basedOn w:val="875"/>
    <w:uiPriority w:val="99"/>
    <w:qFormat/>
    <w:tblPr>
      <w:tblCellMar>
        <w:left w:w="0" w:type="dxa"/>
        <w:top w:w="0" w:type="dxa"/>
        <w:right w:w="0" w:type="dxa"/>
        <w:bottom w:w="0" w:type="dxa"/>
      </w:tblCellMar>
    </w:tblPr>
  </w:style>
  <w:style w:type="table" w:styleId="1096" w:customStyle="1">
    <w:name w:val="Bordered - Accent 3"/>
    <w:basedOn w:val="875"/>
    <w:uiPriority w:val="99"/>
    <w:qFormat/>
    <w:tblPr>
      <w:tblCellMar>
        <w:left w:w="0" w:type="dxa"/>
        <w:top w:w="0" w:type="dxa"/>
        <w:right w:w="0" w:type="dxa"/>
        <w:bottom w:w="0" w:type="dxa"/>
      </w:tblCellMar>
    </w:tblPr>
  </w:style>
  <w:style w:type="table" w:styleId="1097" w:customStyle="1">
    <w:name w:val="Bordered - Accent 4"/>
    <w:basedOn w:val="875"/>
    <w:uiPriority w:val="99"/>
    <w:qFormat/>
    <w:tblPr>
      <w:tblCellMar>
        <w:left w:w="0" w:type="dxa"/>
        <w:top w:w="0" w:type="dxa"/>
        <w:right w:w="0" w:type="dxa"/>
        <w:bottom w:w="0" w:type="dxa"/>
      </w:tblCellMar>
    </w:tblPr>
  </w:style>
  <w:style w:type="table" w:styleId="1098" w:customStyle="1">
    <w:name w:val="Bordered - Accent 5"/>
    <w:basedOn w:val="875"/>
    <w:uiPriority w:val="99"/>
    <w:qFormat/>
    <w:tblPr>
      <w:tblCellMar>
        <w:left w:w="0" w:type="dxa"/>
        <w:top w:w="0" w:type="dxa"/>
        <w:right w:w="0" w:type="dxa"/>
        <w:bottom w:w="0" w:type="dxa"/>
      </w:tblCellMar>
    </w:tblPr>
  </w:style>
  <w:style w:type="table" w:styleId="1099" w:customStyle="1">
    <w:name w:val="Bordered - Accent 6"/>
    <w:basedOn w:val="875"/>
    <w:uiPriority w:val="99"/>
    <w:qFormat/>
    <w:tblPr>
      <w:tblCellMar>
        <w:left w:w="0" w:type="dxa"/>
        <w:top w:w="0" w:type="dxa"/>
        <w:right w:w="0" w:type="dxa"/>
        <w:bottom w:w="0" w:type="dxa"/>
      </w:tblCellMar>
    </w:tblPr>
  </w:style>
  <w:style w:type="paragraph" w:styleId="1100" w:customStyle="1">
    <w:name w:val="TOC 标题11"/>
    <w:uiPriority w:val="39"/>
    <w:unhideWhenUsed/>
    <w:qFormat/>
    <w:rPr>
      <w:rFonts w:ascii="Times New Roman" w:hAnsi="Times New Roman"/>
    </w:rPr>
  </w:style>
  <w:style w:type="paragraph" w:styleId="1101" w:customStyle="1">
    <w:name w:val="正文1"/>
    <w:next w:val="818"/>
    <w:qFormat/>
    <w:pPr>
      <w:jc w:val="both"/>
      <w:widowControl w:val="off"/>
    </w:pPr>
    <w:rPr>
      <w:rFonts w:ascii="Times New Roman" w:hAnsi="Times New Roman" w:eastAsia="Times New Roman"/>
      <w:color w:val="000000"/>
      <w:sz w:val="21"/>
      <w:szCs w:val="21"/>
    </w:rPr>
  </w:style>
  <w:style w:type="paragraph" w:styleId="1102" w:customStyle="1">
    <w:name w:val="彩色列表1"/>
    <w:basedOn w:val="818"/>
    <w:qFormat/>
    <w:pPr>
      <w:ind w:firstLine="420"/>
    </w:pPr>
    <w:rPr>
      <w:szCs w:val="24"/>
    </w:rPr>
  </w:style>
  <w:style w:type="table" w:styleId="1103" w:customStyle="1">
    <w:name w:val="Table Normal"/>
    <w:uiPriority w:val="2"/>
    <w:unhideWhenUsed/>
    <w:qFormat/>
    <w:tblPr>
      <w:tblCellMar>
        <w:left w:w="0" w:type="dxa"/>
        <w:top w:w="0" w:type="dxa"/>
        <w:right w:w="0" w:type="dxa"/>
        <w:bottom w:w="0" w:type="dxa"/>
      </w:tblCellMar>
    </w:tblPr>
  </w:style>
  <w:style w:type="paragraph" w:styleId="1104" w:customStyle="1">
    <w:name w:val="列表段落1"/>
    <w:basedOn w:val="818"/>
    <w:uiPriority w:val="1"/>
    <w:qFormat/>
    <w:pPr>
      <w:ind w:left="218" w:firstLine="419"/>
    </w:pPr>
  </w:style>
  <w:style w:type="paragraph" w:styleId="1105" w:customStyle="1">
    <w:name w:val="Table Paragraph"/>
    <w:basedOn w:val="818"/>
    <w:uiPriority w:val="1"/>
    <w:qFormat/>
  </w:style>
  <w:style w:type="paragraph" w:styleId="1106" w:customStyle="1">
    <w:name w:val="列出段落1"/>
    <w:basedOn w:val="818"/>
    <w:uiPriority w:val="99"/>
    <w:qFormat/>
    <w:rPr>
      <w:lang w:eastAsia="en-US"/>
    </w:rPr>
  </w:style>
  <w:style w:type="paragraph" w:styleId="1107" w:customStyle="1">
    <w:name w:val="ListBullet21"/>
    <w:basedOn w:val="818"/>
    <w:qFormat/>
    <w:pPr>
      <w:numPr>
        <w:numId w:val="2"/>
      </w:numPr>
      <w:tabs>
        <w:tab w:val="decimal" w:pos="780" w:leader="none"/>
      </w:tabs>
    </w:pPr>
  </w:style>
  <w:style w:type="paragraph" w:styleId="1108" w:customStyle="1">
    <w:name w:val="WPSOffice手动目录 1"/>
    <w:qFormat/>
    <w:rPr>
      <w:rFonts w:ascii="Times New Roman" w:hAnsi="Times New Roman"/>
    </w:rPr>
  </w:style>
  <w:style w:type="paragraph" w:styleId="1109" w:customStyle="1">
    <w:name w:val="WPSOffice手动目录 3"/>
    <w:qFormat/>
    <w:pPr>
      <w:ind w:left="400"/>
    </w:pPr>
    <w:rPr>
      <w:rFonts w:ascii="Times New Roman" w:hAnsi="Times New Roman"/>
    </w:rPr>
  </w:style>
  <w:style w:type="paragraph" w:styleId="1110" w:customStyle="1">
    <w:name w:val="WPSOffice手动目录 2"/>
    <w:qFormat/>
    <w:pPr>
      <w:ind w:left="200"/>
    </w:pPr>
    <w:rPr>
      <w:rFonts w:ascii="Times New Roman" w:hAnsi="Times New Roman"/>
    </w:rPr>
  </w:style>
  <w:style w:type="paragraph" w:styleId="1111" w:customStyle="1">
    <w:name w:val="样式 标题 3 + (中文) 黑体 小四 非加粗 段前: 7.8 磅 段后: 0 磅 行距: 固定值 20 磅"/>
    <w:basedOn w:val="866"/>
    <w:qFormat/>
    <w:pPr>
      <w:spacing w:line="400" w:lineRule="exact"/>
    </w:pPr>
    <w:rPr>
      <w:rFonts w:ascii="Calibri" w:hAnsi="Calibri" w:eastAsia="黑体"/>
      <w:b w:val="0"/>
      <w:sz w:val="30"/>
    </w:rPr>
  </w:style>
  <w:style w:type="paragraph" w:styleId="1112" w:customStyle="1">
    <w:name w:val="正常"/>
    <w:qFormat/>
    <w:pPr>
      <w:jc w:val="both"/>
      <w:widowControl w:val="off"/>
    </w:pPr>
    <w:rPr>
      <w:sz w:val="21"/>
      <w:szCs w:val="22"/>
    </w:rPr>
  </w:style>
  <w:style w:type="paragraph" w:styleId="1113" w:customStyle="1">
    <w:name w:val="无间隔11"/>
    <w:qFormat/>
    <w:pPr>
      <w:jc w:val="both"/>
      <w:widowControl w:val="off"/>
    </w:pPr>
    <w:rPr>
      <w:rFonts w:ascii="Times New Roman" w:hAnsi="Times New Roman"/>
      <w:sz w:val="21"/>
      <w:szCs w:val="24"/>
    </w:rPr>
  </w:style>
  <w:style w:type="character" w:styleId="1114" w:customStyle="1">
    <w:name w:val="style4"/>
    <w:qFormat/>
  </w:style>
  <w:style w:type="character" w:styleId="1115" w:customStyle="1">
    <w:name w:val="font31"/>
    <w:qFormat/>
    <w:rPr>
      <w:rFonts w:hint="eastAsia" w:ascii="宋体" w:hAnsi="宋体" w:eastAsia="宋体" w:cs="宋体"/>
      <w:color w:val="000000"/>
      <w:sz w:val="20"/>
      <w:szCs w:val="20"/>
      <w:u w:val="none"/>
    </w:rPr>
  </w:style>
  <w:style w:type="character" w:styleId="1116" w:customStyle="1">
    <w:name w:val="font101"/>
    <w:qFormat/>
    <w:rPr>
      <w:rFonts w:hint="eastAsia" w:ascii="宋体" w:hAnsi="宋体" w:eastAsia="宋体" w:cs="宋体"/>
      <w:color w:val="000000"/>
      <w:sz w:val="20"/>
      <w:szCs w:val="20"/>
      <w:u w:val="none"/>
    </w:rPr>
  </w:style>
  <w:style w:type="character" w:styleId="1117" w:customStyle="1">
    <w:name w:val="font112"/>
    <w:qFormat/>
    <w:rPr>
      <w:rFonts w:hint="eastAsia" w:ascii="宋体" w:hAnsi="宋体" w:eastAsia="宋体" w:cs="宋体"/>
      <w:color w:val="000000"/>
      <w:sz w:val="20"/>
      <w:szCs w:val="20"/>
      <w:u w:val="none"/>
      <w:vertAlign w:val="superscript"/>
    </w:rPr>
  </w:style>
  <w:style w:type="character" w:styleId="1118" w:customStyle="1">
    <w:name w:val="font51"/>
    <w:qFormat/>
    <w:rPr>
      <w:rFonts w:hint="eastAsia" w:ascii="宋体" w:hAnsi="宋体" w:eastAsia="宋体" w:cs="宋体"/>
      <w:color w:val="000000"/>
      <w:sz w:val="20"/>
      <w:szCs w:val="20"/>
      <w:u w:val="none"/>
    </w:rPr>
  </w:style>
  <w:style w:type="paragraph" w:styleId="1119" w:customStyle="1">
    <w:name w:val="普通正文"/>
    <w:basedOn w:val="818"/>
    <w:qFormat/>
    <w:pPr>
      <w:ind w:firstLine="480"/>
      <w:spacing w:before="120" w:after="120" w:line="360" w:lineRule="auto"/>
    </w:pPr>
    <w:rPr>
      <w:rFonts w:ascii="Arial" w:hAnsi="Arial"/>
      <w:sz w:val="24"/>
      <w:szCs w:val="24"/>
    </w:rPr>
  </w:style>
  <w:style w:type="paragraph" w:styleId="1120" w:customStyle="1">
    <w:name w:val="修订1"/>
    <w:uiPriority w:val="99"/>
    <w:semiHidden/>
    <w:qFormat/>
    <w:rPr>
      <w:rFonts w:ascii="宋体" w:hAnsi="宋体" w:cs="宋体"/>
      <w:sz w:val="22"/>
      <w:szCs w:val="22"/>
      <w:lang w:val="zh-CN" w:bidi="zh-CN"/>
    </w:rPr>
  </w:style>
  <w:style w:type="paragraph" w:styleId="1121" w:customStyle="1">
    <w:name w:val="列出段落2"/>
    <w:basedOn w:val="818"/>
    <w:uiPriority w:val="99"/>
    <w:qFormat/>
    <w:pPr>
      <w:ind w:firstLine="420"/>
    </w:pPr>
  </w:style>
  <w:style w:type="paragraph" w:styleId="1122" w:customStyle="1">
    <w:name w:val="Default"/>
    <w:qFormat/>
    <w:pPr>
      <w:widowControl w:val="off"/>
    </w:pPr>
    <w:rPr>
      <w:rFonts w:ascii="Times New Roman" w:hAnsi="Times New Roman"/>
      <w:color w:val="000000"/>
      <w:sz w:val="24"/>
      <w:szCs w:val="24"/>
    </w:rPr>
  </w:style>
  <w:style w:type="character" w:styleId="1123" w:customStyle="1">
    <w:name w:val="NormalCharacter1"/>
    <w:semiHidden/>
    <w:qFormat/>
  </w:style>
  <w:style w:type="paragraph" w:styleId="1124" w:customStyle="1">
    <w:name w:val="修订2"/>
    <w:uiPriority w:val="99"/>
    <w:unhideWhenUsed/>
    <w:qFormat/>
    <w:rPr>
      <w:rFonts w:ascii="宋体" w:hAnsi="宋体" w:cs="宋体"/>
      <w:sz w:val="22"/>
      <w:szCs w:val="22"/>
      <w:lang w:val="zh-CN" w:bidi="zh-CN"/>
    </w:rPr>
  </w:style>
  <w:style w:type="paragraph" w:styleId="1125" w:customStyle="1">
    <w:name w:val="正文文本首行缩进"/>
    <w:basedOn w:val="888"/>
    <w:link w:val="1126"/>
    <w:uiPriority w:val="99"/>
    <w:qFormat/>
    <w:pPr>
      <w:ind w:firstLine="420"/>
      <w:jc w:val="both"/>
      <w:spacing w:after="120"/>
    </w:pPr>
    <w:rPr>
      <w:rFonts w:ascii="Times New Roman" w:hAnsi="Times New Roman" w:cs="Times New Roman"/>
      <w:sz w:val="24"/>
      <w:szCs w:val="24"/>
      <w:lang w:val="en-US" w:eastAsia="en-US" w:bidi="ar-SA"/>
    </w:rPr>
  </w:style>
  <w:style w:type="character" w:styleId="1126" w:customStyle="1">
    <w:name w:val="正文文本首行缩进 字符"/>
    <w:link w:val="1125"/>
    <w:uiPriority w:val="99"/>
    <w:qFormat/>
    <w:rPr>
      <w:sz w:val="24"/>
      <w:szCs w:val="24"/>
      <w:lang w:eastAsia="en-US"/>
    </w:rPr>
  </w:style>
  <w:style w:type="character" w:styleId="1127" w:customStyle="1">
    <w:name w:val="正文文本 Char3"/>
    <w:qFormat/>
    <w:rPr>
      <w:rFonts w:ascii="宋体" w:hAnsi="宋体" w:cs="宋体"/>
      <w:sz w:val="21"/>
      <w:szCs w:val="21"/>
      <w:lang w:val="zh-CN" w:bidi="zh-CN"/>
    </w:rPr>
  </w:style>
  <w:style w:type="character" w:styleId="1128" w:customStyle="1">
    <w:name w:val="Other_"/>
    <w:link w:val="1129"/>
    <w:qFormat/>
    <w:rPr>
      <w:rFonts w:ascii="Arial Unicode MS" w:hAnsi="Arial Unicode MS" w:eastAsia="Arial Unicode MS" w:cs="Arial Unicode MS"/>
      <w:sz w:val="22"/>
      <w:szCs w:val="22"/>
    </w:rPr>
  </w:style>
  <w:style w:type="paragraph" w:styleId="1129" w:customStyle="1">
    <w:name w:val="Other"/>
    <w:basedOn w:val="818"/>
    <w:link w:val="1128"/>
    <w:qFormat/>
    <w:pPr>
      <w:spacing w:line="360" w:lineRule="auto"/>
    </w:pPr>
    <w:rPr>
      <w:rFonts w:ascii="Arial Unicode MS" w:hAnsi="Arial Unicode MS" w:eastAsia="Arial Unicode MS" w:cs="Arial Unicode MS"/>
      <w:lang w:val="en-US" w:bidi="ar-SA"/>
    </w:rPr>
  </w:style>
  <w:style w:type="paragraph" w:styleId="1130" w:customStyle="1">
    <w:name w:val="修订3"/>
    <w:uiPriority w:val="99"/>
    <w:unhideWhenUsed/>
    <w:qFormat/>
    <w:rPr>
      <w:rFonts w:ascii="宋体" w:hAnsi="宋体" w:cs="宋体"/>
      <w:sz w:val="22"/>
      <w:szCs w:val="22"/>
      <w:lang w:val="zh-CN" w:bidi="zh-CN"/>
    </w:rPr>
  </w:style>
  <w:style w:type="table" w:styleId="1131" w:customStyle="1">
    <w:name w:val="网格型1"/>
    <w:basedOn w:val="875"/>
    <w:uiPriority w:val="59"/>
    <w:qFormat/>
    <w:pPr>
      <w:widowControl w:val="off"/>
    </w:pPr>
    <w:tblPr>
      <w:tblCellMar>
        <w:left w:w="0" w:type="dxa"/>
        <w:top w:w="0" w:type="dxa"/>
        <w:right w:w="0" w:type="dxa"/>
        <w:bottom w:w="0" w:type="dxa"/>
      </w:tblCellMar>
    </w:tblPr>
  </w:style>
  <w:style w:type="character" w:styleId="1132" w:customStyle="1">
    <w:name w:val="纯文本 Char4"/>
    <w:qFormat/>
    <w:rPr>
      <w:rFonts w:ascii="宋体" w:hAnsi="Courier New" w:cs="楷体_GB2312"/>
      <w:sz w:val="22"/>
      <w:szCs w:val="21"/>
      <w:lang w:val="zh-CN" w:bidi="zh-CN"/>
    </w:rPr>
  </w:style>
  <w:style w:type="paragraph" w:styleId="1133" w:customStyle="1">
    <w:name w:val="default-defaultmode"/>
    <w:basedOn w:val="818"/>
    <w:qFormat/>
    <w:pPr>
      <w:spacing w:before="100" w:beforeAutospacing="1" w:after="100" w:afterAutospacing="1"/>
      <w:widowControl/>
    </w:pPr>
    <w:rPr>
      <w:sz w:val="24"/>
      <w:szCs w:val="24"/>
      <w:lang w:val="en-US" w:bidi="ar-SA"/>
    </w:rPr>
  </w:style>
  <w:style w:type="character" w:styleId="1134" w:customStyle="1">
    <w:name w:val="default-defaultmode1"/>
    <w:qFormat/>
  </w:style>
  <w:style w:type="paragraph" w:styleId="1135" w:customStyle="1">
    <w:name w:val="正文缩进1"/>
    <w:basedOn w:val="818"/>
    <w:qFormat/>
    <w:pPr>
      <w:ind w:firstLine="420"/>
      <w:jc w:val="both"/>
    </w:pPr>
    <w:rPr>
      <w:sz w:val="21"/>
      <w:szCs w:val="21"/>
    </w:rPr>
  </w:style>
  <w:style w:type="character" w:styleId="1136" w:customStyle="1">
    <w:name w:val="font21"/>
    <w:basedOn w:val="828"/>
    <w:qFormat/>
    <w:rPr>
      <w:rFonts w:hint="eastAsia" w:ascii="宋体" w:hAnsi="宋体" w:eastAsia="宋体" w:cs="宋体"/>
      <w:b/>
      <w:bCs/>
      <w:color w:val="000000"/>
      <w:sz w:val="20"/>
      <w:szCs w:val="20"/>
      <w:u w:val="none"/>
    </w:rPr>
  </w:style>
  <w:style w:type="character" w:styleId="1137" w:customStyle="1">
    <w:name w:val="批注框文本 Char1"/>
    <w:basedOn w:val="828"/>
    <w:link w:val="838"/>
    <w:uiPriority w:val="99"/>
    <w:semiHidden/>
    <w:qFormat/>
    <w:rPr>
      <w:rFonts w:ascii="宋体" w:hAnsi="宋体" w:cs="宋体"/>
      <w:sz w:val="18"/>
      <w:szCs w:val="18"/>
      <w:lang w:val="zh-CN" w:bidi="zh-CN"/>
    </w:rPr>
  </w:style>
  <w:style w:type="character" w:styleId="1138" w:customStyle="1">
    <w:name w:val="批注文字 Char1"/>
    <w:basedOn w:val="828"/>
    <w:link w:val="833"/>
    <w:uiPriority w:val="99"/>
    <w:semiHidden/>
    <w:qFormat/>
    <w:rPr>
      <w:rFonts w:ascii="宋体" w:hAnsi="宋体" w:cs="宋体"/>
      <w:sz w:val="22"/>
      <w:szCs w:val="22"/>
      <w:lang w:val="zh-CN" w:bidi="zh-CN"/>
    </w:rPr>
  </w:style>
  <w:style w:type="character" w:styleId="1139" w:customStyle="1">
    <w:name w:val="批注主题 Char1"/>
    <w:basedOn w:val="1138"/>
    <w:link w:val="850"/>
    <w:uiPriority w:val="99"/>
    <w:semiHidden/>
    <w:qFormat/>
    <w:rPr>
      <w:rFonts w:ascii="宋体" w:hAnsi="宋体" w:cs="宋体"/>
      <w:b/>
      <w:bCs/>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A28A815-77F8-4068-95AD-1264F84B7CE9}">
  <ds:schemaRefs>
    <ds:schemaRef ds:uri="http://schemas.openxmlformats.org/officeDocument/2006/bibliography"/>
  </ds:schemaRefs>
</ds:datastoreItem>
</file>

<file path=customXml/itemProps2.xml><?xml version="1.0" encoding="utf-8"?>
<ds:datastoreItem xmlns:ds="http://schemas.openxmlformats.org/officeDocument/2006/customXml" ds:itemID="{1A7036BF-420E-4774-8C67-E51AD27B4CBE}">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84</cp:revision>
  <dcterms:created xsi:type="dcterms:W3CDTF">2026-06-08T06:27:00Z</dcterms:created>
  <dcterms:modified xsi:type="dcterms:W3CDTF">2026-07-23T01:43:10Z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075A10EA4A0C49D09E823E608D9832EA_13</vt:lpwstr>
  </property>
  <property fmtid="{D5CDD505-2E9C-101B-9397-08002B2CF9AE}" pid="4" name="KSOTemplateDocerSaveRecord">
    <vt:lpwstr>eyJoZGlkIjoiYmMzNTMyMTllYzg0ZTk1NjdhNTgzNTU1YThjYzE4NzkiLCJ1c2VySWQiOiIxMjQyNjU1NjQ1In0=</vt:lpwstr>
  </property>
</Properties>
</file>