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0C210">
      <w:pPr>
        <w:spacing w:before="240" w:beforeLines="100" w:line="360" w:lineRule="auto"/>
        <w:jc w:val="center"/>
        <w:rPr>
          <w:rFonts w:hint="eastAsia" w:ascii="宋体" w:hAnsi="宋体"/>
          <w:sz w:val="40"/>
          <w:szCs w:val="40"/>
        </w:rPr>
      </w:pPr>
      <w:bookmarkStart w:id="0" w:name="OLE_LINK2"/>
      <w:r>
        <w:rPr>
          <w:rFonts w:hint="eastAsia" w:ascii="宋体" w:hAnsi="宋体"/>
          <w:sz w:val="40"/>
          <w:szCs w:val="40"/>
          <w:lang w:val="en-US" w:eastAsia="zh-CN"/>
        </w:rPr>
        <w:t xml:space="preserve"> </w:t>
      </w:r>
      <w:r>
        <w:rPr>
          <w:rFonts w:hint="eastAsia" w:ascii="宋体" w:hAnsi="宋体"/>
          <w:sz w:val="40"/>
          <w:szCs w:val="40"/>
        </w:rPr>
        <w:t>大丰港石化新材料产业园环境监控设备运维服务项目（2026-2027）</w:t>
      </w:r>
    </w:p>
    <w:p w14:paraId="2271B5C2">
      <w:pPr>
        <w:pStyle w:val="96"/>
        <w:rPr>
          <w:rFonts w:hint="default"/>
        </w:rPr>
      </w:pPr>
    </w:p>
    <w:bookmarkEnd w:id="0"/>
    <w:p w14:paraId="7F569410">
      <w:pPr>
        <w:tabs>
          <w:tab w:val="left" w:pos="8544"/>
        </w:tabs>
        <w:spacing w:line="360" w:lineRule="auto"/>
        <w:jc w:val="left"/>
        <w:rPr>
          <w:rFonts w:hint="eastAsia" w:ascii="宋体" w:hAnsi="宋体"/>
          <w:sz w:val="72"/>
          <w:szCs w:val="72"/>
        </w:rPr>
      </w:pPr>
      <w:r>
        <w:rPr>
          <w:rFonts w:ascii="宋体" w:hAnsi="宋体"/>
          <w:sz w:val="72"/>
          <w:szCs w:val="72"/>
        </w:rPr>
        <w:tab/>
      </w:r>
    </w:p>
    <w:p w14:paraId="377B19AE">
      <w:pPr>
        <w:spacing w:line="360" w:lineRule="auto"/>
        <w:jc w:val="center"/>
        <w:rPr>
          <w:rFonts w:hint="eastAsia" w:ascii="宋体" w:hAnsi="宋体"/>
          <w:sz w:val="72"/>
          <w:szCs w:val="72"/>
        </w:rPr>
      </w:pPr>
      <w:r>
        <w:rPr>
          <w:rFonts w:hint="eastAsia" w:ascii="宋体" w:hAnsi="宋体"/>
          <w:sz w:val="72"/>
          <w:szCs w:val="72"/>
        </w:rPr>
        <w:t xml:space="preserve">                                                                                                                               </w:t>
      </w:r>
    </w:p>
    <w:p w14:paraId="08950966">
      <w:pPr>
        <w:spacing w:line="360" w:lineRule="auto"/>
        <w:jc w:val="center"/>
        <w:rPr>
          <w:rFonts w:hint="eastAsia" w:ascii="宋体" w:hAnsi="宋体"/>
          <w:sz w:val="84"/>
          <w:szCs w:val="84"/>
        </w:rPr>
      </w:pPr>
      <w:r>
        <w:rPr>
          <w:rFonts w:hint="eastAsia" w:ascii="宋体" w:hAnsi="宋体"/>
          <w:sz w:val="84"/>
          <w:szCs w:val="84"/>
        </w:rPr>
        <w:t>招 标 文 件</w:t>
      </w:r>
    </w:p>
    <w:p w14:paraId="589631B8">
      <w:pPr>
        <w:spacing w:line="360" w:lineRule="auto"/>
        <w:jc w:val="center"/>
        <w:rPr>
          <w:rFonts w:hint="eastAsia" w:ascii="宋体" w:hAnsi="宋体"/>
          <w:sz w:val="28"/>
          <w:szCs w:val="28"/>
        </w:rPr>
      </w:pPr>
    </w:p>
    <w:p w14:paraId="14FE4B5E">
      <w:pPr>
        <w:spacing w:line="360" w:lineRule="auto"/>
        <w:jc w:val="center"/>
        <w:rPr>
          <w:rFonts w:hint="eastAsia" w:ascii="宋体" w:hAnsi="宋体"/>
          <w:sz w:val="36"/>
          <w:szCs w:val="28"/>
        </w:rPr>
      </w:pPr>
    </w:p>
    <w:p w14:paraId="7A9E21B9">
      <w:pPr>
        <w:spacing w:line="360" w:lineRule="auto"/>
        <w:jc w:val="center"/>
        <w:rPr>
          <w:rFonts w:hint="eastAsia" w:ascii="宋体" w:hAnsi="宋体"/>
          <w:sz w:val="28"/>
          <w:szCs w:val="28"/>
        </w:rPr>
      </w:pPr>
    </w:p>
    <w:p w14:paraId="1F80A87A">
      <w:pPr>
        <w:pStyle w:val="96"/>
        <w:rPr>
          <w:rFonts w:hint="default"/>
        </w:rPr>
      </w:pPr>
    </w:p>
    <w:p w14:paraId="25CC03F3">
      <w:pPr>
        <w:spacing w:line="360" w:lineRule="auto"/>
        <w:jc w:val="center"/>
        <w:rPr>
          <w:rFonts w:hint="eastAsia" w:ascii="宋体" w:hAnsi="宋体"/>
          <w:sz w:val="28"/>
          <w:szCs w:val="28"/>
        </w:rPr>
      </w:pPr>
    </w:p>
    <w:p w14:paraId="1EC03A86">
      <w:pPr>
        <w:spacing w:line="1000" w:lineRule="exact"/>
        <w:ind w:left="630" w:leftChars="300" w:right="-170"/>
        <w:rPr>
          <w:rFonts w:hint="eastAsia" w:ascii="宋体" w:hAnsi="宋体"/>
          <w:sz w:val="36"/>
          <w:szCs w:val="32"/>
        </w:rPr>
      </w:pPr>
      <w:bookmarkStart w:id="1" w:name="_Toc368759509"/>
      <w:bookmarkStart w:id="2" w:name="_Toc363326675"/>
      <w:bookmarkStart w:id="3" w:name="_Toc369077541"/>
      <w:r>
        <w:rPr>
          <w:rFonts w:hint="eastAsia" w:ascii="宋体" w:hAnsi="宋体"/>
          <w:sz w:val="36"/>
          <w:szCs w:val="32"/>
        </w:rPr>
        <w:t>招  标  人：</w:t>
      </w:r>
      <w:r>
        <w:rPr>
          <w:rFonts w:hint="eastAsia" w:ascii="宋体" w:hAnsi="宋体"/>
          <w:sz w:val="36"/>
          <w:szCs w:val="32"/>
          <w:u w:val="single"/>
        </w:rPr>
        <w:t xml:space="preserve">江苏大丰港经济开发区管理委员会 </w:t>
      </w:r>
    </w:p>
    <w:p w14:paraId="4F91F7D4">
      <w:pPr>
        <w:tabs>
          <w:tab w:val="left" w:pos="7560"/>
        </w:tabs>
        <w:spacing w:line="1000" w:lineRule="exact"/>
        <w:ind w:left="630" w:leftChars="300" w:right="-111"/>
        <w:rPr>
          <w:rFonts w:hint="eastAsia" w:ascii="宋体" w:hAnsi="宋体"/>
          <w:sz w:val="36"/>
          <w:szCs w:val="32"/>
        </w:rPr>
      </w:pPr>
      <w:r>
        <w:rPr>
          <w:rFonts w:hint="eastAsia" w:ascii="宋体" w:hAnsi="宋体"/>
          <w:sz w:val="36"/>
          <w:szCs w:val="32"/>
        </w:rPr>
        <w:t>招标代理机构：</w:t>
      </w:r>
      <w:r>
        <w:rPr>
          <w:rFonts w:hint="eastAsia" w:ascii="宋体" w:hAnsi="宋体"/>
          <w:sz w:val="36"/>
          <w:szCs w:val="32"/>
          <w:u w:val="single"/>
        </w:rPr>
        <w:t xml:space="preserve">  江苏中线行项目管理有限公司  </w:t>
      </w:r>
    </w:p>
    <w:p w14:paraId="2DDD4EFE">
      <w:pPr>
        <w:spacing w:line="1000" w:lineRule="exact"/>
        <w:ind w:left="630" w:leftChars="300"/>
        <w:rPr>
          <w:rFonts w:hint="eastAsia" w:ascii="宋体" w:hAnsi="宋体"/>
          <w:sz w:val="36"/>
          <w:szCs w:val="32"/>
        </w:rPr>
      </w:pPr>
      <w:r>
        <w:rPr>
          <w:rFonts w:hint="eastAsia" w:ascii="宋体" w:hAnsi="宋体"/>
          <w:sz w:val="36"/>
          <w:szCs w:val="32"/>
        </w:rPr>
        <w:t>日      期：      2026年</w:t>
      </w:r>
      <w:r>
        <w:rPr>
          <w:rFonts w:hint="eastAsia" w:ascii="宋体" w:hAnsi="宋体"/>
          <w:sz w:val="36"/>
          <w:szCs w:val="32"/>
          <w:lang w:val="en-US" w:eastAsia="zh-CN"/>
        </w:rPr>
        <w:t>7</w:t>
      </w:r>
      <w:r>
        <w:rPr>
          <w:rFonts w:hint="eastAsia" w:ascii="宋体" w:hAnsi="宋体"/>
          <w:sz w:val="36"/>
          <w:szCs w:val="32"/>
        </w:rPr>
        <w:t>月</w:t>
      </w:r>
    </w:p>
    <w:bookmarkEnd w:id="1"/>
    <w:bookmarkEnd w:id="2"/>
    <w:bookmarkEnd w:id="3"/>
    <w:p w14:paraId="1E2C2AFC">
      <w:pPr>
        <w:pStyle w:val="54"/>
        <w:spacing w:line="600" w:lineRule="exact"/>
        <w:rPr>
          <w:color w:val="000000"/>
        </w:rPr>
      </w:pPr>
      <w:bookmarkStart w:id="4" w:name="_Toc498782198"/>
      <w:bookmarkStart w:id="5" w:name="_Toc369077550"/>
      <w:bookmarkStart w:id="6" w:name="_Toc368759511"/>
      <w:bookmarkStart w:id="7" w:name="_Toc18948"/>
      <w:bookmarkStart w:id="8" w:name="_Toc368760427"/>
      <w:bookmarkStart w:id="9" w:name="_Toc369077561"/>
      <w:bookmarkStart w:id="10" w:name="_Toc387526179"/>
      <w:bookmarkStart w:id="11" w:name="_Toc367894798"/>
      <w:bookmarkStart w:id="12" w:name="_Toc387526375"/>
      <w:bookmarkStart w:id="13" w:name="_Toc397928549"/>
      <w:bookmarkStart w:id="14" w:name="_Toc387526283"/>
      <w:bookmarkStart w:id="15" w:name="_Toc368759375"/>
      <w:bookmarkStart w:id="16" w:name="_Toc363329370"/>
      <w:bookmarkStart w:id="17" w:name="_Toc184635071"/>
      <w:r>
        <w:rPr>
          <w:color w:val="000000"/>
        </w:rPr>
        <w:t>第一章</w:t>
      </w:r>
      <w:bookmarkStart w:id="18" w:name="OLE_LINK1"/>
      <w:r>
        <w:rPr>
          <w:rFonts w:hint="eastAsia"/>
          <w:color w:val="000000"/>
        </w:rPr>
        <w:t xml:space="preserve"> </w:t>
      </w:r>
      <w:r>
        <w:rPr>
          <w:color w:val="000000"/>
        </w:rPr>
        <w:t>招标公告</w:t>
      </w:r>
      <w:bookmarkEnd w:id="4"/>
    </w:p>
    <w:p w14:paraId="1F79CEAE">
      <w:pPr>
        <w:widowControl/>
        <w:shd w:val="clear" w:color="auto" w:fill="FFFFFF"/>
        <w:spacing w:line="500" w:lineRule="exact"/>
        <w:ind w:firstLine="422"/>
        <w:jc w:val="left"/>
        <w:rPr>
          <w:rFonts w:hint="eastAsia" w:ascii="宋体" w:hAnsi="宋体" w:cs="宋体"/>
          <w:szCs w:val="21"/>
        </w:rPr>
      </w:pPr>
      <w:bookmarkStart w:id="19" w:name="_Toc498782219"/>
      <w:r>
        <w:rPr>
          <w:rFonts w:hint="eastAsia" w:ascii="宋体" w:hAnsi="宋体" w:cs="宋体"/>
          <w:b/>
          <w:bCs/>
          <w:szCs w:val="21"/>
          <w:shd w:val="clear" w:color="auto" w:fill="FFFFFF"/>
        </w:rPr>
        <w:t>项目概况：</w:t>
      </w:r>
      <w:r>
        <w:rPr>
          <w:rFonts w:hint="eastAsia" w:ascii="宋体" w:hAnsi="宋体" w:cs="宋体"/>
          <w:szCs w:val="21"/>
          <w:u w:val="single"/>
          <w:shd w:val="clear" w:color="auto" w:fill="FFFFFF"/>
        </w:rPr>
        <w:t>大丰港石化新材料产业园环境监控设备运维服务项目（2026-2027）</w:t>
      </w:r>
      <w:r>
        <w:rPr>
          <w:rFonts w:hint="eastAsia" w:ascii="宋体" w:hAnsi="宋体" w:cs="宋体"/>
          <w:szCs w:val="21"/>
          <w:shd w:val="clear" w:color="auto" w:fill="FFFFFF"/>
        </w:rPr>
        <w:t>的潜在投标人应在“苏采云”系统，网址：http://jszfcg.jsczt.cn/获取招标文件（投标人必须在苏采云系统中获取采购文件，方能参与政府采购项目），并于</w:t>
      </w:r>
      <w:r>
        <w:rPr>
          <w:rFonts w:hint="eastAsia" w:ascii="宋体" w:hAnsi="宋体" w:cs="宋体"/>
          <w:b/>
          <w:bCs/>
          <w:color w:val="FF0000"/>
          <w:szCs w:val="21"/>
          <w:shd w:val="clear" w:color="auto" w:fill="FFFFFF"/>
        </w:rPr>
        <w:t>2026年</w:t>
      </w:r>
      <w:r>
        <w:rPr>
          <w:rFonts w:hint="eastAsia" w:ascii="宋体" w:hAnsi="宋体" w:cs="宋体"/>
          <w:b/>
          <w:bCs/>
          <w:color w:val="FF0000"/>
          <w:szCs w:val="21"/>
          <w:u w:val="single"/>
          <w:shd w:val="clear" w:color="auto" w:fill="FFFFFF"/>
        </w:rPr>
        <w:t xml:space="preserve"> </w:t>
      </w:r>
      <w:r>
        <w:rPr>
          <w:rFonts w:hint="eastAsia" w:ascii="宋体" w:hAnsi="宋体" w:cs="宋体"/>
          <w:b/>
          <w:bCs/>
          <w:color w:val="FF0000"/>
          <w:szCs w:val="21"/>
          <w:u w:val="single"/>
          <w:shd w:val="clear" w:color="auto" w:fill="FFFFFF"/>
          <w:lang w:val="en-US" w:eastAsia="zh-CN"/>
        </w:rPr>
        <w:t>8</w:t>
      </w:r>
      <w:r>
        <w:rPr>
          <w:rFonts w:hint="eastAsia" w:ascii="宋体" w:hAnsi="宋体" w:cs="宋体"/>
          <w:b/>
          <w:bCs/>
          <w:color w:val="FF0000"/>
          <w:szCs w:val="21"/>
          <w:u w:val="single"/>
          <w:shd w:val="clear" w:color="auto" w:fill="FFFFFF"/>
        </w:rPr>
        <w:t xml:space="preserve"> </w:t>
      </w:r>
      <w:r>
        <w:rPr>
          <w:rFonts w:hint="eastAsia" w:ascii="宋体" w:hAnsi="宋体" w:cs="宋体"/>
          <w:b/>
          <w:bCs/>
          <w:color w:val="FF0000"/>
          <w:szCs w:val="21"/>
          <w:shd w:val="clear" w:color="auto" w:fill="FFFFFF"/>
        </w:rPr>
        <w:t>月</w:t>
      </w:r>
      <w:r>
        <w:rPr>
          <w:rFonts w:hint="eastAsia" w:ascii="宋体" w:hAnsi="宋体" w:cs="宋体"/>
          <w:b/>
          <w:bCs/>
          <w:color w:val="FF0000"/>
          <w:szCs w:val="21"/>
          <w:u w:val="single"/>
          <w:shd w:val="clear" w:color="auto" w:fill="FFFFFF"/>
          <w:lang w:val="en-US" w:eastAsia="zh-CN"/>
        </w:rPr>
        <w:t>3</w:t>
      </w:r>
      <w:r>
        <w:rPr>
          <w:rFonts w:hint="eastAsia" w:ascii="宋体" w:hAnsi="宋体" w:cs="宋体"/>
          <w:b/>
          <w:bCs/>
          <w:color w:val="FF0000"/>
          <w:szCs w:val="21"/>
          <w:u w:val="single"/>
          <w:shd w:val="clear" w:color="auto" w:fill="FFFFFF"/>
        </w:rPr>
        <w:t xml:space="preserve"> </w:t>
      </w:r>
      <w:r>
        <w:rPr>
          <w:rFonts w:hint="eastAsia" w:ascii="宋体" w:hAnsi="宋体" w:cs="宋体"/>
          <w:b/>
          <w:bCs/>
          <w:color w:val="FF0000"/>
          <w:szCs w:val="21"/>
          <w:shd w:val="clear" w:color="auto" w:fill="FFFFFF"/>
        </w:rPr>
        <w:t>日</w:t>
      </w:r>
      <w:r>
        <w:rPr>
          <w:rFonts w:hint="eastAsia" w:ascii="宋体" w:hAnsi="宋体" w:cs="宋体"/>
          <w:szCs w:val="21"/>
          <w:shd w:val="clear" w:color="auto" w:fill="FFFFFF"/>
        </w:rPr>
        <w:t>9时0</w:t>
      </w:r>
      <w:r>
        <w:rPr>
          <w:rFonts w:ascii="宋体" w:hAnsi="宋体" w:cs="宋体"/>
          <w:szCs w:val="21"/>
          <w:shd w:val="clear" w:color="auto" w:fill="FFFFFF"/>
        </w:rPr>
        <w:t>0</w:t>
      </w:r>
      <w:r>
        <w:rPr>
          <w:rFonts w:hint="eastAsia" w:ascii="宋体" w:hAnsi="宋体" w:cs="宋体"/>
          <w:szCs w:val="21"/>
          <w:shd w:val="clear" w:color="auto" w:fill="FFFFFF"/>
        </w:rPr>
        <w:t>分0</w:t>
      </w:r>
      <w:r>
        <w:rPr>
          <w:rFonts w:ascii="宋体" w:hAnsi="宋体" w:cs="宋体"/>
          <w:szCs w:val="21"/>
          <w:shd w:val="clear" w:color="auto" w:fill="FFFFFF"/>
        </w:rPr>
        <w:t>0</w:t>
      </w:r>
      <w:r>
        <w:rPr>
          <w:rFonts w:hint="eastAsia" w:ascii="宋体" w:hAnsi="宋体" w:cs="宋体"/>
          <w:szCs w:val="21"/>
          <w:shd w:val="clear" w:color="auto" w:fill="FFFFFF"/>
        </w:rPr>
        <w:t>秒（北京时间）前递交投标文件。</w:t>
      </w:r>
    </w:p>
    <w:p w14:paraId="1EFAA77B">
      <w:pPr>
        <w:widowControl/>
        <w:shd w:val="clear" w:color="auto" w:fill="FFFFFF"/>
        <w:spacing w:line="500" w:lineRule="exact"/>
        <w:ind w:firstLine="422"/>
        <w:jc w:val="left"/>
        <w:rPr>
          <w:rFonts w:hint="eastAsia" w:ascii="宋体" w:hAnsi="宋体" w:cs="宋体"/>
          <w:szCs w:val="21"/>
        </w:rPr>
      </w:pPr>
      <w:r>
        <w:rPr>
          <w:rFonts w:hint="eastAsia" w:ascii="宋体" w:hAnsi="宋体" w:cs="宋体"/>
          <w:b/>
          <w:bCs/>
          <w:szCs w:val="21"/>
          <w:shd w:val="clear" w:color="auto" w:fill="FFFFFF"/>
        </w:rPr>
        <w:t>一、项目基本情况</w:t>
      </w:r>
    </w:p>
    <w:p w14:paraId="10F7CAFD">
      <w:pPr>
        <w:widowControl/>
        <w:shd w:val="clear" w:color="auto" w:fill="FFFFFF"/>
        <w:spacing w:line="500" w:lineRule="exact"/>
        <w:ind w:firstLine="420"/>
        <w:jc w:val="left"/>
        <w:rPr>
          <w:rFonts w:hint="eastAsia" w:ascii="宋体" w:hAnsi="宋体" w:cs="宋体"/>
          <w:szCs w:val="21"/>
          <w:u w:val="single"/>
          <w:shd w:val="clear" w:color="auto" w:fill="FFFFFF"/>
        </w:rPr>
      </w:pPr>
      <w:r>
        <w:rPr>
          <w:rFonts w:hint="eastAsia" w:ascii="宋体" w:hAnsi="宋体" w:cs="宋体"/>
          <w:szCs w:val="21"/>
          <w:shd w:val="clear" w:color="auto" w:fill="FFFFFF"/>
        </w:rPr>
        <w:t>1.项目编号：</w:t>
      </w:r>
      <w:r>
        <w:rPr>
          <w:rFonts w:hint="eastAsia" w:ascii="宋体" w:hAnsi="宋体" w:cs="宋体"/>
          <w:szCs w:val="21"/>
          <w:u w:val="single"/>
          <w:shd w:val="clear" w:color="auto" w:fill="FFFFFF"/>
        </w:rPr>
        <w:t>JSZC-320904-SZXH-G2026-0004</w:t>
      </w:r>
    </w:p>
    <w:p w14:paraId="0D331352">
      <w:pPr>
        <w:widowControl/>
        <w:shd w:val="clear" w:color="auto" w:fill="FFFFFF"/>
        <w:spacing w:line="500" w:lineRule="exact"/>
        <w:ind w:firstLine="420"/>
        <w:jc w:val="left"/>
        <w:rPr>
          <w:rFonts w:hint="eastAsia" w:ascii="宋体" w:hAnsi="宋体" w:cs="宋体"/>
          <w:color w:val="EE0000"/>
          <w:szCs w:val="21"/>
        </w:rPr>
      </w:pPr>
      <w:r>
        <w:rPr>
          <w:rFonts w:hint="eastAsia" w:ascii="宋体" w:hAnsi="宋体" w:cs="宋体"/>
          <w:szCs w:val="21"/>
          <w:shd w:val="clear" w:color="auto" w:fill="FFFFFF"/>
        </w:rPr>
        <w:t>2.项目名称：</w:t>
      </w:r>
      <w:r>
        <w:rPr>
          <w:rFonts w:hint="eastAsia" w:ascii="宋体" w:hAnsi="宋体" w:cs="宋体"/>
          <w:szCs w:val="21"/>
          <w:u w:val="single"/>
          <w:shd w:val="clear" w:color="auto" w:fill="FFFFFF"/>
        </w:rPr>
        <w:t>大丰港石化新材料产业园环境监控设备运维服务项目（2026-2027）</w:t>
      </w:r>
    </w:p>
    <w:p w14:paraId="7B78E83C">
      <w:pPr>
        <w:widowControl/>
        <w:shd w:val="clear" w:color="auto" w:fill="FFFFFF"/>
        <w:spacing w:line="500" w:lineRule="exact"/>
        <w:ind w:firstLine="420"/>
        <w:jc w:val="left"/>
        <w:rPr>
          <w:rFonts w:hint="default" w:ascii="宋体" w:hAnsi="宋体" w:eastAsia="宋体" w:cs="宋体"/>
          <w:szCs w:val="21"/>
          <w:shd w:val="clear" w:color="auto" w:fill="FFFFFF"/>
          <w:lang w:val="en-US" w:eastAsia="zh-CN"/>
        </w:rPr>
      </w:pPr>
      <w:r>
        <w:rPr>
          <w:rFonts w:hint="eastAsia" w:ascii="宋体" w:hAnsi="宋体" w:cs="宋体"/>
          <w:szCs w:val="21"/>
          <w:shd w:val="clear" w:color="auto" w:fill="FFFFFF"/>
        </w:rPr>
        <w:t>3.预算金额：</w:t>
      </w:r>
      <w:r>
        <w:rPr>
          <w:rFonts w:hint="eastAsia" w:ascii="宋体" w:hAnsi="宋体" w:cs="宋体"/>
          <w:szCs w:val="21"/>
          <w:u w:val="single"/>
          <w:shd w:val="clear" w:color="auto" w:fill="FFFFFF"/>
          <w:lang w:val="en-US" w:eastAsia="zh-CN"/>
        </w:rPr>
        <w:t>490万元</w:t>
      </w:r>
    </w:p>
    <w:p w14:paraId="68722F85">
      <w:pPr>
        <w:widowControl/>
        <w:shd w:val="clear" w:color="auto" w:fill="FFFFFF"/>
        <w:spacing w:line="500" w:lineRule="exact"/>
        <w:ind w:firstLine="420"/>
        <w:jc w:val="left"/>
        <w:rPr>
          <w:rFonts w:hint="default" w:ascii="宋体" w:hAnsi="宋体" w:eastAsia="宋体" w:cs="宋体"/>
          <w:szCs w:val="21"/>
          <w:lang w:val="en-US" w:eastAsia="zh-CN"/>
        </w:rPr>
      </w:pPr>
      <w:r>
        <w:rPr>
          <w:rFonts w:hint="eastAsia" w:ascii="宋体" w:hAnsi="宋体" w:cs="宋体"/>
          <w:szCs w:val="21"/>
          <w:shd w:val="clear" w:color="auto" w:fill="FFFFFF"/>
        </w:rPr>
        <w:t>4.最高限价：</w:t>
      </w:r>
      <w:r>
        <w:rPr>
          <w:rFonts w:hint="eastAsia" w:ascii="宋体" w:hAnsi="宋体" w:cs="宋体"/>
          <w:szCs w:val="21"/>
          <w:u w:val="single"/>
          <w:shd w:val="clear" w:color="auto" w:fill="FFFFFF"/>
          <w:lang w:val="en-US" w:eastAsia="zh-CN"/>
        </w:rPr>
        <w:t>490万元</w:t>
      </w:r>
    </w:p>
    <w:p w14:paraId="7F95E68A">
      <w:pPr>
        <w:widowControl/>
        <w:shd w:val="clear" w:color="auto" w:fill="FFFFFF"/>
        <w:spacing w:line="500" w:lineRule="exact"/>
        <w:ind w:firstLine="420"/>
        <w:jc w:val="left"/>
        <w:rPr>
          <w:rFonts w:hint="eastAsia" w:ascii="宋体" w:hAnsi="宋体" w:cs="宋体"/>
          <w:szCs w:val="21"/>
        </w:rPr>
      </w:pPr>
      <w:r>
        <w:rPr>
          <w:rFonts w:hint="eastAsia" w:ascii="宋体" w:hAnsi="宋体" w:cs="宋体"/>
          <w:szCs w:val="21"/>
          <w:shd w:val="clear" w:color="auto" w:fill="FFFFFF"/>
        </w:rPr>
        <w:t>5.资金来源：</w:t>
      </w:r>
      <w:r>
        <w:rPr>
          <w:rFonts w:hint="eastAsia" w:ascii="宋体" w:hAnsi="宋体" w:cs="宋体"/>
          <w:szCs w:val="21"/>
          <w:u w:val="single"/>
          <w:shd w:val="clear" w:color="auto" w:fill="FFFFFF"/>
        </w:rPr>
        <w:t>港区财政性资金</w:t>
      </w:r>
    </w:p>
    <w:p w14:paraId="34BA4B8C">
      <w:pPr>
        <w:tabs>
          <w:tab w:val="left" w:pos="3686"/>
        </w:tabs>
        <w:snapToGrid w:val="0"/>
        <w:spacing w:line="560" w:lineRule="exact"/>
        <w:ind w:firstLine="411" w:firstLineChars="196"/>
        <w:rPr>
          <w:szCs w:val="21"/>
          <w:u w:val="single"/>
        </w:rPr>
      </w:pPr>
      <w:r>
        <w:rPr>
          <w:rFonts w:hint="eastAsia" w:ascii="宋体" w:hAnsi="宋体" w:cs="宋体"/>
          <w:szCs w:val="21"/>
          <w:shd w:val="clear" w:color="auto" w:fill="FFFFFF"/>
        </w:rPr>
        <w:t>6.采购需求：根据相关要求完成对园区环境空气、地表水自动监测子站监测仪器、气象仪器、质控设备、数据采集与传输设备、辅助设备、防雷等基础设施的日常维护、质量控制、故障维修、年度检修、应急、站房管理与维护、数据审核等工作。具体详见招标文件第五章采购需求。</w:t>
      </w:r>
    </w:p>
    <w:p w14:paraId="06B3F1AE">
      <w:pPr>
        <w:widowControl/>
        <w:spacing w:line="480" w:lineRule="exact"/>
        <w:ind w:firstLine="420"/>
        <w:jc w:val="left"/>
        <w:rPr>
          <w:rFonts w:ascii="Times New Roman" w:hAnsi="宋体" w:eastAsia="宋体" w:cs="Times New Roman"/>
          <w:sz w:val="18"/>
          <w:szCs w:val="18"/>
          <w:highlight w:val="yellow"/>
        </w:rPr>
      </w:pPr>
      <w:r>
        <w:rPr>
          <w:rFonts w:hint="eastAsia" w:ascii="宋体" w:hAnsi="宋体" w:cs="宋体"/>
          <w:szCs w:val="21"/>
          <w:shd w:val="clear" w:color="auto" w:fill="FFFFFF"/>
        </w:rPr>
        <w:t>7.合同履行期限：两年，自签订合同之日起算。其中试用期3个月，如试用期不符合甲方要求的，甲方有权解除合同，不予支付任何费用。服务期内，招标人对中标人的服务质量根据本项目招标文件、考核要求、合同及国家、省、市现行相关的法律法规按季度进行考核，如有连续2次、累计3次达不到考核标准，招标人有权解除合同，中标人须无条件接受，并在收到书面终止服务通知后10个工作日内无条件撤离，如不能按期撤离，则按违约金500元/天由招标人在合同价款中扣除。</w:t>
      </w:r>
    </w:p>
    <w:p w14:paraId="5E9F21F1">
      <w:pPr>
        <w:widowControl/>
        <w:shd w:val="clear" w:color="auto" w:fill="FFFFFF"/>
        <w:spacing w:line="500" w:lineRule="exact"/>
        <w:ind w:firstLine="422"/>
        <w:jc w:val="left"/>
        <w:rPr>
          <w:rFonts w:hint="eastAsia" w:ascii="宋体" w:hAnsi="宋体" w:cs="宋体"/>
          <w:szCs w:val="21"/>
        </w:rPr>
      </w:pPr>
      <w:r>
        <w:rPr>
          <w:rFonts w:hint="eastAsia" w:ascii="宋体" w:hAnsi="宋体" w:cs="宋体"/>
          <w:b/>
          <w:bCs/>
          <w:szCs w:val="21"/>
          <w:shd w:val="clear" w:color="auto" w:fill="FFFFFF"/>
        </w:rPr>
        <w:t>二、投标申请人的资格要求</w:t>
      </w:r>
    </w:p>
    <w:p w14:paraId="19E6063A">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1.满足《中华人民共和国政府采购法》第二十二条规定，投标时提供下列材料：</w:t>
      </w:r>
    </w:p>
    <w:p w14:paraId="28899339">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（1）法人或者其他组织的营业执照等证明文件</w:t>
      </w:r>
      <w:r>
        <w:rPr>
          <w:rFonts w:hint="eastAsia" w:ascii="宋体" w:hAnsi="宋体" w:cs="宋体"/>
          <w:iCs/>
        </w:rPr>
        <w:t>，自然人的身份证明</w:t>
      </w:r>
      <w:r>
        <w:rPr>
          <w:rFonts w:hint="eastAsia" w:ascii="宋体" w:hAnsi="宋体" w:cs="宋体"/>
          <w:szCs w:val="21"/>
          <w:shd w:val="clear" w:color="auto" w:fill="FFFFFF"/>
        </w:rPr>
        <w:t>。</w:t>
      </w:r>
    </w:p>
    <w:p w14:paraId="40E1B55E">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（2）具有良好的商业信誉和健全的财务会计制度</w:t>
      </w:r>
      <w:r>
        <w:rPr>
          <w:rFonts w:hint="eastAsia" w:ascii="宋体" w:hAnsi="宋体" w:cs="宋体"/>
          <w:b/>
          <w:bCs/>
          <w:szCs w:val="21"/>
          <w:shd w:val="clear" w:color="auto" w:fill="FFFFFF"/>
        </w:rPr>
        <w:t>（投标人提供利润表、资产负债表、现金流量表或提供银行出具的资信证明或提供资格承诺函，成立不满一年不需</w:t>
      </w:r>
      <w:r>
        <w:rPr>
          <w:rFonts w:hint="eastAsia" w:ascii="宋体" w:hAnsi="宋体" w:cs="宋体"/>
          <w:b/>
          <w:bCs/>
          <w:szCs w:val="21"/>
          <w:shd w:val="clear" w:color="auto" w:fill="FFFFFF"/>
          <w:lang w:val="en-US" w:eastAsia="zh-CN"/>
        </w:rPr>
        <w:t>要</w:t>
      </w:r>
      <w:r>
        <w:rPr>
          <w:rFonts w:hint="eastAsia" w:ascii="宋体" w:hAnsi="宋体" w:cs="宋体"/>
          <w:b/>
          <w:bCs/>
          <w:szCs w:val="21"/>
          <w:shd w:val="clear" w:color="auto" w:fill="FFFFFF"/>
        </w:rPr>
        <w:t>提供）</w:t>
      </w:r>
      <w:r>
        <w:rPr>
          <w:rFonts w:hint="eastAsia" w:ascii="宋体" w:hAnsi="宋体" w:cs="宋体"/>
          <w:szCs w:val="21"/>
          <w:shd w:val="clear" w:color="auto" w:fill="FFFFFF"/>
        </w:rPr>
        <w:t>。</w:t>
      </w:r>
    </w:p>
    <w:p w14:paraId="2DF7B1D0">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（3）依法缴纳税收和社会保障资金的相关材料（投标时提供投标截止时间前一年内至少一个月依法缴纳税收及缴纳社会保障资金的证明材料。供应商依法享受缓缴、免缴税收、社会保障资金的提供证明材料）。</w:t>
      </w:r>
    </w:p>
    <w:p w14:paraId="126D4A2A">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（4）具备履行合同所必需的设备和专业技术能力的书面声明（格式附后）。</w:t>
      </w:r>
    </w:p>
    <w:p w14:paraId="05C2D952">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（5）参加政府采购活动前3年内在经营活动中没有重大违法记录的书面声明（格式附后）。</w:t>
      </w:r>
    </w:p>
    <w:p w14:paraId="66439A4B">
      <w:pPr>
        <w:widowControl/>
        <w:shd w:val="clear" w:color="auto" w:fill="FFFFFF"/>
        <w:spacing w:line="500" w:lineRule="exact"/>
        <w:ind w:firstLine="420"/>
        <w:jc w:val="left"/>
        <w:rPr>
          <w:rFonts w:hint="eastAsia" w:ascii="宋体" w:hAnsi="宋体" w:cs="宋体"/>
          <w:b/>
          <w:bCs/>
          <w:color w:val="FF0000"/>
          <w:szCs w:val="21"/>
          <w:shd w:val="clear" w:color="auto" w:fill="FFFFFF"/>
        </w:rPr>
      </w:pPr>
      <w:r>
        <w:rPr>
          <w:rFonts w:hint="eastAsia" w:ascii="宋体" w:hAnsi="宋体" w:cs="宋体"/>
          <w:b/>
          <w:bCs/>
          <w:color w:val="FF0000"/>
          <w:szCs w:val="21"/>
          <w:shd w:val="clear" w:color="auto" w:fill="FFFFFF"/>
        </w:rPr>
        <w:t>注：依据《中华人民共和国政府采购法实施条例》第十九条规定：上述第（5）项所称重大违法记录，是指供应商因违法经营受到刑事处罚或者责令停产停业、吊销许可证或者执照、较大数额罚款等行政处罚。</w:t>
      </w:r>
    </w:p>
    <w:p w14:paraId="1F17CAC6">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（6）法律、行政法规规定的其他条件。</w:t>
      </w:r>
    </w:p>
    <w:p w14:paraId="6ECAD94E">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7）在“信用中国”网站查询，无被列入失信被执行人、重大税收违法案件当事人名单、政府采购严重失信行为记录名单及其他不符合《中华人民共和国政府采购法》第二十二条规定条件的信用记录。（投标文件无需提供证明材料）。</w:t>
      </w:r>
    </w:p>
    <w:p w14:paraId="76FF7B32">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（8）招标文件中规定要求提供的证明材料和投标人认为需要提供的其他材料。</w:t>
      </w:r>
    </w:p>
    <w:p w14:paraId="46F26D1B">
      <w:pPr>
        <w:widowControl/>
        <w:shd w:val="clear" w:color="auto" w:fill="FFFFFF"/>
        <w:autoSpaceDE w:val="0"/>
        <w:spacing w:line="480" w:lineRule="exact"/>
        <w:ind w:firstLine="420" w:firstLineChars="200"/>
        <w:jc w:val="left"/>
        <w:rPr>
          <w:rFonts w:hint="eastAsia" w:ascii="宋体" w:hAnsi="宋体" w:cs="宋体"/>
          <w:szCs w:val="21"/>
          <w:shd w:val="clear" w:color="auto" w:fill="FFFFFF"/>
        </w:rPr>
      </w:pPr>
      <w:r>
        <w:rPr>
          <w:rFonts w:hint="eastAsia" w:ascii="宋体" w:hAnsi="宋体" w:cs="宋体"/>
          <w:szCs w:val="21"/>
          <w:shd w:val="clear" w:color="auto" w:fill="FFFFFF"/>
        </w:rPr>
        <w:t>3.</w:t>
      </w:r>
      <w:r>
        <w:rPr>
          <w:rFonts w:ascii="宋体" w:hAnsi="宋体" w:cs="宋体"/>
          <w:szCs w:val="21"/>
          <w:shd w:val="clear" w:color="auto" w:fill="FFFFFF"/>
        </w:rPr>
        <w:t>单位负责人为同一人或者存在直接控股、管理关系的不同供应商，不得同时参加本项目采购活动；</w:t>
      </w:r>
    </w:p>
    <w:p w14:paraId="422622BA">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4.</w:t>
      </w:r>
      <w:r>
        <w:rPr>
          <w:rFonts w:ascii="宋体" w:hAnsi="宋体" w:cs="宋体"/>
          <w:szCs w:val="21"/>
          <w:shd w:val="clear" w:color="auto" w:fill="FFFFFF"/>
        </w:rPr>
        <w:t>本次招标</w:t>
      </w:r>
      <w:r>
        <w:rPr>
          <w:rFonts w:hint="eastAsia" w:ascii="宋体" w:hAnsi="宋体" w:cs="宋体"/>
          <w:szCs w:val="21"/>
          <w:shd w:val="clear" w:color="auto" w:fill="FFFFFF"/>
        </w:rPr>
        <w:t>不</w:t>
      </w:r>
      <w:r>
        <w:rPr>
          <w:rFonts w:ascii="宋体" w:hAnsi="宋体" w:cs="宋体"/>
          <w:szCs w:val="21"/>
          <w:shd w:val="clear" w:color="auto" w:fill="FFFFFF"/>
        </w:rPr>
        <w:t>接受联合体投标</w:t>
      </w:r>
      <w:r>
        <w:rPr>
          <w:rFonts w:hint="eastAsia" w:ascii="宋体" w:hAnsi="宋体" w:cs="宋体"/>
          <w:szCs w:val="21"/>
          <w:shd w:val="clear" w:color="auto" w:fill="FFFFFF"/>
        </w:rPr>
        <w:t>。</w:t>
      </w:r>
    </w:p>
    <w:p w14:paraId="4C0F1342">
      <w:pPr>
        <w:widowControl/>
        <w:shd w:val="clear" w:color="auto" w:fill="FFFFFF"/>
        <w:spacing w:line="500" w:lineRule="exact"/>
        <w:ind w:firstLine="422"/>
        <w:jc w:val="left"/>
        <w:rPr>
          <w:rFonts w:hint="eastAsia" w:ascii="宋体" w:hAnsi="宋体" w:cs="宋体"/>
          <w:b/>
          <w:szCs w:val="21"/>
          <w:shd w:val="clear" w:color="auto" w:fill="FFFFFF"/>
        </w:rPr>
      </w:pPr>
      <w:r>
        <w:rPr>
          <w:rFonts w:hint="eastAsia" w:ascii="宋体" w:hAnsi="宋体" w:cs="宋体"/>
          <w:szCs w:val="21"/>
          <w:shd w:val="clear" w:color="auto" w:fill="FFFFFF"/>
        </w:rPr>
        <w:t>5.</w:t>
      </w:r>
      <w:r>
        <w:rPr>
          <w:rFonts w:hint="eastAsia" w:ascii="宋体" w:hAnsi="宋体" w:cs="宋体"/>
          <w:kern w:val="2"/>
        </w:rPr>
        <w:t>落实政府采购政策需满足的资格要求：无。</w:t>
      </w:r>
    </w:p>
    <w:p w14:paraId="7962B512">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6.本项目的特定资格要求：</w:t>
      </w:r>
      <w:r>
        <w:rPr>
          <w:rFonts w:hint="eastAsia" w:ascii="宋体" w:hAnsi="宋体" w:cs="宋体"/>
          <w:szCs w:val="21"/>
          <w:highlight w:val="yellow"/>
          <w:shd w:val="clear" w:color="auto" w:fill="FFFFFF"/>
        </w:rPr>
        <w:t>本项目不接受因环境监测子站运维工作受到环保行政主管部门通报批评或处罚的供应商参与投标，投标文件中提供承诺函（加盖公章，格式自拟）。</w:t>
      </w:r>
    </w:p>
    <w:p w14:paraId="5AC97B88">
      <w:pPr>
        <w:widowControl/>
        <w:shd w:val="clear" w:color="auto" w:fill="FFFFFF"/>
        <w:spacing w:line="500" w:lineRule="exact"/>
        <w:ind w:firstLine="422"/>
        <w:jc w:val="left"/>
        <w:rPr>
          <w:rFonts w:hint="eastAsia" w:ascii="宋体" w:hAnsi="宋体" w:cs="宋体"/>
          <w:szCs w:val="21"/>
        </w:rPr>
      </w:pPr>
      <w:r>
        <w:rPr>
          <w:rFonts w:hint="eastAsia" w:ascii="宋体" w:hAnsi="宋体" w:cs="宋体"/>
          <w:b/>
          <w:bCs/>
          <w:szCs w:val="21"/>
          <w:shd w:val="clear" w:color="auto" w:fill="FFFFFF"/>
        </w:rPr>
        <w:t>三、获取招标文件</w:t>
      </w:r>
    </w:p>
    <w:p w14:paraId="7E950451">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1.招标文件获取截止时间：自招标文件公告发布之日起5个工作日</w:t>
      </w:r>
      <w:r>
        <w:rPr>
          <w:rFonts w:hint="eastAsia" w:ascii="宋体" w:hAnsi="宋体" w:cs="宋体"/>
          <w:szCs w:val="21"/>
          <w:shd w:val="clear" w:color="auto" w:fill="FFFFFF"/>
          <w:lang w:eastAsia="zh-CN"/>
        </w:rPr>
        <w:t>，</w:t>
      </w:r>
      <w:r>
        <w:rPr>
          <w:rFonts w:hint="eastAsia" w:ascii="宋体" w:hAnsi="宋体" w:cs="宋体"/>
          <w:b/>
          <w:bCs/>
          <w:color w:val="FF0000"/>
          <w:szCs w:val="21"/>
          <w:shd w:val="clear" w:color="auto" w:fill="FFFFFF"/>
        </w:rPr>
        <w:t>2026年</w:t>
      </w:r>
      <w:r>
        <w:rPr>
          <w:rFonts w:hint="eastAsia" w:ascii="宋体" w:hAnsi="宋体" w:cs="宋体"/>
          <w:b/>
          <w:bCs/>
          <w:color w:val="FF0000"/>
          <w:szCs w:val="21"/>
          <w:u w:val="single"/>
          <w:shd w:val="clear" w:color="auto" w:fill="FFFFFF"/>
        </w:rPr>
        <w:t xml:space="preserve"> </w:t>
      </w:r>
      <w:r>
        <w:rPr>
          <w:rFonts w:hint="eastAsia" w:ascii="宋体" w:hAnsi="宋体" w:cs="宋体"/>
          <w:b/>
          <w:bCs/>
          <w:color w:val="FF0000"/>
          <w:szCs w:val="21"/>
          <w:u w:val="single"/>
          <w:shd w:val="clear" w:color="auto" w:fill="FFFFFF"/>
          <w:lang w:val="en-US" w:eastAsia="zh-CN"/>
        </w:rPr>
        <w:t>7</w:t>
      </w:r>
      <w:r>
        <w:rPr>
          <w:rFonts w:hint="eastAsia" w:ascii="宋体" w:hAnsi="宋体" w:cs="宋体"/>
          <w:b/>
          <w:bCs/>
          <w:color w:val="FF0000"/>
          <w:szCs w:val="21"/>
          <w:shd w:val="clear" w:color="auto" w:fill="FFFFFF"/>
        </w:rPr>
        <w:t>月</w:t>
      </w:r>
      <w:r>
        <w:rPr>
          <w:rFonts w:hint="eastAsia" w:ascii="宋体" w:hAnsi="宋体" w:cs="宋体"/>
          <w:b/>
          <w:bCs/>
          <w:color w:val="FF0000"/>
          <w:szCs w:val="21"/>
          <w:u w:val="single"/>
          <w:shd w:val="clear" w:color="auto" w:fill="FFFFFF"/>
        </w:rPr>
        <w:t xml:space="preserve"> </w:t>
      </w:r>
      <w:r>
        <w:rPr>
          <w:rFonts w:hint="eastAsia" w:ascii="宋体" w:hAnsi="宋体" w:cs="宋体"/>
          <w:b/>
          <w:bCs/>
          <w:color w:val="FF0000"/>
          <w:szCs w:val="21"/>
          <w:u w:val="single"/>
          <w:shd w:val="clear" w:color="auto" w:fill="FFFFFF"/>
          <w:lang w:val="en-US" w:eastAsia="zh-CN"/>
        </w:rPr>
        <w:t>20</w:t>
      </w:r>
      <w:r>
        <w:rPr>
          <w:rFonts w:hint="eastAsia" w:ascii="宋体" w:hAnsi="宋体" w:cs="宋体"/>
          <w:b/>
          <w:bCs/>
          <w:color w:val="FF0000"/>
          <w:szCs w:val="21"/>
          <w:shd w:val="clear" w:color="auto" w:fill="FFFFFF"/>
        </w:rPr>
        <w:t>日（</w:t>
      </w:r>
      <w:r>
        <w:rPr>
          <w:rFonts w:hint="eastAsia" w:ascii="宋体" w:hAnsi="宋体" w:cs="宋体"/>
          <w:szCs w:val="21"/>
          <w:shd w:val="clear" w:color="auto" w:fill="FFFFFF"/>
        </w:rPr>
        <w:t>北京时间）。</w:t>
      </w:r>
    </w:p>
    <w:p w14:paraId="35D3978E">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2.地点：“苏采云”系统，网址：http://jszfcg.jsczt.cn/（投标人必须在苏采云系统中获取采购文件，方能参与政府采购项目）。</w:t>
      </w:r>
    </w:p>
    <w:p w14:paraId="1169ED71">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3.获取方式：网上注册登记成功后在系统内免费下载。</w:t>
      </w:r>
    </w:p>
    <w:p w14:paraId="27C6CD23">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4.文件售价：免费。</w:t>
      </w:r>
    </w:p>
    <w:p w14:paraId="10B87D54">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5.注意事项：</w:t>
      </w:r>
    </w:p>
    <w:p w14:paraId="10ACA92E">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（1）有关本次招标的事项若存在变动或修改，敬请及时关注江苏政府采购网、盐城市政府采购网发布的更正公告。</w:t>
      </w:r>
    </w:p>
    <w:p w14:paraId="4AE2FCE3">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（2）本项目采取“全流程电子化不见面”开标模式，开标当日无需投标单位授权代表到达开标现场。</w:t>
      </w:r>
    </w:p>
    <w:p w14:paraId="010C6CA1">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各投标人须在开标前使用“验证CA”功能验证本地计算机的控件环境是否正常（电脑需配备摄像头、麦克风和音响，用于保障不见面交易能够完成相关视频对话、演示等），并且在开评标过程中不可随意更换电脑，必须使用验证成功的电脑进行操作，否则造成相应后果由投标人自行承担。</w:t>
      </w:r>
    </w:p>
    <w:p w14:paraId="54B01FFF">
      <w:pPr>
        <w:widowControl/>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如潜在投标人未按上述要求操作，将自行承担所产生的风险。</w:t>
      </w:r>
    </w:p>
    <w:p w14:paraId="03C86CBB">
      <w:pPr>
        <w:widowControl/>
        <w:shd w:val="clear" w:color="auto" w:fill="FFFFFF"/>
        <w:spacing w:line="500" w:lineRule="exact"/>
        <w:ind w:firstLine="422"/>
        <w:jc w:val="left"/>
        <w:rPr>
          <w:rFonts w:hint="eastAsia" w:ascii="宋体" w:hAnsi="宋体" w:cs="宋体"/>
          <w:szCs w:val="21"/>
        </w:rPr>
      </w:pPr>
      <w:r>
        <w:rPr>
          <w:rFonts w:hint="eastAsia" w:ascii="宋体" w:hAnsi="宋体" w:cs="宋体"/>
          <w:b/>
          <w:bCs/>
          <w:szCs w:val="21"/>
          <w:shd w:val="clear" w:color="auto" w:fill="FFFFFF"/>
        </w:rPr>
        <w:t>四、提交投标文件截止时间、开标时间和地点</w:t>
      </w:r>
    </w:p>
    <w:p w14:paraId="3B0000E0">
      <w:pPr>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1.线上提交投标文件截止时间：</w:t>
      </w:r>
      <w:r>
        <w:rPr>
          <w:rFonts w:hint="eastAsia" w:ascii="宋体" w:hAnsi="宋体" w:cs="宋体"/>
          <w:color w:val="FF0000"/>
          <w:szCs w:val="21"/>
          <w:shd w:val="clear" w:color="auto" w:fill="FFFFFF"/>
        </w:rPr>
        <w:t>2026年</w:t>
      </w:r>
      <w:r>
        <w:rPr>
          <w:rFonts w:hint="eastAsia" w:ascii="宋体" w:hAnsi="宋体" w:cs="宋体"/>
          <w:color w:val="FF0000"/>
          <w:szCs w:val="21"/>
          <w:u w:val="single"/>
          <w:shd w:val="clear" w:color="auto" w:fill="FFFFFF"/>
        </w:rPr>
        <w:t xml:space="preserve"> </w:t>
      </w:r>
      <w:r>
        <w:rPr>
          <w:rFonts w:hint="eastAsia" w:ascii="宋体" w:hAnsi="宋体" w:cs="宋体"/>
          <w:color w:val="FF0000"/>
          <w:szCs w:val="21"/>
          <w:u w:val="single"/>
          <w:shd w:val="clear" w:color="auto" w:fill="FFFFFF"/>
          <w:lang w:val="en-US" w:eastAsia="zh-CN"/>
        </w:rPr>
        <w:t>8</w:t>
      </w:r>
      <w:r>
        <w:rPr>
          <w:rFonts w:hint="eastAsia" w:ascii="宋体" w:hAnsi="宋体" w:cs="宋体"/>
          <w:color w:val="FF0000"/>
          <w:szCs w:val="21"/>
          <w:u w:val="single"/>
          <w:shd w:val="clear" w:color="auto" w:fill="FFFFFF"/>
        </w:rPr>
        <w:t xml:space="preserve"> </w:t>
      </w:r>
      <w:r>
        <w:rPr>
          <w:rFonts w:hint="eastAsia" w:ascii="宋体" w:hAnsi="宋体" w:cs="宋体"/>
          <w:color w:val="FF0000"/>
          <w:szCs w:val="21"/>
          <w:shd w:val="clear" w:color="auto" w:fill="FFFFFF"/>
        </w:rPr>
        <w:t>月</w:t>
      </w:r>
      <w:r>
        <w:rPr>
          <w:rFonts w:hint="eastAsia" w:ascii="宋体" w:hAnsi="宋体" w:cs="宋体"/>
          <w:color w:val="FF0000"/>
          <w:szCs w:val="21"/>
          <w:u w:val="single"/>
          <w:shd w:val="clear" w:color="auto" w:fill="FFFFFF"/>
        </w:rPr>
        <w:t xml:space="preserve"> </w:t>
      </w:r>
      <w:r>
        <w:rPr>
          <w:rFonts w:hint="eastAsia" w:ascii="宋体" w:hAnsi="宋体" w:cs="宋体"/>
          <w:color w:val="FF0000"/>
          <w:szCs w:val="21"/>
          <w:u w:val="single"/>
          <w:shd w:val="clear" w:color="auto" w:fill="FFFFFF"/>
          <w:lang w:val="en-US" w:eastAsia="zh-CN"/>
        </w:rPr>
        <w:t>3</w:t>
      </w:r>
      <w:r>
        <w:rPr>
          <w:rFonts w:hint="eastAsia" w:ascii="宋体" w:hAnsi="宋体" w:cs="宋体"/>
          <w:color w:val="FF0000"/>
          <w:szCs w:val="21"/>
          <w:u w:val="single"/>
          <w:shd w:val="clear" w:color="auto" w:fill="FFFFFF"/>
        </w:rPr>
        <w:t xml:space="preserve"> </w:t>
      </w:r>
      <w:r>
        <w:rPr>
          <w:rFonts w:hint="eastAsia" w:ascii="宋体" w:hAnsi="宋体" w:cs="宋体"/>
          <w:color w:val="FF0000"/>
          <w:szCs w:val="21"/>
          <w:shd w:val="clear" w:color="auto" w:fill="FFFFFF"/>
        </w:rPr>
        <w:t>日9时00分</w:t>
      </w:r>
    </w:p>
    <w:p w14:paraId="0A2E5B08">
      <w:pPr>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2.线上开标时间：</w:t>
      </w:r>
      <w:r>
        <w:rPr>
          <w:rFonts w:hint="eastAsia" w:ascii="宋体" w:hAnsi="宋体" w:cs="宋体"/>
          <w:color w:val="FF0000"/>
          <w:szCs w:val="21"/>
          <w:shd w:val="clear" w:color="auto" w:fill="FFFFFF"/>
        </w:rPr>
        <w:t>2026年</w:t>
      </w:r>
      <w:r>
        <w:rPr>
          <w:rFonts w:hint="eastAsia" w:ascii="宋体" w:hAnsi="宋体" w:cs="宋体"/>
          <w:color w:val="FF0000"/>
          <w:szCs w:val="21"/>
          <w:u w:val="single"/>
          <w:shd w:val="clear" w:color="auto" w:fill="FFFFFF"/>
        </w:rPr>
        <w:t xml:space="preserve"> </w:t>
      </w:r>
      <w:r>
        <w:rPr>
          <w:rFonts w:hint="eastAsia" w:ascii="宋体" w:hAnsi="宋体" w:cs="宋体"/>
          <w:color w:val="FF0000"/>
          <w:szCs w:val="21"/>
          <w:u w:val="single"/>
          <w:shd w:val="clear" w:color="auto" w:fill="FFFFFF"/>
          <w:lang w:val="en-US" w:eastAsia="zh-CN"/>
        </w:rPr>
        <w:t>8</w:t>
      </w:r>
      <w:r>
        <w:rPr>
          <w:rFonts w:hint="eastAsia" w:ascii="宋体" w:hAnsi="宋体" w:cs="宋体"/>
          <w:color w:val="FF0000"/>
          <w:szCs w:val="21"/>
          <w:u w:val="single"/>
          <w:shd w:val="clear" w:color="auto" w:fill="FFFFFF"/>
        </w:rPr>
        <w:t xml:space="preserve"> </w:t>
      </w:r>
      <w:r>
        <w:rPr>
          <w:rFonts w:hint="eastAsia" w:ascii="宋体" w:hAnsi="宋体" w:cs="宋体"/>
          <w:color w:val="FF0000"/>
          <w:szCs w:val="21"/>
          <w:shd w:val="clear" w:color="auto" w:fill="FFFFFF"/>
        </w:rPr>
        <w:t>月</w:t>
      </w:r>
      <w:r>
        <w:rPr>
          <w:rFonts w:hint="eastAsia" w:ascii="宋体" w:hAnsi="宋体" w:cs="宋体"/>
          <w:color w:val="FF0000"/>
          <w:szCs w:val="21"/>
          <w:u w:val="single"/>
          <w:shd w:val="clear" w:color="auto" w:fill="FFFFFF"/>
        </w:rPr>
        <w:t xml:space="preserve"> </w:t>
      </w:r>
      <w:r>
        <w:rPr>
          <w:rFonts w:hint="eastAsia" w:ascii="宋体" w:hAnsi="宋体" w:cs="宋体"/>
          <w:color w:val="FF0000"/>
          <w:szCs w:val="21"/>
          <w:u w:val="single"/>
          <w:shd w:val="clear" w:color="auto" w:fill="FFFFFF"/>
          <w:lang w:val="en-US" w:eastAsia="zh-CN"/>
        </w:rPr>
        <w:t>3</w:t>
      </w:r>
      <w:r>
        <w:rPr>
          <w:rFonts w:hint="eastAsia" w:ascii="宋体" w:hAnsi="宋体" w:cs="宋体"/>
          <w:color w:val="FF0000"/>
          <w:szCs w:val="21"/>
          <w:shd w:val="clear" w:color="auto" w:fill="FFFFFF"/>
        </w:rPr>
        <w:t>日9时00分</w:t>
      </w:r>
    </w:p>
    <w:p w14:paraId="2F670A97">
      <w:pPr>
        <w:shd w:val="clear" w:color="auto" w:fill="FFFFFF"/>
        <w:spacing w:line="500" w:lineRule="exact"/>
        <w:ind w:firstLine="420"/>
        <w:jc w:val="left"/>
        <w:rPr>
          <w:rFonts w:hint="eastAsia" w:ascii="宋体" w:hAnsi="宋体" w:cs="宋体"/>
          <w:szCs w:val="21"/>
          <w:shd w:val="clear" w:color="auto" w:fill="FFFFFF"/>
        </w:rPr>
      </w:pPr>
      <w:r>
        <w:rPr>
          <w:rFonts w:hint="eastAsia" w:ascii="宋体" w:hAnsi="宋体" w:cs="宋体"/>
          <w:szCs w:val="21"/>
          <w:shd w:val="clear" w:color="auto" w:fill="FFFFFF"/>
        </w:rPr>
        <w:t>3.线上开标地点：“苏采云”系统（网址：http://jszfcg.jsczt.cn/）“开标大厅”。</w:t>
      </w:r>
    </w:p>
    <w:p w14:paraId="1F0DFDAD">
      <w:pPr>
        <w:shd w:val="clear" w:color="auto" w:fill="FFFFFF"/>
        <w:spacing w:line="500" w:lineRule="exact"/>
        <w:ind w:firstLine="420"/>
        <w:jc w:val="left"/>
        <w:rPr>
          <w:rFonts w:hint="eastAsia" w:ascii="宋体" w:hAnsi="宋体" w:cs="宋体"/>
          <w:szCs w:val="21"/>
        </w:rPr>
      </w:pPr>
      <w:r>
        <w:rPr>
          <w:rFonts w:hint="eastAsia" w:ascii="宋体" w:hAnsi="宋体" w:cs="宋体"/>
          <w:b/>
          <w:bCs/>
          <w:szCs w:val="21"/>
          <w:shd w:val="clear" w:color="auto" w:fill="FFFFFF"/>
        </w:rPr>
        <w:t>五、公告期限</w:t>
      </w:r>
    </w:p>
    <w:p w14:paraId="76C99FE0">
      <w:pPr>
        <w:shd w:val="clear" w:color="auto" w:fill="FFFFFF"/>
        <w:spacing w:line="500" w:lineRule="exact"/>
        <w:ind w:firstLine="420"/>
        <w:jc w:val="left"/>
        <w:rPr>
          <w:rFonts w:hint="eastAsia" w:ascii="宋体" w:hAnsi="宋体" w:cs="宋体"/>
          <w:szCs w:val="21"/>
        </w:rPr>
      </w:pPr>
      <w:r>
        <w:rPr>
          <w:rFonts w:hint="eastAsia" w:ascii="宋体" w:hAnsi="宋体" w:cs="宋体"/>
          <w:szCs w:val="21"/>
          <w:shd w:val="clear" w:color="auto" w:fill="FFFFFF"/>
        </w:rPr>
        <w:t>自本公告发布之日起5个工作日。</w:t>
      </w:r>
    </w:p>
    <w:p w14:paraId="30073FE6">
      <w:pPr>
        <w:widowControl/>
        <w:shd w:val="clear" w:color="auto" w:fill="FFFFFF"/>
        <w:spacing w:line="500" w:lineRule="exact"/>
        <w:ind w:firstLine="422"/>
        <w:jc w:val="left"/>
        <w:rPr>
          <w:rFonts w:hint="eastAsia" w:ascii="宋体" w:hAnsi="宋体" w:cs="宋体"/>
          <w:szCs w:val="21"/>
        </w:rPr>
      </w:pPr>
      <w:r>
        <w:rPr>
          <w:rFonts w:hint="eastAsia" w:ascii="宋体" w:hAnsi="宋体" w:cs="宋体"/>
          <w:b/>
          <w:bCs/>
          <w:szCs w:val="21"/>
          <w:shd w:val="clear" w:color="auto" w:fill="FFFFFF"/>
        </w:rPr>
        <w:t>六、其他补充事宜</w:t>
      </w:r>
    </w:p>
    <w:p w14:paraId="212B2735">
      <w:pPr>
        <w:widowControl/>
        <w:spacing w:line="500" w:lineRule="exact"/>
        <w:ind w:firstLine="420"/>
        <w:jc w:val="left"/>
        <w:rPr>
          <w:rFonts w:hint="eastAsia" w:ascii="宋体" w:hAnsi="宋体" w:cs="宋体"/>
          <w:szCs w:val="21"/>
        </w:rPr>
      </w:pPr>
      <w:r>
        <w:rPr>
          <w:rFonts w:hint="eastAsia" w:ascii="宋体" w:hAnsi="宋体" w:cs="宋体"/>
          <w:szCs w:val="21"/>
        </w:rPr>
        <w:t>1.评标办法：综合评分法。</w:t>
      </w:r>
    </w:p>
    <w:p w14:paraId="0F8BEF21">
      <w:pPr>
        <w:widowControl/>
        <w:spacing w:line="500" w:lineRule="exact"/>
        <w:ind w:firstLine="420"/>
        <w:jc w:val="left"/>
        <w:rPr>
          <w:rFonts w:hint="eastAsia" w:ascii="宋体" w:hAnsi="宋体" w:cs="宋体"/>
          <w:szCs w:val="21"/>
        </w:rPr>
      </w:pPr>
      <w:r>
        <w:rPr>
          <w:rFonts w:hint="eastAsia" w:ascii="宋体" w:hAnsi="宋体" w:cs="宋体"/>
          <w:szCs w:val="21"/>
        </w:rPr>
        <w:t>2.各投标人在投标截止时间前应当每天都上网查询，以便获取更新的澄清、修改、补充内容。凡涉及该项目的补充说明和修改，均以江苏政府采购网上的更正或补充通知为准。</w:t>
      </w:r>
    </w:p>
    <w:p w14:paraId="0661746C">
      <w:pPr>
        <w:widowControl/>
        <w:spacing w:line="500" w:lineRule="exact"/>
        <w:ind w:firstLine="420"/>
        <w:jc w:val="left"/>
        <w:rPr>
          <w:rFonts w:hint="eastAsia" w:ascii="宋体" w:hAnsi="宋体" w:cs="宋体"/>
          <w:szCs w:val="21"/>
        </w:rPr>
      </w:pPr>
      <w:r>
        <w:rPr>
          <w:rFonts w:hint="eastAsia" w:ascii="宋体" w:hAnsi="宋体" w:cs="宋体"/>
          <w:szCs w:val="21"/>
        </w:rPr>
        <w:t>3.投标人如在投标过程中存在以下行为，将被列入不良行为记录名单。</w:t>
      </w:r>
    </w:p>
    <w:p w14:paraId="63BC05E2">
      <w:pPr>
        <w:widowControl/>
        <w:spacing w:line="500" w:lineRule="exact"/>
        <w:ind w:firstLine="420"/>
        <w:jc w:val="left"/>
        <w:rPr>
          <w:rFonts w:hint="eastAsia" w:ascii="宋体" w:hAnsi="宋体" w:cs="宋体"/>
          <w:szCs w:val="21"/>
        </w:rPr>
      </w:pPr>
      <w:r>
        <w:rPr>
          <w:rFonts w:hint="eastAsia" w:ascii="宋体" w:hAnsi="宋体" w:cs="宋体"/>
          <w:szCs w:val="21"/>
        </w:rPr>
        <w:t>（1）提供虚假材料谋取中标的或采取不正当手段诋毁、排挤其他供应商的；</w:t>
      </w:r>
    </w:p>
    <w:p w14:paraId="3F3AA736">
      <w:pPr>
        <w:widowControl/>
        <w:spacing w:line="500" w:lineRule="exact"/>
        <w:ind w:firstLine="420"/>
        <w:jc w:val="left"/>
        <w:rPr>
          <w:rFonts w:hint="eastAsia" w:ascii="宋体" w:hAnsi="宋体" w:cs="宋体"/>
          <w:szCs w:val="21"/>
        </w:rPr>
      </w:pPr>
      <w:r>
        <w:rPr>
          <w:rFonts w:hint="eastAsia" w:ascii="宋体" w:hAnsi="宋体" w:cs="宋体"/>
          <w:szCs w:val="21"/>
        </w:rPr>
        <w:t>（2）投标人递交无竞争力投标文件的。</w:t>
      </w:r>
    </w:p>
    <w:p w14:paraId="482DA2FA">
      <w:pPr>
        <w:widowControl/>
        <w:spacing w:line="500" w:lineRule="exact"/>
        <w:ind w:firstLine="420"/>
        <w:jc w:val="left"/>
        <w:rPr>
          <w:rFonts w:hint="eastAsia" w:ascii="宋体" w:hAnsi="宋体" w:cs="宋体"/>
          <w:szCs w:val="21"/>
        </w:rPr>
      </w:pPr>
      <w:r>
        <w:rPr>
          <w:rFonts w:hint="eastAsia" w:ascii="宋体" w:hAnsi="宋体" w:cs="宋体"/>
          <w:szCs w:val="21"/>
        </w:rPr>
        <w:t>4.投标人存在串通投标、以他人名义投标、弄虚作假等违法违规行为，或者无正当理由放弃投标、中标资格，造成项目招标失败的，不得参加该项目重新招标的投标。</w:t>
      </w:r>
    </w:p>
    <w:p w14:paraId="19D21AED">
      <w:pPr>
        <w:widowControl/>
        <w:spacing w:line="500" w:lineRule="exact"/>
        <w:ind w:firstLine="420"/>
        <w:jc w:val="left"/>
        <w:rPr>
          <w:rFonts w:hint="eastAsia" w:ascii="宋体" w:hAnsi="宋体" w:cs="宋体"/>
          <w:szCs w:val="21"/>
        </w:rPr>
      </w:pPr>
      <w:r>
        <w:rPr>
          <w:rFonts w:hint="eastAsia" w:ascii="宋体" w:hAnsi="宋体" w:cs="宋体"/>
          <w:szCs w:val="21"/>
        </w:rPr>
        <w:t>5.因供应商的系统环境、操作等原因导致报名、开评标过程中出现问题，由供应商自行承担。</w:t>
      </w:r>
    </w:p>
    <w:p w14:paraId="2C5FC23A">
      <w:pPr>
        <w:widowControl/>
        <w:spacing w:line="500" w:lineRule="exact"/>
        <w:ind w:firstLine="420"/>
        <w:jc w:val="left"/>
        <w:rPr>
          <w:rFonts w:hint="eastAsia" w:ascii="宋体" w:hAnsi="宋体" w:cs="宋体"/>
          <w:bCs/>
          <w:szCs w:val="21"/>
          <w:shd w:val="clear" w:color="auto" w:fill="FFFFFF"/>
        </w:rPr>
      </w:pPr>
      <w:r>
        <w:rPr>
          <w:rFonts w:hint="eastAsia" w:ascii="宋体" w:hAnsi="宋体" w:cs="宋体"/>
          <w:bCs/>
          <w:szCs w:val="21"/>
          <w:shd w:val="clear" w:color="auto" w:fill="FFFFFF"/>
        </w:rPr>
        <w:t>6.</w:t>
      </w:r>
      <w:r>
        <w:rPr>
          <w:rFonts w:hint="eastAsia" w:ascii="宋体" w:hAnsi="宋体"/>
          <w:color w:val="000000"/>
          <w:szCs w:val="21"/>
        </w:rPr>
        <w:t>电子投标文件一份（通过系统提交）；纸质投标文件正本一份，副本三份（评审结束后由中标人邮寄至江苏中线行项目管理有限公司，盐城市大丰区东方一号创意小镇9—1栋410室）</w:t>
      </w:r>
      <w:r>
        <w:rPr>
          <w:rFonts w:hint="eastAsia" w:ascii="宋体" w:hAnsi="宋体" w:cs="宋体"/>
          <w:bCs/>
          <w:szCs w:val="21"/>
          <w:shd w:val="clear" w:color="auto" w:fill="FFFFFF"/>
        </w:rPr>
        <w:t>。</w:t>
      </w:r>
    </w:p>
    <w:p w14:paraId="70AAF386">
      <w:pPr>
        <w:widowControl/>
        <w:spacing w:line="500" w:lineRule="exact"/>
        <w:ind w:firstLine="420"/>
        <w:jc w:val="left"/>
        <w:rPr>
          <w:rFonts w:hint="eastAsia" w:ascii="宋体" w:hAnsi="宋体" w:cs="宋体"/>
          <w:bCs/>
          <w:szCs w:val="21"/>
          <w:shd w:val="clear" w:color="auto" w:fill="FFFFFF"/>
        </w:rPr>
      </w:pPr>
      <w:r>
        <w:rPr>
          <w:rFonts w:hint="eastAsia" w:ascii="宋体" w:hAnsi="宋体" w:cs="宋体"/>
          <w:bCs/>
          <w:szCs w:val="21"/>
          <w:shd w:val="clear" w:color="auto" w:fill="FFFFFF"/>
        </w:rPr>
        <w:t>7.根据省财政厅《关于更换全省政府采购交易系统CA数字证书和电子签章的通知》（苏财购〔2023〕101号），“苏采云”政府采购交易系统（以下简称苏采云系统）的CA数字证书、电子签章已更换为江苏省电子政务证书认证中心CA和方正国际软件（北京）有限公司电子签章。如果投标人通过苏采云系统参与政府采购项目，需要更换CA数字证书和电子签章。具体办理指南和操作手册：在盐城市政府采购网点击【办事指南】-【供应商参与政府采购活动相关资料】。</w:t>
      </w:r>
    </w:p>
    <w:p w14:paraId="30C189EC">
      <w:pPr>
        <w:spacing w:line="500" w:lineRule="exact"/>
        <w:ind w:firstLine="420"/>
        <w:jc w:val="left"/>
        <w:rPr>
          <w:rFonts w:hint="eastAsia" w:ascii="宋体" w:hAnsi="宋体" w:cs="宋体"/>
          <w:bCs/>
          <w:szCs w:val="21"/>
          <w:shd w:val="clear" w:color="auto" w:fill="FFFFFF"/>
        </w:rPr>
      </w:pPr>
      <w:r>
        <w:rPr>
          <w:rFonts w:hint="eastAsia" w:ascii="宋体" w:hAnsi="宋体" w:cs="宋体"/>
          <w:bCs/>
          <w:szCs w:val="21"/>
          <w:shd w:val="clear" w:color="auto" w:fill="FFFFFF"/>
        </w:rPr>
        <w:t>领取CA和办理电子签章（请至盐城市府西路1号盐城市公共资源交易中心四楼大厅10号，11号窗口办理，联系电话：15051556883，办理邮箱：yancheng@ideabank.net.cn，具体联系方式见《苏采云系统供应商操作手册》（以下简称《操作手册》）、进行注册并按《操作手册》要求制作、上传电子投标文件,《苏采云系统供应商操作手册》：在盐城市政府采购网点击【办事指南】-【供应商参与政府采购活动相关资料】。</w:t>
      </w:r>
    </w:p>
    <w:p w14:paraId="55C27655">
      <w:pPr>
        <w:spacing w:line="500" w:lineRule="exact"/>
        <w:ind w:firstLine="420"/>
        <w:jc w:val="left"/>
        <w:rPr>
          <w:rFonts w:hint="eastAsia" w:ascii="宋体" w:hAnsi="宋体" w:cs="宋体"/>
          <w:bCs/>
          <w:szCs w:val="21"/>
          <w:shd w:val="clear" w:color="auto" w:fill="FFFFFF"/>
        </w:rPr>
      </w:pPr>
      <w:r>
        <w:rPr>
          <w:rFonts w:hint="eastAsia" w:ascii="宋体" w:hAnsi="宋体" w:cs="宋体"/>
          <w:bCs/>
          <w:szCs w:val="21"/>
          <w:shd w:val="clear" w:color="auto" w:fill="FFFFFF"/>
        </w:rPr>
        <w:t>供应商操作过程中有问题联系软件公司的联系方式：投标人在使用系统进行投标的过程中如遇到涉及“苏采云”系统使用的任何问题，应在工作日上午9:00-11:30，13:30-17:30期间致电技术支持热线咨询，联系电话：0519-86722805、0519-86617173。</w:t>
      </w:r>
    </w:p>
    <w:p w14:paraId="20426CDA">
      <w:pPr>
        <w:widowControl/>
        <w:spacing w:line="500" w:lineRule="exact"/>
        <w:ind w:firstLine="422"/>
        <w:jc w:val="left"/>
        <w:rPr>
          <w:rFonts w:hint="eastAsia" w:ascii="宋体" w:hAnsi="宋体" w:cs="宋体"/>
          <w:szCs w:val="21"/>
        </w:rPr>
      </w:pPr>
      <w:r>
        <w:rPr>
          <w:rFonts w:hint="eastAsia" w:ascii="宋体" w:hAnsi="宋体" w:cs="宋体"/>
          <w:b/>
          <w:bCs/>
          <w:szCs w:val="21"/>
          <w:shd w:val="clear" w:color="auto" w:fill="FFFFFF"/>
        </w:rPr>
        <w:t>七、对本次招标提出询问，请按以下方式联系。</w:t>
      </w:r>
    </w:p>
    <w:p w14:paraId="2F56B619">
      <w:pPr>
        <w:widowControl/>
        <w:spacing w:line="500" w:lineRule="exact"/>
        <w:ind w:firstLine="482"/>
        <w:jc w:val="left"/>
        <w:outlineLvl w:val="1"/>
        <w:rPr>
          <w:rFonts w:hint="eastAsia" w:ascii="宋体" w:hAnsi="宋体" w:cs="宋体"/>
          <w:bCs/>
          <w:szCs w:val="21"/>
        </w:rPr>
      </w:pPr>
      <w:r>
        <w:rPr>
          <w:rFonts w:hint="eastAsia" w:ascii="宋体" w:hAnsi="宋体" w:cs="宋体"/>
          <w:bCs/>
          <w:szCs w:val="21"/>
        </w:rPr>
        <w:t>1、招标人信息</w:t>
      </w:r>
    </w:p>
    <w:p w14:paraId="2C949AD3">
      <w:pPr>
        <w:widowControl/>
        <w:spacing w:line="500" w:lineRule="exact"/>
        <w:ind w:firstLine="482"/>
        <w:jc w:val="left"/>
        <w:outlineLvl w:val="1"/>
        <w:rPr>
          <w:rFonts w:hint="eastAsia" w:ascii="宋体" w:hAnsi="宋体" w:cs="宋体"/>
          <w:bCs/>
          <w:szCs w:val="21"/>
        </w:rPr>
      </w:pPr>
      <w:r>
        <w:rPr>
          <w:rFonts w:hint="eastAsia" w:ascii="宋体" w:hAnsi="宋体" w:cs="宋体"/>
          <w:bCs/>
          <w:szCs w:val="21"/>
        </w:rPr>
        <w:t>招标人：江苏大丰港经济开发区管理委员会</w:t>
      </w:r>
    </w:p>
    <w:p w14:paraId="5C045DE7">
      <w:pPr>
        <w:widowControl/>
        <w:spacing w:line="500" w:lineRule="exact"/>
        <w:ind w:firstLine="482"/>
        <w:jc w:val="left"/>
        <w:outlineLvl w:val="1"/>
        <w:rPr>
          <w:rFonts w:hint="eastAsia" w:ascii="宋体" w:hAnsi="宋体" w:cs="宋体"/>
          <w:bCs/>
          <w:szCs w:val="21"/>
        </w:rPr>
      </w:pPr>
      <w:r>
        <w:rPr>
          <w:rFonts w:hint="eastAsia" w:ascii="宋体" w:hAnsi="宋体" w:cs="宋体"/>
          <w:bCs/>
          <w:szCs w:val="21"/>
        </w:rPr>
        <w:t>联系地址：大丰港经济开发区中港大道1号</w:t>
      </w:r>
    </w:p>
    <w:p w14:paraId="2E934B2C">
      <w:pPr>
        <w:widowControl/>
        <w:spacing w:line="500" w:lineRule="exact"/>
        <w:ind w:firstLine="482"/>
        <w:jc w:val="left"/>
        <w:outlineLvl w:val="1"/>
        <w:rPr>
          <w:rFonts w:hint="eastAsia" w:ascii="宋体" w:hAnsi="宋体" w:cs="宋体"/>
          <w:bCs/>
          <w:szCs w:val="21"/>
        </w:rPr>
      </w:pPr>
      <w:r>
        <w:rPr>
          <w:rFonts w:hint="eastAsia" w:ascii="宋体" w:hAnsi="宋体" w:cs="宋体"/>
          <w:bCs/>
          <w:szCs w:val="21"/>
        </w:rPr>
        <w:t xml:space="preserve">联 系 人： 房嫄 </w:t>
      </w:r>
    </w:p>
    <w:p w14:paraId="63B7B22C">
      <w:pPr>
        <w:widowControl/>
        <w:spacing w:line="500" w:lineRule="exact"/>
        <w:ind w:firstLine="482"/>
        <w:jc w:val="left"/>
        <w:outlineLvl w:val="1"/>
        <w:rPr>
          <w:rFonts w:hint="eastAsia" w:ascii="宋体" w:hAnsi="宋体" w:cs="宋体"/>
          <w:bCs/>
          <w:szCs w:val="21"/>
        </w:rPr>
      </w:pPr>
      <w:r>
        <w:rPr>
          <w:rFonts w:hint="eastAsia" w:ascii="宋体" w:hAnsi="宋体" w:cs="宋体"/>
          <w:bCs/>
          <w:szCs w:val="21"/>
        </w:rPr>
        <w:t xml:space="preserve">联系电话： 13851315199 </w:t>
      </w:r>
    </w:p>
    <w:p w14:paraId="193B1E00">
      <w:pPr>
        <w:widowControl/>
        <w:spacing w:line="500" w:lineRule="exact"/>
        <w:ind w:firstLine="482"/>
        <w:jc w:val="left"/>
        <w:outlineLvl w:val="1"/>
        <w:rPr>
          <w:rFonts w:hint="eastAsia" w:ascii="宋体" w:hAnsi="宋体" w:cs="宋体"/>
          <w:bCs/>
          <w:szCs w:val="21"/>
        </w:rPr>
      </w:pPr>
      <w:r>
        <w:rPr>
          <w:rFonts w:hint="eastAsia" w:ascii="宋体" w:hAnsi="宋体" w:cs="宋体"/>
          <w:bCs/>
          <w:szCs w:val="21"/>
        </w:rPr>
        <w:t>2、招标代理机构信息</w:t>
      </w:r>
    </w:p>
    <w:p w14:paraId="0BFA9B94">
      <w:pPr>
        <w:widowControl/>
        <w:spacing w:line="500" w:lineRule="exact"/>
        <w:ind w:firstLine="482"/>
        <w:jc w:val="left"/>
        <w:outlineLvl w:val="1"/>
        <w:rPr>
          <w:rFonts w:hint="eastAsia" w:ascii="宋体" w:hAnsi="宋体" w:cs="宋体"/>
          <w:bCs/>
          <w:szCs w:val="21"/>
        </w:rPr>
      </w:pPr>
      <w:r>
        <w:rPr>
          <w:rFonts w:hint="eastAsia" w:ascii="宋体" w:hAnsi="宋体" w:cs="宋体"/>
          <w:bCs/>
          <w:szCs w:val="21"/>
        </w:rPr>
        <w:t>招标代理机构：江苏中线行项目管理有限公司</w:t>
      </w:r>
    </w:p>
    <w:p w14:paraId="282F2B5F">
      <w:pPr>
        <w:widowControl/>
        <w:spacing w:line="500" w:lineRule="exact"/>
        <w:ind w:firstLine="482"/>
        <w:jc w:val="left"/>
        <w:outlineLvl w:val="1"/>
        <w:rPr>
          <w:rFonts w:hint="eastAsia" w:ascii="宋体" w:hAnsi="宋体" w:cs="宋体"/>
          <w:bCs/>
          <w:szCs w:val="21"/>
        </w:rPr>
      </w:pPr>
      <w:r>
        <w:rPr>
          <w:rFonts w:hint="eastAsia" w:ascii="宋体" w:hAnsi="宋体" w:cs="宋体"/>
          <w:bCs/>
          <w:szCs w:val="21"/>
        </w:rPr>
        <w:t>联系地址：盐城市大丰区东方一号创意小镇9—1栋409室</w:t>
      </w:r>
    </w:p>
    <w:p w14:paraId="349FB49A">
      <w:pPr>
        <w:widowControl/>
        <w:spacing w:line="500" w:lineRule="exact"/>
        <w:ind w:firstLine="482"/>
        <w:jc w:val="left"/>
        <w:outlineLvl w:val="1"/>
        <w:rPr>
          <w:rFonts w:hint="eastAsia" w:ascii="宋体" w:hAnsi="宋体" w:cs="宋体"/>
          <w:bCs/>
          <w:szCs w:val="21"/>
        </w:rPr>
      </w:pPr>
      <w:r>
        <w:rPr>
          <w:rFonts w:hint="eastAsia" w:ascii="宋体" w:hAnsi="宋体" w:cs="宋体"/>
          <w:bCs/>
          <w:szCs w:val="21"/>
        </w:rPr>
        <w:t>联 系 人：顾萍萍</w:t>
      </w:r>
    </w:p>
    <w:p w14:paraId="6DE050A8">
      <w:pPr>
        <w:widowControl/>
        <w:spacing w:line="500" w:lineRule="exact"/>
        <w:ind w:firstLine="482"/>
        <w:jc w:val="left"/>
        <w:outlineLvl w:val="1"/>
        <w:rPr>
          <w:rFonts w:hint="eastAsia" w:ascii="宋体" w:hAnsi="宋体" w:cs="宋体"/>
          <w:bCs/>
          <w:szCs w:val="21"/>
        </w:rPr>
      </w:pPr>
      <w:r>
        <w:rPr>
          <w:rFonts w:hint="eastAsia" w:ascii="宋体" w:hAnsi="宋体" w:cs="宋体"/>
          <w:bCs/>
          <w:szCs w:val="21"/>
        </w:rPr>
        <w:t>联系电话：0515-66882258，拨9转821</w:t>
      </w:r>
    </w:p>
    <w:p w14:paraId="51833FA1">
      <w:pPr>
        <w:pStyle w:val="254"/>
        <w:spacing w:line="600" w:lineRule="exact"/>
        <w:rPr>
          <w:rFonts w:hint="eastAsia"/>
        </w:rPr>
      </w:pPr>
      <w:r>
        <w:rPr/>
        <w:br w:type="page" w:clear="all"/>
      </w:r>
      <w:bookmarkEnd w:id="5"/>
      <w:bookmarkEnd w:id="6"/>
      <w:bookmarkEnd w:id="18"/>
      <w:bookmarkEnd w:id="19"/>
      <w:bookmarkStart w:id="20" w:name="_Toc397928547"/>
      <w:bookmarkStart w:id="21" w:name="_Toc368759512"/>
      <w:bookmarkStart w:id="22" w:name="_Toc369077558"/>
      <w:bookmarkStart w:id="23" w:name="_Toc387526177"/>
      <w:bookmarkStart w:id="24" w:name="_Toc387526373"/>
      <w:bookmarkStart w:id="25" w:name="_Toc498782231"/>
      <w:bookmarkStart w:id="26" w:name="_Toc363326679"/>
      <w:bookmarkStart w:id="27" w:name="_Toc6770"/>
      <w:bookmarkStart w:id="28" w:name="_Toc184635069"/>
      <w:bookmarkStart w:id="29" w:name="_Toc387526281"/>
      <w:r>
        <w:rPr>
          <w:rFonts w:ascii="Times New Roman" w:hAnsi="Times New Roman" w:cs="Times New Roman"/>
          <w:sz w:val="44"/>
          <w:szCs w:val="44"/>
        </w:rPr>
        <w:t>第二章  投标人须知</w:t>
      </w:r>
      <w:bookmarkEnd w:id="20"/>
      <w:bookmarkEnd w:id="21"/>
      <w:bookmarkEnd w:id="22"/>
      <w:bookmarkEnd w:id="23"/>
      <w:bookmarkEnd w:id="24"/>
      <w:bookmarkEnd w:id="25"/>
      <w:bookmarkEnd w:id="26"/>
      <w:bookmarkEnd w:id="27"/>
      <w:bookmarkEnd w:id="28"/>
      <w:bookmarkEnd w:id="29"/>
    </w:p>
    <w:p w14:paraId="332CF468">
      <w:pPr>
        <w:pStyle w:val="254"/>
        <w:spacing w:line="600" w:lineRule="exact"/>
        <w:jc w:val="left"/>
        <w:rPr>
          <w:rFonts w:hint="eastAsia" w:ascii="宋体" w:hAnsi="宋体" w:cs="Times New Roman"/>
          <w:bCs w:val="0"/>
          <w:sz w:val="21"/>
          <w:szCs w:val="21"/>
        </w:rPr>
      </w:pPr>
      <w:bookmarkStart w:id="30" w:name="_Toc387526178"/>
      <w:bookmarkStart w:id="31" w:name="_Toc387526282"/>
      <w:bookmarkStart w:id="32" w:name="_Toc16205"/>
      <w:bookmarkStart w:id="33" w:name="_Toc387526374"/>
      <w:bookmarkStart w:id="34" w:name="_Toc498782232"/>
      <w:bookmarkStart w:id="35" w:name="_Toc369077559"/>
      <w:bookmarkStart w:id="36" w:name="_Toc397928548"/>
      <w:r>
        <w:rPr>
          <w:rFonts w:hint="eastAsia" w:ascii="宋体" w:hAnsi="宋体" w:cs="Times New Roman"/>
          <w:bCs w:val="0"/>
          <w:sz w:val="21"/>
          <w:szCs w:val="21"/>
        </w:rPr>
        <w:t>一、</w:t>
      </w:r>
      <w:r>
        <w:rPr>
          <w:rFonts w:ascii="宋体" w:hAnsi="宋体" w:cs="Times New Roman"/>
          <w:bCs w:val="0"/>
          <w:sz w:val="21"/>
          <w:szCs w:val="21"/>
        </w:rPr>
        <w:t>投标人须知前附表</w:t>
      </w:r>
      <w:bookmarkEnd w:id="30"/>
      <w:bookmarkEnd w:id="31"/>
      <w:bookmarkEnd w:id="32"/>
      <w:bookmarkEnd w:id="33"/>
      <w:bookmarkEnd w:id="34"/>
      <w:bookmarkEnd w:id="35"/>
      <w:bookmarkEnd w:id="36"/>
    </w:p>
    <w:tbl>
      <w:tblPr>
        <w:tblStyle w:val="35"/>
        <w:tblW w:w="97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44"/>
        <w:gridCol w:w="2533"/>
        <w:gridCol w:w="6127"/>
      </w:tblGrid>
      <w:tr w14:paraId="2304E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044" w:type="dxa"/>
            <w:vAlign w:val="center"/>
          </w:tcPr>
          <w:p w14:paraId="5EA9095B">
            <w:pPr>
              <w:jc w:val="center"/>
              <w:rPr>
                <w:rFonts w:hint="eastAsia" w:ascii="宋体" w:hAnsi="宋体"/>
                <w:b/>
                <w:color w:val="000000"/>
                <w:szCs w:val="21"/>
              </w:rPr>
            </w:pPr>
            <w:r>
              <w:rPr>
                <w:rFonts w:hint="eastAsia" w:ascii="宋体" w:hAnsi="宋体"/>
                <w:b/>
                <w:color w:val="000000"/>
                <w:szCs w:val="21"/>
              </w:rPr>
              <w:t>序号</w:t>
            </w:r>
          </w:p>
        </w:tc>
        <w:tc>
          <w:tcPr>
            <w:tcW w:w="2533" w:type="dxa"/>
            <w:vAlign w:val="center"/>
          </w:tcPr>
          <w:p w14:paraId="15D8BE27">
            <w:pPr>
              <w:jc w:val="center"/>
              <w:rPr>
                <w:rFonts w:hint="eastAsia" w:ascii="宋体" w:hAnsi="宋体"/>
                <w:b/>
                <w:color w:val="000000"/>
                <w:szCs w:val="21"/>
              </w:rPr>
            </w:pPr>
            <w:r>
              <w:rPr>
                <w:rFonts w:ascii="宋体" w:hAnsi="宋体"/>
                <w:b/>
                <w:color w:val="000000"/>
                <w:szCs w:val="21"/>
              </w:rPr>
              <w:t>条 款 名 称</w:t>
            </w:r>
          </w:p>
        </w:tc>
        <w:tc>
          <w:tcPr>
            <w:tcW w:w="6127" w:type="dxa"/>
            <w:vAlign w:val="center"/>
          </w:tcPr>
          <w:p w14:paraId="3703ACB2">
            <w:pPr>
              <w:jc w:val="center"/>
              <w:rPr>
                <w:rFonts w:hint="eastAsia" w:ascii="宋体" w:hAnsi="宋体"/>
                <w:b/>
                <w:color w:val="000000"/>
                <w:szCs w:val="21"/>
              </w:rPr>
            </w:pPr>
            <w:r>
              <w:rPr>
                <w:rFonts w:ascii="宋体" w:hAnsi="宋体"/>
                <w:b/>
                <w:color w:val="000000"/>
                <w:szCs w:val="21"/>
              </w:rPr>
              <w:t>编 列 内 容</w:t>
            </w:r>
          </w:p>
        </w:tc>
      </w:tr>
      <w:tr w14:paraId="65F94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1044" w:type="dxa"/>
            <w:vAlign w:val="center"/>
          </w:tcPr>
          <w:p w14:paraId="0E8F0AF5">
            <w:pPr>
              <w:jc w:val="center"/>
              <w:rPr>
                <w:rFonts w:hint="eastAsia" w:ascii="宋体" w:hAnsi="宋体"/>
                <w:color w:val="000000"/>
                <w:szCs w:val="21"/>
              </w:rPr>
            </w:pPr>
            <w:r>
              <w:rPr>
                <w:rFonts w:ascii="宋体" w:hAnsi="宋体"/>
                <w:color w:val="000000"/>
                <w:szCs w:val="21"/>
              </w:rPr>
              <w:t>1</w:t>
            </w:r>
          </w:p>
        </w:tc>
        <w:tc>
          <w:tcPr>
            <w:tcW w:w="2533" w:type="dxa"/>
            <w:vAlign w:val="center"/>
          </w:tcPr>
          <w:p w14:paraId="20A41506">
            <w:pPr>
              <w:rPr>
                <w:rFonts w:hint="eastAsia" w:ascii="宋体" w:hAnsi="宋体"/>
                <w:szCs w:val="21"/>
              </w:rPr>
            </w:pPr>
            <w:r>
              <w:rPr>
                <w:rFonts w:ascii="宋体" w:hAnsi="宋体"/>
                <w:szCs w:val="21"/>
              </w:rPr>
              <w:t>招标人</w:t>
            </w:r>
          </w:p>
        </w:tc>
        <w:tc>
          <w:tcPr>
            <w:tcW w:w="6127" w:type="dxa"/>
            <w:vAlign w:val="center"/>
          </w:tcPr>
          <w:p w14:paraId="51C74D9D">
            <w:pPr>
              <w:spacing w:line="480" w:lineRule="exact"/>
              <w:rPr>
                <w:rFonts w:hint="eastAsia" w:ascii="宋体" w:hAnsi="宋体"/>
                <w:szCs w:val="21"/>
              </w:rPr>
            </w:pPr>
            <w:r>
              <w:rPr>
                <w:rFonts w:hint="eastAsia" w:ascii="宋体" w:hAnsi="宋体"/>
                <w:szCs w:val="21"/>
              </w:rPr>
              <w:t>江苏大丰港经济开发区管理委员会</w:t>
            </w:r>
          </w:p>
        </w:tc>
      </w:tr>
      <w:tr w14:paraId="7520C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1044" w:type="dxa"/>
            <w:vAlign w:val="center"/>
          </w:tcPr>
          <w:p w14:paraId="287E491F">
            <w:pPr>
              <w:jc w:val="center"/>
              <w:rPr>
                <w:rFonts w:hint="eastAsia" w:ascii="宋体" w:hAnsi="宋体"/>
                <w:color w:val="000000"/>
                <w:szCs w:val="21"/>
              </w:rPr>
            </w:pPr>
            <w:r>
              <w:rPr>
                <w:rFonts w:ascii="宋体" w:hAnsi="宋体"/>
                <w:color w:val="000000"/>
                <w:szCs w:val="21"/>
              </w:rPr>
              <w:t>2</w:t>
            </w:r>
          </w:p>
        </w:tc>
        <w:tc>
          <w:tcPr>
            <w:tcW w:w="2533" w:type="dxa"/>
            <w:vAlign w:val="center"/>
          </w:tcPr>
          <w:p w14:paraId="0FC7E42F">
            <w:pPr>
              <w:rPr>
                <w:rFonts w:hint="eastAsia" w:ascii="宋体" w:hAnsi="宋体"/>
                <w:szCs w:val="21"/>
              </w:rPr>
            </w:pPr>
            <w:r>
              <w:rPr>
                <w:rFonts w:ascii="宋体" w:hAnsi="宋体"/>
                <w:szCs w:val="21"/>
              </w:rPr>
              <w:t>招标代理机构</w:t>
            </w:r>
          </w:p>
        </w:tc>
        <w:tc>
          <w:tcPr>
            <w:tcW w:w="6127" w:type="dxa"/>
            <w:vAlign w:val="center"/>
          </w:tcPr>
          <w:p w14:paraId="0289A237">
            <w:pPr>
              <w:spacing w:line="480" w:lineRule="exact"/>
              <w:rPr>
                <w:rFonts w:hint="eastAsia" w:ascii="宋体" w:hAnsi="宋体"/>
                <w:szCs w:val="21"/>
              </w:rPr>
            </w:pPr>
            <w:r>
              <w:rPr>
                <w:rFonts w:hint="eastAsia" w:ascii="宋体" w:hAnsi="宋体"/>
                <w:szCs w:val="21"/>
              </w:rPr>
              <w:t>江苏中线行项目管理有限公司</w:t>
            </w:r>
          </w:p>
        </w:tc>
      </w:tr>
      <w:tr w14:paraId="6F623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1044" w:type="dxa"/>
            <w:vAlign w:val="center"/>
          </w:tcPr>
          <w:p w14:paraId="04BA29BC">
            <w:pPr>
              <w:jc w:val="center"/>
              <w:rPr>
                <w:rFonts w:hint="eastAsia" w:ascii="宋体" w:hAnsi="宋体"/>
                <w:color w:val="000000"/>
                <w:szCs w:val="21"/>
              </w:rPr>
            </w:pPr>
            <w:r>
              <w:rPr>
                <w:rFonts w:ascii="宋体" w:hAnsi="宋体"/>
                <w:color w:val="000000"/>
                <w:szCs w:val="21"/>
              </w:rPr>
              <w:t>3</w:t>
            </w:r>
          </w:p>
        </w:tc>
        <w:tc>
          <w:tcPr>
            <w:tcW w:w="2533" w:type="dxa"/>
            <w:vAlign w:val="center"/>
          </w:tcPr>
          <w:p w14:paraId="74DFD1CF">
            <w:pPr>
              <w:rPr>
                <w:rFonts w:hint="eastAsia" w:ascii="宋体" w:hAnsi="宋体"/>
                <w:szCs w:val="21"/>
              </w:rPr>
            </w:pPr>
            <w:r>
              <w:rPr>
                <w:rFonts w:ascii="宋体" w:hAnsi="宋体"/>
                <w:szCs w:val="21"/>
              </w:rPr>
              <w:t>项目名称</w:t>
            </w:r>
          </w:p>
        </w:tc>
        <w:tc>
          <w:tcPr>
            <w:tcW w:w="6127" w:type="dxa"/>
            <w:vAlign w:val="center"/>
          </w:tcPr>
          <w:p w14:paraId="4980DB19">
            <w:pPr>
              <w:spacing w:line="480" w:lineRule="exact"/>
              <w:rPr>
                <w:rFonts w:hint="eastAsia" w:ascii="宋体" w:hAnsi="宋体"/>
                <w:szCs w:val="21"/>
              </w:rPr>
            </w:pPr>
            <w:r>
              <w:rPr>
                <w:rFonts w:hint="eastAsia" w:ascii="宋体" w:hAnsi="宋体"/>
                <w:color w:val="000000"/>
                <w:szCs w:val="21"/>
              </w:rPr>
              <w:t>大丰港石化新材料产业园环境监控设备运维服务项目（2026-2027）</w:t>
            </w:r>
          </w:p>
        </w:tc>
      </w:tr>
      <w:tr w14:paraId="6D138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1044" w:type="dxa"/>
            <w:vAlign w:val="center"/>
          </w:tcPr>
          <w:p w14:paraId="255746C0">
            <w:pPr>
              <w:jc w:val="center"/>
              <w:rPr>
                <w:rFonts w:hint="eastAsia" w:ascii="宋体" w:hAnsi="宋体"/>
                <w:color w:val="000000"/>
                <w:szCs w:val="21"/>
              </w:rPr>
            </w:pPr>
            <w:r>
              <w:rPr>
                <w:rFonts w:ascii="宋体" w:hAnsi="宋体"/>
                <w:color w:val="000000"/>
                <w:szCs w:val="21"/>
              </w:rPr>
              <w:t>4</w:t>
            </w:r>
          </w:p>
        </w:tc>
        <w:tc>
          <w:tcPr>
            <w:tcW w:w="2533" w:type="dxa"/>
            <w:vAlign w:val="center"/>
          </w:tcPr>
          <w:p w14:paraId="204200B4">
            <w:pPr>
              <w:rPr>
                <w:rFonts w:hint="eastAsia" w:ascii="宋体" w:hAnsi="宋体"/>
                <w:szCs w:val="21"/>
              </w:rPr>
            </w:pPr>
            <w:r>
              <w:rPr>
                <w:rFonts w:ascii="宋体" w:hAnsi="宋体"/>
                <w:szCs w:val="21"/>
              </w:rPr>
              <w:t>资金来源</w:t>
            </w:r>
          </w:p>
        </w:tc>
        <w:tc>
          <w:tcPr>
            <w:tcW w:w="6127" w:type="dxa"/>
            <w:vAlign w:val="center"/>
          </w:tcPr>
          <w:p w14:paraId="1F21C1C6">
            <w:pPr>
              <w:widowControl/>
              <w:spacing w:line="480" w:lineRule="exact"/>
              <w:jc w:val="left"/>
              <w:rPr>
                <w:rFonts w:hint="eastAsia" w:ascii="宋体" w:hAnsi="宋体" w:cs="宋体"/>
                <w:szCs w:val="21"/>
              </w:rPr>
            </w:pPr>
            <w:r>
              <w:rPr>
                <w:rFonts w:hint="eastAsia" w:ascii="宋体" w:hAnsi="宋体" w:cs="宋体"/>
                <w:szCs w:val="21"/>
              </w:rPr>
              <w:t>财政性资金</w:t>
            </w:r>
          </w:p>
        </w:tc>
      </w:tr>
      <w:tr w14:paraId="2ED2F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1044" w:type="dxa"/>
            <w:vAlign w:val="center"/>
          </w:tcPr>
          <w:p w14:paraId="224494AD">
            <w:pPr>
              <w:jc w:val="center"/>
              <w:rPr>
                <w:rFonts w:hint="eastAsia" w:ascii="宋体" w:hAnsi="宋体"/>
                <w:color w:val="000000"/>
                <w:szCs w:val="21"/>
              </w:rPr>
            </w:pPr>
            <w:r>
              <w:rPr>
                <w:rFonts w:ascii="宋体" w:hAnsi="宋体"/>
                <w:color w:val="000000"/>
                <w:szCs w:val="21"/>
              </w:rPr>
              <w:t>5</w:t>
            </w:r>
          </w:p>
        </w:tc>
        <w:tc>
          <w:tcPr>
            <w:tcW w:w="2533" w:type="dxa"/>
            <w:vAlign w:val="center"/>
          </w:tcPr>
          <w:p w14:paraId="3C087482">
            <w:pPr>
              <w:rPr>
                <w:rFonts w:hint="eastAsia" w:ascii="宋体" w:hAnsi="宋体"/>
                <w:szCs w:val="21"/>
              </w:rPr>
            </w:pPr>
            <w:r>
              <w:rPr>
                <w:rFonts w:hint="eastAsia" w:ascii="宋体" w:hAnsi="宋体"/>
                <w:szCs w:val="21"/>
              </w:rPr>
              <w:t>出资比例</w:t>
            </w:r>
          </w:p>
        </w:tc>
        <w:tc>
          <w:tcPr>
            <w:tcW w:w="6127" w:type="dxa"/>
            <w:vAlign w:val="center"/>
          </w:tcPr>
          <w:p w14:paraId="2B6A79E4">
            <w:pPr>
              <w:spacing w:line="480" w:lineRule="exact"/>
              <w:rPr>
                <w:rFonts w:hint="eastAsia" w:ascii="宋体" w:hAnsi="宋体"/>
                <w:szCs w:val="21"/>
              </w:rPr>
            </w:pPr>
            <w:r>
              <w:rPr>
                <w:rFonts w:hint="eastAsia" w:ascii="宋体" w:hAnsi="宋体"/>
                <w:szCs w:val="21"/>
              </w:rPr>
              <w:t>100%</w:t>
            </w:r>
          </w:p>
        </w:tc>
      </w:tr>
      <w:tr w14:paraId="76CC4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1044" w:type="dxa"/>
            <w:vAlign w:val="center"/>
          </w:tcPr>
          <w:p w14:paraId="6D84B504">
            <w:pPr>
              <w:jc w:val="center"/>
              <w:rPr>
                <w:rFonts w:hint="eastAsia" w:ascii="宋体" w:hAnsi="宋体"/>
                <w:color w:val="000000"/>
                <w:szCs w:val="21"/>
              </w:rPr>
            </w:pPr>
            <w:r>
              <w:rPr>
                <w:rFonts w:ascii="宋体" w:hAnsi="宋体"/>
                <w:color w:val="000000"/>
                <w:szCs w:val="21"/>
              </w:rPr>
              <w:t>6</w:t>
            </w:r>
          </w:p>
        </w:tc>
        <w:tc>
          <w:tcPr>
            <w:tcW w:w="2533" w:type="dxa"/>
            <w:vAlign w:val="center"/>
          </w:tcPr>
          <w:p w14:paraId="1721532A">
            <w:pPr>
              <w:rPr>
                <w:rFonts w:hint="eastAsia" w:ascii="宋体" w:hAnsi="宋体"/>
                <w:szCs w:val="21"/>
              </w:rPr>
            </w:pPr>
            <w:r>
              <w:rPr>
                <w:rFonts w:ascii="宋体" w:hAnsi="宋体"/>
                <w:szCs w:val="21"/>
              </w:rPr>
              <w:t>资金落实情况</w:t>
            </w:r>
          </w:p>
        </w:tc>
        <w:tc>
          <w:tcPr>
            <w:tcW w:w="6127" w:type="dxa"/>
            <w:vAlign w:val="center"/>
          </w:tcPr>
          <w:p w14:paraId="74803DB5">
            <w:pPr>
              <w:spacing w:line="480" w:lineRule="exact"/>
              <w:rPr>
                <w:rFonts w:hint="eastAsia" w:ascii="宋体" w:hAnsi="宋体"/>
                <w:szCs w:val="21"/>
              </w:rPr>
            </w:pPr>
            <w:r>
              <w:rPr>
                <w:rFonts w:hint="eastAsia" w:ascii="宋体" w:hAnsi="宋体"/>
                <w:szCs w:val="21"/>
              </w:rPr>
              <w:t>已落实</w:t>
            </w:r>
          </w:p>
        </w:tc>
      </w:tr>
      <w:tr w14:paraId="2A2FA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1044" w:type="dxa"/>
            <w:vAlign w:val="center"/>
          </w:tcPr>
          <w:p w14:paraId="159656A6">
            <w:pPr>
              <w:jc w:val="center"/>
              <w:rPr>
                <w:rFonts w:hint="eastAsia" w:ascii="宋体" w:hAnsi="宋体"/>
                <w:color w:val="000000"/>
                <w:szCs w:val="21"/>
              </w:rPr>
            </w:pPr>
            <w:r>
              <w:rPr>
                <w:rFonts w:ascii="宋体" w:hAnsi="宋体"/>
                <w:color w:val="000000"/>
                <w:szCs w:val="21"/>
              </w:rPr>
              <w:t>7</w:t>
            </w:r>
          </w:p>
        </w:tc>
        <w:tc>
          <w:tcPr>
            <w:tcW w:w="2533" w:type="dxa"/>
            <w:vAlign w:val="center"/>
          </w:tcPr>
          <w:p w14:paraId="4386D8F9">
            <w:pPr>
              <w:rPr>
                <w:rFonts w:hint="eastAsia" w:ascii="宋体" w:hAnsi="宋体"/>
                <w:szCs w:val="21"/>
              </w:rPr>
            </w:pPr>
            <w:r>
              <w:rPr>
                <w:rFonts w:hint="eastAsia" w:ascii="宋体" w:hAnsi="宋体"/>
                <w:szCs w:val="21"/>
              </w:rPr>
              <w:t>采购内容</w:t>
            </w:r>
          </w:p>
        </w:tc>
        <w:tc>
          <w:tcPr>
            <w:tcW w:w="6127" w:type="dxa"/>
            <w:vAlign w:val="center"/>
          </w:tcPr>
          <w:p w14:paraId="1248127A">
            <w:pPr>
              <w:widowControl/>
              <w:spacing w:line="480" w:lineRule="exact"/>
              <w:jc w:val="left"/>
              <w:rPr>
                <w:rFonts w:hint="eastAsia" w:ascii="宋体" w:hAnsi="宋体"/>
                <w:szCs w:val="21"/>
                <w:u w:val="single"/>
              </w:rPr>
            </w:pPr>
            <w:r>
              <w:rPr>
                <w:rFonts w:hint="eastAsia" w:ascii="宋体" w:hAnsi="宋体"/>
                <w:color w:val="000000"/>
                <w:szCs w:val="21"/>
              </w:rPr>
              <w:t>根据相关要求完成对园区环境空气、地表水自动监测子站监测仪器、气象仪器、质控设备、数据采集与传输设备、辅助设备、防雷等基础设施的日常维护、质量控制、故障维修、年度检修、应急、站房管理与维护、数据审核等工作。具体详见招标文件第五章采购需求。</w:t>
            </w:r>
          </w:p>
        </w:tc>
      </w:tr>
      <w:tr w14:paraId="53202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044" w:type="dxa"/>
            <w:vAlign w:val="center"/>
          </w:tcPr>
          <w:p w14:paraId="0029A7FA">
            <w:pPr>
              <w:jc w:val="center"/>
              <w:rPr>
                <w:rFonts w:hint="eastAsia" w:ascii="宋体" w:hAnsi="宋体"/>
                <w:color w:val="000000"/>
                <w:szCs w:val="21"/>
              </w:rPr>
            </w:pPr>
            <w:r>
              <w:rPr>
                <w:rFonts w:ascii="宋体" w:hAnsi="宋体"/>
                <w:color w:val="000000"/>
                <w:szCs w:val="21"/>
              </w:rPr>
              <w:t>8</w:t>
            </w:r>
          </w:p>
        </w:tc>
        <w:tc>
          <w:tcPr>
            <w:tcW w:w="2533" w:type="dxa"/>
            <w:vAlign w:val="center"/>
          </w:tcPr>
          <w:p w14:paraId="591DCE67">
            <w:pPr>
              <w:rPr>
                <w:rFonts w:hint="eastAsia" w:ascii="宋体" w:hAnsi="宋体"/>
                <w:szCs w:val="21"/>
              </w:rPr>
            </w:pPr>
            <w:r>
              <w:rPr>
                <w:rFonts w:hint="eastAsia" w:ascii="宋体" w:hAnsi="宋体"/>
                <w:szCs w:val="21"/>
              </w:rPr>
              <w:t>合同履行期间</w:t>
            </w:r>
          </w:p>
        </w:tc>
        <w:tc>
          <w:tcPr>
            <w:tcW w:w="6127" w:type="dxa"/>
            <w:vAlign w:val="center"/>
          </w:tcPr>
          <w:p w14:paraId="030604EE">
            <w:pPr>
              <w:widowControl/>
              <w:spacing w:line="480" w:lineRule="exact"/>
              <w:ind w:firstLine="420"/>
              <w:jc w:val="left"/>
              <w:rPr>
                <w:rFonts w:hint="eastAsia" w:hAnsi="宋体"/>
                <w:sz w:val="18"/>
                <w:szCs w:val="18"/>
              </w:rPr>
            </w:pPr>
            <w:r>
              <w:rPr>
                <w:rFonts w:hint="eastAsia" w:ascii="宋体" w:hAnsi="宋体"/>
                <w:szCs w:val="21"/>
              </w:rPr>
              <w:t>两年，自签订合同之日起算。其中试用期3个月，如试用期不符合甲方要求的，甲方有权解除合同，不予支付任何费用。服务期内，招标人对中标人的服务质量根据本项目招标文件、考核要求、合同及国家、省、市现行相关的法律法规按季度进行考核，如有连续2次、累计3次达不到考核标准，招标人有权解除合同，中标人须无条件接受，并在收到书面终止服务通知后10个工作日内无条件撤离，如不能按期撤离，则按违约金500元/天由招标人在合同价款中扣除。</w:t>
            </w:r>
          </w:p>
        </w:tc>
      </w:tr>
      <w:tr w14:paraId="3AB31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044" w:type="dxa"/>
            <w:vAlign w:val="center"/>
          </w:tcPr>
          <w:p w14:paraId="12C4DA9A">
            <w:pPr>
              <w:jc w:val="center"/>
              <w:rPr>
                <w:rFonts w:hint="eastAsia" w:ascii="宋体" w:hAnsi="宋体"/>
                <w:color w:val="000000"/>
                <w:szCs w:val="21"/>
              </w:rPr>
            </w:pPr>
            <w:r>
              <w:rPr>
                <w:rFonts w:ascii="宋体" w:hAnsi="宋体"/>
                <w:color w:val="000000"/>
                <w:szCs w:val="21"/>
              </w:rPr>
              <w:t>9</w:t>
            </w:r>
          </w:p>
        </w:tc>
        <w:tc>
          <w:tcPr>
            <w:tcW w:w="2533" w:type="dxa"/>
            <w:vAlign w:val="center"/>
          </w:tcPr>
          <w:p w14:paraId="25030ACE">
            <w:pPr>
              <w:rPr>
                <w:rFonts w:hint="eastAsia" w:ascii="宋体" w:hAnsi="宋体"/>
                <w:szCs w:val="21"/>
              </w:rPr>
            </w:pPr>
            <w:r>
              <w:rPr>
                <w:rFonts w:ascii="宋体" w:hAnsi="宋体"/>
                <w:szCs w:val="21"/>
              </w:rPr>
              <w:t>服务地点</w:t>
            </w:r>
          </w:p>
        </w:tc>
        <w:tc>
          <w:tcPr>
            <w:tcW w:w="6127" w:type="dxa"/>
            <w:vAlign w:val="center"/>
          </w:tcPr>
          <w:p w14:paraId="00C257E8">
            <w:pPr>
              <w:spacing w:line="480" w:lineRule="exact"/>
              <w:rPr>
                <w:rFonts w:hint="eastAsia" w:ascii="宋体" w:hAnsi="宋体"/>
                <w:szCs w:val="21"/>
              </w:rPr>
            </w:pPr>
            <w:r>
              <w:rPr>
                <w:rFonts w:hint="eastAsia" w:ascii="宋体" w:hAnsi="宋体"/>
                <w:szCs w:val="21"/>
              </w:rPr>
              <w:t>采购人指定地点</w:t>
            </w:r>
          </w:p>
        </w:tc>
      </w:tr>
      <w:tr w14:paraId="4BC4A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6" w:hRule="atLeast"/>
          <w:jc w:val="center"/>
        </w:trPr>
        <w:tc>
          <w:tcPr>
            <w:tcW w:w="1044" w:type="dxa"/>
            <w:vAlign w:val="center"/>
          </w:tcPr>
          <w:p w14:paraId="034529C2">
            <w:pPr>
              <w:jc w:val="center"/>
              <w:rPr>
                <w:rFonts w:hint="eastAsia" w:ascii="宋体" w:hAnsi="宋体"/>
                <w:color w:val="000000"/>
                <w:szCs w:val="21"/>
              </w:rPr>
            </w:pPr>
            <w:r>
              <w:rPr>
                <w:rFonts w:ascii="宋体" w:hAnsi="宋体"/>
                <w:color w:val="000000"/>
                <w:szCs w:val="21"/>
              </w:rPr>
              <w:t>10</w:t>
            </w:r>
          </w:p>
        </w:tc>
        <w:tc>
          <w:tcPr>
            <w:tcW w:w="2533" w:type="dxa"/>
            <w:vAlign w:val="center"/>
          </w:tcPr>
          <w:p w14:paraId="0F5F9CF2">
            <w:pPr>
              <w:rPr>
                <w:rFonts w:hint="eastAsia" w:ascii="宋体" w:hAnsi="宋体"/>
                <w:color w:val="000000"/>
                <w:szCs w:val="21"/>
              </w:rPr>
            </w:pPr>
            <w:r>
              <w:rPr>
                <w:rFonts w:ascii="宋体" w:hAnsi="宋体"/>
                <w:color w:val="000000"/>
                <w:szCs w:val="21"/>
              </w:rPr>
              <w:t>质量</w:t>
            </w:r>
            <w:r>
              <w:rPr>
                <w:rFonts w:hint="eastAsia" w:ascii="宋体" w:hAnsi="宋体"/>
                <w:color w:val="000000"/>
                <w:szCs w:val="21"/>
              </w:rPr>
              <w:t>要求</w:t>
            </w:r>
          </w:p>
        </w:tc>
        <w:tc>
          <w:tcPr>
            <w:tcW w:w="6127" w:type="dxa"/>
            <w:vAlign w:val="center"/>
          </w:tcPr>
          <w:p w14:paraId="62149C7F">
            <w:pPr>
              <w:spacing w:line="480" w:lineRule="exact"/>
              <w:contextualSpacing/>
            </w:pPr>
            <w:r>
              <w:rPr>
                <w:rFonts w:hint="eastAsia" w:ascii="宋体" w:hAnsi="宋体"/>
                <w:szCs w:val="21"/>
              </w:rPr>
              <w:t>质量要求：满足招标人的考核标准（考核标准详见附件）</w:t>
            </w:r>
          </w:p>
        </w:tc>
      </w:tr>
      <w:tr w14:paraId="328EE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jc w:val="center"/>
        </w:trPr>
        <w:tc>
          <w:tcPr>
            <w:tcW w:w="1044" w:type="dxa"/>
            <w:vAlign w:val="center"/>
          </w:tcPr>
          <w:p w14:paraId="526A14BF">
            <w:pPr>
              <w:jc w:val="center"/>
              <w:rPr>
                <w:rFonts w:hint="eastAsia" w:ascii="宋体" w:hAnsi="宋体"/>
                <w:color w:val="000000"/>
                <w:szCs w:val="21"/>
              </w:rPr>
            </w:pPr>
            <w:r>
              <w:rPr>
                <w:rFonts w:ascii="宋体" w:hAnsi="宋体"/>
                <w:color w:val="000000"/>
                <w:szCs w:val="21"/>
              </w:rPr>
              <w:t>11</w:t>
            </w:r>
          </w:p>
        </w:tc>
        <w:tc>
          <w:tcPr>
            <w:tcW w:w="2533" w:type="dxa"/>
            <w:vAlign w:val="center"/>
          </w:tcPr>
          <w:p w14:paraId="4AAAB655">
            <w:pPr>
              <w:rPr>
                <w:rFonts w:hint="eastAsia" w:ascii="宋体" w:hAnsi="宋体"/>
                <w:color w:val="000000"/>
                <w:szCs w:val="21"/>
              </w:rPr>
            </w:pPr>
            <w:r>
              <w:rPr>
                <w:rFonts w:ascii="宋体" w:hAnsi="宋体"/>
                <w:color w:val="000000"/>
                <w:szCs w:val="21"/>
              </w:rPr>
              <w:t>投标人资格要求</w:t>
            </w:r>
          </w:p>
        </w:tc>
        <w:tc>
          <w:tcPr>
            <w:tcW w:w="6127" w:type="dxa"/>
            <w:vAlign w:val="center"/>
          </w:tcPr>
          <w:p w14:paraId="1221B7A5">
            <w:pPr>
              <w:spacing w:line="480" w:lineRule="exact"/>
              <w:rPr>
                <w:rFonts w:hint="eastAsia" w:ascii="宋体" w:hAnsi="宋体"/>
                <w:color w:val="000000"/>
                <w:szCs w:val="21"/>
              </w:rPr>
            </w:pPr>
            <w:r>
              <w:rPr>
                <w:rFonts w:hint="eastAsia" w:ascii="宋体" w:hAnsi="宋体"/>
                <w:color w:val="000000"/>
                <w:szCs w:val="21"/>
              </w:rPr>
              <w:t>见招标公告</w:t>
            </w:r>
          </w:p>
        </w:tc>
      </w:tr>
      <w:tr w14:paraId="7BEB9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jc w:val="center"/>
        </w:trPr>
        <w:tc>
          <w:tcPr>
            <w:tcW w:w="1044" w:type="dxa"/>
            <w:vAlign w:val="center"/>
          </w:tcPr>
          <w:p w14:paraId="2EB96B14">
            <w:pPr>
              <w:jc w:val="center"/>
              <w:rPr>
                <w:rFonts w:hint="eastAsia" w:ascii="宋体" w:hAnsi="宋体"/>
                <w:color w:val="000000"/>
                <w:szCs w:val="21"/>
              </w:rPr>
            </w:pPr>
            <w:r>
              <w:rPr>
                <w:rFonts w:ascii="宋体" w:hAnsi="宋体"/>
                <w:color w:val="000000"/>
                <w:szCs w:val="21"/>
              </w:rPr>
              <w:t>12</w:t>
            </w:r>
          </w:p>
        </w:tc>
        <w:tc>
          <w:tcPr>
            <w:tcW w:w="2533" w:type="dxa"/>
            <w:vAlign w:val="center"/>
          </w:tcPr>
          <w:p w14:paraId="1A4DBB1B">
            <w:pPr>
              <w:rPr>
                <w:rFonts w:hint="eastAsia" w:ascii="宋体" w:hAnsi="宋体"/>
                <w:color w:val="000000"/>
                <w:szCs w:val="21"/>
              </w:rPr>
            </w:pPr>
            <w:r>
              <w:rPr>
                <w:rFonts w:ascii="宋体" w:hAnsi="宋体"/>
                <w:color w:val="000000"/>
                <w:szCs w:val="21"/>
              </w:rPr>
              <w:t>是否接受联合体投标</w:t>
            </w:r>
          </w:p>
        </w:tc>
        <w:tc>
          <w:tcPr>
            <w:tcW w:w="6127" w:type="dxa"/>
            <w:vAlign w:val="center"/>
          </w:tcPr>
          <w:p w14:paraId="330FB04F">
            <w:pPr>
              <w:spacing w:line="480" w:lineRule="exact"/>
              <w:rPr>
                <w:rFonts w:hint="eastAsia" w:ascii="宋体" w:hAnsi="宋体"/>
                <w:color w:val="000000"/>
                <w:szCs w:val="21"/>
              </w:rPr>
            </w:pPr>
            <w:r>
              <w:rPr>
                <w:rFonts w:hint="eastAsia" w:ascii="宋体" w:hAnsi="宋体"/>
                <w:color w:val="000000"/>
                <w:szCs w:val="21"/>
              </w:rPr>
              <w:t>不接受，具体要求详见采购公告</w:t>
            </w:r>
          </w:p>
        </w:tc>
      </w:tr>
      <w:tr w14:paraId="4844F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4" w:hRule="atLeast"/>
          <w:jc w:val="center"/>
        </w:trPr>
        <w:tc>
          <w:tcPr>
            <w:tcW w:w="1044" w:type="dxa"/>
            <w:vAlign w:val="center"/>
          </w:tcPr>
          <w:p w14:paraId="17B4743E">
            <w:pPr>
              <w:jc w:val="center"/>
              <w:rPr>
                <w:rFonts w:hint="eastAsia" w:ascii="宋体" w:hAnsi="宋体"/>
                <w:color w:val="000000"/>
                <w:szCs w:val="21"/>
              </w:rPr>
            </w:pPr>
            <w:r>
              <w:rPr>
                <w:rFonts w:ascii="宋体" w:hAnsi="宋体"/>
                <w:color w:val="000000"/>
                <w:szCs w:val="21"/>
              </w:rPr>
              <w:t>13</w:t>
            </w:r>
          </w:p>
        </w:tc>
        <w:tc>
          <w:tcPr>
            <w:tcW w:w="2533" w:type="dxa"/>
            <w:vAlign w:val="center"/>
          </w:tcPr>
          <w:p w14:paraId="00DC2081">
            <w:pPr>
              <w:rPr>
                <w:rFonts w:hint="eastAsia" w:ascii="宋体" w:hAnsi="宋体"/>
                <w:b/>
                <w:szCs w:val="21"/>
              </w:rPr>
            </w:pPr>
            <w:r>
              <w:rPr>
                <w:rFonts w:hint="eastAsia" w:ascii="宋体" w:hAnsi="宋体" w:cs="宋体"/>
                <w:szCs w:val="21"/>
              </w:rPr>
              <w:t>踏勘现场</w:t>
            </w:r>
          </w:p>
        </w:tc>
        <w:tc>
          <w:tcPr>
            <w:tcW w:w="6127" w:type="dxa"/>
            <w:vAlign w:val="center"/>
          </w:tcPr>
          <w:p w14:paraId="17D7AE43">
            <w:pPr>
              <w:spacing w:line="480" w:lineRule="exact"/>
              <w:rPr>
                <w:rFonts w:hint="eastAsia" w:ascii="宋体" w:hAnsi="宋体"/>
                <w:b/>
                <w:szCs w:val="21"/>
                <w:u w:val="single"/>
              </w:rPr>
            </w:pPr>
            <w:r>
              <w:rPr>
                <w:rFonts w:hint="eastAsia" w:ascii="宋体" w:hAnsi="宋体"/>
                <w:szCs w:val="21"/>
              </w:rPr>
              <w:t xml:space="preserve">不组织，由意向投标人自行组织，充分了解实际使用环境及特点。 </w:t>
            </w:r>
            <w:r>
              <w:rPr>
                <w:rFonts w:hint="eastAsia" w:ascii="宋体" w:hAnsi="宋体" w:cs="宋体"/>
                <w:szCs w:val="21"/>
              </w:rPr>
              <w:t xml:space="preserve">   </w:t>
            </w:r>
          </w:p>
        </w:tc>
      </w:tr>
      <w:tr w14:paraId="2C723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jc w:val="center"/>
        </w:trPr>
        <w:tc>
          <w:tcPr>
            <w:tcW w:w="1044" w:type="dxa"/>
            <w:vAlign w:val="center"/>
          </w:tcPr>
          <w:p w14:paraId="1913AD0D">
            <w:pPr>
              <w:jc w:val="center"/>
              <w:rPr>
                <w:rFonts w:hint="eastAsia" w:ascii="宋体" w:hAnsi="宋体"/>
                <w:color w:val="000000"/>
                <w:szCs w:val="21"/>
              </w:rPr>
            </w:pPr>
            <w:r>
              <w:rPr>
                <w:rFonts w:ascii="宋体" w:hAnsi="宋体"/>
                <w:color w:val="000000"/>
                <w:szCs w:val="21"/>
              </w:rPr>
              <w:t>14</w:t>
            </w:r>
          </w:p>
        </w:tc>
        <w:tc>
          <w:tcPr>
            <w:tcW w:w="2533" w:type="dxa"/>
            <w:vAlign w:val="center"/>
          </w:tcPr>
          <w:p w14:paraId="22E2796E">
            <w:pPr>
              <w:rPr>
                <w:rFonts w:hint="eastAsia" w:ascii="宋体" w:hAnsi="宋体"/>
                <w:color w:val="000000"/>
                <w:szCs w:val="21"/>
              </w:rPr>
            </w:pPr>
            <w:r>
              <w:rPr>
                <w:rFonts w:ascii="宋体" w:hAnsi="宋体"/>
                <w:color w:val="000000"/>
                <w:szCs w:val="21"/>
              </w:rPr>
              <w:t>投标预备会</w:t>
            </w:r>
          </w:p>
        </w:tc>
        <w:tc>
          <w:tcPr>
            <w:tcW w:w="6127" w:type="dxa"/>
            <w:vAlign w:val="center"/>
          </w:tcPr>
          <w:p w14:paraId="65594328">
            <w:pPr>
              <w:spacing w:line="480" w:lineRule="exact"/>
              <w:rPr>
                <w:rFonts w:hint="eastAsia" w:ascii="宋体" w:hAnsi="宋体"/>
                <w:color w:val="000000"/>
                <w:szCs w:val="21"/>
              </w:rPr>
            </w:pPr>
            <w:r>
              <w:rPr>
                <w:rFonts w:ascii="宋体" w:hAnsi="宋体"/>
                <w:color w:val="000000"/>
                <w:szCs w:val="21"/>
              </w:rPr>
              <w:fldChar w:fldCharType="begin"/>
            </w:r>
            <w:r>
              <w:rPr>
                <w:rFonts w:ascii="宋体" w:hAnsi="宋体"/>
                <w:color w:val="000000"/>
                <w:szCs w:val="21"/>
              </w:rPr>
              <w:instrText xml:space="preserve"> </w:instrText>
            </w:r>
            <w:r>
              <w:rPr>
                <w:rFonts w:hint="eastAsia" w:ascii="宋体" w:hAnsi="宋体"/>
                <w:color w:val="000000"/>
                <w:szCs w:val="21"/>
              </w:rPr>
              <w:instrText xml:space="preserve">eq \o\ac(□,</w:instrText>
            </w:r>
            <w:r>
              <w:rPr>
                <w:rFonts w:hint="eastAsia" w:ascii="宋体" w:hAnsi="宋体"/>
                <w:color w:val="000000"/>
                <w:position w:val="2"/>
                <w:szCs w:val="21"/>
              </w:rPr>
              <w:instrText xml:space="preserve">√</w:instrText>
            </w:r>
            <w:r>
              <w:rPr>
                <w:rFonts w:hint="eastAsia" w:ascii="宋体" w:hAnsi="宋体"/>
                <w:color w:val="000000"/>
                <w:szCs w:val="21"/>
              </w:rPr>
              <w:instrText xml:space="preserve">)</w:instrText>
            </w:r>
            <w:r>
              <w:rPr>
                <w:rFonts w:ascii="宋体" w:hAnsi="宋体"/>
                <w:color w:val="000000"/>
                <w:szCs w:val="21"/>
              </w:rPr>
              <w:fldChar w:fldCharType="end"/>
            </w:r>
            <w:r>
              <w:rPr>
                <w:rFonts w:ascii="宋体" w:hAnsi="宋体"/>
                <w:color w:val="000000"/>
                <w:szCs w:val="21"/>
              </w:rPr>
              <w:t>不召开</w:t>
            </w:r>
          </w:p>
        </w:tc>
      </w:tr>
      <w:tr w14:paraId="4F8C1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jc w:val="center"/>
        </w:trPr>
        <w:tc>
          <w:tcPr>
            <w:tcW w:w="1044" w:type="dxa"/>
            <w:vAlign w:val="center"/>
          </w:tcPr>
          <w:p w14:paraId="350E6FFC">
            <w:pPr>
              <w:jc w:val="center"/>
              <w:rPr>
                <w:rFonts w:hint="eastAsia" w:ascii="宋体" w:hAnsi="宋体"/>
                <w:color w:val="000000"/>
                <w:szCs w:val="21"/>
              </w:rPr>
            </w:pPr>
            <w:r>
              <w:rPr>
                <w:rFonts w:ascii="宋体" w:hAnsi="宋体"/>
                <w:color w:val="000000"/>
                <w:szCs w:val="21"/>
              </w:rPr>
              <w:t>15</w:t>
            </w:r>
          </w:p>
        </w:tc>
        <w:tc>
          <w:tcPr>
            <w:tcW w:w="2533" w:type="dxa"/>
            <w:vAlign w:val="center"/>
          </w:tcPr>
          <w:p w14:paraId="05EAE4ED">
            <w:pPr>
              <w:rPr>
                <w:rFonts w:hint="eastAsia" w:ascii="宋体" w:hAnsi="宋体"/>
                <w:color w:val="000000"/>
                <w:szCs w:val="21"/>
              </w:rPr>
            </w:pPr>
            <w:r>
              <w:rPr>
                <w:rFonts w:ascii="宋体" w:hAnsi="宋体"/>
                <w:color w:val="000000"/>
                <w:szCs w:val="21"/>
              </w:rPr>
              <w:t>偏离</w:t>
            </w:r>
          </w:p>
        </w:tc>
        <w:tc>
          <w:tcPr>
            <w:tcW w:w="6127" w:type="dxa"/>
            <w:vAlign w:val="center"/>
          </w:tcPr>
          <w:p w14:paraId="1F5D0B6D">
            <w:pPr>
              <w:spacing w:line="480" w:lineRule="exact"/>
              <w:rPr>
                <w:rFonts w:hint="eastAsia" w:ascii="宋体" w:hAnsi="宋体"/>
                <w:color w:val="000000"/>
                <w:szCs w:val="21"/>
              </w:rPr>
            </w:pPr>
            <w:r>
              <w:rPr>
                <w:rFonts w:hint="eastAsia"/>
              </w:rPr>
              <w:t>不允许偏离</w:t>
            </w:r>
          </w:p>
        </w:tc>
      </w:tr>
      <w:tr w14:paraId="5B1D1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jc w:val="center"/>
        </w:trPr>
        <w:tc>
          <w:tcPr>
            <w:tcW w:w="1044" w:type="dxa"/>
            <w:vAlign w:val="center"/>
          </w:tcPr>
          <w:p w14:paraId="4C8E5683">
            <w:pPr>
              <w:jc w:val="center"/>
              <w:rPr>
                <w:rFonts w:hint="eastAsia" w:ascii="宋体" w:hAnsi="宋体" w:cs="宋体"/>
                <w:color w:val="000000"/>
                <w:szCs w:val="21"/>
              </w:rPr>
            </w:pPr>
            <w:r>
              <w:rPr>
                <w:rFonts w:ascii="宋体" w:hAnsi="宋体"/>
                <w:color w:val="000000"/>
                <w:szCs w:val="21"/>
              </w:rPr>
              <w:t>16</w:t>
            </w:r>
          </w:p>
        </w:tc>
        <w:tc>
          <w:tcPr>
            <w:tcW w:w="2533" w:type="dxa"/>
            <w:vAlign w:val="center"/>
          </w:tcPr>
          <w:p w14:paraId="0B99AD12">
            <w:pPr>
              <w:rPr>
                <w:rFonts w:hint="eastAsia" w:ascii="宋体" w:hAnsi="宋体" w:cs="宋体"/>
                <w:color w:val="000000"/>
                <w:szCs w:val="21"/>
              </w:rPr>
            </w:pPr>
            <w:r>
              <w:rPr>
                <w:rFonts w:hint="eastAsia" w:ascii="宋体" w:hAnsi="宋体" w:cs="宋体"/>
                <w:color w:val="000000"/>
                <w:szCs w:val="21"/>
              </w:rPr>
              <w:t>构成招标文件的其他材料</w:t>
            </w:r>
          </w:p>
        </w:tc>
        <w:tc>
          <w:tcPr>
            <w:tcW w:w="6127" w:type="dxa"/>
            <w:vAlign w:val="center"/>
          </w:tcPr>
          <w:p w14:paraId="219137F9">
            <w:pPr>
              <w:spacing w:line="480" w:lineRule="exact"/>
              <w:rPr>
                <w:rFonts w:hint="eastAsia" w:ascii="宋体" w:hAnsi="宋体" w:cs="宋体"/>
                <w:color w:val="000000"/>
                <w:szCs w:val="21"/>
              </w:rPr>
            </w:pPr>
            <w:r>
              <w:rPr>
                <w:rFonts w:hint="eastAsia" w:ascii="宋体" w:hAnsi="宋体" w:cs="宋体"/>
                <w:color w:val="000000"/>
                <w:szCs w:val="21"/>
              </w:rPr>
              <w:t>无</w:t>
            </w:r>
          </w:p>
        </w:tc>
      </w:tr>
      <w:tr w14:paraId="5E45A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jc w:val="center"/>
        </w:trPr>
        <w:tc>
          <w:tcPr>
            <w:tcW w:w="1044" w:type="dxa"/>
            <w:vAlign w:val="center"/>
          </w:tcPr>
          <w:p w14:paraId="0686194C">
            <w:pPr>
              <w:jc w:val="center"/>
              <w:rPr>
                <w:rFonts w:hint="eastAsia" w:ascii="宋体" w:hAnsi="宋体"/>
                <w:color w:val="000000"/>
                <w:szCs w:val="21"/>
              </w:rPr>
            </w:pPr>
            <w:r>
              <w:rPr>
                <w:rFonts w:ascii="宋体" w:hAnsi="宋体"/>
                <w:color w:val="000000"/>
                <w:szCs w:val="21"/>
              </w:rPr>
              <w:t>17</w:t>
            </w:r>
          </w:p>
        </w:tc>
        <w:tc>
          <w:tcPr>
            <w:tcW w:w="2533" w:type="dxa"/>
            <w:vAlign w:val="center"/>
          </w:tcPr>
          <w:p w14:paraId="6185239E">
            <w:pPr>
              <w:rPr>
                <w:rFonts w:hint="eastAsia" w:ascii="宋体" w:hAnsi="宋体"/>
                <w:color w:val="000000"/>
                <w:szCs w:val="21"/>
              </w:rPr>
            </w:pPr>
            <w:r>
              <w:rPr>
                <w:rFonts w:hint="eastAsia" w:ascii="宋体" w:hAnsi="宋体"/>
                <w:color w:val="000000"/>
                <w:szCs w:val="21"/>
              </w:rPr>
              <w:t>投标人要求澄清招标文件截止时间</w:t>
            </w:r>
          </w:p>
        </w:tc>
        <w:tc>
          <w:tcPr>
            <w:tcW w:w="6127" w:type="dxa"/>
            <w:vAlign w:val="center"/>
          </w:tcPr>
          <w:p w14:paraId="4BB44847">
            <w:pPr>
              <w:spacing w:line="480" w:lineRule="exact"/>
              <w:rPr>
                <w:rFonts w:hint="eastAsia" w:ascii="宋体" w:hAnsi="宋体"/>
                <w:color w:val="000000"/>
                <w:szCs w:val="21"/>
              </w:rPr>
            </w:pPr>
            <w:r>
              <w:rPr>
                <w:rFonts w:hint="eastAsia" w:ascii="宋体" w:hAnsi="宋体"/>
                <w:color w:val="000000"/>
                <w:szCs w:val="21"/>
              </w:rPr>
              <w:t>2</w:t>
            </w:r>
            <w:r>
              <w:rPr>
                <w:rFonts w:ascii="宋体" w:hAnsi="宋体"/>
                <w:color w:val="000000"/>
                <w:szCs w:val="21"/>
              </w:rPr>
              <w:t>02</w:t>
            </w:r>
            <w:r>
              <w:rPr>
                <w:rFonts w:hint="eastAsia" w:ascii="宋体" w:hAnsi="宋体"/>
                <w:color w:val="000000"/>
                <w:szCs w:val="21"/>
              </w:rPr>
              <w:t>6年</w:t>
            </w:r>
            <w:r>
              <w:rPr>
                <w:rFonts w:hint="eastAsia" w:ascii="宋体" w:hAnsi="宋体"/>
                <w:color w:val="000000"/>
                <w:szCs w:val="21"/>
                <w:u w:val="single"/>
              </w:rPr>
              <w:t xml:space="preserve"> </w:t>
            </w:r>
            <w:r>
              <w:rPr>
                <w:rFonts w:hint="eastAsia" w:ascii="宋体" w:hAnsi="宋体"/>
                <w:color w:val="000000"/>
                <w:szCs w:val="21"/>
                <w:u w:val="single"/>
                <w:lang w:val="en-US" w:eastAsia="zh-CN"/>
              </w:rPr>
              <w:t>7</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24</w:t>
            </w:r>
            <w:r>
              <w:rPr>
                <w:rFonts w:hint="eastAsia" w:ascii="宋体" w:hAnsi="宋体"/>
                <w:color w:val="000000"/>
                <w:szCs w:val="21"/>
                <w:u w:val="single"/>
              </w:rPr>
              <w:t xml:space="preserve"> </w:t>
            </w:r>
            <w:r>
              <w:rPr>
                <w:rFonts w:hint="eastAsia" w:ascii="宋体" w:hAnsi="宋体"/>
                <w:color w:val="000000"/>
                <w:szCs w:val="21"/>
              </w:rPr>
              <w:t>日1</w:t>
            </w:r>
            <w:r>
              <w:rPr>
                <w:rFonts w:ascii="宋体" w:hAnsi="宋体"/>
                <w:color w:val="000000"/>
                <w:szCs w:val="21"/>
              </w:rPr>
              <w:t>8</w:t>
            </w:r>
            <w:r>
              <w:rPr>
                <w:rFonts w:hint="eastAsia" w:ascii="宋体" w:hAnsi="宋体"/>
                <w:color w:val="000000"/>
                <w:szCs w:val="21"/>
              </w:rPr>
              <w:t>时前，邮箱：930857909@qq.com</w:t>
            </w:r>
          </w:p>
        </w:tc>
      </w:tr>
      <w:tr w14:paraId="00EB6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1044" w:type="dxa"/>
            <w:vAlign w:val="center"/>
          </w:tcPr>
          <w:p w14:paraId="31AAE11E">
            <w:pPr>
              <w:jc w:val="center"/>
              <w:rPr>
                <w:rFonts w:hint="eastAsia" w:ascii="宋体" w:hAnsi="宋体"/>
                <w:color w:val="000000"/>
                <w:szCs w:val="21"/>
              </w:rPr>
            </w:pPr>
            <w:r>
              <w:rPr>
                <w:rFonts w:ascii="宋体" w:hAnsi="宋体"/>
                <w:color w:val="000000"/>
                <w:szCs w:val="21"/>
              </w:rPr>
              <w:t>18</w:t>
            </w:r>
          </w:p>
        </w:tc>
        <w:tc>
          <w:tcPr>
            <w:tcW w:w="2533" w:type="dxa"/>
            <w:vAlign w:val="center"/>
          </w:tcPr>
          <w:p w14:paraId="038B15F7">
            <w:pPr>
              <w:rPr>
                <w:rFonts w:hint="eastAsia" w:ascii="宋体" w:hAnsi="宋体"/>
                <w:color w:val="000000"/>
                <w:szCs w:val="21"/>
              </w:rPr>
            </w:pPr>
            <w:r>
              <w:rPr>
                <w:rFonts w:ascii="宋体" w:hAnsi="宋体"/>
                <w:color w:val="000000"/>
                <w:szCs w:val="21"/>
              </w:rPr>
              <w:t>投标人确认收到招标文件澄清</w:t>
            </w:r>
            <w:r>
              <w:rPr>
                <w:rFonts w:hint="eastAsia" w:ascii="宋体" w:hAnsi="宋体"/>
                <w:color w:val="000000"/>
                <w:szCs w:val="21"/>
              </w:rPr>
              <w:t>、修改</w:t>
            </w:r>
            <w:r>
              <w:rPr>
                <w:rFonts w:ascii="宋体" w:hAnsi="宋体"/>
                <w:color w:val="000000"/>
                <w:szCs w:val="21"/>
              </w:rPr>
              <w:t>时间</w:t>
            </w:r>
          </w:p>
        </w:tc>
        <w:tc>
          <w:tcPr>
            <w:tcW w:w="6127" w:type="dxa"/>
            <w:vAlign w:val="center"/>
          </w:tcPr>
          <w:p w14:paraId="09D664F3">
            <w:pPr>
              <w:spacing w:line="480" w:lineRule="exact"/>
              <w:rPr>
                <w:rFonts w:hint="eastAsia" w:ascii="宋体" w:hAnsi="宋体"/>
                <w:color w:val="000000"/>
                <w:szCs w:val="21"/>
                <w:u w:val="single"/>
              </w:rPr>
            </w:pPr>
            <w:r>
              <w:rPr>
                <w:rFonts w:hint="eastAsia" w:ascii="宋体" w:hAnsi="宋体"/>
                <w:color w:val="000000"/>
                <w:szCs w:val="21"/>
              </w:rPr>
              <w:t>投标人自行网上查询</w:t>
            </w:r>
          </w:p>
        </w:tc>
      </w:tr>
      <w:tr w14:paraId="7CD29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0" w:hRule="atLeast"/>
          <w:jc w:val="center"/>
        </w:trPr>
        <w:tc>
          <w:tcPr>
            <w:tcW w:w="1044" w:type="dxa"/>
            <w:vAlign w:val="center"/>
          </w:tcPr>
          <w:p w14:paraId="618C40E6">
            <w:pPr>
              <w:jc w:val="center"/>
              <w:rPr>
                <w:rFonts w:hint="eastAsia" w:ascii="宋体" w:hAnsi="宋体"/>
                <w:color w:val="000000"/>
                <w:szCs w:val="21"/>
              </w:rPr>
            </w:pPr>
            <w:r>
              <w:rPr>
                <w:rFonts w:ascii="宋体" w:hAnsi="宋体"/>
                <w:color w:val="000000"/>
                <w:szCs w:val="21"/>
              </w:rPr>
              <w:t>19</w:t>
            </w:r>
          </w:p>
        </w:tc>
        <w:tc>
          <w:tcPr>
            <w:tcW w:w="2533" w:type="dxa"/>
            <w:vAlign w:val="center"/>
          </w:tcPr>
          <w:p w14:paraId="5CA29F1B">
            <w:pPr>
              <w:rPr>
                <w:rFonts w:hint="eastAsia" w:ascii="宋体" w:hAnsi="宋体"/>
                <w:color w:val="000000"/>
                <w:szCs w:val="21"/>
              </w:rPr>
            </w:pPr>
            <w:r>
              <w:rPr>
                <w:rFonts w:ascii="宋体" w:hAnsi="宋体"/>
                <w:color w:val="000000"/>
                <w:szCs w:val="21"/>
              </w:rPr>
              <w:t>投标报价</w:t>
            </w:r>
            <w:r>
              <w:rPr>
                <w:rFonts w:hint="eastAsia" w:ascii="宋体" w:hAnsi="宋体"/>
                <w:color w:val="000000"/>
                <w:szCs w:val="21"/>
              </w:rPr>
              <w:t>要求</w:t>
            </w:r>
          </w:p>
        </w:tc>
        <w:tc>
          <w:tcPr>
            <w:tcW w:w="6127" w:type="dxa"/>
            <w:vAlign w:val="center"/>
          </w:tcPr>
          <w:p w14:paraId="65BEB529">
            <w:pPr>
              <w:spacing w:line="480" w:lineRule="exact"/>
              <w:rPr>
                <w:rFonts w:hint="eastAsia" w:ascii="宋体" w:hAnsi="宋体"/>
                <w:color w:val="000000"/>
                <w:szCs w:val="21"/>
              </w:rPr>
            </w:pPr>
            <w:r>
              <w:rPr>
                <w:rFonts w:hint="eastAsia" w:ascii="宋体" w:hAnsi="宋体" w:cs="宋体"/>
              </w:rPr>
              <w:t>本项目采用固定总价报价，是投标人承诺的质量目标和项目完成时间内为完成招标文件所确定的招标范围的全部内容的全部价格体现。投标人应充分考虑为完成上述内容所必须的【包括管理费用和人员工资、保险费、交通费、差旅费、备机、设施设备检修维护保养费、利润、税金、运行维护期间所有设施设备及配件的采购、设施设备及零部件的拆卸安装更换费用、设施设备及零部件的运杂费、维修更换措施费用及其他不可预见的一切费用（人为因素造成的或间接造成的除外）】，且不得高于招标人设定的最高限价。</w:t>
            </w:r>
            <w:r>
              <w:rPr>
                <w:rFonts w:hint="eastAsia" w:ascii="宋体" w:hAnsi="宋体"/>
                <w:color w:val="000000"/>
                <w:szCs w:val="21"/>
              </w:rPr>
              <w:t>若有遗漏或投标人在投标时未能预见而必须发生的费用，均由投标人自行承担，招标人不予以补偿。如服务期间遇国家或地方政府政策性调整基础工资、社保费用的，则以国家或地方政府最新规定为准，中标价不作调整。</w:t>
            </w:r>
          </w:p>
          <w:p w14:paraId="6038C461">
            <w:pPr>
              <w:pStyle w:val="13"/>
            </w:pPr>
            <w:r>
              <w:rPr>
                <w:rFonts w:hint="eastAsia"/>
              </w:rPr>
              <w:t>具体服务范围及内容均由意向投标人现场踏勘了解，不论服务内容的变化影响，中标价均不作调整，因此各投标人应充分掌握实际服务范围及服务要求，投标人可与招标采购单位代表联系后自行踏勘现场，以充分了解掌握服务内容及要求，若有遗漏，后果由投标人自行承担。</w:t>
            </w:r>
          </w:p>
        </w:tc>
      </w:tr>
      <w:tr w14:paraId="23862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jc w:val="center"/>
        </w:trPr>
        <w:tc>
          <w:tcPr>
            <w:tcW w:w="1044" w:type="dxa"/>
            <w:vAlign w:val="center"/>
          </w:tcPr>
          <w:p w14:paraId="364288B5">
            <w:pPr>
              <w:jc w:val="center"/>
              <w:rPr>
                <w:rFonts w:hint="eastAsia" w:ascii="宋体" w:hAnsi="宋体"/>
                <w:color w:val="000000"/>
                <w:szCs w:val="21"/>
              </w:rPr>
            </w:pPr>
            <w:r>
              <w:rPr>
                <w:rFonts w:ascii="宋体" w:hAnsi="宋体"/>
                <w:color w:val="000000"/>
                <w:szCs w:val="21"/>
              </w:rPr>
              <w:t>20</w:t>
            </w:r>
          </w:p>
        </w:tc>
        <w:tc>
          <w:tcPr>
            <w:tcW w:w="2533" w:type="dxa"/>
            <w:vAlign w:val="center"/>
          </w:tcPr>
          <w:p w14:paraId="318346EB">
            <w:pPr>
              <w:rPr>
                <w:rFonts w:hint="eastAsia" w:ascii="宋体" w:hAnsi="宋体"/>
                <w:color w:val="000000"/>
                <w:szCs w:val="21"/>
              </w:rPr>
            </w:pPr>
            <w:r>
              <w:rPr>
                <w:rFonts w:ascii="宋体" w:hAnsi="宋体"/>
                <w:color w:val="000000"/>
                <w:szCs w:val="21"/>
              </w:rPr>
              <w:t>最高投标限价</w:t>
            </w:r>
          </w:p>
        </w:tc>
        <w:tc>
          <w:tcPr>
            <w:tcW w:w="6127" w:type="dxa"/>
            <w:vAlign w:val="center"/>
          </w:tcPr>
          <w:p w14:paraId="144483EF">
            <w:pPr>
              <w:spacing w:line="480" w:lineRule="exact"/>
              <w:rPr>
                <w:rFonts w:hint="eastAsia" w:ascii="宋体" w:hAnsi="宋体"/>
                <w:color w:val="000000"/>
                <w:szCs w:val="21"/>
              </w:rPr>
            </w:pPr>
            <w:r>
              <w:rPr>
                <w:rFonts w:hint="eastAsia" w:ascii="宋体" w:hAnsi="宋体" w:cs="宋体"/>
                <w:szCs w:val="21"/>
                <w:u w:val="single"/>
                <w:shd w:val="clear" w:color="auto" w:fill="FFFFFF"/>
                <w:lang w:val="en-US" w:eastAsia="zh-CN"/>
              </w:rPr>
              <w:t>490</w:t>
            </w:r>
            <w:r>
              <w:rPr>
                <w:rFonts w:hint="eastAsia" w:ascii="宋体" w:hAnsi="宋体" w:cs="宋体"/>
                <w:szCs w:val="21"/>
                <w:u w:val="single"/>
                <w:shd w:val="clear" w:color="auto" w:fill="FFFFFF"/>
              </w:rPr>
              <w:t>万元</w:t>
            </w:r>
            <w:r>
              <w:rPr>
                <w:rFonts w:hint="eastAsia" w:ascii="宋体" w:hAnsi="宋体"/>
                <w:color w:val="000000"/>
                <w:szCs w:val="21"/>
              </w:rPr>
              <w:t>。</w:t>
            </w:r>
          </w:p>
        </w:tc>
      </w:tr>
      <w:tr w14:paraId="6C12B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jc w:val="center"/>
        </w:trPr>
        <w:tc>
          <w:tcPr>
            <w:tcW w:w="1044" w:type="dxa"/>
            <w:vAlign w:val="center"/>
          </w:tcPr>
          <w:p w14:paraId="6C255B62">
            <w:pPr>
              <w:jc w:val="center"/>
              <w:rPr>
                <w:rFonts w:hint="eastAsia" w:ascii="宋体" w:hAnsi="宋体"/>
                <w:color w:val="000000"/>
                <w:szCs w:val="21"/>
              </w:rPr>
            </w:pPr>
            <w:r>
              <w:rPr>
                <w:rFonts w:ascii="宋体" w:hAnsi="宋体"/>
                <w:color w:val="000000"/>
                <w:szCs w:val="21"/>
              </w:rPr>
              <w:t>21</w:t>
            </w:r>
          </w:p>
        </w:tc>
        <w:tc>
          <w:tcPr>
            <w:tcW w:w="2533" w:type="dxa"/>
            <w:vAlign w:val="center"/>
          </w:tcPr>
          <w:p w14:paraId="702FA46D">
            <w:pPr>
              <w:rPr>
                <w:rFonts w:hint="eastAsia" w:ascii="宋体" w:hAnsi="宋体"/>
                <w:color w:val="000000"/>
                <w:szCs w:val="21"/>
              </w:rPr>
            </w:pPr>
            <w:r>
              <w:rPr>
                <w:rFonts w:ascii="宋体" w:hAnsi="宋体"/>
                <w:color w:val="000000"/>
                <w:szCs w:val="21"/>
              </w:rPr>
              <w:t>投标有效期</w:t>
            </w:r>
          </w:p>
        </w:tc>
        <w:tc>
          <w:tcPr>
            <w:tcW w:w="6127" w:type="dxa"/>
            <w:vAlign w:val="center"/>
          </w:tcPr>
          <w:p w14:paraId="6EC3E41A">
            <w:pPr>
              <w:spacing w:line="480" w:lineRule="exact"/>
              <w:rPr>
                <w:rFonts w:hint="eastAsia" w:ascii="宋体" w:hAnsi="宋体"/>
                <w:color w:val="000000"/>
                <w:szCs w:val="21"/>
              </w:rPr>
            </w:pPr>
            <w:r>
              <w:rPr>
                <w:rFonts w:hint="eastAsia" w:ascii="宋体" w:hAnsi="宋体"/>
                <w:color w:val="000000"/>
                <w:szCs w:val="21"/>
                <w:u w:val="single"/>
                <w:lang w:val="zh-CN"/>
              </w:rPr>
              <w:t>60</w:t>
            </w:r>
            <w:r>
              <w:rPr>
                <w:rFonts w:ascii="宋体" w:hAnsi="宋体"/>
                <w:color w:val="000000"/>
                <w:szCs w:val="21"/>
                <w:lang w:val="zh-CN"/>
              </w:rPr>
              <w:t>日（从投标截止之日算起）</w:t>
            </w:r>
          </w:p>
        </w:tc>
      </w:tr>
      <w:tr w14:paraId="389BA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jc w:val="center"/>
        </w:trPr>
        <w:tc>
          <w:tcPr>
            <w:tcW w:w="1044" w:type="dxa"/>
            <w:vAlign w:val="center"/>
          </w:tcPr>
          <w:p w14:paraId="2551E817">
            <w:pPr>
              <w:jc w:val="center"/>
              <w:rPr>
                <w:rFonts w:hint="eastAsia" w:ascii="宋体" w:hAnsi="宋体"/>
                <w:color w:val="000000"/>
                <w:szCs w:val="21"/>
              </w:rPr>
            </w:pPr>
            <w:r>
              <w:rPr>
                <w:rFonts w:ascii="宋体" w:hAnsi="宋体"/>
                <w:color w:val="000000"/>
                <w:szCs w:val="21"/>
              </w:rPr>
              <w:t>22</w:t>
            </w:r>
          </w:p>
        </w:tc>
        <w:tc>
          <w:tcPr>
            <w:tcW w:w="2533" w:type="dxa"/>
            <w:vAlign w:val="center"/>
          </w:tcPr>
          <w:p w14:paraId="52416F07">
            <w:pPr>
              <w:rPr>
                <w:rFonts w:hint="eastAsia" w:ascii="宋体" w:hAnsi="宋体"/>
                <w:color w:val="000000"/>
                <w:szCs w:val="21"/>
              </w:rPr>
            </w:pPr>
            <w:r>
              <w:rPr>
                <w:rFonts w:hint="eastAsia" w:ascii="宋体" w:hAnsi="宋体"/>
                <w:color w:val="000000"/>
                <w:szCs w:val="21"/>
              </w:rPr>
              <w:t>投标保证金</w:t>
            </w:r>
          </w:p>
        </w:tc>
        <w:tc>
          <w:tcPr>
            <w:tcW w:w="6127" w:type="dxa"/>
            <w:vAlign w:val="center"/>
          </w:tcPr>
          <w:p w14:paraId="334D53FC">
            <w:pPr>
              <w:spacing w:line="480" w:lineRule="exact"/>
              <w:rPr>
                <w:rFonts w:hint="eastAsia" w:ascii="宋体" w:hAnsi="宋体"/>
                <w:color w:val="000000"/>
                <w:szCs w:val="21"/>
                <w:lang w:val="zh-CN"/>
              </w:rPr>
            </w:pPr>
            <w:r>
              <w:rPr>
                <w:rFonts w:hint="eastAsia" w:ascii="宋体" w:hAnsi="宋体"/>
                <w:color w:val="000000"/>
                <w:szCs w:val="21"/>
                <w:lang w:val="zh-CN"/>
              </w:rPr>
              <w:t>本项目落实江苏省财政厅《关于做好政府采购支持企业发展有关事项的通知》（苏财购〔2020〕52号）文件精神，不收取投标保证金。</w:t>
            </w:r>
          </w:p>
        </w:tc>
      </w:tr>
      <w:tr w14:paraId="5DB7E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jc w:val="center"/>
        </w:trPr>
        <w:tc>
          <w:tcPr>
            <w:tcW w:w="1044" w:type="dxa"/>
            <w:vAlign w:val="center"/>
          </w:tcPr>
          <w:p w14:paraId="4696CC01">
            <w:pPr>
              <w:jc w:val="center"/>
              <w:rPr>
                <w:rFonts w:hint="eastAsia" w:ascii="宋体" w:hAnsi="宋体"/>
                <w:color w:val="000000"/>
                <w:szCs w:val="21"/>
              </w:rPr>
            </w:pPr>
            <w:r>
              <w:rPr>
                <w:rFonts w:ascii="宋体" w:hAnsi="宋体"/>
                <w:color w:val="000000"/>
                <w:szCs w:val="21"/>
              </w:rPr>
              <w:t>23</w:t>
            </w:r>
          </w:p>
        </w:tc>
        <w:tc>
          <w:tcPr>
            <w:tcW w:w="2533" w:type="dxa"/>
            <w:vAlign w:val="center"/>
          </w:tcPr>
          <w:p w14:paraId="221D2280">
            <w:pPr>
              <w:rPr>
                <w:rFonts w:hint="eastAsia" w:ascii="宋体" w:hAnsi="宋体"/>
                <w:color w:val="000000"/>
                <w:szCs w:val="21"/>
              </w:rPr>
            </w:pPr>
            <w:r>
              <w:rPr>
                <w:rFonts w:ascii="宋体" w:hAnsi="宋体"/>
                <w:color w:val="000000"/>
                <w:szCs w:val="21"/>
              </w:rPr>
              <w:t>是否允许递交备选</w:t>
            </w:r>
          </w:p>
          <w:p w14:paraId="52C13DB3">
            <w:pPr>
              <w:rPr>
                <w:rFonts w:hint="eastAsia" w:ascii="宋体" w:hAnsi="宋体"/>
                <w:color w:val="000000"/>
                <w:szCs w:val="21"/>
              </w:rPr>
            </w:pPr>
            <w:r>
              <w:rPr>
                <w:rFonts w:ascii="宋体" w:hAnsi="宋体"/>
                <w:color w:val="000000"/>
                <w:szCs w:val="21"/>
              </w:rPr>
              <w:t>投标方案</w:t>
            </w:r>
          </w:p>
        </w:tc>
        <w:tc>
          <w:tcPr>
            <w:tcW w:w="6127" w:type="dxa"/>
            <w:vAlign w:val="center"/>
          </w:tcPr>
          <w:p w14:paraId="5A68D484">
            <w:pPr>
              <w:spacing w:line="480" w:lineRule="exact"/>
              <w:rPr>
                <w:rFonts w:hint="eastAsia" w:ascii="宋体" w:hAnsi="宋体"/>
                <w:color w:val="000000"/>
                <w:szCs w:val="21"/>
              </w:rPr>
            </w:pPr>
            <w:r>
              <w:rPr>
                <w:rFonts w:ascii="宋体" w:hAnsi="宋体"/>
                <w:color w:val="000000"/>
                <w:szCs w:val="21"/>
              </w:rPr>
              <w:fldChar w:fldCharType="begin"/>
            </w:r>
            <w:r>
              <w:rPr>
                <w:rFonts w:ascii="宋体" w:hAnsi="宋体"/>
                <w:color w:val="000000"/>
                <w:szCs w:val="21"/>
              </w:rPr>
              <w:instrText xml:space="preserve"> </w:instrText>
            </w:r>
            <w:r>
              <w:rPr>
                <w:rFonts w:hint="eastAsia" w:ascii="宋体" w:hAnsi="宋体"/>
                <w:color w:val="000000"/>
                <w:szCs w:val="21"/>
              </w:rPr>
              <w:instrText xml:space="preserve">eq \o\ac(□,</w:instrText>
            </w:r>
            <w:r>
              <w:rPr>
                <w:rFonts w:hint="eastAsia" w:ascii="宋体" w:hAnsi="宋体"/>
                <w:color w:val="000000"/>
                <w:position w:val="2"/>
                <w:szCs w:val="21"/>
              </w:rPr>
              <w:instrText xml:space="preserve">√</w:instrText>
            </w:r>
            <w:r>
              <w:rPr>
                <w:rFonts w:hint="eastAsia" w:ascii="宋体" w:hAnsi="宋体"/>
                <w:color w:val="000000"/>
                <w:szCs w:val="21"/>
              </w:rPr>
              <w:instrText xml:space="preserve">)</w:instrText>
            </w:r>
            <w:r>
              <w:rPr>
                <w:rFonts w:ascii="宋体" w:hAnsi="宋体"/>
                <w:color w:val="000000"/>
                <w:szCs w:val="21"/>
              </w:rPr>
              <w:fldChar w:fldCharType="end"/>
            </w:r>
            <w:r>
              <w:rPr>
                <w:rFonts w:ascii="宋体" w:hAnsi="宋体"/>
                <w:color w:val="000000"/>
                <w:szCs w:val="21"/>
              </w:rPr>
              <w:t>不允许</w:t>
            </w:r>
          </w:p>
          <w:p w14:paraId="02ADB9A7">
            <w:pPr>
              <w:spacing w:line="480" w:lineRule="exact"/>
              <w:rPr>
                <w:rFonts w:hint="eastAsia" w:ascii="宋体" w:hAnsi="宋体"/>
                <w:color w:val="000000"/>
                <w:szCs w:val="21"/>
              </w:rPr>
            </w:pPr>
            <w:r>
              <w:rPr>
                <w:rFonts w:ascii="宋体" w:hAnsi="宋体"/>
                <w:color w:val="000000"/>
                <w:szCs w:val="21"/>
              </w:rPr>
              <w:t>□允许</w:t>
            </w:r>
          </w:p>
        </w:tc>
      </w:tr>
      <w:tr w14:paraId="4925C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8" w:hRule="atLeast"/>
          <w:jc w:val="center"/>
        </w:trPr>
        <w:tc>
          <w:tcPr>
            <w:tcW w:w="1044" w:type="dxa"/>
            <w:vAlign w:val="center"/>
          </w:tcPr>
          <w:p w14:paraId="73EB3549">
            <w:pPr>
              <w:jc w:val="center"/>
              <w:rPr>
                <w:rFonts w:hint="eastAsia" w:ascii="宋体" w:hAnsi="宋体"/>
                <w:color w:val="000000"/>
                <w:szCs w:val="21"/>
              </w:rPr>
            </w:pPr>
            <w:r>
              <w:rPr>
                <w:rFonts w:ascii="宋体" w:hAnsi="宋体"/>
                <w:color w:val="000000"/>
                <w:szCs w:val="21"/>
              </w:rPr>
              <w:t>24</w:t>
            </w:r>
          </w:p>
        </w:tc>
        <w:tc>
          <w:tcPr>
            <w:tcW w:w="2533" w:type="dxa"/>
            <w:vAlign w:val="center"/>
          </w:tcPr>
          <w:p w14:paraId="21682D4E">
            <w:pPr>
              <w:jc w:val="left"/>
              <w:rPr>
                <w:rFonts w:hint="eastAsia" w:ascii="宋体" w:hAnsi="宋体"/>
                <w:color w:val="000000"/>
                <w:szCs w:val="21"/>
              </w:rPr>
            </w:pPr>
            <w:r>
              <w:rPr>
                <w:rFonts w:hint="eastAsia" w:ascii="宋体" w:hAnsi="宋体"/>
                <w:color w:val="000000"/>
                <w:szCs w:val="21"/>
              </w:rPr>
              <w:t>投标文件</w:t>
            </w:r>
          </w:p>
        </w:tc>
        <w:tc>
          <w:tcPr>
            <w:tcW w:w="6127" w:type="dxa"/>
            <w:vAlign w:val="center"/>
          </w:tcPr>
          <w:p w14:paraId="349EBF83">
            <w:pPr>
              <w:spacing w:line="480" w:lineRule="exact"/>
              <w:rPr>
                <w:rFonts w:hint="eastAsia" w:ascii="宋体" w:hAnsi="宋体"/>
                <w:color w:val="000000"/>
                <w:szCs w:val="21"/>
              </w:rPr>
            </w:pPr>
            <w:r>
              <w:rPr>
                <w:rFonts w:hint="eastAsia" w:ascii="宋体" w:hAnsi="宋体"/>
                <w:color w:val="000000"/>
                <w:szCs w:val="21"/>
              </w:rPr>
              <w:t>电子投标文件一份（通过系统提交）；纸质投标文件正本一份，副本三份（评审结束后由中标人邮寄至江苏中线行项目管理有限公司（盐城市大丰区东方一号创意小镇9—1栋409室）。</w:t>
            </w:r>
          </w:p>
        </w:tc>
      </w:tr>
      <w:tr w14:paraId="6FB77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1044" w:type="dxa"/>
            <w:vAlign w:val="center"/>
          </w:tcPr>
          <w:p w14:paraId="48F34040">
            <w:pPr>
              <w:jc w:val="center"/>
              <w:rPr>
                <w:rFonts w:hint="eastAsia" w:ascii="宋体" w:hAnsi="宋体"/>
                <w:color w:val="000000"/>
                <w:szCs w:val="21"/>
              </w:rPr>
            </w:pPr>
            <w:r>
              <w:rPr>
                <w:rFonts w:ascii="宋体" w:hAnsi="宋体"/>
                <w:color w:val="000000"/>
                <w:szCs w:val="21"/>
              </w:rPr>
              <w:t>25</w:t>
            </w:r>
          </w:p>
        </w:tc>
        <w:tc>
          <w:tcPr>
            <w:tcW w:w="2533" w:type="dxa"/>
            <w:vAlign w:val="center"/>
          </w:tcPr>
          <w:p w14:paraId="36F4B2F7">
            <w:pPr>
              <w:spacing w:line="420" w:lineRule="exact"/>
              <w:rPr>
                <w:rFonts w:hint="eastAsia" w:ascii="宋体" w:hAnsi="宋体"/>
                <w:color w:val="000000"/>
                <w:szCs w:val="21"/>
              </w:rPr>
            </w:pPr>
            <w:r>
              <w:rPr>
                <w:rFonts w:ascii="宋体" w:hAnsi="宋体"/>
                <w:color w:val="000000"/>
                <w:szCs w:val="21"/>
              </w:rPr>
              <w:t>投标文件递交截止</w:t>
            </w:r>
          </w:p>
          <w:p w14:paraId="64826DCB">
            <w:pPr>
              <w:spacing w:line="420" w:lineRule="exact"/>
              <w:rPr>
                <w:rFonts w:hint="eastAsia" w:ascii="宋体" w:hAnsi="宋体"/>
                <w:color w:val="000000"/>
                <w:szCs w:val="21"/>
              </w:rPr>
            </w:pPr>
            <w:r>
              <w:rPr>
                <w:rFonts w:ascii="宋体" w:hAnsi="宋体"/>
                <w:color w:val="000000"/>
                <w:szCs w:val="21"/>
              </w:rPr>
              <w:t>时间</w:t>
            </w:r>
          </w:p>
        </w:tc>
        <w:tc>
          <w:tcPr>
            <w:tcW w:w="6127" w:type="dxa"/>
            <w:vAlign w:val="center"/>
          </w:tcPr>
          <w:p w14:paraId="7ABAEA32">
            <w:pPr>
              <w:spacing w:line="480" w:lineRule="exact"/>
              <w:rPr>
                <w:rFonts w:hint="eastAsia" w:ascii="宋体" w:hAnsi="宋体"/>
                <w:color w:val="000000"/>
                <w:szCs w:val="21"/>
              </w:rPr>
            </w:pPr>
            <w:r>
              <w:rPr>
                <w:rFonts w:hint="eastAsia" w:ascii="宋体" w:hAnsi="宋体"/>
                <w:color w:val="000000"/>
                <w:szCs w:val="21"/>
              </w:rPr>
              <w:t>时间：</w:t>
            </w:r>
            <w:r>
              <w:rPr>
                <w:rFonts w:hint="eastAsia" w:ascii="宋体" w:hAnsi="宋体"/>
                <w:color w:val="FF0000"/>
                <w:szCs w:val="21"/>
                <w:u w:val="single"/>
              </w:rPr>
              <w:t>2026</w:t>
            </w:r>
            <w:r>
              <w:rPr>
                <w:rFonts w:ascii="宋体" w:hAnsi="宋体"/>
                <w:color w:val="FF0000"/>
                <w:szCs w:val="21"/>
              </w:rPr>
              <w:t>年</w:t>
            </w:r>
            <w:r>
              <w:rPr>
                <w:rFonts w:hint="eastAsia" w:ascii="宋体" w:hAnsi="宋体"/>
                <w:b/>
                <w:bCs/>
                <w:color w:val="FF0000"/>
                <w:szCs w:val="21"/>
                <w:u w:val="single"/>
              </w:rPr>
              <w:t xml:space="preserve"> </w:t>
            </w:r>
            <w:r>
              <w:rPr>
                <w:rFonts w:hint="eastAsia" w:ascii="宋体" w:hAnsi="宋体"/>
                <w:b/>
                <w:bCs/>
                <w:color w:val="FF0000"/>
                <w:szCs w:val="21"/>
                <w:u w:val="single"/>
                <w:lang w:val="en-US" w:eastAsia="zh-CN"/>
              </w:rPr>
              <w:t>8</w:t>
            </w:r>
            <w:r>
              <w:rPr>
                <w:rFonts w:hint="eastAsia" w:ascii="宋体" w:hAnsi="宋体"/>
                <w:color w:val="FF0000"/>
                <w:szCs w:val="21"/>
              </w:rPr>
              <w:t>月</w:t>
            </w:r>
            <w:r>
              <w:rPr>
                <w:rFonts w:hint="eastAsia" w:ascii="宋体" w:hAnsi="宋体"/>
                <w:color w:val="FF0000"/>
                <w:szCs w:val="21"/>
                <w:u w:val="single"/>
              </w:rPr>
              <w:t xml:space="preserve"> </w:t>
            </w:r>
            <w:r>
              <w:rPr>
                <w:rFonts w:hint="eastAsia" w:ascii="宋体" w:hAnsi="宋体"/>
                <w:color w:val="FF0000"/>
                <w:szCs w:val="21"/>
                <w:u w:val="single"/>
                <w:lang w:val="en-US" w:eastAsia="zh-CN"/>
              </w:rPr>
              <w:t>3</w:t>
            </w:r>
            <w:r>
              <w:rPr>
                <w:rFonts w:hint="eastAsia" w:ascii="宋体" w:hAnsi="宋体"/>
                <w:b/>
                <w:bCs/>
                <w:color w:val="FF0000"/>
                <w:szCs w:val="21"/>
                <w:u w:val="single"/>
              </w:rPr>
              <w:t xml:space="preserve"> </w:t>
            </w:r>
            <w:r>
              <w:rPr>
                <w:rFonts w:ascii="宋体" w:hAnsi="宋体"/>
                <w:color w:val="FF0000"/>
                <w:szCs w:val="21"/>
              </w:rPr>
              <w:t>日</w:t>
            </w:r>
            <w:r>
              <w:rPr>
                <w:rFonts w:hint="eastAsia" w:ascii="宋体" w:hAnsi="宋体"/>
                <w:color w:val="000000"/>
                <w:szCs w:val="21"/>
                <w:u w:val="single"/>
              </w:rPr>
              <w:t xml:space="preserve"> 9 </w:t>
            </w:r>
            <w:r>
              <w:rPr>
                <w:rFonts w:hint="eastAsia" w:ascii="宋体" w:hAnsi="宋体"/>
                <w:color w:val="000000"/>
                <w:szCs w:val="21"/>
              </w:rPr>
              <w:t>时0</w:t>
            </w:r>
            <w:r>
              <w:rPr>
                <w:rFonts w:ascii="宋体" w:hAnsi="宋体"/>
                <w:color w:val="000000"/>
                <w:szCs w:val="21"/>
              </w:rPr>
              <w:t>0</w:t>
            </w:r>
            <w:r>
              <w:rPr>
                <w:rFonts w:hint="eastAsia" w:ascii="宋体" w:hAnsi="宋体"/>
                <w:color w:val="000000"/>
                <w:szCs w:val="21"/>
              </w:rPr>
              <w:t>分0</w:t>
            </w:r>
            <w:r>
              <w:rPr>
                <w:rFonts w:ascii="宋体" w:hAnsi="宋体"/>
                <w:color w:val="000000"/>
                <w:szCs w:val="21"/>
              </w:rPr>
              <w:t>0</w:t>
            </w:r>
            <w:r>
              <w:rPr>
                <w:rFonts w:hint="eastAsia" w:ascii="宋体" w:hAnsi="宋体"/>
                <w:color w:val="000000"/>
                <w:szCs w:val="21"/>
              </w:rPr>
              <w:t>秒</w:t>
            </w:r>
          </w:p>
        </w:tc>
      </w:tr>
      <w:tr w14:paraId="269E8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0" w:hRule="atLeast"/>
          <w:jc w:val="center"/>
        </w:trPr>
        <w:tc>
          <w:tcPr>
            <w:tcW w:w="1044" w:type="dxa"/>
            <w:vAlign w:val="center"/>
          </w:tcPr>
          <w:p w14:paraId="6D6E2BC6">
            <w:pPr>
              <w:jc w:val="center"/>
              <w:rPr>
                <w:rFonts w:hint="eastAsia" w:ascii="宋体" w:hAnsi="宋体"/>
                <w:color w:val="000000"/>
                <w:szCs w:val="21"/>
              </w:rPr>
            </w:pPr>
            <w:r>
              <w:rPr>
                <w:rFonts w:ascii="宋体" w:hAnsi="宋体"/>
                <w:color w:val="000000"/>
                <w:szCs w:val="21"/>
              </w:rPr>
              <w:t>26</w:t>
            </w:r>
          </w:p>
        </w:tc>
        <w:tc>
          <w:tcPr>
            <w:tcW w:w="2533" w:type="dxa"/>
            <w:vAlign w:val="center"/>
          </w:tcPr>
          <w:p w14:paraId="369233E8">
            <w:pPr>
              <w:spacing w:line="420" w:lineRule="exact"/>
              <w:rPr>
                <w:rFonts w:hint="eastAsia" w:ascii="宋体" w:hAnsi="宋体"/>
                <w:color w:val="000000"/>
                <w:szCs w:val="21"/>
              </w:rPr>
            </w:pPr>
            <w:r>
              <w:rPr>
                <w:rFonts w:ascii="宋体" w:hAnsi="宋体"/>
                <w:color w:val="000000"/>
                <w:szCs w:val="21"/>
              </w:rPr>
              <w:t>开标时间和地点</w:t>
            </w:r>
          </w:p>
        </w:tc>
        <w:tc>
          <w:tcPr>
            <w:tcW w:w="6127" w:type="dxa"/>
            <w:vAlign w:val="center"/>
          </w:tcPr>
          <w:p w14:paraId="21DE1131">
            <w:pPr>
              <w:spacing w:line="480" w:lineRule="exact"/>
              <w:rPr>
                <w:rFonts w:hint="eastAsia" w:ascii="宋体" w:hAnsi="宋体"/>
                <w:color w:val="000000"/>
                <w:szCs w:val="21"/>
              </w:rPr>
            </w:pPr>
            <w:r>
              <w:rPr>
                <w:rFonts w:ascii="宋体" w:hAnsi="宋体"/>
                <w:color w:val="000000"/>
                <w:szCs w:val="21"/>
              </w:rPr>
              <w:t>开标时间：</w:t>
            </w:r>
            <w:r>
              <w:rPr>
                <w:rFonts w:hint="eastAsia" w:ascii="宋体" w:hAnsi="宋体"/>
                <w:color w:val="000000"/>
                <w:szCs w:val="21"/>
              </w:rPr>
              <w:t>同投标截止时间</w:t>
            </w:r>
          </w:p>
          <w:p w14:paraId="5F464A55">
            <w:pPr>
              <w:wordWrap w:val="0"/>
              <w:overflowPunct w:val="0"/>
              <w:autoSpaceDE w:val="0"/>
              <w:autoSpaceDN w:val="0"/>
              <w:spacing w:line="480" w:lineRule="exact"/>
              <w:jc w:val="left"/>
              <w:rPr>
                <w:rFonts w:hint="eastAsia" w:ascii="宋体" w:hAnsi="宋体" w:cs="宋体"/>
                <w:color w:val="000000"/>
                <w:szCs w:val="21"/>
              </w:rPr>
            </w:pPr>
            <w:r>
              <w:rPr>
                <w:rFonts w:ascii="宋体" w:hAnsi="宋体"/>
                <w:color w:val="000000"/>
                <w:szCs w:val="21"/>
              </w:rPr>
              <w:t>开标地点：</w:t>
            </w:r>
            <w:r>
              <w:rPr>
                <w:rFonts w:hint="eastAsia" w:ascii="宋体" w:hAnsi="宋体" w:cs="宋体"/>
                <w:color w:val="000000"/>
                <w:szCs w:val="21"/>
              </w:rPr>
              <w:t>“苏采云”系统（网址：http://jszfcg.jsczt.cn/）“开标大厅”。</w:t>
            </w:r>
          </w:p>
        </w:tc>
      </w:tr>
      <w:tr w14:paraId="36D41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8" w:hRule="atLeast"/>
          <w:jc w:val="center"/>
        </w:trPr>
        <w:tc>
          <w:tcPr>
            <w:tcW w:w="1044" w:type="dxa"/>
            <w:vAlign w:val="center"/>
          </w:tcPr>
          <w:p w14:paraId="2BC5D745">
            <w:pPr>
              <w:jc w:val="center"/>
              <w:rPr>
                <w:rFonts w:hint="eastAsia" w:ascii="宋体" w:hAnsi="宋体"/>
                <w:color w:val="000000"/>
                <w:szCs w:val="21"/>
              </w:rPr>
            </w:pPr>
            <w:r>
              <w:rPr>
                <w:rFonts w:ascii="宋体" w:hAnsi="宋体"/>
                <w:color w:val="000000"/>
                <w:szCs w:val="21"/>
              </w:rPr>
              <w:t>27</w:t>
            </w:r>
          </w:p>
        </w:tc>
        <w:tc>
          <w:tcPr>
            <w:tcW w:w="2533" w:type="dxa"/>
            <w:vAlign w:val="center"/>
          </w:tcPr>
          <w:p w14:paraId="5FE04DDA">
            <w:pPr>
              <w:spacing w:line="420" w:lineRule="exact"/>
              <w:rPr>
                <w:rFonts w:hint="eastAsia" w:ascii="宋体" w:hAnsi="宋体"/>
                <w:color w:val="000000"/>
                <w:szCs w:val="21"/>
              </w:rPr>
            </w:pPr>
            <w:r>
              <w:rPr>
                <w:rFonts w:ascii="宋体" w:hAnsi="宋体"/>
                <w:color w:val="000000"/>
                <w:szCs w:val="21"/>
              </w:rPr>
              <w:t>是否授权评标委员会确定中标人</w:t>
            </w:r>
          </w:p>
        </w:tc>
        <w:tc>
          <w:tcPr>
            <w:tcW w:w="6127" w:type="dxa"/>
            <w:vAlign w:val="center"/>
          </w:tcPr>
          <w:p w14:paraId="3B179197">
            <w:pPr>
              <w:spacing w:line="480" w:lineRule="exact"/>
              <w:rPr>
                <w:rFonts w:hint="eastAsia" w:ascii="宋体" w:hAnsi="宋体"/>
                <w:color w:val="000000"/>
                <w:szCs w:val="21"/>
              </w:rPr>
            </w:pPr>
            <w:r>
              <w:rPr>
                <w:rFonts w:ascii="宋体" w:hAnsi="宋体"/>
                <w:color w:val="000000"/>
                <w:szCs w:val="21"/>
              </w:rPr>
              <w:t>□是</w:t>
            </w:r>
          </w:p>
          <w:p w14:paraId="12392F31">
            <w:pPr>
              <w:spacing w:line="480" w:lineRule="exact"/>
              <w:rPr>
                <w:rFonts w:hint="eastAsia" w:ascii="宋体" w:hAnsi="宋体"/>
                <w:color w:val="000000"/>
                <w:szCs w:val="21"/>
                <w:u w:val="single"/>
              </w:rPr>
            </w:pPr>
            <w:r>
              <w:rPr>
                <w:rFonts w:ascii="宋体" w:hAnsi="宋体"/>
                <w:color w:val="000000"/>
                <w:szCs w:val="21"/>
              </w:rPr>
              <w:fldChar w:fldCharType="begin"/>
            </w:r>
            <w:r>
              <w:rPr>
                <w:rFonts w:ascii="宋体" w:hAnsi="宋体"/>
                <w:color w:val="000000"/>
                <w:szCs w:val="21"/>
              </w:rPr>
              <w:instrText xml:space="preserve"> </w:instrText>
            </w:r>
            <w:r>
              <w:rPr>
                <w:rFonts w:hint="eastAsia" w:ascii="宋体" w:hAnsi="宋体"/>
                <w:color w:val="000000"/>
                <w:szCs w:val="21"/>
              </w:rPr>
              <w:instrText xml:space="preserve">eq \o\ac(□,</w:instrText>
            </w:r>
            <w:r>
              <w:rPr>
                <w:rFonts w:hint="eastAsia" w:ascii="宋体" w:hAnsi="宋体"/>
                <w:color w:val="000000"/>
                <w:position w:val="2"/>
                <w:szCs w:val="21"/>
              </w:rPr>
              <w:instrText xml:space="preserve">√</w:instrText>
            </w:r>
            <w:r>
              <w:rPr>
                <w:rFonts w:hint="eastAsia" w:ascii="宋体" w:hAnsi="宋体"/>
                <w:color w:val="000000"/>
                <w:szCs w:val="21"/>
              </w:rPr>
              <w:instrText xml:space="preserve">)</w:instrText>
            </w:r>
            <w:r>
              <w:rPr>
                <w:rFonts w:ascii="宋体" w:hAnsi="宋体"/>
                <w:color w:val="000000"/>
                <w:szCs w:val="21"/>
              </w:rPr>
              <w:fldChar w:fldCharType="end"/>
            </w:r>
            <w:r>
              <w:rPr>
                <w:rFonts w:ascii="宋体" w:hAnsi="宋体"/>
                <w:color w:val="000000"/>
                <w:szCs w:val="21"/>
              </w:rPr>
              <w:t>否</w:t>
            </w:r>
            <w:r>
              <w:rPr>
                <w:rFonts w:hint="eastAsia" w:ascii="宋体" w:hAnsi="宋体"/>
                <w:color w:val="000000"/>
                <w:szCs w:val="21"/>
              </w:rPr>
              <w:t>，推荐1-3名中标候选人</w:t>
            </w:r>
          </w:p>
        </w:tc>
      </w:tr>
      <w:tr w14:paraId="712AD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3" w:hRule="atLeast"/>
          <w:jc w:val="center"/>
        </w:trPr>
        <w:tc>
          <w:tcPr>
            <w:tcW w:w="1044" w:type="dxa"/>
            <w:vAlign w:val="center"/>
          </w:tcPr>
          <w:p w14:paraId="02527EB4">
            <w:pPr>
              <w:jc w:val="center"/>
              <w:rPr>
                <w:rFonts w:hint="eastAsia" w:ascii="宋体" w:hAnsi="宋体"/>
                <w:color w:val="000000"/>
                <w:szCs w:val="21"/>
              </w:rPr>
            </w:pPr>
            <w:r>
              <w:rPr>
                <w:rFonts w:ascii="宋体" w:hAnsi="宋体"/>
                <w:color w:val="000000"/>
                <w:szCs w:val="21"/>
              </w:rPr>
              <w:t>28</w:t>
            </w:r>
          </w:p>
        </w:tc>
        <w:tc>
          <w:tcPr>
            <w:tcW w:w="2533" w:type="dxa"/>
            <w:vAlign w:val="center"/>
          </w:tcPr>
          <w:p w14:paraId="31D3665B">
            <w:pPr>
              <w:spacing w:line="420" w:lineRule="exact"/>
              <w:rPr>
                <w:rFonts w:hint="eastAsia" w:ascii="宋体" w:hAnsi="宋体"/>
                <w:color w:val="000000"/>
                <w:szCs w:val="21"/>
              </w:rPr>
            </w:pPr>
            <w:r>
              <w:rPr>
                <w:rFonts w:ascii="宋体" w:hAnsi="宋体"/>
                <w:color w:val="000000"/>
                <w:szCs w:val="21"/>
              </w:rPr>
              <w:t>履约保证金</w:t>
            </w:r>
          </w:p>
        </w:tc>
        <w:tc>
          <w:tcPr>
            <w:tcW w:w="6127" w:type="dxa"/>
            <w:vAlign w:val="center"/>
          </w:tcPr>
          <w:p w14:paraId="160A75EC">
            <w:pPr>
              <w:spacing w:line="480" w:lineRule="exact"/>
              <w:rPr>
                <w:rFonts w:hint="eastAsia" w:ascii="宋体" w:hAnsi="宋体" w:cs="宋体"/>
                <w:kern w:val="1"/>
                <w:szCs w:val="21"/>
              </w:rPr>
            </w:pPr>
            <w:r>
              <w:rPr>
                <w:rFonts w:hint="eastAsia" w:ascii="宋体" w:hAnsi="宋体" w:cs="宋体"/>
                <w:kern w:val="1"/>
                <w:szCs w:val="21"/>
              </w:rPr>
              <w:t>履约保证金的形式：转账、履约担保或者投标人基本账户开户行出具的银行保函、保险公司保险单。</w:t>
            </w:r>
          </w:p>
          <w:p w14:paraId="2A5AA671">
            <w:pPr>
              <w:spacing w:line="480" w:lineRule="exact"/>
              <w:rPr>
                <w:rFonts w:hint="eastAsia" w:ascii="宋体" w:hAnsi="宋体" w:cs="宋体"/>
                <w:kern w:val="1"/>
                <w:szCs w:val="21"/>
              </w:rPr>
            </w:pPr>
            <w:r>
              <w:rPr>
                <w:rFonts w:hint="eastAsia" w:ascii="宋体" w:hAnsi="宋体" w:cs="宋体"/>
                <w:kern w:val="1"/>
                <w:szCs w:val="21"/>
              </w:rPr>
              <w:t>履约保证金的金额：中标价的10%</w:t>
            </w:r>
          </w:p>
          <w:p w14:paraId="72B0105E">
            <w:pPr>
              <w:spacing w:line="480" w:lineRule="exact"/>
              <w:rPr>
                <w:rFonts w:hint="eastAsia" w:ascii="宋体" w:hAnsi="宋体" w:cs="宋体"/>
                <w:kern w:val="1"/>
                <w:szCs w:val="21"/>
              </w:rPr>
            </w:pPr>
            <w:r>
              <w:rPr>
                <w:rFonts w:hint="eastAsia" w:ascii="宋体" w:hAnsi="宋体" w:cs="宋体"/>
                <w:kern w:val="1"/>
                <w:szCs w:val="21"/>
              </w:rPr>
              <w:t>注：对提供＂信用中国（江苏盐城）＂备案的第三方信用报告AA评级及以上采购供应商，履约保证金比例降低至中标价的5%，需在签订采购合同前提供信用管理部门备案的第三方信用报告，且信用报告通过“信用盐城网”可查实。</w:t>
            </w:r>
          </w:p>
          <w:p w14:paraId="6770E5C0">
            <w:pPr>
              <w:spacing w:line="480" w:lineRule="exact"/>
              <w:rPr>
                <w:rFonts w:hint="eastAsia" w:ascii="宋体" w:hAnsi="宋体"/>
                <w:bCs/>
                <w:color w:val="000000"/>
                <w:szCs w:val="21"/>
              </w:rPr>
            </w:pPr>
            <w:r>
              <w:rPr>
                <w:rFonts w:hint="eastAsia" w:ascii="宋体" w:hAnsi="宋体" w:cs="宋体"/>
                <w:kern w:val="1"/>
                <w:szCs w:val="21"/>
              </w:rPr>
              <w:t>履约保证金退还：合同履行期满中标人服务内容全部履行完毕经招标人验收合格未发生质量问题且中标人无违约情形后一个月内无息退还。</w:t>
            </w:r>
          </w:p>
        </w:tc>
      </w:tr>
      <w:tr w14:paraId="694BE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1044" w:type="dxa"/>
            <w:vAlign w:val="center"/>
          </w:tcPr>
          <w:p w14:paraId="147F6C49">
            <w:pPr>
              <w:jc w:val="center"/>
              <w:rPr>
                <w:rFonts w:hint="eastAsia" w:ascii="宋体" w:hAnsi="宋体"/>
                <w:color w:val="000000"/>
                <w:szCs w:val="21"/>
              </w:rPr>
            </w:pPr>
            <w:r>
              <w:rPr>
                <w:rFonts w:ascii="宋体" w:hAnsi="宋体"/>
                <w:color w:val="000000"/>
                <w:szCs w:val="21"/>
              </w:rPr>
              <w:t>29</w:t>
            </w:r>
          </w:p>
        </w:tc>
        <w:tc>
          <w:tcPr>
            <w:tcW w:w="2533" w:type="dxa"/>
            <w:vAlign w:val="center"/>
          </w:tcPr>
          <w:p w14:paraId="7769F3C6">
            <w:pPr>
              <w:spacing w:line="420" w:lineRule="exact"/>
              <w:rPr>
                <w:rFonts w:hint="eastAsia" w:ascii="宋体" w:hAnsi="宋体"/>
                <w:szCs w:val="21"/>
              </w:rPr>
            </w:pPr>
            <w:r>
              <w:rPr>
                <w:rFonts w:hint="eastAsia" w:ascii="宋体" w:hAnsi="宋体"/>
                <w:szCs w:val="21"/>
              </w:rPr>
              <w:t>付款方式</w:t>
            </w:r>
          </w:p>
        </w:tc>
        <w:tc>
          <w:tcPr>
            <w:tcW w:w="6127" w:type="dxa"/>
            <w:vAlign w:val="center"/>
          </w:tcPr>
          <w:p w14:paraId="1E3A0B71">
            <w:pPr>
              <w:widowControl/>
              <w:spacing w:line="480" w:lineRule="exact"/>
              <w:ind w:firstLine="420"/>
              <w:jc w:val="left"/>
              <w:rPr>
                <w:rFonts w:hint="eastAsia" w:ascii="宋体" w:hAnsi="宋体"/>
                <w:color w:val="000000"/>
                <w:kern w:val="2"/>
                <w:szCs w:val="21"/>
              </w:rPr>
            </w:pPr>
            <w:r>
              <w:rPr>
                <w:rFonts w:hint="eastAsia" w:ascii="宋体" w:hAnsi="宋体"/>
                <w:color w:val="000000"/>
                <w:kern w:val="2"/>
                <w:szCs w:val="21"/>
              </w:rPr>
              <w:t>付款进度和方式：</w:t>
            </w:r>
          </w:p>
          <w:p w14:paraId="0C6471DC">
            <w:pPr>
              <w:widowControl/>
              <w:spacing w:line="480" w:lineRule="exact"/>
              <w:ind w:firstLine="420"/>
              <w:jc w:val="left"/>
              <w:rPr>
                <w:rFonts w:ascii="Times New Roman" w:hAnsi="Times New Roman" w:eastAsia="宋体" w:cs="Times New Roman"/>
                <w:color w:val="FF0000"/>
                <w:szCs w:val="21"/>
              </w:rPr>
            </w:pPr>
            <w:r>
              <w:rPr>
                <w:rFonts w:hint="eastAsia" w:ascii="宋体" w:hAnsi="宋体" w:cs="宋体"/>
                <w:szCs w:val="21"/>
              </w:rPr>
              <w:t>合同价款的支付:</w:t>
            </w:r>
            <w:r>
              <w:rPr>
                <w:rFonts w:hint="eastAsia"/>
              </w:rPr>
              <w:t xml:space="preserve"> </w:t>
            </w:r>
            <w:r>
              <w:rPr>
                <w:rFonts w:hint="eastAsia" w:ascii="Times New Roman" w:hAnsi="Times New Roman" w:eastAsia="宋体" w:cs="Times New Roman"/>
                <w:szCs w:val="21"/>
              </w:rPr>
              <w:t>合同签订后由乙方向甲方申请预支付第一年合同价款的30%（合同签订并收到乙方发票后 10个工作日内），一年服务期满且达到考核标准并提供项目成果提交经甲方验收合格后60日内付至第一年结算价款的80%（结算价款的计算方式考核细则详见附件），待本项目两年服务期满且达到考核标准并提供项目成果提交后经甲方验收合格后60日内一次性结清余款；若服务期满一年，经甲方年度考核未达到考核标准（连续2次、累计3次季度考核分数低于70分的认定为不合格），甲方依据约定解除本合同的，乙方无条件接受，并在收到书面终止服务通知后10个工作日内无条件撤离。第一年的服务费双方按照考核细则的考核结果按实结算，甲方不再支付合同剩余款项，乙方不得提出其他补偿要求。</w:t>
            </w:r>
          </w:p>
          <w:p w14:paraId="5C2348DA">
            <w:pPr>
              <w:spacing w:line="480" w:lineRule="exact"/>
              <w:ind w:firstLine="420" w:firstLineChars="200"/>
              <w:rPr>
                <w:rFonts w:hint="eastAsia" w:ascii="宋体" w:hAnsi="宋体"/>
                <w:color w:val="000000"/>
                <w:kern w:val="2"/>
                <w:szCs w:val="21"/>
              </w:rPr>
            </w:pPr>
            <w:r>
              <w:rPr>
                <w:rFonts w:hint="eastAsia" w:ascii="宋体" w:hAnsi="宋体"/>
                <w:color w:val="000000"/>
                <w:kern w:val="2"/>
                <w:szCs w:val="21"/>
              </w:rPr>
              <w:t>注：（1）以上付款均无银行利息，且中标人需于甲方付款前提供相应金额的有效票据，否则甲方有权拒绝付款且不构成违约；</w:t>
            </w:r>
          </w:p>
          <w:p w14:paraId="50AEB414">
            <w:pPr>
              <w:spacing w:line="480" w:lineRule="exact"/>
              <w:ind w:firstLine="420" w:firstLineChars="200"/>
              <w:rPr>
                <w:rFonts w:hint="eastAsia" w:ascii="宋体" w:hAnsi="宋体"/>
                <w:color w:val="000000"/>
                <w:kern w:val="2"/>
                <w:szCs w:val="21"/>
              </w:rPr>
            </w:pPr>
            <w:r>
              <w:rPr>
                <w:rFonts w:hint="eastAsia" w:ascii="宋体" w:hAnsi="宋体"/>
                <w:color w:val="000000"/>
                <w:kern w:val="2"/>
                <w:szCs w:val="21"/>
              </w:rPr>
              <w:t>（2）在签订合同时，中标人明确表示无需预付款或者主动要求降低预付款比例的，采购人可不适用上述关于预付款的规定；</w:t>
            </w:r>
          </w:p>
          <w:p w14:paraId="593F37C9">
            <w:pPr>
              <w:spacing w:line="480" w:lineRule="exact"/>
              <w:ind w:firstLine="420" w:firstLineChars="200"/>
              <w:rPr>
                <w:rFonts w:hint="eastAsia" w:ascii="宋体" w:hAnsi="宋体"/>
                <w:szCs w:val="21"/>
              </w:rPr>
            </w:pPr>
            <w:r>
              <w:rPr>
                <w:rFonts w:hint="eastAsia" w:ascii="宋体" w:hAnsi="宋体"/>
                <w:color w:val="000000"/>
                <w:kern w:val="2"/>
                <w:szCs w:val="21"/>
              </w:rPr>
              <w:t>合同款项一律通过银行非现金结算，结算方式：转账。</w:t>
            </w:r>
          </w:p>
        </w:tc>
      </w:tr>
      <w:tr w14:paraId="3CC4C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1044" w:type="dxa"/>
            <w:vAlign w:val="center"/>
          </w:tcPr>
          <w:p w14:paraId="213617D7">
            <w:pPr>
              <w:jc w:val="center"/>
              <w:rPr>
                <w:rFonts w:hint="eastAsia" w:ascii="宋体" w:hAnsi="宋体"/>
                <w:color w:val="000000"/>
                <w:szCs w:val="21"/>
              </w:rPr>
            </w:pPr>
            <w:r>
              <w:rPr>
                <w:rFonts w:hint="eastAsia" w:ascii="宋体" w:hAnsi="宋体"/>
                <w:color w:val="000000"/>
                <w:szCs w:val="21"/>
              </w:rPr>
              <w:t>30</w:t>
            </w:r>
          </w:p>
        </w:tc>
        <w:tc>
          <w:tcPr>
            <w:tcW w:w="2533" w:type="dxa"/>
            <w:vAlign w:val="center"/>
          </w:tcPr>
          <w:p w14:paraId="333D46BB">
            <w:pPr>
              <w:spacing w:line="420" w:lineRule="exact"/>
              <w:rPr>
                <w:rFonts w:hint="eastAsia" w:ascii="宋体" w:hAnsi="宋体"/>
                <w:bCs/>
                <w:szCs w:val="21"/>
              </w:rPr>
            </w:pPr>
            <w:r>
              <w:rPr>
                <w:rFonts w:hint="eastAsia" w:ascii="宋体" w:hAnsi="宋体" w:cs="Arial"/>
                <w:bCs/>
                <w:szCs w:val="21"/>
              </w:rPr>
              <w:t>项目所属行业</w:t>
            </w:r>
          </w:p>
        </w:tc>
        <w:tc>
          <w:tcPr>
            <w:tcW w:w="6127" w:type="dxa"/>
            <w:vAlign w:val="center"/>
          </w:tcPr>
          <w:p w14:paraId="50CF538B">
            <w:pPr>
              <w:spacing w:line="480" w:lineRule="exact"/>
              <w:jc w:val="center"/>
              <w:rPr>
                <w:rFonts w:hint="eastAsia" w:ascii="宋体" w:hAnsi="宋体"/>
                <w:bCs/>
                <w:szCs w:val="21"/>
              </w:rPr>
            </w:pPr>
            <w:r>
              <w:rPr>
                <w:rFonts w:hint="eastAsia" w:ascii="宋体" w:hAnsi="宋体" w:cs="宋体"/>
                <w:szCs w:val="21"/>
              </w:rPr>
              <w:t>其他未列明行业</w:t>
            </w:r>
          </w:p>
        </w:tc>
      </w:tr>
    </w:tbl>
    <w:p w14:paraId="64EBA4EA">
      <w:pPr>
        <w:spacing w:line="480" w:lineRule="exact"/>
        <w:ind w:firstLine="422"/>
        <w:rPr>
          <w:rFonts w:hint="eastAsia" w:ascii="宋体" w:hAnsi="宋体"/>
          <w:b/>
          <w:color w:val="000000"/>
          <w:szCs w:val="21"/>
        </w:rPr>
      </w:pPr>
      <w:r>
        <w:rPr>
          <w:b/>
          <w:color w:val="000000"/>
          <w:szCs w:val="21"/>
        </w:rPr>
        <w:br w:type="page" w:clear="all"/>
      </w:r>
      <w:bookmarkEnd w:id="7"/>
      <w:bookmarkEnd w:id="8"/>
      <w:bookmarkEnd w:id="9"/>
      <w:bookmarkEnd w:id="10"/>
      <w:bookmarkEnd w:id="11"/>
      <w:bookmarkEnd w:id="12"/>
      <w:bookmarkEnd w:id="13"/>
      <w:bookmarkEnd w:id="14"/>
      <w:bookmarkEnd w:id="15"/>
      <w:bookmarkEnd w:id="16"/>
      <w:bookmarkEnd w:id="17"/>
      <w:r>
        <w:rPr>
          <w:rFonts w:hint="eastAsia" w:ascii="宋体" w:hAnsi="宋体"/>
          <w:b/>
          <w:color w:val="000000"/>
          <w:szCs w:val="21"/>
        </w:rPr>
        <w:t>二、总  则</w:t>
      </w:r>
    </w:p>
    <w:p w14:paraId="3F229015">
      <w:pPr>
        <w:spacing w:line="480" w:lineRule="exact"/>
        <w:ind w:firstLine="420"/>
        <w:rPr>
          <w:rFonts w:hint="eastAsia" w:ascii="宋体" w:hAnsi="宋体"/>
          <w:color w:val="000000"/>
          <w:szCs w:val="21"/>
        </w:rPr>
      </w:pPr>
      <w:r>
        <w:rPr>
          <w:rFonts w:hint="eastAsia" w:ascii="宋体" w:hAnsi="宋体"/>
          <w:color w:val="000000"/>
          <w:szCs w:val="21"/>
        </w:rPr>
        <w:t>1. 适用范围</w:t>
      </w:r>
    </w:p>
    <w:p w14:paraId="2BFE3EC3">
      <w:pPr>
        <w:spacing w:line="480" w:lineRule="exact"/>
        <w:ind w:firstLine="420"/>
        <w:rPr>
          <w:rFonts w:hint="eastAsia" w:ascii="宋体" w:hAnsi="宋体"/>
          <w:color w:val="000000"/>
          <w:szCs w:val="21"/>
        </w:rPr>
      </w:pPr>
      <w:r>
        <w:rPr>
          <w:rFonts w:hint="eastAsia" w:ascii="宋体" w:hAnsi="宋体"/>
          <w:color w:val="000000"/>
          <w:szCs w:val="21"/>
        </w:rPr>
        <w:t>1.1 本次项目仅适用于招标文件中所叙述项目的服务采购。</w:t>
      </w:r>
    </w:p>
    <w:p w14:paraId="53BA7D1B">
      <w:pPr>
        <w:spacing w:line="480" w:lineRule="exact"/>
        <w:ind w:firstLine="420"/>
        <w:rPr>
          <w:rFonts w:hint="eastAsia" w:ascii="宋体" w:hAnsi="宋体"/>
          <w:color w:val="000000"/>
          <w:szCs w:val="21"/>
        </w:rPr>
      </w:pPr>
      <w:r>
        <w:rPr>
          <w:rFonts w:hint="eastAsia" w:ascii="宋体" w:hAnsi="宋体"/>
          <w:color w:val="000000"/>
          <w:szCs w:val="21"/>
        </w:rPr>
        <w:t>2. 定义</w:t>
      </w:r>
    </w:p>
    <w:p w14:paraId="345E4C7A">
      <w:pPr>
        <w:spacing w:line="480" w:lineRule="exact"/>
        <w:ind w:firstLine="420"/>
        <w:rPr>
          <w:rFonts w:hint="eastAsia" w:ascii="宋体" w:hAnsi="宋体"/>
          <w:color w:val="000000"/>
          <w:szCs w:val="21"/>
        </w:rPr>
      </w:pPr>
      <w:r>
        <w:rPr>
          <w:rFonts w:hint="eastAsia" w:ascii="宋体" w:hAnsi="宋体"/>
          <w:color w:val="000000"/>
          <w:szCs w:val="21"/>
        </w:rPr>
        <w:t>2.1 “采购人”“采购单位”系指本次采购项目的业主方。</w:t>
      </w:r>
    </w:p>
    <w:p w14:paraId="20A8ABBB">
      <w:pPr>
        <w:spacing w:line="480" w:lineRule="exact"/>
        <w:ind w:firstLine="420"/>
        <w:rPr>
          <w:rFonts w:hint="eastAsia" w:ascii="宋体" w:hAnsi="宋体"/>
          <w:color w:val="000000"/>
          <w:szCs w:val="21"/>
        </w:rPr>
      </w:pPr>
      <w:r>
        <w:rPr>
          <w:rFonts w:hint="eastAsia" w:ascii="宋体" w:hAnsi="宋体"/>
          <w:color w:val="000000"/>
          <w:szCs w:val="21"/>
        </w:rPr>
        <w:t>2.2 “采购代理机构”系指本次招标采购项目活动组织方。</w:t>
      </w:r>
    </w:p>
    <w:p w14:paraId="01D0DC62">
      <w:pPr>
        <w:spacing w:line="480" w:lineRule="exact"/>
        <w:ind w:firstLine="420"/>
        <w:rPr>
          <w:rFonts w:hint="eastAsia" w:ascii="宋体" w:hAnsi="宋体"/>
          <w:color w:val="000000"/>
          <w:szCs w:val="21"/>
        </w:rPr>
      </w:pPr>
      <w:r>
        <w:rPr>
          <w:rFonts w:hint="eastAsia" w:ascii="宋体" w:hAnsi="宋体"/>
          <w:color w:val="000000"/>
          <w:szCs w:val="21"/>
        </w:rPr>
        <w:t>2.3 “投标人”系指获取了本次招标文件，且已经提交或者准备提交本次投标文件的供应商。</w:t>
      </w:r>
    </w:p>
    <w:p w14:paraId="44A35EF6">
      <w:pPr>
        <w:spacing w:line="480" w:lineRule="exact"/>
        <w:ind w:firstLine="420"/>
        <w:rPr>
          <w:rFonts w:hint="eastAsia" w:ascii="宋体" w:hAnsi="宋体"/>
          <w:color w:val="000000"/>
          <w:szCs w:val="21"/>
        </w:rPr>
      </w:pPr>
      <w:r>
        <w:rPr>
          <w:rFonts w:hint="eastAsia" w:ascii="宋体" w:hAnsi="宋体"/>
          <w:color w:val="000000"/>
          <w:szCs w:val="21"/>
        </w:rPr>
        <w:t>2.4 “投标文件有效期” 系指本次采购项目投标截止之日起至合同签订之日止的期限。</w:t>
      </w:r>
    </w:p>
    <w:p w14:paraId="4A7EE886">
      <w:pPr>
        <w:spacing w:line="480" w:lineRule="exact"/>
        <w:ind w:firstLine="420"/>
        <w:rPr>
          <w:rFonts w:hint="eastAsia" w:ascii="宋体" w:hAnsi="宋体"/>
          <w:color w:val="000000"/>
          <w:szCs w:val="21"/>
        </w:rPr>
      </w:pPr>
      <w:r>
        <w:rPr>
          <w:rFonts w:hint="eastAsia" w:ascii="宋体" w:hAnsi="宋体"/>
          <w:color w:val="000000"/>
          <w:szCs w:val="21"/>
        </w:rPr>
        <w:t>2.5 不可抗力：不可预见、不能避免并且不能克服的客观情况。</w:t>
      </w:r>
    </w:p>
    <w:p w14:paraId="01AB2F68">
      <w:pPr>
        <w:spacing w:line="480" w:lineRule="exact"/>
        <w:ind w:firstLine="420"/>
        <w:rPr>
          <w:rFonts w:hint="eastAsia" w:ascii="宋体" w:hAnsi="宋体"/>
          <w:color w:val="000000"/>
          <w:szCs w:val="21"/>
        </w:rPr>
      </w:pPr>
      <w:r>
        <w:rPr>
          <w:rFonts w:hint="eastAsia" w:ascii="宋体" w:hAnsi="宋体"/>
          <w:color w:val="000000"/>
          <w:szCs w:val="21"/>
        </w:rPr>
        <w:t>3. 申请人的资格要求：详见招标公告</w:t>
      </w:r>
    </w:p>
    <w:p w14:paraId="1F464A47">
      <w:pPr>
        <w:spacing w:line="480" w:lineRule="exact"/>
        <w:ind w:firstLine="420"/>
        <w:rPr>
          <w:rFonts w:hint="eastAsia" w:ascii="宋体" w:hAnsi="宋体"/>
          <w:color w:val="000000"/>
          <w:szCs w:val="21"/>
        </w:rPr>
      </w:pPr>
      <w:r>
        <w:rPr>
          <w:rFonts w:hint="eastAsia" w:ascii="宋体" w:hAnsi="宋体"/>
          <w:color w:val="000000"/>
          <w:szCs w:val="21"/>
        </w:rPr>
        <w:t>4.招标文件的构成</w:t>
      </w:r>
    </w:p>
    <w:p w14:paraId="669C40B0">
      <w:pPr>
        <w:spacing w:line="480" w:lineRule="exact"/>
        <w:ind w:firstLine="420"/>
        <w:rPr>
          <w:rFonts w:hint="eastAsia" w:ascii="宋体" w:hAnsi="宋体"/>
          <w:color w:val="000000"/>
          <w:szCs w:val="21"/>
        </w:rPr>
      </w:pPr>
      <w:r>
        <w:rPr>
          <w:rFonts w:hint="eastAsia" w:ascii="宋体" w:hAnsi="宋体"/>
          <w:color w:val="000000"/>
          <w:szCs w:val="21"/>
        </w:rPr>
        <w:t>4.1招标文件用以阐明招标项目所需的资质、技术、服务及报价等要求、招标投标程序、有关规定和注意事项以及合同主要条款等。本招标文件包括以下内容：</w:t>
      </w:r>
    </w:p>
    <w:p w14:paraId="136A87F1">
      <w:pPr>
        <w:spacing w:line="480" w:lineRule="exact"/>
        <w:ind w:firstLine="420"/>
        <w:rPr>
          <w:rFonts w:hint="eastAsia" w:ascii="宋体" w:hAnsi="宋体"/>
          <w:color w:val="000000"/>
          <w:szCs w:val="21"/>
        </w:rPr>
      </w:pPr>
      <w:r>
        <w:rPr>
          <w:rFonts w:hint="eastAsia" w:ascii="宋体" w:hAnsi="宋体"/>
          <w:color w:val="000000"/>
          <w:szCs w:val="21"/>
        </w:rPr>
        <w:t>4.1.1招标公告；</w:t>
      </w:r>
    </w:p>
    <w:p w14:paraId="78EDE085">
      <w:pPr>
        <w:spacing w:line="480" w:lineRule="exact"/>
        <w:ind w:firstLine="420"/>
        <w:rPr>
          <w:rFonts w:hint="eastAsia" w:ascii="宋体" w:hAnsi="宋体"/>
          <w:color w:val="000000"/>
          <w:szCs w:val="21"/>
        </w:rPr>
      </w:pPr>
      <w:r>
        <w:rPr>
          <w:rFonts w:hint="eastAsia" w:ascii="宋体" w:hAnsi="宋体"/>
          <w:color w:val="000000"/>
          <w:szCs w:val="21"/>
        </w:rPr>
        <w:t>4.1.2投标人须知；</w:t>
      </w:r>
    </w:p>
    <w:p w14:paraId="58CB4274">
      <w:pPr>
        <w:spacing w:line="480" w:lineRule="exact"/>
        <w:ind w:firstLine="420"/>
        <w:rPr>
          <w:rFonts w:hint="eastAsia" w:ascii="宋体" w:hAnsi="宋体"/>
          <w:color w:val="000000"/>
          <w:szCs w:val="21"/>
        </w:rPr>
      </w:pPr>
      <w:r>
        <w:rPr>
          <w:rFonts w:hint="eastAsia" w:ascii="宋体" w:hAnsi="宋体"/>
          <w:color w:val="000000"/>
          <w:szCs w:val="21"/>
        </w:rPr>
        <w:t>4.1.3招标内容及要求；</w:t>
      </w:r>
    </w:p>
    <w:p w14:paraId="08C14AF7">
      <w:pPr>
        <w:spacing w:line="480" w:lineRule="exact"/>
        <w:ind w:firstLine="420"/>
        <w:rPr>
          <w:rFonts w:hint="eastAsia" w:ascii="宋体" w:hAnsi="宋体"/>
          <w:color w:val="000000"/>
          <w:szCs w:val="21"/>
        </w:rPr>
      </w:pPr>
      <w:r>
        <w:rPr>
          <w:rFonts w:hint="eastAsia" w:ascii="宋体" w:hAnsi="宋体"/>
          <w:color w:val="000000"/>
          <w:szCs w:val="21"/>
        </w:rPr>
        <w:t>4.1.4评标办法及评分标准；</w:t>
      </w:r>
    </w:p>
    <w:p w14:paraId="7A658BA4">
      <w:pPr>
        <w:spacing w:line="480" w:lineRule="exact"/>
        <w:ind w:firstLine="420"/>
        <w:rPr>
          <w:rFonts w:hint="eastAsia" w:ascii="宋体" w:hAnsi="宋体"/>
          <w:color w:val="000000"/>
          <w:szCs w:val="21"/>
        </w:rPr>
      </w:pPr>
      <w:r>
        <w:rPr>
          <w:rFonts w:hint="eastAsia" w:ascii="宋体" w:hAnsi="宋体"/>
          <w:color w:val="000000"/>
          <w:szCs w:val="21"/>
        </w:rPr>
        <w:t>4.1.5合同主要条款；</w:t>
      </w:r>
    </w:p>
    <w:p w14:paraId="24AB0F56">
      <w:pPr>
        <w:spacing w:line="480" w:lineRule="exact"/>
        <w:ind w:firstLine="420"/>
        <w:rPr>
          <w:rFonts w:hint="eastAsia" w:ascii="宋体" w:hAnsi="宋体"/>
          <w:color w:val="000000"/>
          <w:szCs w:val="21"/>
        </w:rPr>
      </w:pPr>
      <w:r>
        <w:rPr>
          <w:rFonts w:hint="eastAsia" w:ascii="宋体" w:hAnsi="宋体"/>
          <w:color w:val="000000"/>
          <w:szCs w:val="21"/>
        </w:rPr>
        <w:t>4.1.6投标文件格式。</w:t>
      </w:r>
    </w:p>
    <w:p w14:paraId="51781A5A">
      <w:pPr>
        <w:spacing w:line="480" w:lineRule="exact"/>
        <w:ind w:firstLine="420"/>
        <w:rPr>
          <w:rFonts w:hint="eastAsia" w:ascii="宋体" w:hAnsi="宋体"/>
          <w:color w:val="000000"/>
          <w:szCs w:val="21"/>
        </w:rPr>
      </w:pPr>
      <w:r>
        <w:rPr>
          <w:rFonts w:hint="eastAsia" w:ascii="宋体" w:hAnsi="宋体"/>
          <w:color w:val="000000"/>
          <w:szCs w:val="21"/>
        </w:rPr>
        <w:t>4.2投标人应认真阅读和充分理解招标文件中所有的事项、格式条款和规范要求。投标人领取招标文件并参加投标即视同认可招标文件内所有内容。投标人没有对招标文件全面做出实质性响应是投标人的风险。没有按照招标文件要求作出实质性响应的投标文件将被拒绝。</w:t>
      </w:r>
    </w:p>
    <w:p w14:paraId="0797CCCF">
      <w:pPr>
        <w:spacing w:line="480" w:lineRule="exact"/>
        <w:ind w:firstLine="420"/>
        <w:rPr>
          <w:rFonts w:hint="eastAsia" w:ascii="宋体" w:hAnsi="宋体"/>
          <w:color w:val="000000"/>
          <w:szCs w:val="21"/>
        </w:rPr>
      </w:pPr>
      <w:r>
        <w:rPr>
          <w:rFonts w:hint="eastAsia" w:ascii="宋体" w:hAnsi="宋体"/>
          <w:color w:val="000000"/>
          <w:szCs w:val="21"/>
        </w:rPr>
        <w:t>4.3 勘查现场</w:t>
      </w:r>
    </w:p>
    <w:p w14:paraId="6598DA11">
      <w:pPr>
        <w:spacing w:line="480" w:lineRule="exact"/>
        <w:ind w:firstLine="420"/>
        <w:rPr>
          <w:rFonts w:hint="eastAsia" w:ascii="宋体" w:hAnsi="宋体"/>
          <w:color w:val="000000"/>
          <w:szCs w:val="21"/>
        </w:rPr>
      </w:pPr>
      <w:r>
        <w:rPr>
          <w:rFonts w:hint="eastAsia" w:ascii="宋体" w:hAnsi="宋体"/>
          <w:color w:val="000000"/>
          <w:szCs w:val="21"/>
        </w:rPr>
        <w:t>4.3.1 投标人踏勘现场所发生的费用自理；采购人向投标人提供的有关现场的数据和资料，是采购人现有的能被投标人利用的资料，采购人对投标人做出的任何推论、理解和结论均不负责任；投标人进入采购人项目现场进行踏勘的，不得使采购人承担有关的责任和蒙受损失；投标人应承担踏勘现场的责任和风险。</w:t>
      </w:r>
    </w:p>
    <w:p w14:paraId="33F2B936">
      <w:pPr>
        <w:spacing w:line="480" w:lineRule="exact"/>
        <w:ind w:firstLine="420"/>
        <w:rPr>
          <w:rFonts w:hint="eastAsia" w:ascii="宋体" w:hAnsi="宋体"/>
          <w:color w:val="000000"/>
          <w:szCs w:val="21"/>
        </w:rPr>
      </w:pPr>
      <w:r>
        <w:rPr>
          <w:rFonts w:hint="eastAsia" w:ascii="宋体" w:hAnsi="宋体"/>
          <w:color w:val="000000"/>
          <w:szCs w:val="21"/>
        </w:rPr>
        <w:t>4.3.2 无论投标人踏勘与否，都将被视为熟悉履行该项目有关的一切情况，并承担一切与投标有关的风险、责任和义务。</w:t>
      </w:r>
    </w:p>
    <w:p w14:paraId="01B809D6">
      <w:pPr>
        <w:spacing w:line="480" w:lineRule="exact"/>
        <w:ind w:firstLine="420"/>
        <w:rPr>
          <w:rFonts w:hint="eastAsia" w:ascii="宋体" w:hAnsi="宋体"/>
          <w:color w:val="000000"/>
          <w:szCs w:val="21"/>
        </w:rPr>
      </w:pPr>
      <w:r>
        <w:rPr>
          <w:rFonts w:hint="eastAsia" w:ascii="宋体" w:hAnsi="宋体"/>
          <w:color w:val="000000"/>
          <w:szCs w:val="21"/>
        </w:rPr>
        <w:t>4.3.3 现场踏勘由各投标人自行实施，采购人不统一组织现场踏勘。</w:t>
      </w:r>
    </w:p>
    <w:p w14:paraId="0C5E1995">
      <w:pPr>
        <w:spacing w:line="480" w:lineRule="exact"/>
        <w:ind w:firstLine="420"/>
        <w:rPr>
          <w:rFonts w:hint="eastAsia" w:ascii="宋体" w:hAnsi="宋体"/>
          <w:color w:val="000000"/>
          <w:szCs w:val="21"/>
        </w:rPr>
      </w:pPr>
      <w:r>
        <w:rPr>
          <w:rFonts w:hint="eastAsia" w:ascii="宋体" w:hAnsi="宋体"/>
          <w:color w:val="000000"/>
          <w:szCs w:val="21"/>
        </w:rPr>
        <w:t>4.3.4 供应商应在现场勘查时，熟悉现场及周围交通道路等情况，以获得一切可能影响其投标的直接资料。供应商中标后，不得以不完全了解现场情况为理由而向采购单位提出任何索赔的要求，对此采购单位不承担任何责任并将不作任何答复与考虑。</w:t>
      </w:r>
    </w:p>
    <w:p w14:paraId="11081D82">
      <w:pPr>
        <w:spacing w:line="480" w:lineRule="exact"/>
        <w:ind w:firstLine="422"/>
        <w:rPr>
          <w:rFonts w:hint="eastAsia" w:ascii="宋体" w:hAnsi="宋体"/>
          <w:b/>
          <w:color w:val="000000"/>
          <w:szCs w:val="21"/>
        </w:rPr>
      </w:pPr>
      <w:r>
        <w:rPr>
          <w:rFonts w:hint="eastAsia" w:ascii="宋体" w:hAnsi="宋体"/>
          <w:b/>
          <w:color w:val="000000"/>
          <w:szCs w:val="21"/>
        </w:rPr>
        <w:t>三、招标文件的澄清、修改及补充</w:t>
      </w:r>
    </w:p>
    <w:p w14:paraId="7F60CD6B">
      <w:pPr>
        <w:spacing w:line="480" w:lineRule="exact"/>
        <w:ind w:firstLine="420"/>
        <w:rPr>
          <w:rFonts w:hint="eastAsia" w:ascii="宋体" w:hAnsi="宋体"/>
          <w:color w:val="000000"/>
          <w:szCs w:val="21"/>
        </w:rPr>
      </w:pPr>
      <w:r>
        <w:rPr>
          <w:rFonts w:hint="eastAsia" w:ascii="宋体" w:hAnsi="宋体"/>
          <w:color w:val="000000"/>
          <w:szCs w:val="21"/>
        </w:rPr>
        <w:t>5.1投标人在收到招标文件后，如有疑问需要澄清，应以规定的时间和方式向采购人或代理机构提出，如在规定期限内未递交疑问或未按规定提交投标疑问的，则视为该投标人无疑问。</w:t>
      </w:r>
    </w:p>
    <w:p w14:paraId="3FB58495">
      <w:pPr>
        <w:spacing w:line="480" w:lineRule="exact"/>
        <w:ind w:firstLine="420"/>
        <w:rPr>
          <w:rFonts w:hint="eastAsia" w:ascii="宋体" w:hAnsi="宋体"/>
          <w:color w:val="000000"/>
          <w:szCs w:val="21"/>
        </w:rPr>
      </w:pPr>
      <w:r>
        <w:rPr>
          <w:rFonts w:hint="eastAsia" w:ascii="宋体" w:hAnsi="宋体"/>
          <w:color w:val="000000"/>
          <w:szCs w:val="21"/>
        </w:rPr>
        <w:t>5.2 在投标截止日期前，采购单位对招标文件进行澄清或者修改的，通过“苏采云”系统及盐城市政府采购网等相关网站发布澄清公告或者修改的内容。澄清或者修改的内容以所发布的本项目的“更正（澄清）公告”的形式通知所有获取招标文件的潜在投标人。发布本项目的“更正（澄清）公告”后采购代理机构已尽通知义务。敬请各潜在投标人关注本项目的“更正（澄清）公告”，并通过“苏采云”系统重新下载更正（澄清）后的采购文件（后缀名为“kedt”），离线编制投标文件，否则，将自行承担相应的风险。</w:t>
      </w:r>
    </w:p>
    <w:p w14:paraId="31AC305B">
      <w:pPr>
        <w:spacing w:line="480" w:lineRule="exact"/>
        <w:ind w:firstLine="420"/>
        <w:rPr>
          <w:rFonts w:hint="eastAsia" w:ascii="宋体" w:hAnsi="宋体"/>
          <w:color w:val="000000"/>
          <w:szCs w:val="21"/>
        </w:rPr>
      </w:pPr>
      <w:r>
        <w:rPr>
          <w:rFonts w:hint="eastAsia" w:ascii="宋体" w:hAnsi="宋体"/>
          <w:color w:val="000000"/>
          <w:szCs w:val="21"/>
        </w:rPr>
        <w:t>5.3 标书以外的内容，一律拒绝答复。</w:t>
      </w:r>
    </w:p>
    <w:p w14:paraId="35C7DFF0">
      <w:pPr>
        <w:spacing w:line="480" w:lineRule="exact"/>
        <w:ind w:firstLine="420"/>
        <w:rPr>
          <w:rFonts w:hint="eastAsia" w:ascii="宋体" w:hAnsi="宋体"/>
          <w:color w:val="000000"/>
          <w:szCs w:val="21"/>
        </w:rPr>
      </w:pPr>
      <w:r>
        <w:rPr>
          <w:rFonts w:hint="eastAsia" w:ascii="宋体" w:hAnsi="宋体"/>
          <w:color w:val="000000"/>
          <w:szCs w:val="21"/>
        </w:rPr>
        <w:t>5.4 投标人对采购人提供的采购文件所做出的推论、解释和结论，采购人概不负责。投标人由于对招标文件的任何推论和误解以及采购人对有关问题的口头解释所造成的后果，均由投标人自负。</w:t>
      </w:r>
    </w:p>
    <w:p w14:paraId="4FE6BB99">
      <w:pPr>
        <w:spacing w:line="480" w:lineRule="exact"/>
        <w:ind w:firstLine="420"/>
        <w:rPr>
          <w:rFonts w:hint="eastAsia" w:ascii="宋体" w:hAnsi="宋体"/>
          <w:color w:val="000000"/>
          <w:szCs w:val="21"/>
        </w:rPr>
      </w:pPr>
      <w:r>
        <w:rPr>
          <w:rFonts w:hint="eastAsia" w:ascii="宋体" w:hAnsi="宋体"/>
          <w:color w:val="000000"/>
          <w:szCs w:val="21"/>
        </w:rPr>
        <w:t>5.5 本采购文件的最终解释权归采购单位所有</w:t>
      </w:r>
    </w:p>
    <w:p w14:paraId="61B7CC60">
      <w:pPr>
        <w:spacing w:line="480" w:lineRule="exact"/>
        <w:ind w:firstLine="422"/>
        <w:rPr>
          <w:rFonts w:hint="eastAsia" w:ascii="宋体" w:hAnsi="宋体"/>
          <w:b/>
          <w:color w:val="000000"/>
          <w:szCs w:val="21"/>
        </w:rPr>
      </w:pPr>
      <w:r>
        <w:rPr>
          <w:rFonts w:hint="eastAsia" w:ascii="宋体" w:hAnsi="宋体"/>
          <w:b/>
          <w:color w:val="000000"/>
          <w:szCs w:val="21"/>
        </w:rPr>
        <w:t>四、投标文件</w:t>
      </w:r>
    </w:p>
    <w:p w14:paraId="63285903">
      <w:pPr>
        <w:spacing w:line="480" w:lineRule="exact"/>
        <w:ind w:firstLine="420"/>
        <w:rPr>
          <w:rFonts w:hint="eastAsia" w:ascii="宋体" w:hAnsi="宋体"/>
          <w:color w:val="000000"/>
          <w:szCs w:val="21"/>
        </w:rPr>
      </w:pPr>
      <w:r>
        <w:rPr>
          <w:rFonts w:hint="eastAsia" w:ascii="宋体" w:hAnsi="宋体"/>
          <w:color w:val="000000"/>
          <w:szCs w:val="21"/>
        </w:rPr>
        <w:t>6.投标文件的编制</w:t>
      </w:r>
    </w:p>
    <w:p w14:paraId="1DEBB5A3">
      <w:pPr>
        <w:spacing w:line="480" w:lineRule="exact"/>
        <w:ind w:firstLine="420"/>
        <w:rPr>
          <w:rFonts w:hint="eastAsia" w:ascii="宋体" w:hAnsi="宋体"/>
          <w:color w:val="000000"/>
          <w:szCs w:val="21"/>
        </w:rPr>
      </w:pPr>
      <w:r>
        <w:rPr>
          <w:rFonts w:hint="eastAsia" w:ascii="宋体" w:hAnsi="宋体"/>
          <w:color w:val="000000"/>
          <w:szCs w:val="21"/>
        </w:rPr>
        <w:t>6.1要求</w:t>
      </w:r>
    </w:p>
    <w:p w14:paraId="76A3F71E">
      <w:pPr>
        <w:spacing w:line="480" w:lineRule="exact"/>
        <w:ind w:firstLine="420"/>
        <w:rPr>
          <w:rFonts w:hint="eastAsia" w:ascii="宋体" w:hAnsi="宋体"/>
          <w:color w:val="000000"/>
          <w:szCs w:val="21"/>
        </w:rPr>
      </w:pPr>
      <w:r>
        <w:rPr>
          <w:rFonts w:hint="eastAsia" w:ascii="宋体" w:hAnsi="宋体"/>
          <w:color w:val="000000"/>
          <w:szCs w:val="21"/>
        </w:rPr>
        <w:t>6.1.1投标人应仔细阅读招标文件的所有内容，按招标文件的要求提供投标文件，并保证所提供的全部资料的真实性，以使其投标对招标文件作出实质性响应，否则，其投标可能被拒绝。</w:t>
      </w:r>
    </w:p>
    <w:p w14:paraId="0B4C2FFD">
      <w:pPr>
        <w:spacing w:line="480" w:lineRule="exact"/>
        <w:ind w:firstLine="420"/>
        <w:rPr>
          <w:rFonts w:hint="eastAsia" w:ascii="宋体" w:hAnsi="宋体"/>
          <w:color w:val="000000"/>
          <w:szCs w:val="21"/>
        </w:rPr>
      </w:pPr>
      <w:r>
        <w:rPr>
          <w:rFonts w:hint="eastAsia" w:ascii="宋体" w:hAnsi="宋体"/>
          <w:color w:val="000000"/>
          <w:szCs w:val="21"/>
        </w:rPr>
        <w:t>6.1.2无论投标过程中的做法和结果如何，投标人自行承担所有与参加投标有关的全部费用。</w:t>
      </w:r>
    </w:p>
    <w:p w14:paraId="04D9BA95">
      <w:pPr>
        <w:spacing w:line="480" w:lineRule="exact"/>
        <w:ind w:firstLine="420"/>
        <w:rPr>
          <w:rFonts w:hint="eastAsia" w:ascii="宋体" w:hAnsi="宋体"/>
          <w:color w:val="000000"/>
          <w:szCs w:val="21"/>
        </w:rPr>
      </w:pPr>
      <w:r>
        <w:rPr>
          <w:rFonts w:hint="eastAsia" w:ascii="宋体" w:hAnsi="宋体"/>
          <w:color w:val="000000"/>
          <w:szCs w:val="21"/>
        </w:rPr>
        <w:t xml:space="preserve">6.2投标语言及计量单位  </w:t>
      </w:r>
    </w:p>
    <w:p w14:paraId="2FD7860D">
      <w:pPr>
        <w:spacing w:line="480" w:lineRule="exact"/>
        <w:ind w:firstLine="420"/>
        <w:rPr>
          <w:rFonts w:hint="eastAsia" w:ascii="宋体" w:hAnsi="宋体"/>
          <w:color w:val="000000"/>
          <w:szCs w:val="21"/>
        </w:rPr>
      </w:pPr>
      <w:r>
        <w:rPr>
          <w:rFonts w:hint="eastAsia" w:ascii="宋体" w:hAnsi="宋体"/>
          <w:color w:val="000000"/>
          <w:szCs w:val="21"/>
        </w:rPr>
        <w:t>6.2.1投标文件以及投标人与采购单位就有关投标事宜的所有来往函电均应使用简体中文书写。</w:t>
      </w:r>
    </w:p>
    <w:p w14:paraId="7A3E62BB">
      <w:pPr>
        <w:spacing w:line="480" w:lineRule="exact"/>
        <w:ind w:firstLine="420"/>
        <w:rPr>
          <w:rFonts w:hint="eastAsia" w:ascii="宋体" w:hAnsi="宋体"/>
          <w:color w:val="000000"/>
          <w:szCs w:val="21"/>
        </w:rPr>
      </w:pPr>
      <w:r>
        <w:rPr>
          <w:rFonts w:hint="eastAsia" w:ascii="宋体" w:hAnsi="宋体"/>
          <w:color w:val="000000"/>
          <w:szCs w:val="21"/>
        </w:rPr>
        <w:t>6.2.2关于投标计量单位，招标文件已有明确规定的，使用招标文件规定的计量单位；招标文件没有规定的，应采用中华人民共和国法定计量单位。</w:t>
      </w:r>
    </w:p>
    <w:p w14:paraId="465EA11C">
      <w:pPr>
        <w:spacing w:line="480" w:lineRule="exact"/>
        <w:ind w:firstLine="420"/>
        <w:rPr>
          <w:rFonts w:hint="eastAsia" w:ascii="宋体" w:hAnsi="宋体"/>
          <w:color w:val="000000"/>
          <w:szCs w:val="21"/>
        </w:rPr>
      </w:pPr>
      <w:r>
        <w:rPr>
          <w:rFonts w:hint="eastAsia" w:ascii="宋体" w:hAnsi="宋体"/>
          <w:color w:val="000000"/>
          <w:szCs w:val="21"/>
        </w:rPr>
        <w:t>6.2.3原版为外文的证书类文件，但应当提供中文翻译文件并加盖投标人公章。必要时评标委员会可以要求投标人提供附有公证书的中文翻译文件或者与原版文件签章相一致的中文翻译文件，否则，投标人的投标文件将作无效投标处理。</w:t>
      </w:r>
    </w:p>
    <w:p w14:paraId="37578EB5">
      <w:pPr>
        <w:spacing w:line="480" w:lineRule="exact"/>
        <w:ind w:firstLine="420"/>
        <w:rPr>
          <w:rFonts w:hint="eastAsia" w:ascii="宋体" w:hAnsi="宋体"/>
          <w:color w:val="000000"/>
          <w:szCs w:val="21"/>
        </w:rPr>
      </w:pPr>
      <w:r>
        <w:rPr>
          <w:rFonts w:hint="eastAsia" w:ascii="宋体" w:hAnsi="宋体"/>
          <w:color w:val="000000"/>
          <w:szCs w:val="21"/>
        </w:rPr>
        <w:t>6.2.4翻译的中文文件与外文文件如果出现差异和矛盾时，以中文为准。但不能故意错误翻译，否则，投标人的投标文件将作为无效投标处理。</w:t>
      </w:r>
    </w:p>
    <w:p w14:paraId="350A7FEF">
      <w:pPr>
        <w:spacing w:line="480" w:lineRule="exact"/>
        <w:ind w:firstLine="420"/>
        <w:rPr>
          <w:rFonts w:hint="eastAsia" w:ascii="宋体" w:hAnsi="宋体"/>
          <w:color w:val="000000"/>
          <w:szCs w:val="21"/>
        </w:rPr>
      </w:pPr>
      <w:r>
        <w:rPr>
          <w:rFonts w:hint="eastAsia" w:ascii="宋体" w:hAnsi="宋体"/>
          <w:color w:val="000000"/>
          <w:szCs w:val="21"/>
        </w:rPr>
        <w:t>6.3电子投标文件其他要求</w:t>
      </w:r>
    </w:p>
    <w:p w14:paraId="6EDAC6EB">
      <w:pPr>
        <w:spacing w:line="480" w:lineRule="exact"/>
        <w:ind w:firstLine="420"/>
        <w:rPr>
          <w:rFonts w:hint="eastAsia" w:ascii="宋体" w:hAnsi="宋体"/>
          <w:color w:val="000000"/>
          <w:szCs w:val="21"/>
        </w:rPr>
      </w:pPr>
      <w:r>
        <w:rPr>
          <w:rFonts w:hint="eastAsia" w:ascii="宋体" w:hAnsi="宋体"/>
          <w:color w:val="000000"/>
          <w:szCs w:val="21"/>
        </w:rPr>
        <w:t>6.3.1电子招标投标交易平台（即“苏采云”系统）相关要求是本招标文件的组成部分。</w:t>
      </w:r>
    </w:p>
    <w:p w14:paraId="5A0E1011">
      <w:pPr>
        <w:spacing w:line="480" w:lineRule="exact"/>
        <w:ind w:firstLine="420"/>
        <w:rPr>
          <w:rFonts w:hint="eastAsia" w:ascii="宋体" w:hAnsi="宋体"/>
          <w:color w:val="000000"/>
          <w:szCs w:val="21"/>
        </w:rPr>
      </w:pPr>
      <w:r>
        <w:rPr>
          <w:rFonts w:hint="eastAsia" w:ascii="宋体" w:hAnsi="宋体"/>
          <w:color w:val="000000"/>
          <w:szCs w:val="21"/>
        </w:rPr>
        <w:t>6.3.2投标人应对CA证书妥善保管，如被他人盗用投标，因此带来的后果均由投标人自行承担。</w:t>
      </w:r>
    </w:p>
    <w:p w14:paraId="688B4F30">
      <w:pPr>
        <w:spacing w:line="480" w:lineRule="exact"/>
        <w:ind w:firstLine="420"/>
        <w:rPr>
          <w:rFonts w:hint="eastAsia" w:ascii="宋体" w:hAnsi="宋体"/>
          <w:color w:val="000000"/>
          <w:szCs w:val="21"/>
        </w:rPr>
      </w:pPr>
      <w:r>
        <w:rPr>
          <w:rFonts w:hint="eastAsia" w:ascii="宋体" w:hAnsi="宋体"/>
          <w:color w:val="000000"/>
          <w:szCs w:val="21"/>
        </w:rPr>
        <w:t>6.3.3投标人应当对招标文件提出的实质性要求和条件作出实质性响应，并在电子投标系统逐条应答。</w:t>
      </w:r>
    </w:p>
    <w:p w14:paraId="4369DDAC">
      <w:pPr>
        <w:spacing w:line="480" w:lineRule="exact"/>
        <w:ind w:firstLine="420"/>
        <w:rPr>
          <w:rFonts w:hint="eastAsia" w:ascii="宋体" w:hAnsi="宋体"/>
          <w:color w:val="000000"/>
          <w:szCs w:val="21"/>
        </w:rPr>
      </w:pPr>
      <w:r>
        <w:rPr>
          <w:rFonts w:hint="eastAsia" w:ascii="宋体" w:hAnsi="宋体"/>
          <w:color w:val="000000"/>
          <w:szCs w:val="21"/>
        </w:rPr>
        <w:t>6.4投标人应当在招标文件要求提交投标文件的截止时间前，将投标文件提交至“苏采云”系统，逾期提交的投标文件，“苏采云”系统将自动拒收。各投标人应在规定时间内凭CA证书进行网上解密。</w:t>
      </w:r>
    </w:p>
    <w:p w14:paraId="4F69E547">
      <w:pPr>
        <w:spacing w:line="480" w:lineRule="exact"/>
        <w:ind w:firstLine="420"/>
        <w:rPr>
          <w:rFonts w:hint="eastAsia" w:ascii="宋体" w:hAnsi="宋体"/>
          <w:color w:val="000000"/>
          <w:szCs w:val="21"/>
        </w:rPr>
      </w:pPr>
      <w:r>
        <w:rPr>
          <w:rFonts w:hint="eastAsia" w:ascii="宋体" w:hAnsi="宋体"/>
          <w:color w:val="000000"/>
          <w:szCs w:val="21"/>
        </w:rPr>
        <w:t>6.5投标人在投标截止时间前，可以对所递交的投标文件进行补充、修改或者撤回，并书面通知采购人或者采购代理机构。补充、修改的内容应当按照招标文件要求签署、盖章、密封后，作为投标文件的组成部分。</w:t>
      </w:r>
    </w:p>
    <w:p w14:paraId="2C8DADCF">
      <w:pPr>
        <w:spacing w:line="480" w:lineRule="exact"/>
        <w:ind w:firstLine="420"/>
        <w:rPr>
          <w:rFonts w:hint="eastAsia" w:ascii="宋体" w:hAnsi="宋体"/>
          <w:color w:val="000000"/>
          <w:szCs w:val="21"/>
        </w:rPr>
      </w:pPr>
      <w:r>
        <w:rPr>
          <w:rFonts w:hint="eastAsia" w:ascii="宋体" w:hAnsi="宋体"/>
          <w:color w:val="000000"/>
          <w:szCs w:val="21"/>
        </w:rPr>
        <w:t>7.本项目落实江苏省财政厅《关于做好政府采购支持企业发展有关事项的通知》（苏财购〔2020〕52号）文件精神，不收取投标保证金。</w:t>
      </w:r>
    </w:p>
    <w:p w14:paraId="5251AFF2">
      <w:pPr>
        <w:spacing w:line="480" w:lineRule="exact"/>
        <w:ind w:firstLine="420"/>
        <w:rPr>
          <w:rFonts w:hint="eastAsia" w:ascii="宋体" w:hAnsi="宋体"/>
          <w:color w:val="000000"/>
          <w:szCs w:val="21"/>
        </w:rPr>
      </w:pPr>
      <w:r>
        <w:rPr>
          <w:rFonts w:hint="eastAsia" w:ascii="宋体" w:hAnsi="宋体"/>
          <w:color w:val="000000"/>
          <w:szCs w:val="21"/>
        </w:rPr>
        <w:t>8. 投标报价：</w:t>
      </w:r>
    </w:p>
    <w:p w14:paraId="22D7B746">
      <w:pPr>
        <w:spacing w:line="480" w:lineRule="exact"/>
        <w:ind w:firstLine="420"/>
        <w:rPr>
          <w:rFonts w:hint="eastAsia" w:ascii="宋体" w:hAnsi="宋体"/>
          <w:color w:val="000000"/>
          <w:szCs w:val="21"/>
        </w:rPr>
      </w:pPr>
      <w:r>
        <w:rPr>
          <w:rFonts w:hint="eastAsia" w:ascii="宋体" w:hAnsi="宋体"/>
          <w:color w:val="000000"/>
          <w:szCs w:val="21"/>
        </w:rPr>
        <w:t>8.1投标方应在招标文件所附的投标报价表上写明投标产品的单价和投标总价，如单价与总价有出入，以单价为准。投标方对每种货物或服务只允许有一个报价，招标方不接受有任何选择的报价。除合同另有约定，投标人投标报价表上所标明的价格均为履约的固定价格，不得以任何理由予以变更。</w:t>
      </w:r>
    </w:p>
    <w:p w14:paraId="489EC289">
      <w:pPr>
        <w:spacing w:line="480" w:lineRule="exact"/>
        <w:ind w:firstLine="422"/>
        <w:rPr>
          <w:rFonts w:hint="eastAsia" w:ascii="宋体" w:hAnsi="宋体"/>
          <w:b/>
          <w:color w:val="000000"/>
          <w:szCs w:val="21"/>
        </w:rPr>
      </w:pPr>
      <w:r>
        <w:rPr>
          <w:rFonts w:hint="eastAsia" w:ascii="宋体" w:hAnsi="宋体"/>
          <w:b/>
          <w:color w:val="000000"/>
          <w:szCs w:val="21"/>
        </w:rPr>
        <w:t>8.2本项目最高限价：详见投标人须知前附表，报价高于该限价的作无效标处理。</w:t>
      </w:r>
    </w:p>
    <w:p w14:paraId="0D99CDE6">
      <w:pPr>
        <w:spacing w:line="480" w:lineRule="exact"/>
        <w:ind w:firstLine="420"/>
        <w:rPr>
          <w:rFonts w:hint="eastAsia" w:ascii="宋体" w:hAnsi="宋体"/>
          <w:color w:val="000000"/>
          <w:szCs w:val="21"/>
        </w:rPr>
      </w:pPr>
      <w:r>
        <w:rPr>
          <w:rFonts w:hint="eastAsia" w:ascii="宋体" w:hAnsi="宋体"/>
          <w:color w:val="000000"/>
          <w:szCs w:val="21"/>
        </w:rPr>
        <w:t>8.3 投标报价</w:t>
      </w:r>
    </w:p>
    <w:p w14:paraId="77CF0362">
      <w:pPr>
        <w:spacing w:line="480" w:lineRule="exact"/>
        <w:ind w:firstLine="420" w:firstLineChars="200"/>
        <w:rPr>
          <w:rFonts w:hint="eastAsia" w:ascii="宋体" w:hAnsi="宋体"/>
          <w:color w:val="000000"/>
          <w:szCs w:val="21"/>
        </w:rPr>
      </w:pPr>
      <w:r>
        <w:rPr>
          <w:rFonts w:hint="eastAsia" w:ascii="宋体" w:hAnsi="宋体"/>
          <w:color w:val="000000"/>
          <w:szCs w:val="21"/>
        </w:rPr>
        <w:t>8.3.1投标报价是投标人为完成招标文件所确定的招标范围的全部内容的全部价格体现。</w:t>
      </w:r>
      <w:r>
        <w:rPr>
          <w:rFonts w:hint="eastAsia" w:ascii="宋体" w:hAnsi="宋体" w:cs="宋体"/>
        </w:rPr>
        <w:t>本项目采用固定总价报价，是投标人承诺的质量目标和项目完成时间内为完成招标文件所确定的招标范围的全部内容的全部价格体现。投标人应充分考虑为完成上述内容所必须的【包括管理费用和人员工资、保险费、交通费、差旅费、备机、设施设备检修维护保养费、利润、税金、运行维护期间所有设施设备及配件的采购、设施设备及零部件的拆卸安装更换费用、设施设备及零部件的运杂费、维修更换措施费用及其他不可预见的一切费用（人为因素造成的或间接造成的除外）】，且不得高于招标人设定的最高限价。</w:t>
      </w:r>
      <w:r>
        <w:rPr>
          <w:rFonts w:hint="eastAsia" w:ascii="宋体" w:hAnsi="宋体"/>
          <w:color w:val="000000"/>
          <w:szCs w:val="21"/>
        </w:rPr>
        <w:t>若有遗漏或投标人在投标时未能预见而必须发生的费用，均由投标人自行承担，招标人不予以补偿。如服务期间遇国家或地方政府政策性调整基础工资、社保费用的，则以国家或地方政府最新规定为准，中标价不作调整。</w:t>
      </w:r>
    </w:p>
    <w:p w14:paraId="49208553">
      <w:pPr>
        <w:spacing w:line="480" w:lineRule="exact"/>
        <w:ind w:firstLine="420" w:firstLineChars="200"/>
        <w:rPr>
          <w:rFonts w:hint="eastAsia" w:ascii="宋体" w:hAnsi="宋体"/>
          <w:color w:val="000000"/>
          <w:szCs w:val="21"/>
        </w:rPr>
      </w:pPr>
      <w:r>
        <w:rPr>
          <w:rFonts w:hint="eastAsia"/>
        </w:rPr>
        <w:t>具体服务范围及内容均由意向投标人现场踏勘了解，不论服务内容的变化影响，中标价均不作调整，因此各投标人应充分掌握实际服务范围及服务要求，投标人可与招标采购单位代表联系后自行踏勘现场，以充分了解掌握服务内容及要求，若有遗漏，后果由投标人自行承担。本项目采用固定总价合同，不根据需求增加服务人员，不因就餐人数的变化而调整中标价。</w:t>
      </w:r>
    </w:p>
    <w:p w14:paraId="43C7108A">
      <w:pPr>
        <w:spacing w:line="480" w:lineRule="exact"/>
        <w:ind w:firstLine="420" w:firstLineChars="200"/>
        <w:rPr>
          <w:rFonts w:hint="eastAsia" w:ascii="宋体" w:hAnsi="宋体"/>
          <w:szCs w:val="21"/>
        </w:rPr>
      </w:pPr>
      <w:r>
        <w:rPr>
          <w:rFonts w:hint="eastAsia" w:ascii="宋体" w:hAnsi="宋体"/>
          <w:szCs w:val="21"/>
        </w:rPr>
        <w:t>除非因特殊原因并经双方协商同意，中标供应商不得再要求追加任何费用。同时，除非合同条款中另有规定，否则在合同实施期间中标价不因市场变化因素而变动。</w:t>
      </w:r>
    </w:p>
    <w:p w14:paraId="46D26888">
      <w:pPr>
        <w:spacing w:line="460" w:lineRule="exact"/>
        <w:ind w:firstLine="420" w:firstLineChars="200"/>
        <w:jc w:val="left"/>
        <w:rPr>
          <w:kern w:val="2"/>
          <w:szCs w:val="21"/>
        </w:rPr>
      </w:pPr>
      <w:r>
        <w:rPr>
          <w:rFonts w:hint="eastAsia"/>
          <w:kern w:val="2"/>
          <w:szCs w:val="21"/>
        </w:rPr>
        <w:t>投标人应先到项目现场踏勘以充分了解项目实施地点位置、情况、道路、储存空间、装卸限制以及任何其他足以影响承包价的情况，任何因忽视或误解工地情况而导致的索赔或工期延长申请将不被批准。</w:t>
      </w:r>
    </w:p>
    <w:p w14:paraId="1FED3C9C">
      <w:pPr>
        <w:spacing w:line="480" w:lineRule="exact"/>
        <w:ind w:firstLine="420"/>
        <w:rPr>
          <w:rFonts w:hint="eastAsia" w:ascii="宋体" w:hAnsi="宋体"/>
          <w:color w:val="000000"/>
          <w:szCs w:val="21"/>
        </w:rPr>
      </w:pPr>
      <w:r>
        <w:rPr>
          <w:rFonts w:hint="eastAsia" w:ascii="宋体" w:hAnsi="宋体"/>
          <w:color w:val="000000"/>
          <w:szCs w:val="21"/>
        </w:rPr>
        <w:t>8.3.2 开标一览表、投标价格表的报价一律用人民币（单位：元）填报。</w:t>
      </w:r>
    </w:p>
    <w:p w14:paraId="6B3AE4B7">
      <w:pPr>
        <w:spacing w:line="480" w:lineRule="exact"/>
        <w:ind w:firstLine="420"/>
        <w:rPr>
          <w:rFonts w:hint="eastAsia" w:ascii="宋体" w:hAnsi="宋体"/>
          <w:color w:val="000000"/>
          <w:szCs w:val="21"/>
        </w:rPr>
      </w:pPr>
      <w:r>
        <w:rPr>
          <w:rFonts w:hint="eastAsia" w:ascii="宋体" w:hAnsi="宋体"/>
          <w:color w:val="000000"/>
          <w:szCs w:val="21"/>
        </w:rPr>
        <w:t>8.</w:t>
      </w:r>
      <w:r>
        <w:rPr>
          <w:rFonts w:ascii="宋体" w:hAnsi="宋体"/>
          <w:color w:val="000000"/>
          <w:szCs w:val="21"/>
        </w:rPr>
        <w:t>4</w:t>
      </w:r>
      <w:r>
        <w:rPr>
          <w:rFonts w:hint="eastAsia" w:ascii="宋体" w:hAnsi="宋体"/>
          <w:color w:val="000000"/>
          <w:szCs w:val="21"/>
        </w:rPr>
        <w:t>投标人在投标文件中应按照本招标文件所附的投标报价单样式进行报价，并计算总价。报价表必须由法定代表人或委托代理人签署。</w:t>
      </w:r>
    </w:p>
    <w:p w14:paraId="4D653B96">
      <w:pPr>
        <w:spacing w:line="480" w:lineRule="exact"/>
        <w:ind w:firstLine="420"/>
        <w:rPr>
          <w:rFonts w:hint="eastAsia" w:ascii="宋体" w:hAnsi="宋体"/>
          <w:color w:val="000000"/>
          <w:szCs w:val="21"/>
        </w:rPr>
      </w:pPr>
      <w:r>
        <w:rPr>
          <w:rFonts w:hint="eastAsia" w:ascii="宋体" w:hAnsi="宋体"/>
          <w:color w:val="000000"/>
          <w:szCs w:val="21"/>
        </w:rPr>
        <w:t>9.线上投标文件编制要求，请按照以下要求（包括但不限于以下要求）制作：</w:t>
      </w:r>
    </w:p>
    <w:p w14:paraId="3FABD41E">
      <w:pPr>
        <w:spacing w:line="480" w:lineRule="exact"/>
        <w:ind w:firstLine="420"/>
        <w:rPr>
          <w:rFonts w:hint="eastAsia" w:ascii="宋体" w:hAnsi="宋体"/>
          <w:color w:val="000000"/>
          <w:szCs w:val="21"/>
        </w:rPr>
      </w:pPr>
      <w:r>
        <w:rPr>
          <w:rFonts w:hint="eastAsia" w:ascii="宋体" w:hAnsi="宋体"/>
          <w:color w:val="000000"/>
          <w:szCs w:val="21"/>
        </w:rPr>
        <w:t>9.1基本目录</w:t>
      </w:r>
    </w:p>
    <w:p w14:paraId="3DF54895">
      <w:pPr>
        <w:spacing w:line="480" w:lineRule="exact"/>
        <w:ind w:firstLine="420"/>
        <w:rPr>
          <w:rFonts w:hint="eastAsia" w:ascii="宋体" w:hAnsi="宋体"/>
          <w:color w:val="000000"/>
          <w:szCs w:val="21"/>
        </w:rPr>
      </w:pPr>
      <w:r>
        <w:rPr>
          <w:rFonts w:hint="eastAsia" w:ascii="宋体" w:hAnsi="宋体"/>
          <w:color w:val="000000"/>
          <w:szCs w:val="21"/>
        </w:rPr>
        <w:t>9</w:t>
      </w:r>
      <w:r>
        <w:rPr>
          <w:rFonts w:ascii="宋体" w:hAnsi="宋体"/>
          <w:color w:val="000000"/>
          <w:szCs w:val="21"/>
        </w:rPr>
        <w:t>.1.1</w:t>
      </w:r>
      <w:r>
        <w:rPr>
          <w:rFonts w:hint="eastAsia" w:ascii="宋体" w:hAnsi="宋体"/>
          <w:color w:val="000000"/>
          <w:szCs w:val="21"/>
        </w:rPr>
        <w:t>《开标一览表》（加盖电子签章，政府采购客户端工具输入报价自动生成）；</w:t>
      </w:r>
    </w:p>
    <w:p w14:paraId="05EE5320">
      <w:pPr>
        <w:spacing w:line="480" w:lineRule="exact"/>
        <w:ind w:firstLine="420"/>
        <w:rPr>
          <w:rFonts w:hint="eastAsia" w:ascii="宋体" w:hAnsi="宋体"/>
          <w:color w:val="000000"/>
          <w:szCs w:val="21"/>
        </w:rPr>
      </w:pPr>
      <w:r>
        <w:rPr>
          <w:rFonts w:hint="eastAsia" w:ascii="宋体" w:hAnsi="宋体"/>
          <w:color w:val="000000"/>
          <w:szCs w:val="21"/>
        </w:rPr>
        <w:t>9</w:t>
      </w:r>
      <w:r>
        <w:rPr>
          <w:rFonts w:ascii="宋体" w:hAnsi="宋体"/>
          <w:color w:val="000000"/>
          <w:szCs w:val="21"/>
        </w:rPr>
        <w:t>.1.2</w:t>
      </w:r>
      <w:r>
        <w:rPr>
          <w:rFonts w:hint="eastAsia" w:ascii="宋体" w:hAnsi="宋体"/>
          <w:color w:val="000000"/>
          <w:szCs w:val="21"/>
        </w:rPr>
        <w:t>《法定代表人身份证明书》及《授权委托书》（加盖电子签章，格式见招标文件第六章《投标文件相关格式》）；</w:t>
      </w:r>
    </w:p>
    <w:p w14:paraId="22F7A1AF">
      <w:pPr>
        <w:spacing w:line="480" w:lineRule="exact"/>
        <w:ind w:firstLine="420"/>
        <w:rPr>
          <w:rFonts w:hint="eastAsia" w:ascii="宋体" w:hAnsi="宋体"/>
          <w:color w:val="000000"/>
          <w:szCs w:val="21"/>
        </w:rPr>
      </w:pPr>
      <w:r>
        <w:rPr>
          <w:rFonts w:hint="eastAsia" w:ascii="宋体" w:hAnsi="宋体"/>
          <w:color w:val="000000"/>
          <w:szCs w:val="21"/>
        </w:rPr>
        <w:t>9.2资格条件</w:t>
      </w:r>
    </w:p>
    <w:p w14:paraId="11026CC0">
      <w:pPr>
        <w:spacing w:line="480" w:lineRule="exact"/>
        <w:ind w:firstLine="420"/>
        <w:rPr>
          <w:rFonts w:hint="eastAsia" w:ascii="宋体" w:hAnsi="宋体"/>
          <w:color w:val="000000"/>
          <w:szCs w:val="21"/>
        </w:rPr>
      </w:pPr>
      <w:r>
        <w:rPr>
          <w:rFonts w:hint="eastAsia" w:ascii="宋体" w:hAnsi="宋体"/>
          <w:color w:val="000000"/>
          <w:szCs w:val="21"/>
        </w:rPr>
        <w:t>9</w:t>
      </w:r>
      <w:r>
        <w:rPr>
          <w:rFonts w:ascii="宋体" w:hAnsi="宋体"/>
          <w:color w:val="000000"/>
          <w:szCs w:val="21"/>
        </w:rPr>
        <w:t>.2.1</w:t>
      </w:r>
      <w:r>
        <w:rPr>
          <w:rFonts w:hint="eastAsia" w:ascii="宋体" w:hAnsi="宋体"/>
          <w:color w:val="000000"/>
          <w:szCs w:val="21"/>
        </w:rPr>
        <w:t>法人或者其他组织的营业执照等证明文件；</w:t>
      </w:r>
    </w:p>
    <w:p w14:paraId="2512C1BE">
      <w:pPr>
        <w:spacing w:line="480" w:lineRule="exact"/>
        <w:ind w:firstLine="420"/>
        <w:rPr>
          <w:rFonts w:hint="eastAsia" w:ascii="宋体" w:hAnsi="宋体"/>
          <w:color w:val="000000"/>
          <w:szCs w:val="21"/>
        </w:rPr>
      </w:pPr>
      <w:r>
        <w:rPr>
          <w:rFonts w:hint="eastAsia" w:ascii="宋体" w:hAnsi="宋体"/>
          <w:color w:val="000000"/>
          <w:szCs w:val="21"/>
        </w:rPr>
        <w:t>9</w:t>
      </w:r>
      <w:r>
        <w:rPr>
          <w:rFonts w:ascii="宋体" w:hAnsi="宋体"/>
          <w:color w:val="000000"/>
          <w:szCs w:val="21"/>
        </w:rPr>
        <w:t>.2.2</w:t>
      </w:r>
      <w:r>
        <w:rPr>
          <w:rFonts w:hint="eastAsia" w:ascii="宋体" w:hAnsi="宋体" w:cs="宋体"/>
          <w:szCs w:val="21"/>
          <w:shd w:val="clear" w:color="auto" w:fill="FFFFFF"/>
        </w:rPr>
        <w:t>具有良好的商业信誉和健全的财务会计制度</w:t>
      </w:r>
      <w:r>
        <w:rPr>
          <w:rFonts w:hint="eastAsia" w:ascii="宋体" w:hAnsi="宋体" w:cs="宋体"/>
          <w:b/>
          <w:bCs/>
          <w:szCs w:val="21"/>
          <w:shd w:val="clear" w:color="auto" w:fill="FFFFFF"/>
        </w:rPr>
        <w:t>（投标人提供利润表、资产负债表、现金流量表或提供银行出具的资信证明或提供资格承诺函，成立不满一年不需</w:t>
      </w:r>
      <w:r>
        <w:rPr>
          <w:rFonts w:hint="eastAsia" w:ascii="宋体" w:hAnsi="宋体" w:cs="宋体"/>
          <w:b/>
          <w:bCs/>
          <w:szCs w:val="21"/>
          <w:shd w:val="clear" w:color="auto" w:fill="FFFFFF"/>
          <w:lang w:val="en-US" w:eastAsia="zh-CN"/>
        </w:rPr>
        <w:t>要</w:t>
      </w:r>
      <w:r>
        <w:rPr>
          <w:rFonts w:hint="eastAsia" w:ascii="宋体" w:hAnsi="宋体" w:cs="宋体"/>
          <w:b/>
          <w:bCs/>
          <w:szCs w:val="21"/>
          <w:shd w:val="clear" w:color="auto" w:fill="FFFFFF"/>
        </w:rPr>
        <w:t>提供）</w:t>
      </w:r>
      <w:r>
        <w:rPr>
          <w:rFonts w:hint="eastAsia" w:ascii="宋体" w:hAnsi="宋体"/>
          <w:color w:val="000000"/>
          <w:szCs w:val="21"/>
        </w:rPr>
        <w:t>；</w:t>
      </w:r>
    </w:p>
    <w:p w14:paraId="5B9F4E25">
      <w:pPr>
        <w:spacing w:line="480" w:lineRule="exact"/>
        <w:ind w:firstLine="420"/>
        <w:rPr>
          <w:rFonts w:hint="eastAsia" w:ascii="宋体" w:hAnsi="宋体"/>
          <w:color w:val="000000"/>
          <w:szCs w:val="21"/>
        </w:rPr>
      </w:pPr>
      <w:r>
        <w:rPr>
          <w:rFonts w:hint="eastAsia" w:ascii="宋体" w:hAnsi="宋体"/>
          <w:color w:val="000000"/>
          <w:szCs w:val="21"/>
        </w:rPr>
        <w:t>9</w:t>
      </w:r>
      <w:r>
        <w:rPr>
          <w:rFonts w:ascii="宋体" w:hAnsi="宋体"/>
          <w:color w:val="000000"/>
          <w:szCs w:val="21"/>
        </w:rPr>
        <w:t>.2.3</w:t>
      </w:r>
      <w:r>
        <w:rPr>
          <w:rFonts w:hint="eastAsia" w:ascii="宋体" w:hAnsi="宋体"/>
          <w:color w:val="000000"/>
          <w:szCs w:val="21"/>
        </w:rPr>
        <w:t>依法缴纳税收和社会保障资金的相关材料（投标时提供投标截止时间前一年内至少一个月依法缴纳税收及缴纳社会保障资金的证明材料。供应商依法享受缓缴、免缴税收、社会保障资金的提供证明材料）；</w:t>
      </w:r>
    </w:p>
    <w:p w14:paraId="0985BD28">
      <w:pPr>
        <w:spacing w:line="480" w:lineRule="exact"/>
        <w:ind w:firstLine="420"/>
        <w:rPr>
          <w:rFonts w:hint="eastAsia" w:ascii="宋体" w:hAnsi="宋体"/>
          <w:color w:val="000000"/>
          <w:szCs w:val="21"/>
        </w:rPr>
      </w:pPr>
      <w:r>
        <w:rPr>
          <w:rFonts w:hint="eastAsia" w:ascii="宋体" w:hAnsi="宋体"/>
          <w:color w:val="000000"/>
          <w:szCs w:val="21"/>
        </w:rPr>
        <w:t>9</w:t>
      </w:r>
      <w:r>
        <w:rPr>
          <w:rFonts w:ascii="宋体" w:hAnsi="宋体"/>
          <w:color w:val="000000"/>
          <w:szCs w:val="21"/>
        </w:rPr>
        <w:t>.2.4</w:t>
      </w:r>
      <w:r>
        <w:rPr>
          <w:rFonts w:hint="eastAsia" w:ascii="宋体" w:hAnsi="宋体"/>
          <w:color w:val="000000"/>
          <w:szCs w:val="21"/>
        </w:rPr>
        <w:t>具备履行合同所必需的设备和专业技术能力的书面声明</w:t>
      </w:r>
      <w:r>
        <w:rPr>
          <w:rFonts w:hint="eastAsia" w:ascii="宋体" w:hAnsi="宋体" w:cs="宋体"/>
          <w:szCs w:val="21"/>
          <w:shd w:val="clear" w:color="auto" w:fill="FFFFFF"/>
        </w:rPr>
        <w:t>（格式附后）</w:t>
      </w:r>
      <w:r>
        <w:rPr>
          <w:rFonts w:hint="eastAsia" w:ascii="宋体" w:hAnsi="宋体"/>
          <w:color w:val="000000"/>
          <w:szCs w:val="21"/>
        </w:rPr>
        <w:t>；</w:t>
      </w:r>
    </w:p>
    <w:p w14:paraId="6AB66798">
      <w:pPr>
        <w:spacing w:line="480" w:lineRule="exact"/>
        <w:ind w:firstLine="420"/>
        <w:rPr>
          <w:rFonts w:hint="eastAsia" w:ascii="宋体" w:hAnsi="宋体"/>
          <w:color w:val="000000"/>
          <w:szCs w:val="21"/>
        </w:rPr>
      </w:pPr>
      <w:r>
        <w:rPr>
          <w:rFonts w:hint="eastAsia" w:ascii="宋体" w:hAnsi="宋体"/>
          <w:color w:val="000000"/>
          <w:szCs w:val="21"/>
        </w:rPr>
        <w:t>9</w:t>
      </w:r>
      <w:r>
        <w:rPr>
          <w:rFonts w:ascii="宋体" w:hAnsi="宋体"/>
          <w:color w:val="000000"/>
          <w:szCs w:val="21"/>
        </w:rPr>
        <w:t>.2.5</w:t>
      </w:r>
      <w:r>
        <w:rPr>
          <w:rFonts w:hint="eastAsia" w:ascii="宋体" w:hAnsi="宋体"/>
          <w:color w:val="000000"/>
          <w:szCs w:val="21"/>
        </w:rPr>
        <w:t>参加政府采购活动前3年内在经营活动中没有重大违法记录的书面声明</w:t>
      </w:r>
      <w:r>
        <w:rPr>
          <w:rFonts w:hint="eastAsia" w:ascii="宋体" w:hAnsi="宋体" w:cs="宋体"/>
          <w:szCs w:val="21"/>
          <w:shd w:val="clear" w:color="auto" w:fill="FFFFFF"/>
        </w:rPr>
        <w:t>（格式附后）</w:t>
      </w:r>
      <w:r>
        <w:rPr>
          <w:rFonts w:hint="eastAsia" w:ascii="宋体" w:hAnsi="宋体"/>
          <w:color w:val="000000"/>
          <w:szCs w:val="21"/>
        </w:rPr>
        <w:t>；</w:t>
      </w:r>
    </w:p>
    <w:p w14:paraId="0D2199DC">
      <w:pPr>
        <w:spacing w:line="480" w:lineRule="exact"/>
        <w:ind w:firstLine="422"/>
        <w:rPr>
          <w:rFonts w:hint="eastAsia" w:ascii="宋体" w:hAnsi="宋体"/>
          <w:b/>
          <w:color w:val="000000"/>
          <w:szCs w:val="21"/>
        </w:rPr>
      </w:pPr>
      <w:r>
        <w:rPr>
          <w:rFonts w:hint="eastAsia" w:ascii="宋体" w:hAnsi="宋体"/>
          <w:b/>
          <w:color w:val="000000"/>
          <w:szCs w:val="21"/>
        </w:rPr>
        <w:t>9.2.6本项目不接受因环境监测子站运维工作受到环保行政主管部门通报批评或处罚的供应商参与投标，投标文件中提供承诺函（加盖公章，格式自拟）。</w:t>
      </w:r>
    </w:p>
    <w:p w14:paraId="72B117AB">
      <w:pPr>
        <w:spacing w:line="480" w:lineRule="exact"/>
        <w:ind w:firstLine="422"/>
        <w:rPr>
          <w:rFonts w:hint="eastAsia" w:ascii="宋体" w:hAnsi="宋体"/>
          <w:b/>
          <w:color w:val="000000"/>
          <w:szCs w:val="21"/>
        </w:rPr>
      </w:pPr>
      <w:r>
        <w:rPr>
          <w:rFonts w:hint="eastAsia" w:ascii="宋体" w:hAnsi="宋体"/>
          <w:b/>
          <w:color w:val="000000"/>
          <w:szCs w:val="21"/>
        </w:rPr>
        <w:t>9.3符合条件要求内容必须提供，且须加盖电子签章，格式见招标文件第六章《投标文件相关格式》，根据投标人组织形式的不同，本项目招标文件中的法定代表人指企业或事业单位法定代表人，各投标人根据其组织形式，加盖印章或签字。</w:t>
      </w:r>
    </w:p>
    <w:p w14:paraId="0EE5F914">
      <w:pPr>
        <w:spacing w:line="480" w:lineRule="exact"/>
        <w:ind w:firstLine="420"/>
        <w:rPr>
          <w:rFonts w:hint="eastAsia" w:ascii="宋体" w:hAnsi="宋体"/>
          <w:color w:val="000000"/>
          <w:szCs w:val="21"/>
        </w:rPr>
      </w:pPr>
      <w:r>
        <w:rPr>
          <w:rFonts w:hint="eastAsia" w:ascii="宋体" w:hAnsi="宋体"/>
          <w:color w:val="000000"/>
          <w:szCs w:val="21"/>
        </w:rPr>
        <w:t>9</w:t>
      </w:r>
      <w:r>
        <w:rPr>
          <w:rFonts w:ascii="宋体" w:hAnsi="宋体"/>
          <w:color w:val="000000"/>
          <w:szCs w:val="21"/>
        </w:rPr>
        <w:t>.3.1</w:t>
      </w:r>
      <w:r>
        <w:rPr>
          <w:rFonts w:hint="eastAsia" w:ascii="宋体" w:hAnsi="宋体"/>
          <w:color w:val="000000"/>
          <w:szCs w:val="21"/>
        </w:rPr>
        <w:t>报价：</w:t>
      </w:r>
    </w:p>
    <w:p w14:paraId="279134C8">
      <w:pPr>
        <w:spacing w:line="480" w:lineRule="exact"/>
        <w:ind w:firstLine="420"/>
        <w:rPr>
          <w:rFonts w:hint="eastAsia" w:ascii="宋体" w:hAnsi="宋体"/>
          <w:color w:val="000000"/>
          <w:szCs w:val="21"/>
        </w:rPr>
      </w:pPr>
      <w:r>
        <w:rPr>
          <w:rFonts w:hint="eastAsia" w:ascii="宋体" w:hAnsi="宋体"/>
          <w:color w:val="000000"/>
          <w:szCs w:val="21"/>
        </w:rPr>
        <w:t>（1）投标函；</w:t>
      </w:r>
    </w:p>
    <w:p w14:paraId="08A29F32">
      <w:pPr>
        <w:spacing w:line="480" w:lineRule="exact"/>
        <w:ind w:firstLine="420"/>
        <w:rPr>
          <w:rFonts w:hint="eastAsia" w:ascii="宋体" w:hAnsi="宋体"/>
          <w:color w:val="000000"/>
          <w:szCs w:val="21"/>
        </w:rPr>
      </w:pPr>
      <w:r>
        <w:rPr>
          <w:rFonts w:hint="eastAsia" w:ascii="宋体" w:hAnsi="宋体"/>
          <w:color w:val="000000"/>
          <w:szCs w:val="21"/>
        </w:rPr>
        <w:t>（2）投标报价明细表；</w:t>
      </w:r>
    </w:p>
    <w:p w14:paraId="6A87F597">
      <w:pPr>
        <w:spacing w:line="480" w:lineRule="exact"/>
        <w:ind w:firstLine="420"/>
        <w:rPr>
          <w:rFonts w:hint="eastAsia" w:ascii="宋体" w:hAnsi="宋体"/>
          <w:color w:val="000000"/>
          <w:szCs w:val="21"/>
        </w:rPr>
      </w:pPr>
      <w:r>
        <w:rPr>
          <w:rFonts w:hint="eastAsia" w:ascii="宋体" w:hAnsi="宋体"/>
          <w:color w:val="000000"/>
          <w:szCs w:val="21"/>
        </w:rPr>
        <w:t>9</w:t>
      </w:r>
      <w:r>
        <w:rPr>
          <w:rFonts w:ascii="宋体" w:hAnsi="宋体"/>
          <w:color w:val="000000"/>
          <w:szCs w:val="21"/>
        </w:rPr>
        <w:t>.3.2</w:t>
      </w:r>
      <w:r>
        <w:rPr>
          <w:rFonts w:hint="eastAsia" w:ascii="宋体" w:hAnsi="宋体"/>
          <w:color w:val="000000"/>
          <w:szCs w:val="21"/>
        </w:rPr>
        <w:t>商务资信：</w:t>
      </w:r>
    </w:p>
    <w:p w14:paraId="7CE59504">
      <w:pPr>
        <w:spacing w:line="480" w:lineRule="exact"/>
        <w:ind w:firstLine="420"/>
        <w:rPr>
          <w:szCs w:val="21"/>
        </w:rPr>
      </w:pPr>
      <w:r>
        <w:rPr>
          <w:rFonts w:hint="eastAsia"/>
          <w:szCs w:val="21"/>
        </w:rPr>
        <w:t>（1）投标人的法定代表人身份证明书；</w:t>
      </w:r>
    </w:p>
    <w:p w14:paraId="0E92C1A1">
      <w:pPr>
        <w:spacing w:line="480" w:lineRule="exact"/>
        <w:ind w:firstLine="420"/>
        <w:rPr>
          <w:szCs w:val="21"/>
        </w:rPr>
      </w:pPr>
      <w:r>
        <w:rPr>
          <w:rFonts w:hint="eastAsia"/>
          <w:szCs w:val="21"/>
        </w:rPr>
        <w:t>（2）投标人的法定代表人授权委托书（如有授权）；</w:t>
      </w:r>
    </w:p>
    <w:p w14:paraId="2F1AE4AD">
      <w:pPr>
        <w:spacing w:line="480" w:lineRule="exact"/>
        <w:ind w:firstLine="420"/>
        <w:rPr>
          <w:szCs w:val="21"/>
        </w:rPr>
      </w:pPr>
      <w:r>
        <w:rPr>
          <w:rFonts w:hint="eastAsia"/>
          <w:szCs w:val="21"/>
        </w:rPr>
        <w:t>（</w:t>
      </w:r>
      <w:r>
        <w:rPr>
          <w:szCs w:val="21"/>
        </w:rPr>
        <w:t>3</w:t>
      </w:r>
      <w:r>
        <w:rPr>
          <w:rFonts w:hint="eastAsia"/>
          <w:szCs w:val="21"/>
        </w:rPr>
        <w:t>）盐城市大丰区政府招标采购供应商承诺书；</w:t>
      </w:r>
    </w:p>
    <w:p w14:paraId="35C39A9D">
      <w:pPr>
        <w:spacing w:line="480" w:lineRule="exact"/>
        <w:ind w:firstLine="420"/>
        <w:rPr>
          <w:rFonts w:hint="eastAsia" w:ascii="宋体" w:hAnsi="宋体"/>
          <w:color w:val="000000"/>
          <w:szCs w:val="21"/>
        </w:rPr>
      </w:pPr>
      <w:r>
        <w:rPr>
          <w:rFonts w:hint="eastAsia" w:ascii="宋体" w:hAnsi="宋体"/>
          <w:color w:val="000000"/>
          <w:szCs w:val="21"/>
        </w:rPr>
        <w:t>9</w:t>
      </w:r>
      <w:r>
        <w:rPr>
          <w:rFonts w:ascii="宋体" w:hAnsi="宋体"/>
          <w:color w:val="000000"/>
          <w:szCs w:val="21"/>
        </w:rPr>
        <w:t>.3.3</w:t>
      </w:r>
      <w:r>
        <w:rPr>
          <w:rFonts w:hint="eastAsia" w:ascii="宋体" w:hAnsi="宋体"/>
          <w:color w:val="000000"/>
          <w:szCs w:val="21"/>
        </w:rPr>
        <w:t>服务内容响应：</w:t>
      </w:r>
    </w:p>
    <w:p w14:paraId="2C0F43BD">
      <w:pPr>
        <w:spacing w:line="480" w:lineRule="exact"/>
        <w:ind w:firstLine="420"/>
        <w:rPr>
          <w:rFonts w:hint="eastAsia" w:ascii="宋体" w:hAns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）商务要求响应及偏离表</w:t>
      </w:r>
    </w:p>
    <w:p w14:paraId="5EF0D6C6">
      <w:pPr>
        <w:spacing w:line="480" w:lineRule="exact"/>
        <w:ind w:firstLine="420"/>
        <w:rPr>
          <w:rFonts w:hint="eastAsia" w:ascii="宋体" w:hAnsi="宋体"/>
          <w:color w:val="000000"/>
          <w:szCs w:val="21"/>
        </w:rPr>
      </w:pPr>
      <w:r>
        <w:rPr>
          <w:rFonts w:hint="eastAsia" w:ascii="宋体" w:hAnsi="宋体"/>
          <w:color w:val="000000"/>
          <w:szCs w:val="21"/>
        </w:rPr>
        <w:t>（2）</w:t>
      </w:r>
      <w:r>
        <w:rPr>
          <w:rFonts w:hint="eastAsia" w:ascii="宋体" w:hAnsi="宋体"/>
          <w:color w:val="000000"/>
          <w:szCs w:val="21"/>
          <w:lang w:val="en-US" w:eastAsia="zh-CN"/>
        </w:rPr>
        <w:t>技术</w:t>
      </w:r>
      <w:r>
        <w:rPr>
          <w:rFonts w:hint="eastAsia" w:ascii="宋体" w:hAnsi="宋体"/>
          <w:color w:val="000000"/>
          <w:szCs w:val="21"/>
        </w:rPr>
        <w:t>要求响应及偏离表</w:t>
      </w:r>
    </w:p>
    <w:p w14:paraId="60A6872B">
      <w:pPr>
        <w:spacing w:line="480" w:lineRule="exact"/>
        <w:ind w:firstLine="420"/>
        <w:rPr>
          <w:rFonts w:hint="eastAsia" w:ascii="宋体" w:hAnsi="宋体"/>
          <w:b/>
          <w:bCs/>
          <w:color w:val="0000FF"/>
          <w:szCs w:val="21"/>
        </w:rPr>
      </w:pPr>
      <w:r>
        <w:rPr>
          <w:rFonts w:hint="eastAsia" w:ascii="宋体" w:hAnsi="宋体"/>
          <w:b/>
          <w:bCs/>
          <w:color w:val="0000FF"/>
          <w:szCs w:val="21"/>
        </w:rPr>
        <w:t>9.</w:t>
      </w:r>
      <w:r>
        <w:rPr>
          <w:rFonts w:ascii="宋体" w:hAnsi="宋体"/>
          <w:b/>
          <w:bCs/>
          <w:color w:val="0000FF"/>
          <w:szCs w:val="21"/>
        </w:rPr>
        <w:t>4</w:t>
      </w:r>
      <w:r>
        <w:rPr>
          <w:rFonts w:hint="eastAsia" w:ascii="宋体" w:hAnsi="宋体"/>
          <w:b/>
          <w:bCs/>
          <w:color w:val="0000FF"/>
          <w:szCs w:val="21"/>
        </w:rPr>
        <w:t>招标文件及采购需求要求的其他证明资料和评标细则要求提供证明材料及符合评标办法的技术文件内容。</w:t>
      </w:r>
    </w:p>
    <w:p w14:paraId="6F9C70D5">
      <w:pPr>
        <w:spacing w:line="480" w:lineRule="exact"/>
        <w:ind w:firstLine="420"/>
        <w:rPr>
          <w:rFonts w:hint="eastAsia" w:ascii="宋体" w:hAnsi="宋体"/>
          <w:color w:val="000000"/>
          <w:szCs w:val="21"/>
        </w:rPr>
      </w:pPr>
      <w:r>
        <w:rPr>
          <w:rFonts w:hint="eastAsia" w:ascii="宋体" w:hAnsi="宋体"/>
          <w:color w:val="000000"/>
          <w:szCs w:val="21"/>
        </w:rPr>
        <w:t>注：投标人应对以上文件的合法性、真实性负责，投标人提供的材料如有虚假，视为提供虚假材料谋取中标资格，将被列入不良行为记录名单。</w:t>
      </w:r>
    </w:p>
    <w:p w14:paraId="5FA19104">
      <w:pPr>
        <w:spacing w:line="480" w:lineRule="exact"/>
        <w:ind w:firstLine="420"/>
        <w:rPr>
          <w:rFonts w:hint="eastAsia" w:ascii="宋体" w:hAnsi="宋体"/>
          <w:color w:val="000000"/>
          <w:szCs w:val="21"/>
        </w:rPr>
      </w:pPr>
      <w:r>
        <w:rPr>
          <w:rFonts w:hint="eastAsia" w:ascii="宋体" w:hAnsi="宋体"/>
          <w:color w:val="000000"/>
          <w:szCs w:val="21"/>
        </w:rPr>
        <w:t>10.投标文件线上格式要求</w:t>
      </w:r>
    </w:p>
    <w:p w14:paraId="5445272F">
      <w:pPr>
        <w:spacing w:line="480" w:lineRule="exact"/>
        <w:ind w:firstLine="420"/>
        <w:rPr>
          <w:rFonts w:hint="eastAsia" w:ascii="宋体" w:hAnsi="宋体"/>
          <w:color w:val="000000"/>
          <w:szCs w:val="21"/>
        </w:rPr>
      </w:pPr>
      <w:r>
        <w:rPr>
          <w:rFonts w:hint="eastAsia" w:ascii="宋体" w:hAnsi="宋体"/>
          <w:color w:val="000000"/>
          <w:szCs w:val="21"/>
        </w:rPr>
        <w:t>10.1投标人应当通过“苏采云”系统提交数据电文形式的投标文件（即电子投标）。</w:t>
      </w:r>
    </w:p>
    <w:p w14:paraId="7BFD2304">
      <w:pPr>
        <w:spacing w:line="480" w:lineRule="exact"/>
        <w:ind w:firstLine="422"/>
        <w:rPr>
          <w:rFonts w:hint="eastAsia" w:ascii="宋体" w:hAnsi="宋体"/>
          <w:b/>
          <w:color w:val="000000"/>
          <w:szCs w:val="21"/>
        </w:rPr>
      </w:pPr>
      <w:r>
        <w:rPr>
          <w:rFonts w:hint="eastAsia" w:ascii="宋体" w:hAnsi="宋体"/>
          <w:b/>
          <w:color w:val="000000"/>
          <w:szCs w:val="21"/>
        </w:rPr>
        <w:t>10.2 通过“苏采云”系统提交政府采购客户端工具导出加密的投标文件（后缀名为zip）。投标文件不得超过150M！</w:t>
      </w:r>
    </w:p>
    <w:p w14:paraId="393554B4">
      <w:pPr>
        <w:spacing w:line="480" w:lineRule="exact"/>
        <w:ind w:firstLine="420"/>
        <w:rPr>
          <w:rFonts w:hint="eastAsia" w:ascii="宋体" w:hAnsi="宋体"/>
          <w:color w:val="000000"/>
          <w:szCs w:val="21"/>
        </w:rPr>
      </w:pPr>
      <w:r>
        <w:rPr>
          <w:rFonts w:hint="eastAsia" w:ascii="宋体" w:hAnsi="宋体"/>
          <w:color w:val="000000"/>
          <w:szCs w:val="21"/>
        </w:rPr>
        <w:t>10.3 本项目采用线上投标，即供应商投标文件从政府采购客户端工具制作通过“苏采云”系统提交，未提供线上投标文件的，投标无效。</w:t>
      </w:r>
    </w:p>
    <w:p w14:paraId="4DFF47CB">
      <w:pPr>
        <w:spacing w:line="480" w:lineRule="exact"/>
        <w:ind w:firstLine="420"/>
        <w:rPr>
          <w:rFonts w:hint="eastAsia" w:ascii="宋体" w:hAnsi="宋体"/>
          <w:color w:val="000000"/>
          <w:szCs w:val="21"/>
        </w:rPr>
      </w:pPr>
      <w:r>
        <w:rPr>
          <w:rFonts w:hint="eastAsia" w:ascii="宋体" w:hAnsi="宋体"/>
          <w:color w:val="000000"/>
          <w:szCs w:val="21"/>
        </w:rPr>
        <w:t>11.线上投标文件的密封、签署、盖章要求</w:t>
      </w:r>
    </w:p>
    <w:p w14:paraId="55721EBF">
      <w:pPr>
        <w:spacing w:line="480" w:lineRule="exact"/>
        <w:ind w:firstLine="420"/>
        <w:rPr>
          <w:rFonts w:hint="eastAsia" w:ascii="宋体" w:hAnsi="宋体"/>
          <w:color w:val="000000"/>
          <w:szCs w:val="21"/>
        </w:rPr>
      </w:pPr>
      <w:r>
        <w:rPr>
          <w:rFonts w:hint="eastAsia" w:ascii="宋体" w:hAnsi="宋体"/>
          <w:color w:val="000000"/>
          <w:szCs w:val="21"/>
        </w:rPr>
        <w:t>11.1投标文件的密封（加密）要求：</w:t>
      </w:r>
    </w:p>
    <w:p w14:paraId="161263B9">
      <w:pPr>
        <w:spacing w:line="480" w:lineRule="exact"/>
        <w:ind w:firstLine="420"/>
        <w:rPr>
          <w:rFonts w:hint="eastAsia" w:ascii="宋体" w:hAnsi="宋体"/>
          <w:color w:val="000000"/>
          <w:szCs w:val="21"/>
        </w:rPr>
      </w:pPr>
      <w:r>
        <w:rPr>
          <w:rFonts w:hint="eastAsia" w:ascii="宋体" w:hAnsi="宋体"/>
          <w:color w:val="000000"/>
          <w:szCs w:val="21"/>
        </w:rPr>
        <w:t>投标人应当按照招标文件和“苏采云”系统的要求编制并加密投标文件。本项目投标人须通过“苏采云”系统提供的政府采购客户端工具（使用“CA数字证书”）对其数据电文形式的投标文件加密。</w:t>
      </w:r>
    </w:p>
    <w:p w14:paraId="5A887DFB">
      <w:pPr>
        <w:spacing w:line="480" w:lineRule="exact"/>
        <w:ind w:firstLine="420"/>
        <w:rPr>
          <w:rFonts w:hint="eastAsia" w:ascii="宋体" w:hAnsi="宋体"/>
          <w:color w:val="000000"/>
          <w:szCs w:val="21"/>
        </w:rPr>
      </w:pPr>
      <w:r>
        <w:rPr>
          <w:rFonts w:hint="eastAsia" w:ascii="宋体" w:hAnsi="宋体"/>
          <w:color w:val="000000"/>
          <w:szCs w:val="21"/>
        </w:rPr>
        <w:t>11.2投标文件的签署要求：见招标文件第六章《投标文件相关格式》。</w:t>
      </w:r>
    </w:p>
    <w:p w14:paraId="4155F4DA">
      <w:pPr>
        <w:spacing w:line="480" w:lineRule="exact"/>
        <w:ind w:firstLine="420"/>
        <w:rPr>
          <w:rFonts w:hint="eastAsia" w:ascii="宋体" w:hAnsi="宋体"/>
          <w:color w:val="000000"/>
          <w:szCs w:val="21"/>
        </w:rPr>
      </w:pPr>
      <w:r>
        <w:rPr>
          <w:rFonts w:hint="eastAsia" w:ascii="宋体" w:hAnsi="宋体"/>
          <w:color w:val="000000"/>
          <w:szCs w:val="21"/>
        </w:rPr>
        <w:t>11.3投标文件的盖章要求：见招标文件第二章《线上投标文件编制要求》和招标文件第六章《投标文件相关格式》。投标人须通过“苏采云”系统提供的政府采购客户端工具（使用“CA数字证书”）加盖电子签章。</w:t>
      </w:r>
    </w:p>
    <w:p w14:paraId="199F33E7">
      <w:pPr>
        <w:spacing w:line="480" w:lineRule="exact"/>
        <w:ind w:firstLine="420"/>
        <w:rPr>
          <w:rFonts w:hint="eastAsia" w:ascii="宋体" w:hAnsi="宋体"/>
          <w:color w:val="000000"/>
          <w:szCs w:val="21"/>
        </w:rPr>
      </w:pPr>
      <w:r>
        <w:rPr>
          <w:rFonts w:hint="eastAsia" w:ascii="宋体" w:hAnsi="宋体"/>
          <w:color w:val="000000"/>
          <w:szCs w:val="21"/>
        </w:rPr>
        <w:t>说明：投标人应用CA数字证书以及自备的能够登录“苏采云”系统的电脑，在达到开标时间后，使用CA数字证书解密各自投标文件。</w:t>
      </w:r>
    </w:p>
    <w:p w14:paraId="0B96DD31">
      <w:pPr>
        <w:spacing w:line="480" w:lineRule="exact"/>
        <w:ind w:firstLine="420"/>
        <w:rPr>
          <w:rFonts w:hint="eastAsia" w:ascii="宋体" w:hAnsi="宋体"/>
          <w:color w:val="000000"/>
          <w:szCs w:val="21"/>
        </w:rPr>
      </w:pPr>
      <w:r>
        <w:rPr>
          <w:rFonts w:hint="eastAsia" w:ascii="宋体" w:hAnsi="宋体"/>
          <w:color w:val="000000"/>
          <w:szCs w:val="21"/>
        </w:rPr>
        <w:t>11.4投标人未按规定加密的投标文件，“苏采云”系统应当拒收并提示。</w:t>
      </w:r>
    </w:p>
    <w:p w14:paraId="35B06416">
      <w:pPr>
        <w:spacing w:line="480" w:lineRule="exact"/>
        <w:ind w:firstLine="420"/>
        <w:rPr>
          <w:rFonts w:hint="eastAsia" w:ascii="宋体" w:hAnsi="宋体"/>
          <w:color w:val="000000"/>
          <w:szCs w:val="21"/>
        </w:rPr>
      </w:pPr>
      <w:r>
        <w:rPr>
          <w:rFonts w:hint="eastAsia" w:ascii="宋体" w:hAnsi="宋体"/>
          <w:color w:val="000000"/>
          <w:szCs w:val="21"/>
        </w:rPr>
        <w:t>12. 投标文件的提交与接收</w:t>
      </w:r>
    </w:p>
    <w:p w14:paraId="4AFC7E2D">
      <w:pPr>
        <w:spacing w:line="480" w:lineRule="exact"/>
        <w:ind w:firstLine="420"/>
        <w:rPr>
          <w:rFonts w:hint="eastAsia" w:ascii="宋体" w:hAnsi="宋体"/>
          <w:color w:val="000000"/>
          <w:szCs w:val="21"/>
        </w:rPr>
      </w:pPr>
      <w:r>
        <w:rPr>
          <w:rFonts w:hint="eastAsia" w:ascii="宋体" w:hAnsi="宋体"/>
          <w:color w:val="000000"/>
          <w:szCs w:val="21"/>
        </w:rPr>
        <w:t>12.1 投标文件提交与接收时间：</w:t>
      </w:r>
    </w:p>
    <w:p w14:paraId="53816A8D">
      <w:pPr>
        <w:spacing w:line="480" w:lineRule="exact"/>
        <w:ind w:firstLine="420"/>
        <w:rPr>
          <w:rFonts w:hint="eastAsia" w:ascii="宋体" w:hAnsi="宋体"/>
          <w:color w:val="000000"/>
          <w:szCs w:val="21"/>
        </w:rPr>
      </w:pPr>
      <w:r>
        <w:rPr>
          <w:rFonts w:hint="eastAsia" w:ascii="宋体" w:hAnsi="宋体"/>
          <w:color w:val="000000"/>
          <w:szCs w:val="21"/>
        </w:rPr>
        <w:t>线上提交与接收时间：提交投标文件截止时间（详见投标人须知前附表）。</w:t>
      </w:r>
    </w:p>
    <w:p w14:paraId="26E173C6">
      <w:pPr>
        <w:spacing w:line="480" w:lineRule="exact"/>
        <w:ind w:firstLine="420"/>
        <w:rPr>
          <w:rFonts w:hint="eastAsia" w:ascii="宋体" w:hAnsi="宋体"/>
          <w:color w:val="000000"/>
          <w:szCs w:val="21"/>
        </w:rPr>
      </w:pPr>
      <w:r>
        <w:rPr>
          <w:rFonts w:hint="eastAsia" w:ascii="宋体" w:hAnsi="宋体"/>
          <w:color w:val="000000"/>
          <w:szCs w:val="21"/>
        </w:rPr>
        <w:t>12.2投标文件提交与接收地点：</w:t>
      </w:r>
    </w:p>
    <w:p w14:paraId="32233086">
      <w:pPr>
        <w:spacing w:line="480" w:lineRule="exact"/>
        <w:ind w:firstLine="420"/>
        <w:rPr>
          <w:rFonts w:hint="eastAsia" w:ascii="宋体" w:hAnsi="宋体"/>
          <w:color w:val="000000"/>
          <w:szCs w:val="21"/>
        </w:rPr>
      </w:pPr>
      <w:r>
        <w:rPr>
          <w:rFonts w:hint="eastAsia" w:ascii="宋体" w:hAnsi="宋体"/>
          <w:color w:val="000000"/>
          <w:szCs w:val="21"/>
        </w:rPr>
        <w:t>线上提交与接收地点：投标人应当通过“苏采云”系统提交数据电文形式的投标文件（即电子投标），“苏采云”系统自动接收。</w:t>
      </w:r>
    </w:p>
    <w:p w14:paraId="0B0943FF">
      <w:pPr>
        <w:spacing w:line="480" w:lineRule="exact"/>
        <w:ind w:firstLine="420"/>
        <w:rPr>
          <w:rFonts w:hint="eastAsia" w:ascii="宋体" w:hAnsi="宋体"/>
          <w:color w:val="000000"/>
          <w:szCs w:val="21"/>
        </w:rPr>
      </w:pPr>
      <w:r>
        <w:rPr>
          <w:rFonts w:hint="eastAsia" w:ascii="宋体" w:hAnsi="宋体"/>
          <w:color w:val="000000"/>
          <w:szCs w:val="21"/>
        </w:rPr>
        <w:t>说明：电子投标文件应由其法定代表人或法定代表人授权代表在规定的网上投标时间内，凭 CA 证书登录“苏采云”系统在线编制投标文件（电子数据），并在投标截止时间之前上传投标文件。投标人应在达到开标时间后，使用CA数字证书解密各自投标文件。</w:t>
      </w:r>
    </w:p>
    <w:p w14:paraId="7D8253C4">
      <w:pPr>
        <w:spacing w:line="480" w:lineRule="exact"/>
        <w:ind w:firstLine="420"/>
        <w:rPr>
          <w:rFonts w:hint="eastAsia" w:ascii="宋体" w:hAnsi="宋体"/>
          <w:color w:val="000000"/>
          <w:szCs w:val="21"/>
        </w:rPr>
      </w:pPr>
      <w:r>
        <w:rPr>
          <w:rFonts w:hint="eastAsia" w:ascii="宋体" w:hAnsi="宋体"/>
          <w:color w:val="000000"/>
          <w:szCs w:val="21"/>
        </w:rPr>
        <w:t>13.投标文件的撤回与修改</w:t>
      </w:r>
    </w:p>
    <w:p w14:paraId="0BD48702">
      <w:pPr>
        <w:spacing w:line="480" w:lineRule="exact"/>
        <w:ind w:firstLine="420"/>
        <w:rPr>
          <w:rFonts w:hint="eastAsia" w:ascii="宋体" w:hAnsi="宋体"/>
          <w:color w:val="000000"/>
          <w:szCs w:val="21"/>
        </w:rPr>
      </w:pPr>
      <w:r>
        <w:rPr>
          <w:rFonts w:hint="eastAsia" w:ascii="宋体" w:hAnsi="宋体"/>
          <w:color w:val="000000"/>
          <w:szCs w:val="21"/>
        </w:rPr>
        <w:t>13.1投标文件的撤回</w:t>
      </w:r>
    </w:p>
    <w:p w14:paraId="734C147E">
      <w:pPr>
        <w:spacing w:line="480" w:lineRule="exact"/>
        <w:ind w:firstLine="420"/>
        <w:rPr>
          <w:rFonts w:hint="eastAsia" w:ascii="宋体" w:hAnsi="宋体"/>
          <w:color w:val="000000"/>
          <w:szCs w:val="21"/>
        </w:rPr>
      </w:pPr>
      <w:r>
        <w:rPr>
          <w:rFonts w:hint="eastAsia" w:ascii="宋体" w:hAnsi="宋体"/>
          <w:color w:val="000000"/>
          <w:szCs w:val="21"/>
        </w:rPr>
        <w:t>13.1.1电子投标文件的撤回</w:t>
      </w:r>
    </w:p>
    <w:p w14:paraId="48BB0B87">
      <w:pPr>
        <w:spacing w:line="480" w:lineRule="exact"/>
        <w:ind w:firstLine="420"/>
        <w:rPr>
          <w:rFonts w:hint="eastAsia" w:ascii="宋体" w:hAnsi="宋体"/>
          <w:color w:val="000000"/>
          <w:szCs w:val="21"/>
        </w:rPr>
      </w:pPr>
      <w:r>
        <w:rPr>
          <w:rFonts w:hint="eastAsia" w:ascii="宋体" w:hAnsi="宋体"/>
          <w:color w:val="000000"/>
          <w:szCs w:val="21"/>
        </w:rPr>
        <w:t>投标人可在投标截止时间前，撤回其电子投标文件，具体操作方法见《操作手册》。</w:t>
      </w:r>
    </w:p>
    <w:p w14:paraId="4AB6074B">
      <w:pPr>
        <w:spacing w:line="480" w:lineRule="exact"/>
        <w:ind w:firstLine="420"/>
        <w:rPr>
          <w:rFonts w:hint="eastAsia" w:ascii="宋体" w:hAnsi="宋体"/>
          <w:color w:val="000000"/>
          <w:szCs w:val="21"/>
        </w:rPr>
      </w:pPr>
      <w:r>
        <w:rPr>
          <w:rFonts w:hint="eastAsia" w:ascii="宋体" w:hAnsi="宋体"/>
          <w:color w:val="000000"/>
          <w:szCs w:val="21"/>
        </w:rPr>
        <w:t>13.1.2投标人撤回电子投标文件，则认为其不再参与本项目投标活动。</w:t>
      </w:r>
    </w:p>
    <w:p w14:paraId="4442AC80">
      <w:pPr>
        <w:spacing w:line="480" w:lineRule="exact"/>
        <w:ind w:firstLine="420"/>
        <w:rPr>
          <w:rFonts w:hint="eastAsia" w:ascii="宋体" w:hAnsi="宋体"/>
          <w:color w:val="000000"/>
          <w:szCs w:val="21"/>
        </w:rPr>
      </w:pPr>
      <w:r>
        <w:rPr>
          <w:rFonts w:hint="eastAsia" w:ascii="宋体" w:hAnsi="宋体"/>
          <w:color w:val="000000"/>
          <w:szCs w:val="21"/>
        </w:rPr>
        <w:t>13.2 投标文件的修改</w:t>
      </w:r>
    </w:p>
    <w:p w14:paraId="4CE085B0">
      <w:pPr>
        <w:spacing w:line="480" w:lineRule="exact"/>
        <w:ind w:firstLine="420"/>
        <w:rPr>
          <w:rFonts w:hint="eastAsia" w:ascii="宋体" w:hAnsi="宋体"/>
          <w:color w:val="000000"/>
          <w:szCs w:val="21"/>
        </w:rPr>
      </w:pPr>
      <w:r>
        <w:rPr>
          <w:rFonts w:hint="eastAsia" w:ascii="宋体" w:hAnsi="宋体"/>
          <w:color w:val="000000"/>
          <w:szCs w:val="21"/>
        </w:rPr>
        <w:t>投标人可在投标截止时间前，对其电子投标文件进行修改，具体操作方法见《操作手册》。</w:t>
      </w:r>
    </w:p>
    <w:p w14:paraId="5C758CF3">
      <w:pPr>
        <w:spacing w:line="480" w:lineRule="exact"/>
        <w:ind w:firstLine="420"/>
        <w:rPr>
          <w:rFonts w:hint="eastAsia" w:ascii="宋体" w:hAnsi="宋体"/>
          <w:color w:val="000000"/>
          <w:szCs w:val="21"/>
        </w:rPr>
      </w:pPr>
      <w:r>
        <w:rPr>
          <w:rFonts w:hint="eastAsia" w:ascii="宋体" w:hAnsi="宋体"/>
          <w:color w:val="000000"/>
          <w:szCs w:val="21"/>
        </w:rPr>
        <w:t>13.3 在投标截止时间之后，投标人不得对其电子投标文件作任何修改。</w:t>
      </w:r>
    </w:p>
    <w:p w14:paraId="24AD2237">
      <w:pPr>
        <w:spacing w:line="480" w:lineRule="exact"/>
        <w:ind w:firstLine="420"/>
        <w:rPr>
          <w:rFonts w:hint="eastAsia" w:ascii="宋体" w:hAnsi="宋体"/>
          <w:color w:val="000000"/>
          <w:szCs w:val="21"/>
        </w:rPr>
      </w:pPr>
      <w:r>
        <w:rPr>
          <w:rFonts w:hint="eastAsia" w:ascii="宋体" w:hAnsi="宋体"/>
          <w:color w:val="000000"/>
          <w:szCs w:val="21"/>
        </w:rPr>
        <w:t>13.4 在投标截止时间至招标文件中规定的投标有效期满之间的这段时间内，投标人不得撤回其投标。</w:t>
      </w:r>
    </w:p>
    <w:p w14:paraId="21066CF4">
      <w:pPr>
        <w:spacing w:line="480" w:lineRule="exact"/>
        <w:ind w:firstLine="422"/>
        <w:rPr>
          <w:rFonts w:hint="eastAsia" w:ascii="宋体" w:hAnsi="宋体"/>
          <w:b/>
          <w:color w:val="000000"/>
          <w:szCs w:val="21"/>
        </w:rPr>
      </w:pPr>
      <w:r>
        <w:rPr>
          <w:rFonts w:hint="eastAsia" w:ascii="宋体" w:hAnsi="宋体"/>
          <w:b/>
          <w:color w:val="000000"/>
          <w:szCs w:val="21"/>
        </w:rPr>
        <w:t>五、开标及资格审查</w:t>
      </w:r>
    </w:p>
    <w:p w14:paraId="0E8E7F5F">
      <w:pPr>
        <w:spacing w:line="480" w:lineRule="exact"/>
        <w:ind w:firstLine="420"/>
        <w:rPr>
          <w:rFonts w:hint="eastAsia" w:ascii="宋体" w:hAnsi="宋体"/>
          <w:color w:val="000000"/>
          <w:szCs w:val="21"/>
        </w:rPr>
      </w:pPr>
      <w:r>
        <w:rPr>
          <w:rFonts w:hint="eastAsia" w:ascii="宋体" w:hAnsi="宋体"/>
          <w:color w:val="000000"/>
          <w:szCs w:val="21"/>
        </w:rPr>
        <w:t>14.开标、唱标、资格审查</w:t>
      </w:r>
    </w:p>
    <w:p w14:paraId="0BB911DE">
      <w:pPr>
        <w:spacing w:line="480" w:lineRule="exact"/>
        <w:ind w:firstLine="420"/>
        <w:rPr>
          <w:rFonts w:hint="eastAsia" w:ascii="宋体" w:hAnsi="宋体"/>
          <w:color w:val="000000"/>
          <w:szCs w:val="21"/>
        </w:rPr>
      </w:pPr>
      <w:r>
        <w:rPr>
          <w:rFonts w:hint="eastAsia" w:ascii="宋体" w:hAnsi="宋体"/>
          <w:color w:val="000000"/>
          <w:szCs w:val="21"/>
        </w:rPr>
        <w:t>14.1 线上开标时，“苏采云”系统自动提取所有投标文件，投标人按招标文件规定方式按时在线解密。本项目招标文件规定的投标人按时在线解密方式：通过“苏采云”系统（使用“CA数字证书”）解密。</w:t>
      </w:r>
    </w:p>
    <w:p w14:paraId="55EF2785">
      <w:pPr>
        <w:spacing w:line="480" w:lineRule="exact"/>
        <w:ind w:firstLine="420"/>
        <w:rPr>
          <w:rFonts w:hint="eastAsia" w:ascii="宋体" w:hAnsi="宋体"/>
          <w:color w:val="000000"/>
          <w:szCs w:val="21"/>
        </w:rPr>
      </w:pPr>
      <w:r>
        <w:rPr>
          <w:rFonts w:hint="eastAsia" w:ascii="宋体" w:hAnsi="宋体"/>
          <w:color w:val="000000"/>
          <w:szCs w:val="21"/>
        </w:rPr>
        <w:t>14.2所有投标人解密（或解密时间）结束后，“苏采云”系统生成开标记录并向社会公众公布，但依法应当保密的除外。</w:t>
      </w:r>
    </w:p>
    <w:p w14:paraId="52CC0A28">
      <w:pPr>
        <w:spacing w:line="480" w:lineRule="exact"/>
        <w:ind w:firstLine="420"/>
        <w:rPr>
          <w:rFonts w:hint="eastAsia" w:ascii="宋体" w:hAnsi="宋体"/>
          <w:color w:val="000000"/>
          <w:szCs w:val="21"/>
        </w:rPr>
      </w:pPr>
      <w:r>
        <w:rPr>
          <w:rFonts w:hint="eastAsia" w:ascii="宋体" w:hAnsi="宋体"/>
          <w:color w:val="000000"/>
          <w:szCs w:val="21"/>
        </w:rPr>
        <w:t>14.3开标时，《开标一览表》（报价表）内容与投标文件中相应内容不一致的，以《开标一览表》（报价表）为准。</w:t>
      </w:r>
    </w:p>
    <w:p w14:paraId="78AE8F7F">
      <w:pPr>
        <w:spacing w:line="480" w:lineRule="exact"/>
        <w:ind w:firstLine="420"/>
        <w:rPr>
          <w:rFonts w:hint="eastAsia" w:ascii="宋体" w:hAnsi="宋体"/>
          <w:color w:val="000000"/>
          <w:szCs w:val="21"/>
        </w:rPr>
      </w:pPr>
      <w:r>
        <w:rPr>
          <w:rFonts w:hint="eastAsia" w:ascii="宋体" w:hAnsi="宋体"/>
          <w:color w:val="000000"/>
          <w:szCs w:val="21"/>
        </w:rPr>
        <w:t>14.4 投标文件、《开标一览表》（报价表）中报价的大写金额与小写金额不一致的，以大写金额为准。</w:t>
      </w:r>
    </w:p>
    <w:p w14:paraId="5BC3FBB6">
      <w:pPr>
        <w:spacing w:line="480" w:lineRule="exact"/>
        <w:ind w:firstLine="420"/>
        <w:rPr>
          <w:rFonts w:hint="eastAsia" w:ascii="宋体" w:hAnsi="宋体"/>
          <w:color w:val="000000"/>
          <w:szCs w:val="21"/>
        </w:rPr>
      </w:pPr>
      <w:r>
        <w:rPr>
          <w:rFonts w:hint="eastAsia" w:ascii="宋体" w:hAnsi="宋体"/>
          <w:color w:val="000000"/>
          <w:szCs w:val="21"/>
        </w:rPr>
        <w:t>14.5 单价金额小数点或者百分比有明显错位的，以《开标一览表》（报价表）的总价为准，并修改单价；</w:t>
      </w:r>
    </w:p>
    <w:p w14:paraId="089C69A2">
      <w:pPr>
        <w:spacing w:line="480" w:lineRule="exact"/>
        <w:ind w:firstLine="420"/>
        <w:rPr>
          <w:rFonts w:hint="eastAsia" w:ascii="宋体" w:hAnsi="宋体"/>
          <w:color w:val="000000"/>
          <w:szCs w:val="21"/>
        </w:rPr>
      </w:pPr>
      <w:r>
        <w:rPr>
          <w:rFonts w:hint="eastAsia" w:ascii="宋体" w:hAnsi="宋体"/>
          <w:color w:val="000000"/>
          <w:szCs w:val="21"/>
        </w:rPr>
        <w:t>14.6 总价金额与按单价汇总金额不一致的，以单价金额计算结果为准；</w:t>
      </w:r>
    </w:p>
    <w:p w14:paraId="738D30A2">
      <w:pPr>
        <w:spacing w:line="480" w:lineRule="exact"/>
        <w:ind w:firstLine="420"/>
        <w:rPr>
          <w:rFonts w:hint="eastAsia" w:ascii="宋体" w:hAnsi="宋体"/>
          <w:color w:val="000000"/>
          <w:szCs w:val="21"/>
        </w:rPr>
      </w:pPr>
      <w:r>
        <w:rPr>
          <w:rFonts w:hint="eastAsia" w:ascii="宋体" w:hAnsi="宋体"/>
          <w:color w:val="000000"/>
          <w:szCs w:val="21"/>
        </w:rPr>
        <w:t>14.7同时出现14.3-14.6中两种以上不一致的，按照14.3-14.6的顺序修正。修正后的报价由法定代表人/单位负责人或其授权的代表签章确认后产生约束力，投标人不确认的，投标无效。</w:t>
      </w:r>
    </w:p>
    <w:p w14:paraId="0A8FAD51">
      <w:pPr>
        <w:spacing w:line="480" w:lineRule="exact"/>
        <w:ind w:firstLine="420"/>
        <w:rPr>
          <w:rFonts w:hint="eastAsia" w:ascii="宋体" w:hAnsi="宋体"/>
          <w:color w:val="000000"/>
          <w:szCs w:val="21"/>
        </w:rPr>
      </w:pPr>
      <w:r>
        <w:rPr>
          <w:rFonts w:hint="eastAsia" w:ascii="宋体" w:hAnsi="宋体"/>
          <w:color w:val="000000"/>
          <w:szCs w:val="21"/>
        </w:rPr>
        <w:t>14.8 对不同文字文本投标文件的解释发生异议的，以中文文本为准。</w:t>
      </w:r>
    </w:p>
    <w:p w14:paraId="44F8B6A5">
      <w:pPr>
        <w:spacing w:line="480" w:lineRule="exact"/>
        <w:ind w:firstLine="420"/>
        <w:rPr>
          <w:rFonts w:hint="eastAsia" w:ascii="宋体" w:hAnsi="宋体"/>
          <w:color w:val="000000"/>
          <w:szCs w:val="21"/>
        </w:rPr>
      </w:pPr>
      <w:r>
        <w:rPr>
          <w:rFonts w:hint="eastAsia" w:ascii="宋体" w:hAnsi="宋体"/>
          <w:color w:val="000000"/>
          <w:szCs w:val="21"/>
        </w:rPr>
        <w:t>14.9资格审查：开标结束后，依据法规政策和招标文件的规定，在对投标文件详细评估之前，采购人或采购代理机构将依据投标人提交的投标文件按招标公告所述的资格要求对投标人进行资格审查， 以确定其是否具备投标资格。如果投标人不具备投标资格、不满足招标文件所规定的资格标准或提供资格证明文件不全， 其投标将被作为无效投标，不得参与下一环节的评审。</w:t>
      </w:r>
    </w:p>
    <w:p w14:paraId="1483B6F4">
      <w:pPr>
        <w:spacing w:line="480" w:lineRule="exact"/>
        <w:ind w:firstLine="420"/>
        <w:rPr>
          <w:rFonts w:hint="eastAsia" w:ascii="宋体" w:hAnsi="宋体"/>
          <w:color w:val="000000"/>
          <w:szCs w:val="21"/>
        </w:rPr>
      </w:pPr>
      <w:r>
        <w:rPr>
          <w:rFonts w:hint="eastAsia" w:ascii="宋体" w:hAnsi="宋体"/>
          <w:color w:val="000000"/>
          <w:szCs w:val="21"/>
        </w:rPr>
        <w:t>采购人及采购代理机构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1C0E6E68">
      <w:pPr>
        <w:spacing w:line="480" w:lineRule="exact"/>
        <w:ind w:firstLine="422"/>
        <w:rPr>
          <w:rFonts w:hint="eastAsia" w:ascii="宋体" w:hAnsi="宋体"/>
          <w:b/>
          <w:color w:val="000000"/>
          <w:szCs w:val="21"/>
        </w:rPr>
      </w:pPr>
      <w:r>
        <w:rPr>
          <w:rFonts w:hint="eastAsia" w:ascii="宋体" w:hAnsi="宋体"/>
          <w:b/>
          <w:color w:val="000000"/>
          <w:szCs w:val="21"/>
        </w:rPr>
        <w:t>六、评  标</w:t>
      </w:r>
    </w:p>
    <w:p w14:paraId="70AE555C">
      <w:pPr>
        <w:spacing w:line="480" w:lineRule="exact"/>
        <w:ind w:firstLine="420"/>
        <w:rPr>
          <w:rFonts w:hint="eastAsia" w:ascii="宋体" w:hAnsi="宋体"/>
          <w:color w:val="000000"/>
          <w:szCs w:val="21"/>
        </w:rPr>
      </w:pPr>
      <w:r>
        <w:rPr>
          <w:rFonts w:hint="eastAsia" w:ascii="宋体" w:hAnsi="宋体"/>
          <w:color w:val="000000"/>
          <w:szCs w:val="21"/>
        </w:rPr>
        <w:t>15.组建评标委员会</w:t>
      </w:r>
    </w:p>
    <w:p w14:paraId="6B0D927F">
      <w:pPr>
        <w:spacing w:line="480" w:lineRule="exact"/>
        <w:ind w:firstLine="420"/>
        <w:rPr>
          <w:rFonts w:hint="eastAsia" w:ascii="宋体" w:hAnsi="宋体"/>
          <w:color w:val="000000"/>
          <w:szCs w:val="21"/>
        </w:rPr>
      </w:pPr>
      <w:r>
        <w:rPr>
          <w:rFonts w:hint="eastAsia" w:ascii="宋体" w:hAnsi="宋体"/>
          <w:color w:val="000000"/>
          <w:szCs w:val="21"/>
        </w:rPr>
        <w:t>采购单位根据项目的特点依法组建评标委员会。开标后由评标委员会对投标文件进行审查、质疑、评估和比较。评标委员会完成评标后，应当向采购人提出书面评标报告，推荐1</w:t>
      </w:r>
      <w:r>
        <w:rPr>
          <w:rFonts w:ascii="宋体" w:hAnsi="宋体"/>
          <w:color w:val="000000"/>
          <w:szCs w:val="21"/>
        </w:rPr>
        <w:t>-3</w:t>
      </w:r>
      <w:r>
        <w:rPr>
          <w:rFonts w:hint="eastAsia" w:ascii="宋体" w:hAnsi="宋体"/>
          <w:color w:val="000000"/>
          <w:szCs w:val="21"/>
        </w:rPr>
        <w:t>名有排序的中标候选人。</w:t>
      </w:r>
    </w:p>
    <w:p w14:paraId="02B9F785">
      <w:pPr>
        <w:spacing w:line="480" w:lineRule="exact"/>
        <w:ind w:firstLine="420"/>
        <w:rPr>
          <w:rFonts w:hint="eastAsia" w:ascii="宋体" w:hAnsi="宋体"/>
          <w:color w:val="000000"/>
          <w:szCs w:val="21"/>
        </w:rPr>
      </w:pPr>
      <w:r>
        <w:rPr>
          <w:rFonts w:hint="eastAsia" w:ascii="宋体" w:hAnsi="宋体"/>
          <w:color w:val="000000"/>
          <w:szCs w:val="21"/>
        </w:rPr>
        <w:t>16.投标文件的审查</w:t>
      </w:r>
    </w:p>
    <w:p w14:paraId="335953A7">
      <w:pPr>
        <w:spacing w:line="480" w:lineRule="exact"/>
        <w:ind w:firstLine="420"/>
        <w:rPr>
          <w:rFonts w:hint="eastAsia" w:ascii="宋体" w:hAnsi="宋体"/>
          <w:color w:val="000000"/>
          <w:szCs w:val="21"/>
        </w:rPr>
      </w:pPr>
      <w:r>
        <w:rPr>
          <w:rFonts w:hint="eastAsia" w:ascii="宋体" w:hAnsi="宋体"/>
          <w:color w:val="000000"/>
          <w:szCs w:val="21"/>
        </w:rPr>
        <w:t>16.1对所有投标人的评估，都采用相同的程序和标准。评标过程将严格按照招标文件的要求和条件进行。</w:t>
      </w:r>
    </w:p>
    <w:p w14:paraId="04EAF934">
      <w:pPr>
        <w:spacing w:line="480" w:lineRule="exact"/>
        <w:ind w:firstLine="420"/>
        <w:rPr>
          <w:rFonts w:hint="eastAsia" w:ascii="宋体" w:hAnsi="宋体"/>
          <w:color w:val="000000"/>
          <w:szCs w:val="21"/>
        </w:rPr>
      </w:pPr>
      <w:r>
        <w:rPr>
          <w:rFonts w:hint="eastAsia" w:ascii="宋体" w:hAnsi="宋体"/>
          <w:color w:val="000000"/>
          <w:szCs w:val="21"/>
        </w:rPr>
        <w:t>16.2评标委员会将对投标文件进行检查，以确定投标文件是否完整、有无计算上的错误、文件是否已正确签署等。</w:t>
      </w:r>
    </w:p>
    <w:p w14:paraId="4566E79A">
      <w:pPr>
        <w:spacing w:line="480" w:lineRule="exact"/>
        <w:ind w:firstLine="420"/>
        <w:rPr>
          <w:rFonts w:hint="eastAsia" w:ascii="宋体" w:hAnsi="宋体"/>
          <w:color w:val="000000"/>
          <w:szCs w:val="21"/>
        </w:rPr>
      </w:pPr>
      <w:r>
        <w:rPr>
          <w:rFonts w:hint="eastAsia" w:ascii="宋体" w:hAnsi="宋体"/>
          <w:color w:val="000000"/>
          <w:szCs w:val="21"/>
        </w:rPr>
        <w:t>16.3评标委员会将对确定为实质性响应的投标文件进行进一步评审，看其是否有计算上或累加上的算术错误，修正错误的原则如下：</w:t>
      </w:r>
    </w:p>
    <w:p w14:paraId="17CFE321">
      <w:pPr>
        <w:spacing w:line="480" w:lineRule="exact"/>
        <w:ind w:firstLine="420"/>
        <w:rPr>
          <w:rFonts w:hint="eastAsia" w:ascii="宋体" w:hAnsi="宋体"/>
          <w:color w:val="000000"/>
          <w:szCs w:val="21"/>
        </w:rPr>
      </w:pPr>
      <w:r>
        <w:rPr>
          <w:rFonts w:hint="eastAsia" w:ascii="宋体" w:hAnsi="宋体"/>
          <w:color w:val="000000"/>
          <w:szCs w:val="21"/>
        </w:rPr>
        <w:t>16.3.1如果用数字表示的金额和用文字表示的金额不一致时，应以文字表示的金额为准进行修正；</w:t>
      </w:r>
    </w:p>
    <w:p w14:paraId="1D4916D9">
      <w:pPr>
        <w:spacing w:line="480" w:lineRule="exact"/>
        <w:ind w:firstLine="420"/>
        <w:rPr>
          <w:rFonts w:hint="eastAsia" w:ascii="宋体" w:hAnsi="宋体"/>
          <w:color w:val="000000"/>
          <w:szCs w:val="21"/>
        </w:rPr>
      </w:pPr>
      <w:r>
        <w:rPr>
          <w:rFonts w:hint="eastAsia" w:ascii="宋体" w:hAnsi="宋体"/>
          <w:color w:val="000000"/>
          <w:szCs w:val="21"/>
        </w:rPr>
        <w:t>16.3.2当单价与数量的乘积和总价不一致时，以单价为准进行修正。只有在评委会认为单价有明显的小数点错误时，才能以标出的总价为准，并修改单价；</w:t>
      </w:r>
    </w:p>
    <w:p w14:paraId="17FE3C9B">
      <w:pPr>
        <w:spacing w:line="480" w:lineRule="exact"/>
        <w:ind w:firstLine="420"/>
        <w:rPr>
          <w:rFonts w:hint="eastAsia" w:ascii="宋体" w:hAnsi="宋体"/>
          <w:color w:val="000000"/>
          <w:szCs w:val="21"/>
        </w:rPr>
      </w:pPr>
      <w:r>
        <w:rPr>
          <w:rFonts w:hint="eastAsia" w:ascii="宋体" w:hAnsi="宋体"/>
          <w:color w:val="000000"/>
          <w:szCs w:val="21"/>
        </w:rPr>
        <w:t>16.3.3评标委员会将按上述修正错误的方法调整投标文件中的投标价格，调整后的价格对投标人具有约束力。如果投标人不接受修正后的价格，则其投标将被拒绝；</w:t>
      </w:r>
    </w:p>
    <w:p w14:paraId="0F67BB83">
      <w:pPr>
        <w:spacing w:line="480" w:lineRule="exact"/>
        <w:ind w:firstLine="420"/>
        <w:rPr>
          <w:rFonts w:hint="eastAsia" w:ascii="宋体" w:hAnsi="宋体"/>
          <w:color w:val="000000"/>
          <w:szCs w:val="21"/>
        </w:rPr>
      </w:pPr>
      <w:r>
        <w:rPr>
          <w:rFonts w:hint="eastAsia" w:ascii="宋体" w:hAnsi="宋体"/>
          <w:color w:val="000000"/>
          <w:szCs w:val="21"/>
        </w:rPr>
        <w:t>16.3.4评委会将允许修正投标文件中不构成重大偏离的、微小的、非正规的、不一致的或不规则的地方，但这些修改不能影响任何投标人相应的名次排列。</w:t>
      </w:r>
    </w:p>
    <w:p w14:paraId="199142B8">
      <w:pPr>
        <w:spacing w:line="480" w:lineRule="exact"/>
        <w:ind w:firstLine="420"/>
        <w:rPr>
          <w:rFonts w:hint="eastAsia" w:ascii="宋体" w:hAnsi="宋体"/>
          <w:color w:val="000000"/>
          <w:szCs w:val="21"/>
        </w:rPr>
      </w:pPr>
      <w:r>
        <w:rPr>
          <w:rFonts w:hint="eastAsia" w:ascii="宋体" w:hAnsi="宋体"/>
          <w:color w:val="000000"/>
          <w:szCs w:val="21"/>
        </w:rPr>
        <w:t>16.4符合性检查：</w:t>
      </w:r>
    </w:p>
    <w:p w14:paraId="74B9542C">
      <w:pPr>
        <w:spacing w:line="480" w:lineRule="exact"/>
        <w:ind w:firstLine="420"/>
        <w:rPr>
          <w:rFonts w:hint="eastAsia" w:ascii="宋体" w:hAnsi="宋体"/>
          <w:color w:val="000000"/>
          <w:szCs w:val="21"/>
        </w:rPr>
      </w:pPr>
      <w:r>
        <w:rPr>
          <w:rFonts w:hint="eastAsia" w:ascii="宋体" w:hAnsi="宋体"/>
          <w:color w:val="000000"/>
          <w:szCs w:val="21"/>
        </w:rPr>
        <w:t>16.4.1符合性检查：依据招标文件的规定，评标委员会将对通过资格审查的投标文件的有效性、完整性和对招标文件的响应程度进行审查，以确定是否符合对招标文件的实质性要求作出响应。对没有实质性响应的投标文件将不进行评估，其投标被作为无效投标。凡有下列情况之一者，投标文件将被视为未实质性响应招标文件要求。</w:t>
      </w:r>
    </w:p>
    <w:p w14:paraId="04DF1932">
      <w:pPr>
        <w:spacing w:line="480" w:lineRule="exact"/>
        <w:ind w:firstLine="420"/>
        <w:rPr>
          <w:rFonts w:hint="eastAsia" w:ascii="宋体" w:hAnsi="宋体"/>
          <w:color w:val="000000"/>
          <w:szCs w:val="21"/>
        </w:rPr>
      </w:pPr>
      <w:r>
        <w:rPr>
          <w:rFonts w:hint="eastAsia" w:ascii="宋体" w:hAnsi="宋体"/>
          <w:color w:val="000000"/>
          <w:szCs w:val="21"/>
        </w:rPr>
        <w:t>（1）投标人未按照招标文件要求上传电子投标文件的；</w:t>
      </w:r>
    </w:p>
    <w:p w14:paraId="7DD6345B">
      <w:pPr>
        <w:spacing w:line="480" w:lineRule="exact"/>
        <w:ind w:firstLine="420"/>
        <w:rPr>
          <w:rFonts w:hint="eastAsia" w:ascii="宋体" w:hAnsi="宋体"/>
          <w:color w:val="000000"/>
          <w:szCs w:val="21"/>
        </w:rPr>
      </w:pPr>
      <w:r>
        <w:rPr>
          <w:rFonts w:hint="eastAsia" w:ascii="宋体" w:hAnsi="宋体"/>
          <w:color w:val="000000"/>
          <w:szCs w:val="21"/>
        </w:rPr>
        <w:t>（2）投标人未在规定解密时间内进行解密；</w:t>
      </w:r>
    </w:p>
    <w:p w14:paraId="1DA372CF">
      <w:pPr>
        <w:spacing w:line="480" w:lineRule="exact"/>
        <w:ind w:firstLine="420"/>
        <w:rPr>
          <w:rFonts w:hint="eastAsia" w:ascii="宋体" w:hAnsi="宋体"/>
          <w:color w:val="000000"/>
          <w:szCs w:val="21"/>
        </w:rPr>
      </w:pPr>
      <w:r>
        <w:rPr>
          <w:rFonts w:hint="eastAsia" w:ascii="宋体" w:hAnsi="宋体"/>
          <w:color w:val="000000"/>
          <w:szCs w:val="21"/>
        </w:rPr>
        <w:t>（3）投标人在报价时采用选择性报价；</w:t>
      </w:r>
    </w:p>
    <w:p w14:paraId="22782A78">
      <w:pPr>
        <w:spacing w:line="480" w:lineRule="exact"/>
        <w:ind w:firstLine="420"/>
        <w:rPr>
          <w:rFonts w:hint="eastAsia" w:ascii="宋体" w:hAnsi="宋体"/>
          <w:color w:val="000000"/>
          <w:szCs w:val="21"/>
        </w:rPr>
      </w:pPr>
      <w:r>
        <w:rPr>
          <w:rFonts w:hint="eastAsia" w:ascii="宋体" w:hAnsi="宋体"/>
          <w:color w:val="000000"/>
          <w:szCs w:val="21"/>
        </w:rPr>
        <w:t>（4）投标人不具备招标文件中规定资格要求的；</w:t>
      </w:r>
    </w:p>
    <w:p w14:paraId="77020B11">
      <w:pPr>
        <w:spacing w:line="480" w:lineRule="exact"/>
        <w:ind w:firstLine="420"/>
        <w:rPr>
          <w:rFonts w:hint="eastAsia" w:ascii="宋体" w:hAnsi="宋体"/>
          <w:color w:val="000000"/>
          <w:szCs w:val="21"/>
        </w:rPr>
      </w:pPr>
      <w:r>
        <w:rPr>
          <w:rFonts w:hint="eastAsia" w:ascii="宋体" w:hAnsi="宋体"/>
          <w:color w:val="000000"/>
          <w:szCs w:val="21"/>
        </w:rPr>
        <w:t>（5）投标人的报价超过了采购预算或最高限价的；</w:t>
      </w:r>
    </w:p>
    <w:p w14:paraId="246F8456">
      <w:pPr>
        <w:spacing w:line="480" w:lineRule="exact"/>
        <w:ind w:firstLine="420"/>
        <w:rPr>
          <w:rFonts w:hint="eastAsia" w:ascii="宋体" w:hAnsi="宋体"/>
          <w:color w:val="000000"/>
          <w:szCs w:val="21"/>
        </w:rPr>
      </w:pPr>
      <w:r>
        <w:rPr>
          <w:rFonts w:hint="eastAsia" w:ascii="宋体" w:hAnsi="宋体"/>
          <w:color w:val="000000"/>
          <w:szCs w:val="21"/>
        </w:rPr>
        <w:t>（6）未通过符合性检查的；</w:t>
      </w:r>
    </w:p>
    <w:p w14:paraId="6534A624">
      <w:pPr>
        <w:spacing w:line="480" w:lineRule="exact"/>
        <w:ind w:firstLine="420"/>
        <w:rPr>
          <w:rFonts w:hint="eastAsia" w:ascii="宋体" w:hAnsi="宋体"/>
          <w:color w:val="000000"/>
          <w:szCs w:val="21"/>
        </w:rPr>
      </w:pPr>
      <w:r>
        <w:rPr>
          <w:rFonts w:hint="eastAsia" w:ascii="宋体" w:hAnsi="宋体"/>
          <w:color w:val="000000"/>
          <w:szCs w:val="21"/>
        </w:rPr>
        <w:t>（7）不符合招标文件中规定的其他实质性要求和条件的；</w:t>
      </w:r>
    </w:p>
    <w:p w14:paraId="2FD6972F">
      <w:pPr>
        <w:spacing w:line="480" w:lineRule="exact"/>
        <w:ind w:firstLine="420"/>
        <w:rPr>
          <w:rFonts w:hint="eastAsia" w:ascii="宋体" w:hAnsi="宋体"/>
          <w:color w:val="000000"/>
          <w:szCs w:val="21"/>
        </w:rPr>
      </w:pPr>
      <w:r>
        <w:rPr>
          <w:rFonts w:hint="eastAsia" w:ascii="宋体" w:hAnsi="宋体"/>
          <w:color w:val="000000"/>
          <w:szCs w:val="21"/>
        </w:rPr>
        <w:t>（8）投标人串通投标；</w:t>
      </w:r>
    </w:p>
    <w:p w14:paraId="5672B353">
      <w:pPr>
        <w:spacing w:line="480" w:lineRule="exact"/>
        <w:ind w:firstLine="420"/>
        <w:rPr>
          <w:rFonts w:hint="eastAsia" w:ascii="宋体" w:hAnsi="宋体"/>
          <w:color w:val="000000"/>
          <w:szCs w:val="21"/>
        </w:rPr>
      </w:pPr>
      <w:r>
        <w:rPr>
          <w:rFonts w:hint="eastAsia" w:ascii="宋体" w:hAnsi="宋体"/>
          <w:color w:val="000000"/>
          <w:szCs w:val="21"/>
        </w:rPr>
        <w:t>（9）投标文件含有采购人不能接受的附加条件的。</w:t>
      </w:r>
    </w:p>
    <w:p w14:paraId="09565B69">
      <w:pPr>
        <w:spacing w:line="480" w:lineRule="exact"/>
        <w:ind w:firstLine="420"/>
        <w:rPr>
          <w:rFonts w:hint="eastAsia" w:ascii="宋体" w:hAnsi="宋体"/>
          <w:color w:val="000000"/>
          <w:szCs w:val="21"/>
        </w:rPr>
      </w:pPr>
      <w:r>
        <w:rPr>
          <w:rFonts w:hint="eastAsia" w:ascii="宋体" w:hAnsi="宋体"/>
          <w:color w:val="000000"/>
          <w:szCs w:val="21"/>
        </w:rPr>
        <w:t>（10）不符合招标文件中规定的其他实质性条款以及法律法规规定的其他情形。</w:t>
      </w:r>
    </w:p>
    <w:p w14:paraId="50FD7FF8">
      <w:pPr>
        <w:spacing w:line="480" w:lineRule="exact"/>
        <w:ind w:firstLine="420"/>
        <w:rPr>
          <w:rFonts w:hint="eastAsia" w:ascii="宋体" w:hAnsi="宋体"/>
          <w:color w:val="000000"/>
          <w:szCs w:val="21"/>
        </w:rPr>
      </w:pPr>
      <w:r>
        <w:rPr>
          <w:rFonts w:hint="eastAsia" w:ascii="宋体" w:hAnsi="宋体"/>
          <w:color w:val="000000"/>
          <w:szCs w:val="21"/>
        </w:rPr>
        <w:t>（11）被“信用中国”网站（www.creditchina.gov.cn）列入失信被执行人、重大税收违法案件当事人名单、政府采购严重失信行为记录名单</w:t>
      </w:r>
    </w:p>
    <w:p w14:paraId="2823291C">
      <w:pPr>
        <w:spacing w:line="480" w:lineRule="exact"/>
        <w:ind w:firstLine="420"/>
        <w:rPr>
          <w:rFonts w:hint="eastAsia" w:ascii="宋体" w:hAnsi="宋体"/>
          <w:color w:val="000000"/>
          <w:szCs w:val="21"/>
        </w:rPr>
      </w:pPr>
      <w:r>
        <w:rPr>
          <w:rFonts w:hint="eastAsia" w:ascii="宋体" w:hAnsi="宋体"/>
          <w:color w:val="000000"/>
          <w:szCs w:val="21"/>
        </w:rPr>
        <w:t>（12）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2463EE8">
      <w:pPr>
        <w:spacing w:line="480" w:lineRule="exact"/>
        <w:ind w:firstLine="420"/>
        <w:rPr>
          <w:rFonts w:hint="eastAsia" w:ascii="宋体" w:hAnsi="宋体"/>
          <w:color w:val="000000"/>
          <w:szCs w:val="21"/>
        </w:rPr>
      </w:pPr>
      <w:r>
        <w:rPr>
          <w:rFonts w:hint="eastAsia" w:ascii="宋体" w:hAnsi="宋体"/>
          <w:color w:val="000000"/>
          <w:szCs w:val="21"/>
        </w:rPr>
        <w:t>（一）评审过程中出现下列情形之一的，评标委员会应当启动异常低价投标审查程序：</w:t>
      </w:r>
    </w:p>
    <w:p w14:paraId="6FC70D31">
      <w:pPr>
        <w:spacing w:line="480" w:lineRule="exact"/>
        <w:ind w:firstLine="420"/>
        <w:rPr>
          <w:rFonts w:hint="eastAsia" w:ascii="宋体" w:hAnsi="宋体"/>
          <w:color w:val="000000"/>
          <w:szCs w:val="21"/>
        </w:rPr>
      </w:pPr>
      <w:r>
        <w:rPr>
          <w:rFonts w:hint="eastAsia" w:ascii="宋体" w:hAnsi="宋体"/>
          <w:color w:val="000000"/>
          <w:szCs w:val="21"/>
        </w:rPr>
        <w:t>1.投标（响应）报价低于全部通过符合性审查供应商投标（响应）报价平均值50%的，即投标（响应）报价&lt;全部通过符合性审查供应商投标（响应）报价平均值×50%；</w:t>
      </w:r>
    </w:p>
    <w:p w14:paraId="0F9580FD">
      <w:pPr>
        <w:spacing w:line="480" w:lineRule="exact"/>
        <w:ind w:firstLine="420"/>
        <w:rPr>
          <w:rFonts w:hint="eastAsia" w:ascii="宋体" w:hAnsi="宋体"/>
          <w:color w:val="000000"/>
          <w:szCs w:val="21"/>
        </w:rPr>
      </w:pPr>
      <w:r>
        <w:rPr>
          <w:rFonts w:hint="eastAsia" w:ascii="宋体" w:hAnsi="宋体"/>
          <w:color w:val="000000"/>
          <w:szCs w:val="21"/>
        </w:rPr>
        <w:t>2.投标（响应）报价低于通过符合性审查的次低报价供应商投标（响应）报价50%的，即投标（响应）报价&lt;通过符合性审查的次低报价供应商投标（响应）报价×50%；</w:t>
      </w:r>
    </w:p>
    <w:p w14:paraId="7BA8FE6F">
      <w:pPr>
        <w:spacing w:line="480" w:lineRule="exact"/>
        <w:ind w:firstLine="420"/>
        <w:rPr>
          <w:rFonts w:hint="eastAsia" w:ascii="宋体" w:hAnsi="宋体"/>
          <w:color w:val="000000"/>
          <w:szCs w:val="21"/>
        </w:rPr>
      </w:pPr>
      <w:r>
        <w:rPr>
          <w:rFonts w:hint="eastAsia" w:ascii="宋体" w:hAnsi="宋体"/>
          <w:color w:val="000000"/>
          <w:szCs w:val="21"/>
        </w:rPr>
        <w:t>3.投标（响应）报价低于采购项目最高限价45%的，即投标（响应）报价&lt;采购项目最高限价×45%；</w:t>
      </w:r>
    </w:p>
    <w:p w14:paraId="140699A4">
      <w:pPr>
        <w:spacing w:line="480" w:lineRule="exact"/>
        <w:ind w:firstLine="420"/>
        <w:rPr>
          <w:rFonts w:hint="eastAsia" w:ascii="宋体" w:hAnsi="宋体"/>
          <w:color w:val="000000"/>
          <w:szCs w:val="21"/>
        </w:rPr>
      </w:pPr>
      <w:r>
        <w:rPr>
          <w:rFonts w:hint="eastAsia" w:ascii="宋体" w:hAnsi="宋体"/>
          <w:color w:val="000000"/>
          <w:szCs w:val="21"/>
        </w:rPr>
        <w:t>4.评审委员会基于专业判断，认为供应商报价过低，有可能影响产品质量或者不能诚信履约的其他情形。</w:t>
      </w:r>
    </w:p>
    <w:p w14:paraId="37041C1B">
      <w:pPr>
        <w:spacing w:line="480" w:lineRule="exact"/>
        <w:ind w:firstLine="420"/>
        <w:rPr>
          <w:rFonts w:hint="eastAsia" w:ascii="宋体" w:hAnsi="宋体"/>
          <w:color w:val="000000"/>
          <w:szCs w:val="21"/>
        </w:rPr>
      </w:pPr>
      <w:r>
        <w:rPr>
          <w:rFonts w:hint="eastAsia" w:ascii="宋体" w:hAnsi="宋体"/>
          <w:color w:val="000000"/>
          <w:szCs w:val="21"/>
        </w:rPr>
        <w:t>相关法律法规对供应商报价有规定的，从其规定。</w:t>
      </w:r>
    </w:p>
    <w:p w14:paraId="0CBB7C6A">
      <w:pPr>
        <w:spacing w:line="480" w:lineRule="exact"/>
        <w:ind w:firstLine="420"/>
        <w:rPr>
          <w:rFonts w:hint="eastAsia" w:ascii="宋体" w:hAnsi="宋体"/>
          <w:color w:val="000000"/>
          <w:szCs w:val="21"/>
        </w:rPr>
      </w:pPr>
      <w:r>
        <w:rPr>
          <w:rFonts w:hint="eastAsia" w:ascii="宋体" w:hAnsi="宋体"/>
          <w:color w:val="000000"/>
          <w:szCs w:val="21"/>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C816154">
      <w:pPr>
        <w:spacing w:line="480" w:lineRule="exact"/>
        <w:ind w:firstLine="420"/>
        <w:rPr>
          <w:rFonts w:hint="eastAsia" w:ascii="宋体" w:hAnsi="宋体"/>
          <w:color w:val="000000"/>
          <w:szCs w:val="21"/>
        </w:rPr>
      </w:pPr>
      <w:r>
        <w:rPr>
          <w:rFonts w:hint="eastAsia" w:ascii="宋体" w:hAnsi="宋体"/>
          <w:color w:val="000000"/>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D3212B4">
      <w:pPr>
        <w:spacing w:line="480" w:lineRule="exact"/>
        <w:ind w:firstLine="420"/>
        <w:rPr>
          <w:rFonts w:hint="eastAsia" w:ascii="宋体" w:hAnsi="宋体"/>
          <w:color w:val="000000"/>
          <w:szCs w:val="21"/>
        </w:rPr>
      </w:pPr>
      <w:r>
        <w:rPr>
          <w:rFonts w:hint="eastAsia" w:ascii="宋体" w:hAnsi="宋体"/>
          <w:color w:val="000000"/>
          <w:szCs w:val="21"/>
        </w:rPr>
        <w:t xml:space="preserve">  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814F02B">
      <w:pPr>
        <w:spacing w:line="480" w:lineRule="exact"/>
        <w:ind w:firstLine="420"/>
        <w:rPr>
          <w:rFonts w:hint="eastAsia" w:ascii="宋体" w:hAnsi="宋体"/>
          <w:color w:val="000000"/>
          <w:szCs w:val="21"/>
        </w:rPr>
      </w:pPr>
      <w:r>
        <w:rPr>
          <w:rFonts w:hint="eastAsia" w:ascii="宋体" w:hAnsi="宋体"/>
          <w:color w:val="000000"/>
          <w:szCs w:val="21"/>
        </w:rPr>
        <w:t>异常低价投标（响应）审查的启动原因、审查意见和审查结果应当在评审报告中记录，并随供应商提供的相关书面说明及证明材料，以及评审委员会有关互联网浏览、查询历史一并归档。</w:t>
      </w:r>
    </w:p>
    <w:p w14:paraId="67ECCCBE">
      <w:pPr>
        <w:spacing w:line="480" w:lineRule="exact"/>
        <w:ind w:firstLine="420"/>
        <w:rPr>
          <w:rFonts w:hint="eastAsia" w:ascii="宋体" w:hAnsi="宋体"/>
          <w:color w:val="000000"/>
          <w:szCs w:val="21"/>
        </w:rPr>
      </w:pPr>
      <w:r>
        <w:rPr>
          <w:rFonts w:hint="eastAsia" w:ascii="宋体" w:hAnsi="宋体"/>
          <w:color w:val="000000"/>
          <w:szCs w:val="21"/>
        </w:rPr>
        <w:t>（13）投标文件未按照招标文件要求加盖电子签章。</w:t>
      </w:r>
    </w:p>
    <w:p w14:paraId="0277905C">
      <w:pPr>
        <w:spacing w:line="480" w:lineRule="exact"/>
        <w:ind w:firstLine="420"/>
        <w:rPr>
          <w:rFonts w:hint="eastAsia" w:ascii="宋体" w:hAnsi="宋体"/>
          <w:color w:val="000000"/>
          <w:szCs w:val="21"/>
        </w:rPr>
      </w:pPr>
      <w:r>
        <w:rPr>
          <w:rFonts w:hint="eastAsia" w:ascii="宋体" w:hAnsi="宋体"/>
          <w:color w:val="000000"/>
          <w:szCs w:val="21"/>
        </w:rPr>
        <w:t>（14）其他法律法规及本招标文件规定的属于无效投标的情形。</w:t>
      </w:r>
    </w:p>
    <w:p w14:paraId="3FE9CC26">
      <w:pPr>
        <w:spacing w:line="480" w:lineRule="exact"/>
        <w:ind w:firstLine="420"/>
        <w:rPr>
          <w:rFonts w:hint="eastAsia" w:ascii="宋体" w:hAnsi="宋体"/>
          <w:color w:val="000000"/>
          <w:szCs w:val="21"/>
        </w:rPr>
      </w:pPr>
      <w:r>
        <w:rPr>
          <w:rFonts w:hint="eastAsia" w:ascii="宋体" w:hAnsi="宋体"/>
          <w:color w:val="000000"/>
          <w:szCs w:val="21"/>
        </w:rPr>
        <w:t>评标委员会决定投标响应性只根据投标文件本身的内容，而不寻求其他的外部证据。</w:t>
      </w:r>
    </w:p>
    <w:p w14:paraId="0749A687">
      <w:pPr>
        <w:spacing w:line="480" w:lineRule="exact"/>
        <w:ind w:firstLine="420"/>
        <w:rPr>
          <w:rFonts w:hint="eastAsia" w:ascii="宋体" w:hAnsi="宋体"/>
          <w:color w:val="000000"/>
          <w:szCs w:val="21"/>
        </w:rPr>
      </w:pPr>
      <w:r>
        <w:rPr>
          <w:rFonts w:hint="eastAsia" w:ascii="宋体" w:hAnsi="宋体"/>
          <w:color w:val="000000"/>
          <w:szCs w:val="21"/>
        </w:rPr>
        <w:t>16.5在评审过程中，评标委员会发现投标人有下列情形之一的，可以认定属于串标、围标的行为。具体表现形式如下：</w:t>
      </w:r>
    </w:p>
    <w:p w14:paraId="2F862F8F">
      <w:pPr>
        <w:spacing w:line="480" w:lineRule="exact"/>
        <w:ind w:firstLine="420"/>
        <w:rPr>
          <w:rFonts w:hint="eastAsia" w:ascii="宋体" w:hAnsi="宋体"/>
          <w:color w:val="000000"/>
          <w:szCs w:val="21"/>
        </w:rPr>
      </w:pPr>
      <w:r>
        <w:rPr>
          <w:rFonts w:hint="eastAsia" w:ascii="宋体" w:hAnsi="宋体"/>
          <w:color w:val="000000"/>
          <w:szCs w:val="21"/>
        </w:rPr>
        <w:t>16.5.1不同投标人的投标文件异常一致或者投标报价呈规律性差异的。</w:t>
      </w:r>
    </w:p>
    <w:p w14:paraId="49DB425D">
      <w:pPr>
        <w:spacing w:line="480" w:lineRule="exact"/>
        <w:ind w:firstLine="420"/>
        <w:rPr>
          <w:rFonts w:hint="eastAsia" w:ascii="宋体" w:hAnsi="宋体"/>
          <w:color w:val="000000"/>
          <w:szCs w:val="21"/>
        </w:rPr>
      </w:pPr>
      <w:r>
        <w:rPr>
          <w:rFonts w:hint="eastAsia" w:ascii="宋体" w:hAnsi="宋体"/>
          <w:color w:val="000000"/>
          <w:szCs w:val="21"/>
        </w:rPr>
        <w:t>16.5.2不同投标人的投标文件由同一单位或个人编制的。</w:t>
      </w:r>
    </w:p>
    <w:p w14:paraId="7B8DB336">
      <w:pPr>
        <w:spacing w:line="480" w:lineRule="exact"/>
        <w:ind w:firstLine="420"/>
        <w:rPr>
          <w:rFonts w:hint="eastAsia" w:ascii="宋体" w:hAnsi="宋体"/>
          <w:color w:val="000000"/>
          <w:szCs w:val="21"/>
        </w:rPr>
      </w:pPr>
      <w:r>
        <w:rPr>
          <w:rFonts w:hint="eastAsia" w:ascii="宋体" w:hAnsi="宋体"/>
          <w:color w:val="000000"/>
          <w:szCs w:val="21"/>
        </w:rPr>
        <w:t>16.5.3不同投标人的投标文件载明的项目管理成员为同一人的。</w:t>
      </w:r>
    </w:p>
    <w:p w14:paraId="06211F20">
      <w:pPr>
        <w:spacing w:line="480" w:lineRule="exact"/>
        <w:ind w:firstLine="420"/>
        <w:rPr>
          <w:rFonts w:hint="eastAsia" w:ascii="宋体" w:hAnsi="宋体"/>
          <w:color w:val="000000"/>
          <w:szCs w:val="21"/>
        </w:rPr>
      </w:pPr>
      <w:r>
        <w:rPr>
          <w:rFonts w:hint="eastAsia" w:ascii="宋体" w:hAnsi="宋体"/>
          <w:color w:val="000000"/>
          <w:szCs w:val="21"/>
        </w:rPr>
        <w:t>16.5.4不同投标人的投标文件相互混装的。</w:t>
      </w:r>
    </w:p>
    <w:p w14:paraId="3FB3AF85">
      <w:pPr>
        <w:spacing w:line="480" w:lineRule="exact"/>
        <w:ind w:firstLine="420"/>
        <w:rPr>
          <w:rFonts w:hint="eastAsia" w:ascii="宋体" w:hAnsi="宋体"/>
          <w:color w:val="000000"/>
          <w:szCs w:val="21"/>
        </w:rPr>
      </w:pPr>
      <w:r>
        <w:rPr>
          <w:rFonts w:hint="eastAsia" w:ascii="宋体" w:hAnsi="宋体"/>
          <w:color w:val="000000"/>
          <w:szCs w:val="21"/>
        </w:rPr>
        <w:t>16.5.5不同投标人授权同一人作为投标人代表的。</w:t>
      </w:r>
    </w:p>
    <w:p w14:paraId="6B615130">
      <w:pPr>
        <w:spacing w:line="480" w:lineRule="exact"/>
        <w:ind w:firstLine="420"/>
        <w:rPr>
          <w:rFonts w:hint="eastAsia" w:ascii="宋体" w:hAnsi="宋体"/>
          <w:color w:val="000000"/>
          <w:szCs w:val="21"/>
        </w:rPr>
      </w:pPr>
      <w:r>
        <w:rPr>
          <w:rFonts w:hint="eastAsia" w:ascii="宋体" w:hAnsi="宋体"/>
          <w:color w:val="000000"/>
          <w:szCs w:val="21"/>
        </w:rPr>
        <w:t>16.5.6 有证据证明投标人与采购单位、采购代理机构或其他投标人串通的其他情形的。</w:t>
      </w:r>
    </w:p>
    <w:p w14:paraId="0F749068">
      <w:pPr>
        <w:spacing w:line="480" w:lineRule="exact"/>
        <w:ind w:firstLine="420"/>
        <w:rPr>
          <w:rFonts w:hint="eastAsia" w:ascii="宋体" w:hAnsi="宋体"/>
          <w:color w:val="000000"/>
          <w:szCs w:val="21"/>
        </w:rPr>
      </w:pPr>
      <w:r>
        <w:rPr>
          <w:rFonts w:hint="eastAsia" w:ascii="宋体" w:hAnsi="宋体"/>
          <w:color w:val="000000"/>
          <w:szCs w:val="21"/>
        </w:rPr>
        <w:t>16.5.7评标委员会认定的其他串标、围标情形。</w:t>
      </w:r>
    </w:p>
    <w:p w14:paraId="05D4A3E7">
      <w:pPr>
        <w:spacing w:line="480" w:lineRule="exact"/>
        <w:ind w:firstLine="420"/>
        <w:rPr>
          <w:rFonts w:hint="eastAsia" w:ascii="宋体" w:hAnsi="宋体"/>
          <w:color w:val="000000"/>
          <w:szCs w:val="21"/>
        </w:rPr>
      </w:pPr>
      <w:r>
        <w:rPr>
          <w:rFonts w:hint="eastAsia" w:ascii="宋体" w:hAnsi="宋体"/>
          <w:color w:val="000000"/>
          <w:szCs w:val="21"/>
        </w:rPr>
        <w:t>16.6有下列情形之一的予以废标，同时将废标理由通知所有服务单位：</w:t>
      </w:r>
    </w:p>
    <w:p w14:paraId="49A07849">
      <w:pPr>
        <w:spacing w:line="480" w:lineRule="exact"/>
        <w:ind w:firstLine="420"/>
        <w:rPr>
          <w:rFonts w:hint="eastAsia" w:ascii="宋体" w:hAnsi="宋体"/>
          <w:color w:val="000000"/>
          <w:szCs w:val="21"/>
        </w:rPr>
      </w:pPr>
      <w:r>
        <w:rPr>
          <w:rFonts w:hint="eastAsia" w:ascii="宋体" w:hAnsi="宋体"/>
          <w:color w:val="000000"/>
          <w:szCs w:val="21"/>
        </w:rPr>
        <w:t>（1）符合专业条件的服务单位或者对招标文件作实质性响应的服务单位不足三家的；</w:t>
      </w:r>
    </w:p>
    <w:p w14:paraId="2C33582B">
      <w:pPr>
        <w:spacing w:line="480" w:lineRule="exact"/>
        <w:ind w:firstLine="420"/>
        <w:rPr>
          <w:rFonts w:hint="eastAsia" w:ascii="宋体" w:hAnsi="宋体"/>
          <w:color w:val="000000"/>
          <w:szCs w:val="21"/>
        </w:rPr>
      </w:pPr>
      <w:r>
        <w:rPr>
          <w:rFonts w:hint="eastAsia" w:ascii="宋体" w:hAnsi="宋体"/>
          <w:color w:val="000000"/>
          <w:szCs w:val="21"/>
        </w:rPr>
        <w:t>（2）出现影响采购公正的违法、违规行为的；</w:t>
      </w:r>
    </w:p>
    <w:p w14:paraId="48CA46AF">
      <w:pPr>
        <w:spacing w:line="480" w:lineRule="exact"/>
        <w:ind w:firstLine="420"/>
        <w:rPr>
          <w:rFonts w:hint="eastAsia" w:ascii="宋体" w:hAnsi="宋体"/>
          <w:color w:val="000000"/>
          <w:szCs w:val="21"/>
        </w:rPr>
      </w:pPr>
      <w:r>
        <w:rPr>
          <w:rFonts w:hint="eastAsia" w:ascii="宋体" w:hAnsi="宋体"/>
          <w:color w:val="000000"/>
          <w:szCs w:val="21"/>
        </w:rPr>
        <w:t>（3）服务单位的报价均超过了采购预算或最高限价的，采购人不能支付的；</w:t>
      </w:r>
    </w:p>
    <w:p w14:paraId="130671FB">
      <w:pPr>
        <w:spacing w:line="480" w:lineRule="exact"/>
        <w:ind w:firstLine="420"/>
        <w:rPr>
          <w:rFonts w:hint="eastAsia" w:ascii="宋体" w:hAnsi="宋体"/>
          <w:color w:val="000000"/>
          <w:szCs w:val="21"/>
        </w:rPr>
      </w:pPr>
      <w:r>
        <w:rPr>
          <w:rFonts w:hint="eastAsia" w:ascii="宋体" w:hAnsi="宋体"/>
          <w:color w:val="000000"/>
          <w:szCs w:val="21"/>
        </w:rPr>
        <w:t>（4）因重大变故，采购任务取消的；</w:t>
      </w:r>
    </w:p>
    <w:p w14:paraId="794F6BD1">
      <w:pPr>
        <w:spacing w:line="480" w:lineRule="exact"/>
        <w:ind w:firstLine="420"/>
        <w:rPr>
          <w:rFonts w:hint="eastAsia" w:ascii="宋体" w:hAnsi="宋体"/>
          <w:color w:val="000000"/>
          <w:szCs w:val="21"/>
        </w:rPr>
      </w:pPr>
      <w:r>
        <w:rPr>
          <w:rFonts w:hint="eastAsia" w:ascii="宋体" w:hAnsi="宋体"/>
          <w:color w:val="000000"/>
          <w:szCs w:val="21"/>
        </w:rPr>
        <w:t>（5）投标文件存在歧义、重大缺陷，或者招标文件内容违反国家有关强制性规定的。</w:t>
      </w:r>
    </w:p>
    <w:p w14:paraId="76E8359F">
      <w:pPr>
        <w:spacing w:line="480" w:lineRule="exact"/>
        <w:ind w:firstLine="420"/>
        <w:rPr>
          <w:rFonts w:hint="eastAsia" w:ascii="宋体" w:hAnsi="宋体"/>
          <w:color w:val="000000"/>
          <w:sz w:val="18"/>
          <w:szCs w:val="18"/>
        </w:rPr>
      </w:pPr>
      <w:r>
        <w:rPr>
          <w:rFonts w:hint="eastAsia" w:ascii="宋体" w:hAnsi="宋体"/>
          <w:color w:val="000000"/>
          <w:sz w:val="18"/>
          <w:szCs w:val="18"/>
        </w:rPr>
        <w:t>17.比较与评价</w:t>
      </w:r>
    </w:p>
    <w:p w14:paraId="455E08FA">
      <w:pPr>
        <w:spacing w:line="480" w:lineRule="exact"/>
        <w:ind w:firstLine="420"/>
        <w:rPr>
          <w:rFonts w:hint="eastAsia" w:ascii="宋体" w:hAnsi="宋体"/>
          <w:color w:val="000000"/>
          <w:szCs w:val="21"/>
        </w:rPr>
      </w:pPr>
      <w:r>
        <w:rPr>
          <w:rFonts w:hint="eastAsia" w:ascii="宋体" w:hAnsi="宋体"/>
          <w:color w:val="000000"/>
          <w:szCs w:val="21"/>
        </w:rPr>
        <w:t>17.1评标委员会将按本招标文件规定的评标方法与标准，对资格性检查和符合性检查合格的投标文件进行商务和技术评估，综合比较与评价。</w:t>
      </w:r>
    </w:p>
    <w:p w14:paraId="438B2E2B">
      <w:pPr>
        <w:spacing w:line="480" w:lineRule="exact"/>
        <w:ind w:firstLine="420"/>
        <w:rPr>
          <w:rFonts w:hint="eastAsia" w:ascii="宋体" w:hAnsi="宋体"/>
          <w:color w:val="000000"/>
          <w:szCs w:val="21"/>
        </w:rPr>
      </w:pPr>
      <w:r>
        <w:rPr>
          <w:rFonts w:hint="eastAsia" w:ascii="宋体" w:hAnsi="宋体"/>
          <w:color w:val="000000"/>
          <w:szCs w:val="21"/>
        </w:rPr>
        <w:t>17.2对漏（缺）报项的处理：招标文件中要求列入报价的费用（含配置、功能），漏（缺）报的视同已含在投标总价中。对多报项及赠送项的价格评标时不予核减，全部进入评标评议。</w:t>
      </w:r>
    </w:p>
    <w:p w14:paraId="4D770F2C">
      <w:pPr>
        <w:spacing w:line="480" w:lineRule="exact"/>
        <w:ind w:firstLine="420"/>
        <w:rPr>
          <w:rFonts w:hint="eastAsia" w:ascii="宋体" w:hAnsi="宋体"/>
          <w:color w:val="000000"/>
          <w:szCs w:val="21"/>
        </w:rPr>
      </w:pPr>
      <w:r>
        <w:rPr>
          <w:rFonts w:hint="eastAsia" w:ascii="宋体" w:hAnsi="宋体"/>
          <w:color w:val="000000"/>
          <w:szCs w:val="21"/>
        </w:rPr>
        <w:t>18.评标过程及保密原则</w:t>
      </w:r>
    </w:p>
    <w:p w14:paraId="6B8DE5DF">
      <w:pPr>
        <w:spacing w:line="480" w:lineRule="exact"/>
        <w:ind w:firstLine="420"/>
        <w:rPr>
          <w:rFonts w:hint="eastAsia" w:ascii="宋体" w:hAnsi="宋体"/>
          <w:color w:val="000000"/>
          <w:szCs w:val="21"/>
        </w:rPr>
      </w:pPr>
      <w:r>
        <w:rPr>
          <w:rFonts w:hint="eastAsia" w:ascii="宋体" w:hAnsi="宋体"/>
          <w:color w:val="000000"/>
          <w:szCs w:val="21"/>
        </w:rPr>
        <w:t>18.1凡与本次招标有关人员对属于审查、澄清、评价和比较投标的有关资料以及定标意向等，均不得向投标人或其他人员透露。否则，将按有关规定追究相关人员的责任。</w:t>
      </w:r>
    </w:p>
    <w:p w14:paraId="3DB88284">
      <w:pPr>
        <w:spacing w:line="480" w:lineRule="exact"/>
        <w:ind w:firstLine="420"/>
        <w:rPr>
          <w:rFonts w:hint="eastAsia" w:ascii="宋体" w:hAnsi="宋体"/>
          <w:color w:val="000000"/>
          <w:szCs w:val="21"/>
        </w:rPr>
      </w:pPr>
      <w:r>
        <w:rPr>
          <w:rFonts w:hint="eastAsia" w:ascii="宋体" w:hAnsi="宋体"/>
          <w:color w:val="000000"/>
          <w:szCs w:val="21"/>
        </w:rPr>
        <w:t>18.2在评标期间，投标人试图影响或干预评审的任何行为，将导致其投标被作为无效投标，并承担相应的法律责任。</w:t>
      </w:r>
    </w:p>
    <w:p w14:paraId="6A73C802">
      <w:pPr>
        <w:spacing w:line="480" w:lineRule="exact"/>
        <w:ind w:firstLine="422"/>
        <w:rPr>
          <w:rFonts w:hint="eastAsia" w:ascii="宋体" w:hAnsi="宋体"/>
          <w:b/>
          <w:color w:val="000000"/>
          <w:szCs w:val="21"/>
        </w:rPr>
      </w:pPr>
      <w:r>
        <w:rPr>
          <w:rFonts w:hint="eastAsia" w:ascii="宋体" w:hAnsi="宋体"/>
          <w:b/>
          <w:color w:val="000000"/>
          <w:szCs w:val="21"/>
        </w:rPr>
        <w:t>七、定  标</w:t>
      </w:r>
    </w:p>
    <w:p w14:paraId="76CCEE8F">
      <w:pPr>
        <w:spacing w:line="480" w:lineRule="exact"/>
        <w:ind w:firstLine="420"/>
        <w:rPr>
          <w:rFonts w:hint="eastAsia" w:ascii="宋体" w:hAnsi="宋体"/>
          <w:color w:val="000000"/>
          <w:szCs w:val="21"/>
        </w:rPr>
      </w:pPr>
      <w:r>
        <w:rPr>
          <w:rFonts w:hint="eastAsia" w:ascii="宋体" w:hAnsi="宋体"/>
          <w:color w:val="000000"/>
          <w:szCs w:val="21"/>
        </w:rPr>
        <w:t>19.定标原则</w:t>
      </w:r>
    </w:p>
    <w:p w14:paraId="2EE8CB20">
      <w:pPr>
        <w:spacing w:line="480" w:lineRule="exact"/>
        <w:ind w:firstLine="420"/>
        <w:rPr>
          <w:rFonts w:hint="eastAsia" w:ascii="宋体" w:hAnsi="宋体"/>
          <w:color w:val="000000"/>
          <w:szCs w:val="21"/>
        </w:rPr>
      </w:pPr>
      <w:r>
        <w:rPr>
          <w:rFonts w:hint="eastAsia" w:ascii="宋体" w:hAnsi="宋体"/>
          <w:color w:val="000000"/>
          <w:szCs w:val="21"/>
        </w:rPr>
        <w:t>19.1本次评标采用综合评分法。评标委员会对满足招标文件实质性要求的投标文件，按照本招标文件规定的评分标准进行打分，并按得分由高到低顺序推荐1-3名中标候选人，或根据招标人授权直接确定中标人。综合评分相等时，以投标报价低的优先；投标报价也相等的，由采购人或评标委员会抽签确定。最低报价及任何单项因素的最优均不是中标的必要条件。</w:t>
      </w:r>
    </w:p>
    <w:p w14:paraId="33C5691C">
      <w:pPr>
        <w:spacing w:line="480" w:lineRule="exact"/>
        <w:ind w:firstLine="420"/>
        <w:rPr>
          <w:rFonts w:hint="eastAsia" w:ascii="宋体" w:hAnsi="宋体"/>
          <w:color w:val="000000"/>
          <w:szCs w:val="21"/>
        </w:rPr>
      </w:pPr>
      <w:r>
        <w:rPr>
          <w:rFonts w:hint="eastAsia" w:ascii="宋体" w:hAnsi="宋体"/>
          <w:color w:val="000000"/>
          <w:szCs w:val="21"/>
        </w:rPr>
        <w:t>19.2推荐的中标候选人数：1</w:t>
      </w:r>
      <w:r>
        <w:rPr>
          <w:rFonts w:ascii="宋体" w:hAnsi="宋体"/>
          <w:color w:val="000000"/>
          <w:szCs w:val="21"/>
        </w:rPr>
        <w:t>-3</w:t>
      </w:r>
      <w:r>
        <w:rPr>
          <w:rFonts w:hint="eastAsia" w:ascii="宋体" w:hAnsi="宋体"/>
          <w:color w:val="000000"/>
          <w:szCs w:val="21"/>
        </w:rPr>
        <w:t>名。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75E32E3">
      <w:pPr>
        <w:spacing w:line="480" w:lineRule="exact"/>
        <w:ind w:firstLine="420"/>
        <w:rPr>
          <w:rFonts w:hint="eastAsia" w:ascii="宋体" w:hAnsi="宋体"/>
          <w:color w:val="000000"/>
          <w:szCs w:val="21"/>
        </w:rPr>
      </w:pPr>
      <w:r>
        <w:rPr>
          <w:rFonts w:hint="eastAsia" w:ascii="宋体" w:hAnsi="宋体"/>
          <w:color w:val="000000"/>
          <w:szCs w:val="21"/>
        </w:rPr>
        <w:t>20.确定中标供应商</w:t>
      </w:r>
    </w:p>
    <w:p w14:paraId="33D2EE88">
      <w:pPr>
        <w:spacing w:line="480" w:lineRule="exact"/>
        <w:ind w:firstLine="420"/>
        <w:rPr>
          <w:rFonts w:hint="eastAsia" w:ascii="宋体" w:hAnsi="宋体"/>
          <w:color w:val="000000"/>
          <w:szCs w:val="21"/>
        </w:rPr>
      </w:pPr>
      <w:r>
        <w:rPr>
          <w:rFonts w:hint="eastAsia" w:ascii="宋体" w:hAnsi="宋体"/>
          <w:color w:val="000000"/>
          <w:szCs w:val="21"/>
        </w:rPr>
        <w:t>采购人将根据评标委员会的书面评标报告，依据法律法规确定中标人。采购人不得在评标委员会推荐的中标候选人之外确定中标人，否则中标结果无效。</w:t>
      </w:r>
    </w:p>
    <w:p w14:paraId="3E15967F">
      <w:pPr>
        <w:spacing w:line="480" w:lineRule="exact"/>
        <w:ind w:firstLine="420"/>
        <w:rPr>
          <w:rFonts w:hint="eastAsia" w:ascii="宋体" w:hAnsi="宋体"/>
          <w:color w:val="000000"/>
          <w:szCs w:val="21"/>
        </w:rPr>
      </w:pPr>
      <w:r>
        <w:rPr>
          <w:rFonts w:hint="eastAsia" w:ascii="宋体" w:hAnsi="宋体"/>
          <w:color w:val="000000"/>
          <w:szCs w:val="21"/>
        </w:rPr>
        <w:t>21. 中标通知书和签订合同</w:t>
      </w:r>
    </w:p>
    <w:p w14:paraId="5D3B5DBA">
      <w:pPr>
        <w:spacing w:line="480" w:lineRule="exact"/>
        <w:ind w:firstLine="420"/>
        <w:rPr>
          <w:rFonts w:hint="eastAsia" w:ascii="宋体" w:hAnsi="宋体"/>
          <w:color w:val="000000"/>
          <w:szCs w:val="21"/>
        </w:rPr>
      </w:pPr>
      <w:r>
        <w:rPr>
          <w:rFonts w:hint="eastAsia" w:ascii="宋体" w:hAnsi="宋体"/>
          <w:color w:val="000000"/>
          <w:szCs w:val="21"/>
        </w:rPr>
        <w:t>21.1 评审结束后，中标公告在中国政府采购网、江苏省政府采购网、盐城市政府采购网发布；向中标供应商发出中标通知书。中标通知书成为合同文件的组成部分，具有法律效力。</w:t>
      </w:r>
    </w:p>
    <w:p w14:paraId="49878F5F">
      <w:pPr>
        <w:spacing w:line="480" w:lineRule="exact"/>
        <w:ind w:firstLine="420"/>
        <w:rPr>
          <w:rFonts w:hint="eastAsia" w:ascii="宋体" w:hAnsi="宋体"/>
          <w:color w:val="000000"/>
          <w:szCs w:val="21"/>
        </w:rPr>
      </w:pPr>
      <w:r>
        <w:rPr>
          <w:rFonts w:hint="eastAsia" w:ascii="宋体" w:hAnsi="宋体"/>
          <w:color w:val="000000"/>
          <w:szCs w:val="21"/>
        </w:rPr>
        <w:t>21.</w:t>
      </w:r>
      <w:r>
        <w:rPr>
          <w:rFonts w:ascii="宋体" w:hAnsi="宋体"/>
          <w:color w:val="000000"/>
          <w:szCs w:val="21"/>
        </w:rPr>
        <w:t>2</w:t>
      </w:r>
      <w:r>
        <w:rPr>
          <w:rFonts w:hint="eastAsia" w:ascii="宋体" w:hAnsi="宋体"/>
          <w:color w:val="000000"/>
          <w:szCs w:val="21"/>
        </w:rPr>
        <w:t xml:space="preserve"> 采购单位与中标供应商应当在《中标通知书》发出之日起三十日内，按采购文件确定的事项签订政府采购合同，合同在签订之日起2个工作日内在相关媒介上公示。</w:t>
      </w:r>
    </w:p>
    <w:p w14:paraId="70941171">
      <w:pPr>
        <w:spacing w:line="480" w:lineRule="exact"/>
        <w:ind w:firstLine="420"/>
        <w:rPr>
          <w:rFonts w:hint="eastAsia" w:ascii="宋体" w:hAnsi="宋体"/>
          <w:color w:val="000000"/>
          <w:szCs w:val="21"/>
        </w:rPr>
      </w:pPr>
      <w:r>
        <w:rPr>
          <w:rFonts w:hint="eastAsia" w:ascii="宋体" w:hAnsi="宋体"/>
          <w:color w:val="000000"/>
          <w:szCs w:val="21"/>
        </w:rPr>
        <w:t>21.</w:t>
      </w:r>
      <w:r>
        <w:rPr>
          <w:rFonts w:ascii="宋体" w:hAnsi="宋体"/>
          <w:color w:val="000000"/>
          <w:szCs w:val="21"/>
        </w:rPr>
        <w:t>3</w:t>
      </w:r>
      <w:r>
        <w:rPr>
          <w:rFonts w:hint="eastAsia" w:ascii="宋体" w:hAnsi="宋体"/>
          <w:color w:val="000000"/>
          <w:szCs w:val="21"/>
        </w:rPr>
        <w:t xml:space="preserve"> 中标单位如果未按中标通知书规定日期与采购单位签订合同，或要求更改招标文件内容而拖延合同签订，按照政府采购法相关法律法规执行。</w:t>
      </w:r>
    </w:p>
    <w:p w14:paraId="7B6E0566">
      <w:pPr>
        <w:spacing w:line="480" w:lineRule="exact"/>
        <w:ind w:firstLine="420"/>
        <w:rPr>
          <w:rFonts w:hint="eastAsia" w:ascii="宋体" w:hAnsi="宋体"/>
          <w:color w:val="000000"/>
          <w:szCs w:val="21"/>
        </w:rPr>
      </w:pPr>
      <w:r>
        <w:rPr>
          <w:rFonts w:hint="eastAsia" w:ascii="宋体" w:hAnsi="宋体"/>
          <w:color w:val="000000"/>
          <w:szCs w:val="21"/>
        </w:rPr>
        <w:t>22. 质疑和投诉：</w:t>
      </w:r>
    </w:p>
    <w:p w14:paraId="46D202E1">
      <w:pPr>
        <w:spacing w:line="480" w:lineRule="exact"/>
        <w:ind w:firstLine="420"/>
        <w:rPr>
          <w:rFonts w:hint="eastAsia" w:ascii="宋体" w:hAnsi="宋体"/>
          <w:color w:val="000000"/>
          <w:szCs w:val="21"/>
        </w:rPr>
      </w:pPr>
      <w:r>
        <w:rPr>
          <w:rFonts w:hint="eastAsia" w:ascii="宋体" w:hAnsi="宋体"/>
          <w:color w:val="000000"/>
          <w:szCs w:val="21"/>
        </w:rPr>
        <w:t>22.1 质疑供应商是指直接参加本次投标活动的供应商，未参加投标活动的供应商或在投标活动中自身权益未受到损害的供应商所提出的质疑不予受理。</w:t>
      </w:r>
    </w:p>
    <w:p w14:paraId="01C55014">
      <w:pPr>
        <w:spacing w:line="480" w:lineRule="exact"/>
        <w:ind w:firstLine="420"/>
        <w:rPr>
          <w:rFonts w:hint="eastAsia" w:ascii="宋体" w:hAnsi="宋体"/>
          <w:color w:val="000000"/>
          <w:szCs w:val="21"/>
        </w:rPr>
      </w:pPr>
      <w:r>
        <w:rPr>
          <w:rFonts w:hint="eastAsia" w:ascii="宋体" w:hAnsi="宋体"/>
          <w:color w:val="000000"/>
          <w:szCs w:val="21"/>
        </w:rPr>
        <w:t>22.2 质疑供应商认为招标文件、采购过程和中标结果使自己的权益受到损害的，可以在知道或应知其权益受到损害之日起七个工作日内必须以书面形式一次性针对同一采购程序环节向采购人、采购代理机构提出质疑。上述应知其权益受到损害之日，是指：</w:t>
      </w:r>
    </w:p>
    <w:p w14:paraId="099DB6AE">
      <w:pPr>
        <w:spacing w:line="480" w:lineRule="exact"/>
        <w:ind w:firstLine="420"/>
        <w:rPr>
          <w:rFonts w:hint="eastAsia" w:ascii="宋体" w:hAnsi="宋体"/>
          <w:color w:val="000000"/>
          <w:szCs w:val="21"/>
        </w:rPr>
      </w:pPr>
      <w:r>
        <w:rPr>
          <w:rFonts w:ascii="宋体" w:hAnsi="宋体"/>
          <w:color w:val="000000"/>
          <w:szCs w:val="21"/>
        </w:rPr>
        <w:t>22.2</w:t>
      </w:r>
      <w:r>
        <w:rPr>
          <w:rFonts w:hint="eastAsia" w:ascii="宋体" w:hAnsi="宋体"/>
          <w:color w:val="000000"/>
          <w:szCs w:val="21"/>
        </w:rPr>
        <w:t>.1对可以质疑的招标文件提出质疑的，为收到招标文件之日或者招标文件公告期限届满之日；</w:t>
      </w:r>
    </w:p>
    <w:p w14:paraId="0275F986">
      <w:pPr>
        <w:spacing w:line="480" w:lineRule="exact"/>
        <w:ind w:firstLine="420"/>
        <w:rPr>
          <w:rFonts w:hint="eastAsia" w:ascii="宋体" w:hAnsi="宋体"/>
          <w:color w:val="000000"/>
          <w:szCs w:val="21"/>
        </w:rPr>
      </w:pPr>
      <w:r>
        <w:rPr>
          <w:rFonts w:ascii="宋体" w:hAnsi="宋体"/>
          <w:color w:val="000000"/>
          <w:szCs w:val="21"/>
        </w:rPr>
        <w:t>22.2</w:t>
      </w:r>
      <w:r>
        <w:rPr>
          <w:rFonts w:hint="eastAsia" w:ascii="宋体" w:hAnsi="宋体"/>
          <w:color w:val="000000"/>
          <w:szCs w:val="21"/>
        </w:rPr>
        <w:t>.2对采购过程提出质疑的，为各采购程序环节结束之日；</w:t>
      </w:r>
    </w:p>
    <w:p w14:paraId="02F238A8">
      <w:pPr>
        <w:spacing w:line="480" w:lineRule="exact"/>
        <w:ind w:firstLine="420"/>
        <w:rPr>
          <w:rFonts w:hint="eastAsia" w:ascii="宋体" w:hAnsi="宋体"/>
          <w:color w:val="000000"/>
          <w:szCs w:val="21"/>
        </w:rPr>
      </w:pPr>
      <w:r>
        <w:rPr>
          <w:rFonts w:ascii="宋体" w:hAnsi="宋体"/>
          <w:color w:val="000000"/>
          <w:szCs w:val="21"/>
        </w:rPr>
        <w:t>22.2</w:t>
      </w:r>
      <w:r>
        <w:rPr>
          <w:rFonts w:hint="eastAsia" w:ascii="宋体" w:hAnsi="宋体"/>
          <w:color w:val="000000"/>
          <w:szCs w:val="21"/>
        </w:rPr>
        <w:t>.3对中标结果提出质疑的，为中标结果公告期限届满之日。</w:t>
      </w:r>
    </w:p>
    <w:p w14:paraId="217424FC">
      <w:pPr>
        <w:spacing w:line="480" w:lineRule="exact"/>
        <w:ind w:firstLine="420"/>
        <w:rPr>
          <w:rFonts w:hint="eastAsia" w:ascii="宋体" w:hAnsi="宋体"/>
          <w:color w:val="000000"/>
          <w:szCs w:val="21"/>
        </w:rPr>
      </w:pPr>
      <w:r>
        <w:rPr>
          <w:rFonts w:hint="eastAsia" w:ascii="宋体" w:hAnsi="宋体"/>
          <w:color w:val="000000"/>
          <w:szCs w:val="21"/>
        </w:rPr>
        <w:t>22.3 质疑函应包括以下主要内容，并按照“谁主张、谁举证”的原则，附上必要的证明材料（证明材料中如涉及产品功能或技术指标的，应出具相关制造商的证明文件），否则，代理公司或采购人不予受理。质疑函应当包括下列内容：</w:t>
      </w:r>
    </w:p>
    <w:p w14:paraId="7FBB9199">
      <w:pPr>
        <w:spacing w:line="480" w:lineRule="exact"/>
        <w:ind w:firstLine="420"/>
        <w:rPr>
          <w:rFonts w:hint="eastAsia" w:ascii="宋体" w:hAnsi="宋体"/>
          <w:color w:val="000000"/>
          <w:szCs w:val="21"/>
        </w:rPr>
      </w:pPr>
      <w:r>
        <w:rPr>
          <w:rFonts w:hint="eastAsia" w:ascii="宋体" w:hAnsi="宋体"/>
          <w:color w:val="000000"/>
          <w:szCs w:val="21"/>
        </w:rPr>
        <w:t>（1）供应商的姓名或者名称、地址、邮编、联系人及联系电话；</w:t>
      </w:r>
    </w:p>
    <w:p w14:paraId="59CDA17D">
      <w:pPr>
        <w:spacing w:line="480" w:lineRule="exact"/>
        <w:ind w:firstLine="420"/>
        <w:rPr>
          <w:rFonts w:hint="eastAsia" w:ascii="宋体" w:hAnsi="宋体"/>
          <w:color w:val="000000"/>
          <w:szCs w:val="21"/>
        </w:rPr>
      </w:pPr>
      <w:r>
        <w:rPr>
          <w:rFonts w:hint="eastAsia" w:ascii="宋体" w:hAnsi="宋体"/>
          <w:color w:val="000000"/>
          <w:szCs w:val="21"/>
        </w:rPr>
        <w:t>（2）质疑项目的名称、编号；</w:t>
      </w:r>
    </w:p>
    <w:p w14:paraId="40B9273B">
      <w:pPr>
        <w:spacing w:line="480" w:lineRule="exact"/>
        <w:ind w:firstLine="420"/>
        <w:rPr>
          <w:rFonts w:hint="eastAsia" w:ascii="宋体" w:hAnsi="宋体"/>
          <w:color w:val="000000"/>
          <w:szCs w:val="21"/>
        </w:rPr>
      </w:pPr>
      <w:r>
        <w:rPr>
          <w:rFonts w:hint="eastAsia" w:ascii="宋体" w:hAnsi="宋体"/>
          <w:color w:val="000000"/>
          <w:szCs w:val="21"/>
        </w:rPr>
        <w:t>（3）具体、明确的质疑事项和与质疑事项相关的请求；</w:t>
      </w:r>
    </w:p>
    <w:p w14:paraId="1A22CEB7">
      <w:pPr>
        <w:spacing w:line="480" w:lineRule="exact"/>
        <w:ind w:firstLine="420"/>
        <w:rPr>
          <w:rFonts w:hint="eastAsia" w:ascii="宋体" w:hAnsi="宋体"/>
          <w:color w:val="000000"/>
          <w:szCs w:val="21"/>
        </w:rPr>
      </w:pPr>
      <w:r>
        <w:rPr>
          <w:rFonts w:hint="eastAsia" w:ascii="宋体" w:hAnsi="宋体"/>
          <w:color w:val="000000"/>
          <w:szCs w:val="21"/>
        </w:rPr>
        <w:t>（4）事实依据；</w:t>
      </w:r>
    </w:p>
    <w:p w14:paraId="4460F282">
      <w:pPr>
        <w:spacing w:line="480" w:lineRule="exact"/>
        <w:ind w:firstLine="420"/>
        <w:rPr>
          <w:rFonts w:hint="eastAsia" w:ascii="宋体" w:hAnsi="宋体"/>
          <w:color w:val="000000"/>
          <w:szCs w:val="21"/>
        </w:rPr>
      </w:pPr>
      <w:r>
        <w:rPr>
          <w:rFonts w:hint="eastAsia" w:ascii="宋体" w:hAnsi="宋体"/>
          <w:color w:val="000000"/>
          <w:szCs w:val="21"/>
        </w:rPr>
        <w:t>（5）必要的法律依据；</w:t>
      </w:r>
    </w:p>
    <w:p w14:paraId="56444FA0">
      <w:pPr>
        <w:spacing w:line="480" w:lineRule="exact"/>
        <w:ind w:firstLine="420"/>
        <w:rPr>
          <w:rFonts w:hint="eastAsia" w:ascii="宋体" w:hAnsi="宋体"/>
          <w:color w:val="000000"/>
          <w:szCs w:val="21"/>
        </w:rPr>
      </w:pPr>
      <w:r>
        <w:rPr>
          <w:rFonts w:hint="eastAsia" w:ascii="宋体" w:hAnsi="宋体"/>
          <w:color w:val="000000"/>
          <w:szCs w:val="21"/>
        </w:rPr>
        <w:t>（6）提出质疑的日期。</w:t>
      </w:r>
    </w:p>
    <w:p w14:paraId="15AF8445">
      <w:pPr>
        <w:spacing w:line="480" w:lineRule="exact"/>
        <w:ind w:firstLine="420"/>
        <w:rPr>
          <w:rFonts w:hint="eastAsia" w:ascii="宋体" w:hAnsi="宋体"/>
          <w:color w:val="000000"/>
          <w:szCs w:val="21"/>
        </w:rPr>
      </w:pPr>
      <w:r>
        <w:rPr>
          <w:rFonts w:hint="eastAsia" w:ascii="宋体" w:hAnsi="宋体"/>
          <w:color w:val="000000"/>
          <w:szCs w:val="21"/>
        </w:rPr>
        <w:t>22.4 采购人或代理机构在收到供应商的书面质疑后将及时组织调查核实，在七个工作日内作出答复，并以书面形式通知质疑供应商，答复的内容不涉及商业秘密。</w:t>
      </w:r>
    </w:p>
    <w:p w14:paraId="09720810">
      <w:pPr>
        <w:spacing w:line="480" w:lineRule="exact"/>
        <w:ind w:firstLine="420"/>
        <w:rPr>
          <w:rFonts w:hint="eastAsia" w:ascii="宋体" w:hAnsi="宋体"/>
          <w:color w:val="000000"/>
          <w:szCs w:val="21"/>
        </w:rPr>
      </w:pPr>
      <w:r>
        <w:rPr>
          <w:rFonts w:hint="eastAsia" w:ascii="宋体" w:hAnsi="宋体"/>
          <w:color w:val="000000"/>
          <w:szCs w:val="21"/>
        </w:rPr>
        <w:t>22.5 投标人认为招标文件内容违法或不当的，应当在招标文件规定的截止时间前提出异议；认为开标活动违法的，应当在开标现场提出异议；对采购单位（采购代理机构）答复不满意或采购单位（采购代理机构）在规定时间内未予答复的，投标人可向盐城市大丰区财政局投诉。</w:t>
      </w:r>
    </w:p>
    <w:p w14:paraId="76ABFBBE">
      <w:pPr>
        <w:spacing w:line="480" w:lineRule="exact"/>
        <w:ind w:firstLine="420"/>
        <w:rPr>
          <w:rFonts w:hint="eastAsia" w:ascii="宋体" w:hAnsi="宋体"/>
          <w:color w:val="000000"/>
          <w:szCs w:val="21"/>
        </w:rPr>
      </w:pPr>
      <w:r>
        <w:rPr>
          <w:rFonts w:hint="eastAsia" w:ascii="宋体" w:hAnsi="宋体"/>
          <w:color w:val="000000"/>
          <w:szCs w:val="21"/>
        </w:rPr>
        <w:t>22.6 质疑或投诉程序：</w:t>
      </w:r>
    </w:p>
    <w:p w14:paraId="3EE58F20">
      <w:pPr>
        <w:spacing w:line="480" w:lineRule="exact"/>
        <w:ind w:firstLine="420"/>
        <w:rPr>
          <w:rFonts w:hint="eastAsia" w:ascii="宋体" w:hAnsi="宋体"/>
          <w:color w:val="000000"/>
          <w:szCs w:val="21"/>
        </w:rPr>
      </w:pPr>
      <w:r>
        <w:rPr>
          <w:rFonts w:hint="eastAsia" w:ascii="宋体" w:hAnsi="宋体"/>
          <w:color w:val="000000"/>
          <w:szCs w:val="21"/>
        </w:rPr>
        <w:t>投标人认为本次招标文件、招标过程和中标、中标结果违反法律法规和规章规定的，应当首先依法向采购单位或采购代理机构提出质疑，对采购单位或采购代理机构质疑答复不满意的可到盐城市大丰区财政局提出投诉。</w:t>
      </w:r>
    </w:p>
    <w:p w14:paraId="07B09612">
      <w:pPr>
        <w:spacing w:line="480" w:lineRule="exact"/>
        <w:ind w:firstLine="420"/>
        <w:rPr>
          <w:rFonts w:hint="eastAsia" w:ascii="宋体" w:hAnsi="宋体"/>
          <w:color w:val="000000"/>
          <w:szCs w:val="21"/>
        </w:rPr>
      </w:pPr>
      <w:r>
        <w:rPr>
          <w:rFonts w:hint="eastAsia" w:ascii="宋体" w:hAnsi="宋体"/>
          <w:color w:val="000000"/>
          <w:szCs w:val="21"/>
        </w:rPr>
        <w:t>投标人或者其他利害关系人不按规定投诉或通过捏造事实、伪造证明材料等方式提出异议或投诉，影响招投标活动正常进行的，招投标行政监督部门不予受理，并给予警告。</w:t>
      </w:r>
    </w:p>
    <w:p w14:paraId="1C79E30B">
      <w:pPr>
        <w:spacing w:line="480" w:lineRule="exact"/>
        <w:ind w:firstLine="420"/>
        <w:rPr>
          <w:rFonts w:hint="eastAsia" w:ascii="宋体" w:hAnsi="宋体"/>
          <w:color w:val="000000"/>
          <w:szCs w:val="21"/>
        </w:rPr>
      </w:pPr>
      <w:r>
        <w:rPr>
          <w:rFonts w:hint="eastAsia" w:ascii="宋体" w:hAnsi="宋体"/>
          <w:color w:val="000000"/>
          <w:szCs w:val="21"/>
        </w:rPr>
        <w:t>22.7 恶意投诉情形：</w:t>
      </w:r>
      <w:r>
        <w:rPr>
          <w:rFonts w:hint="eastAsia" w:ascii="宋体" w:hAnsi="宋体"/>
          <w:color w:val="000000"/>
          <w:szCs w:val="21"/>
        </w:rPr>
        <w:tab/>
      </w:r>
    </w:p>
    <w:p w14:paraId="0B07E0CF">
      <w:pPr>
        <w:spacing w:line="480" w:lineRule="exact"/>
        <w:ind w:firstLine="420"/>
        <w:rPr>
          <w:rFonts w:hint="eastAsia" w:ascii="宋体" w:hAnsi="宋体"/>
          <w:color w:val="000000"/>
          <w:szCs w:val="21"/>
        </w:rPr>
      </w:pPr>
      <w:r>
        <w:rPr>
          <w:rFonts w:hint="eastAsia" w:ascii="宋体" w:hAnsi="宋体"/>
          <w:color w:val="000000"/>
          <w:szCs w:val="21"/>
        </w:rPr>
        <w:t>下列情况之一，投标人的投诉将被界定为恶意投诉，监管机构将对投诉人按有关规定列入不良记录名单并上网公示，投标人今后参与政府项目将受到影响：</w:t>
      </w:r>
    </w:p>
    <w:p w14:paraId="48482770">
      <w:pPr>
        <w:spacing w:line="480" w:lineRule="exact"/>
        <w:ind w:firstLine="420"/>
        <w:rPr>
          <w:rFonts w:hint="eastAsia" w:ascii="宋体" w:hAnsi="宋体"/>
          <w:color w:val="000000"/>
          <w:szCs w:val="21"/>
        </w:rPr>
      </w:pPr>
      <w:r>
        <w:rPr>
          <w:rFonts w:hint="eastAsia" w:ascii="宋体" w:hAnsi="宋体"/>
          <w:color w:val="000000"/>
          <w:szCs w:val="21"/>
        </w:rPr>
        <w:t>（1）未按规定向投诉处理部门投诉或向不同部门多方投诉的；</w:t>
      </w:r>
    </w:p>
    <w:p w14:paraId="131DBD0C">
      <w:pPr>
        <w:spacing w:line="480" w:lineRule="exact"/>
        <w:ind w:firstLine="420"/>
        <w:rPr>
          <w:rFonts w:hint="eastAsia" w:ascii="宋体" w:hAnsi="宋体"/>
          <w:color w:val="000000"/>
          <w:szCs w:val="21"/>
        </w:rPr>
      </w:pPr>
      <w:r>
        <w:rPr>
          <w:rFonts w:hint="eastAsia" w:ascii="宋体" w:hAnsi="宋体"/>
          <w:color w:val="000000"/>
          <w:szCs w:val="21"/>
        </w:rPr>
        <w:t>（2）不符合投诉受理条件，被告知后仍进行投诉的；</w:t>
      </w:r>
    </w:p>
    <w:p w14:paraId="76EA222A">
      <w:pPr>
        <w:spacing w:line="480" w:lineRule="exact"/>
        <w:ind w:firstLine="420"/>
        <w:rPr>
          <w:rFonts w:hint="eastAsia" w:ascii="宋体" w:hAnsi="宋体"/>
          <w:color w:val="000000"/>
          <w:szCs w:val="21"/>
        </w:rPr>
      </w:pPr>
      <w:r>
        <w:rPr>
          <w:rFonts w:hint="eastAsia" w:ascii="宋体" w:hAnsi="宋体"/>
          <w:color w:val="000000"/>
          <w:szCs w:val="21"/>
        </w:rPr>
        <w:t>（3）投诉处理部门受理投诉后，投诉人仍就同一内容向其他部门进行投诉的；</w:t>
      </w:r>
    </w:p>
    <w:p w14:paraId="0F2D96ED">
      <w:pPr>
        <w:spacing w:line="480" w:lineRule="exact"/>
        <w:ind w:firstLine="420"/>
        <w:rPr>
          <w:rFonts w:hint="eastAsia" w:ascii="宋体" w:hAnsi="宋体"/>
          <w:color w:val="000000"/>
          <w:szCs w:val="21"/>
        </w:rPr>
      </w:pPr>
      <w:r>
        <w:rPr>
          <w:rFonts w:hint="eastAsia" w:ascii="宋体" w:hAnsi="宋体"/>
          <w:color w:val="000000"/>
          <w:szCs w:val="21"/>
        </w:rPr>
        <w:t>（4）捏造事实、伪造材料进行投诉或在网络等媒体上进行失实报道的；</w:t>
      </w:r>
    </w:p>
    <w:p w14:paraId="6303CAB4">
      <w:pPr>
        <w:spacing w:line="480" w:lineRule="exact"/>
        <w:ind w:firstLine="420"/>
        <w:rPr>
          <w:rFonts w:hint="eastAsia" w:ascii="宋体" w:hAnsi="宋体"/>
          <w:color w:val="000000"/>
          <w:szCs w:val="21"/>
        </w:rPr>
      </w:pPr>
      <w:r>
        <w:rPr>
          <w:rFonts w:hint="eastAsia" w:ascii="宋体" w:hAnsi="宋体"/>
          <w:color w:val="000000"/>
          <w:szCs w:val="21"/>
        </w:rPr>
        <w:t>（5）投诉经查失实，被告知后，仍然恶意缠诉的；</w:t>
      </w:r>
    </w:p>
    <w:p w14:paraId="2384359B">
      <w:pPr>
        <w:spacing w:line="480" w:lineRule="exact"/>
        <w:ind w:firstLine="420"/>
        <w:rPr>
          <w:rFonts w:hint="eastAsia" w:ascii="宋体" w:hAnsi="宋体"/>
          <w:color w:val="000000"/>
          <w:szCs w:val="21"/>
        </w:rPr>
      </w:pPr>
      <w:r>
        <w:rPr>
          <w:rFonts w:hint="eastAsia" w:ascii="宋体" w:hAnsi="宋体"/>
          <w:color w:val="000000"/>
          <w:szCs w:val="21"/>
        </w:rPr>
        <w:t>（6）一年内三次以上失实投诉的；</w:t>
      </w:r>
    </w:p>
    <w:p w14:paraId="22094976">
      <w:pPr>
        <w:spacing w:line="480" w:lineRule="exact"/>
        <w:ind w:firstLine="420"/>
        <w:rPr>
          <w:rFonts w:hint="eastAsia" w:ascii="宋体" w:hAnsi="宋体"/>
          <w:color w:val="000000"/>
          <w:szCs w:val="21"/>
        </w:rPr>
      </w:pPr>
      <w:r>
        <w:rPr>
          <w:rFonts w:hint="eastAsia" w:ascii="宋体" w:hAnsi="宋体"/>
          <w:color w:val="000000"/>
          <w:szCs w:val="21"/>
        </w:rPr>
        <w:t>（7）直接向领导、纪委、检察部门写匿名信等。</w:t>
      </w:r>
    </w:p>
    <w:p w14:paraId="5953F8A6">
      <w:pPr>
        <w:spacing w:line="480" w:lineRule="exact"/>
        <w:ind w:firstLine="420"/>
        <w:rPr>
          <w:rFonts w:hint="eastAsia" w:ascii="宋体" w:hAnsi="宋体"/>
          <w:color w:val="000000"/>
          <w:szCs w:val="21"/>
        </w:rPr>
      </w:pPr>
      <w:r>
        <w:rPr>
          <w:rFonts w:hint="eastAsia" w:ascii="宋体" w:hAnsi="宋体"/>
          <w:color w:val="000000"/>
          <w:szCs w:val="21"/>
        </w:rPr>
        <w:t>23. 其他</w:t>
      </w:r>
    </w:p>
    <w:p w14:paraId="0576EEC5">
      <w:pPr>
        <w:spacing w:line="480" w:lineRule="exact"/>
        <w:ind w:firstLine="420"/>
        <w:rPr>
          <w:rFonts w:hint="eastAsia" w:ascii="宋体" w:hAnsi="宋体"/>
          <w:color w:val="000000"/>
          <w:szCs w:val="21"/>
        </w:rPr>
      </w:pPr>
      <w:r>
        <w:rPr>
          <w:rFonts w:hint="eastAsia" w:ascii="宋体" w:hAnsi="宋体"/>
          <w:color w:val="000000"/>
          <w:szCs w:val="21"/>
        </w:rPr>
        <w:t>投标人有下列行为之一造成招标人重新招标的，招标人重新招标时可以拒绝其参加投标：</w:t>
      </w:r>
    </w:p>
    <w:p w14:paraId="3EB2B5B6">
      <w:pPr>
        <w:spacing w:line="480" w:lineRule="exact"/>
        <w:ind w:firstLine="420"/>
        <w:rPr>
          <w:rFonts w:hint="eastAsia" w:ascii="宋体" w:hAnsi="宋体"/>
          <w:color w:val="000000"/>
          <w:szCs w:val="21"/>
        </w:rPr>
      </w:pPr>
      <w:r>
        <w:rPr>
          <w:rFonts w:hint="eastAsia" w:ascii="宋体" w:hAnsi="宋体"/>
          <w:color w:val="000000"/>
          <w:szCs w:val="21"/>
        </w:rPr>
        <w:t>（1）无故放弃中标；</w:t>
      </w:r>
    </w:p>
    <w:p w14:paraId="68F1DF28">
      <w:pPr>
        <w:spacing w:line="480" w:lineRule="exact"/>
        <w:ind w:firstLine="420"/>
        <w:rPr>
          <w:rFonts w:hint="eastAsia" w:ascii="宋体" w:hAnsi="宋体"/>
          <w:color w:val="000000"/>
          <w:szCs w:val="21"/>
        </w:rPr>
      </w:pPr>
      <w:r>
        <w:rPr>
          <w:rFonts w:hint="eastAsia" w:ascii="宋体" w:hAnsi="宋体"/>
          <w:color w:val="000000"/>
          <w:szCs w:val="21"/>
        </w:rPr>
        <w:t>（2）串通投标；</w:t>
      </w:r>
    </w:p>
    <w:p w14:paraId="220AEBC8">
      <w:pPr>
        <w:spacing w:line="480" w:lineRule="exact"/>
        <w:ind w:firstLine="420"/>
        <w:rPr>
          <w:rFonts w:hint="eastAsia" w:ascii="宋体" w:hAnsi="宋体"/>
          <w:color w:val="000000"/>
          <w:szCs w:val="21"/>
        </w:rPr>
      </w:pPr>
      <w:r>
        <w:rPr>
          <w:rFonts w:hint="eastAsia" w:ascii="宋体" w:hAnsi="宋体"/>
          <w:color w:val="000000"/>
          <w:szCs w:val="21"/>
        </w:rPr>
        <w:t>（3）存在弄虚作假行为；</w:t>
      </w:r>
    </w:p>
    <w:p w14:paraId="180420DD">
      <w:pPr>
        <w:spacing w:line="480" w:lineRule="exact"/>
        <w:ind w:firstLine="420"/>
        <w:rPr>
          <w:rFonts w:hint="eastAsia" w:ascii="宋体" w:hAnsi="宋体"/>
          <w:color w:val="000000"/>
          <w:szCs w:val="21"/>
        </w:rPr>
      </w:pPr>
      <w:r>
        <w:rPr>
          <w:rFonts w:hint="eastAsia" w:ascii="宋体" w:hAnsi="宋体"/>
          <w:color w:val="000000"/>
          <w:szCs w:val="21"/>
        </w:rPr>
        <w:t>（4）以可能影响履约的异常低价参加投标；</w:t>
      </w:r>
    </w:p>
    <w:p w14:paraId="716D8384">
      <w:pPr>
        <w:spacing w:line="480" w:lineRule="exact"/>
        <w:ind w:firstLine="420"/>
        <w:rPr>
          <w:rFonts w:hint="eastAsia" w:ascii="宋体" w:hAnsi="宋体"/>
          <w:color w:val="000000"/>
          <w:szCs w:val="21"/>
        </w:rPr>
      </w:pPr>
      <w:r>
        <w:rPr>
          <w:rFonts w:hint="eastAsia" w:ascii="宋体" w:hAnsi="宋体"/>
          <w:color w:val="000000"/>
          <w:szCs w:val="21"/>
        </w:rPr>
        <w:t>（5）其他违反法律法规的行为。</w:t>
      </w:r>
    </w:p>
    <w:p w14:paraId="115B58DD">
      <w:pPr>
        <w:spacing w:line="480" w:lineRule="exact"/>
        <w:ind w:firstLine="420"/>
        <w:rPr>
          <w:rFonts w:hint="eastAsia" w:ascii="宋体" w:hAnsi="宋体"/>
          <w:color w:val="000000"/>
          <w:szCs w:val="21"/>
        </w:rPr>
      </w:pPr>
      <w:r>
        <w:rPr>
          <w:rFonts w:hint="eastAsia" w:ascii="宋体" w:hAnsi="宋体"/>
          <w:color w:val="000000"/>
          <w:szCs w:val="21"/>
        </w:rPr>
        <w:t>对三年内在与招标人合同履行过程中被依法判定存在违约行为导致招标人重大损失或者被列入严重失信主体名单的法人、非法人组织或者自然人，招标人可以拒绝其参加投标。</w:t>
      </w:r>
    </w:p>
    <w:p w14:paraId="786CDE23">
      <w:pPr>
        <w:spacing w:line="480" w:lineRule="exact"/>
        <w:ind w:firstLine="420"/>
        <w:rPr>
          <w:rFonts w:hint="eastAsia" w:ascii="宋体" w:hAnsi="宋体"/>
          <w:color w:val="000000"/>
          <w:szCs w:val="21"/>
        </w:rPr>
      </w:pPr>
      <w:r>
        <w:rPr>
          <w:rFonts w:hint="eastAsia" w:ascii="宋体" w:hAnsi="宋体"/>
          <w:color w:val="000000"/>
          <w:szCs w:val="21"/>
        </w:rPr>
        <w:t>24. 电子招标投标交易平台</w:t>
      </w:r>
    </w:p>
    <w:p w14:paraId="0392EC57">
      <w:pPr>
        <w:spacing w:line="480" w:lineRule="exact"/>
        <w:ind w:firstLine="420"/>
        <w:rPr>
          <w:rFonts w:hint="eastAsia" w:ascii="宋体" w:hAnsi="宋体"/>
          <w:color w:val="000000"/>
          <w:szCs w:val="21"/>
        </w:rPr>
      </w:pPr>
      <w:r>
        <w:rPr>
          <w:rFonts w:hint="eastAsia" w:ascii="宋体" w:hAnsi="宋体"/>
          <w:color w:val="000000"/>
          <w:szCs w:val="21"/>
        </w:rPr>
        <w:t>电子招标投标交易平台（即“苏采云”系统，网址：http://jszfcg.jsczt.cn/）相关要求是本招标文件的组成部分。</w:t>
      </w:r>
    </w:p>
    <w:p w14:paraId="36817064">
      <w:pPr>
        <w:spacing w:line="480" w:lineRule="exact"/>
        <w:ind w:firstLine="420"/>
        <w:rPr>
          <w:rFonts w:hint="eastAsia" w:ascii="宋体" w:hAnsi="宋体"/>
          <w:color w:val="000000"/>
          <w:szCs w:val="21"/>
        </w:rPr>
      </w:pPr>
      <w:r>
        <w:rPr>
          <w:rFonts w:hint="eastAsia" w:ascii="宋体" w:hAnsi="宋体"/>
          <w:color w:val="000000"/>
          <w:szCs w:val="21"/>
        </w:rPr>
        <w:t>25. 政府采购履约资金扶持政策</w:t>
      </w:r>
    </w:p>
    <w:p w14:paraId="1EC17B4E">
      <w:pPr>
        <w:spacing w:line="480" w:lineRule="exact"/>
        <w:ind w:firstLine="420"/>
        <w:rPr>
          <w:rFonts w:hint="eastAsia" w:ascii="宋体" w:hAnsi="宋体"/>
          <w:color w:val="000000"/>
          <w:szCs w:val="21"/>
        </w:rPr>
      </w:pPr>
      <w:r>
        <w:rPr>
          <w:rFonts w:hint="eastAsia" w:ascii="宋体" w:hAnsi="宋体"/>
          <w:color w:val="000000"/>
          <w:szCs w:val="21"/>
        </w:rPr>
        <w:t>根据《关于深入推进政府采购线上合同信用融资工作的通知》（苏财购〔2021〕82号），支持中小企业融资。政府采购中标、中标供应商应当及时向采购人提出“政采贷”融资申请书面材料。采购人、代理机构应当配合金融机构和中标、中标供应商，依法按时在“苏采云”系统中录入并公开政府采购合同信息时，勾选“融资贷款”选项“是”，积极支持中标、中标供应商降低参与政府采购的融资成本。</w:t>
      </w:r>
    </w:p>
    <w:p w14:paraId="7FA4240B">
      <w:pPr>
        <w:wordWrap w:val="0"/>
        <w:overflowPunct w:val="0"/>
        <w:autoSpaceDE w:val="0"/>
        <w:autoSpaceDN w:val="0"/>
        <w:spacing w:line="480" w:lineRule="exact"/>
        <w:ind w:firstLine="420"/>
        <w:jc w:val="left"/>
        <w:rPr>
          <w:rFonts w:hint="eastAsia" w:ascii="宋体" w:hAnsi="宋体"/>
          <w:szCs w:val="21"/>
        </w:rPr>
      </w:pPr>
      <w:r>
        <w:rPr>
          <w:rFonts w:hint="eastAsia" w:ascii="宋体" w:hAnsi="宋体"/>
          <w:color w:val="000000"/>
          <w:szCs w:val="21"/>
        </w:rPr>
        <w:t>供应商可登录江苏政府采购网“资料下载”栏目（网址：www.ccgp-jiangsu.gov.cn/jiangsu/zlxz）下载“政府采购电子履约保函（保险）操作手册”</w:t>
      </w:r>
    </w:p>
    <w:p w14:paraId="5707A97D">
      <w:pPr>
        <w:spacing w:line="480" w:lineRule="exact"/>
        <w:ind w:firstLine="420"/>
        <w:rPr>
          <w:rFonts w:hint="eastAsia" w:ascii="宋体" w:hAnsi="宋体"/>
          <w:color w:val="000000"/>
          <w:szCs w:val="21"/>
        </w:rPr>
      </w:pPr>
      <w:r>
        <w:rPr>
          <w:rFonts w:hint="eastAsia" w:ascii="宋体" w:hAnsi="宋体"/>
          <w:color w:val="000000"/>
          <w:szCs w:val="21"/>
        </w:rPr>
        <w:t>26.招标代理费</w:t>
      </w:r>
    </w:p>
    <w:p w14:paraId="5BFE050A">
      <w:pPr>
        <w:spacing w:line="480" w:lineRule="exact"/>
        <w:ind w:firstLine="420"/>
        <w:rPr>
          <w:rFonts w:hint="eastAsia" w:ascii="宋体" w:hAnsi="宋体"/>
          <w:color w:val="000000"/>
          <w:szCs w:val="21"/>
        </w:rPr>
      </w:pPr>
      <w:r>
        <w:rPr>
          <w:rFonts w:hint="eastAsia" w:ascii="宋体" w:hAnsi="宋体"/>
          <w:color w:val="000000"/>
          <w:szCs w:val="21"/>
        </w:rPr>
        <w:t>本项目招标代理费参照苏招协〔2022〕2号文件服务标准的40%计取，由招标人支付。</w:t>
      </w:r>
    </w:p>
    <w:p w14:paraId="3B14284D">
      <w:pPr>
        <w:pStyle w:val="54"/>
        <w:spacing w:before="0" w:after="0" w:line="600" w:lineRule="exact"/>
        <w:rPr>
          <w:color w:val="000000"/>
        </w:rPr>
      </w:pPr>
      <w:r>
        <w:rPr>
          <w:rFonts w:hint="eastAsia"/>
          <w:b w:val="0"/>
          <w:color w:val="000000"/>
        </w:rPr>
        <w:br w:type="page" w:clear="all"/>
      </w:r>
      <w:bookmarkStart w:id="37" w:name="_Toc498782285"/>
      <w:bookmarkStart w:id="38" w:name="_Toc397928599"/>
      <w:r>
        <w:rPr>
          <w:rFonts w:hint="eastAsia"/>
          <w:color w:val="000000"/>
        </w:rPr>
        <w:t>第三章 评标办法（综合评分法）</w:t>
      </w:r>
      <w:bookmarkEnd w:id="37"/>
      <w:bookmarkEnd w:id="38"/>
    </w:p>
    <w:p w14:paraId="0F5AD962">
      <w:pPr>
        <w:spacing w:line="360" w:lineRule="auto"/>
        <w:ind w:firstLine="480"/>
        <w:jc w:val="left"/>
        <w:rPr>
          <w:rFonts w:ascii="Calibri" w:hAnsi="Calibri"/>
          <w:color w:val="000000"/>
          <w:sz w:val="24"/>
        </w:rPr>
      </w:pPr>
    </w:p>
    <w:p w14:paraId="2B523C0D">
      <w:pPr>
        <w:pStyle w:val="56"/>
        <w:spacing w:before="0" w:after="0" w:line="480" w:lineRule="exact"/>
        <w:ind w:firstLine="422"/>
        <w:jc w:val="left"/>
        <w:rPr>
          <w:rFonts w:hint="eastAsia" w:ascii="宋体" w:hAnsi="宋体" w:eastAsia="宋体" w:cs="宋体"/>
          <w:color w:val="000000"/>
          <w:sz w:val="21"/>
          <w:szCs w:val="21"/>
        </w:rPr>
      </w:pPr>
      <w:r>
        <w:rPr>
          <w:rFonts w:hint="eastAsia" w:ascii="宋体" w:hAnsi="宋体" w:eastAsia="宋体" w:cs="宋体"/>
          <w:color w:val="000000"/>
          <w:sz w:val="21"/>
          <w:szCs w:val="21"/>
        </w:rPr>
        <w:t>开标时特别说明：</w:t>
      </w:r>
    </w:p>
    <w:p w14:paraId="0CD68216">
      <w:pPr>
        <w:pStyle w:val="56"/>
        <w:spacing w:before="0" w:after="0" w:line="480" w:lineRule="exact"/>
        <w:ind w:firstLine="422"/>
        <w:jc w:val="left"/>
        <w:rPr>
          <w:rFonts w:hint="eastAsia" w:ascii="宋体" w:hAnsi="宋体" w:eastAsia="宋体" w:cs="宋体"/>
          <w:color w:val="000000"/>
          <w:sz w:val="21"/>
          <w:szCs w:val="21"/>
        </w:rPr>
      </w:pPr>
      <w:r>
        <w:rPr>
          <w:rFonts w:hint="eastAsia" w:ascii="宋体" w:hAnsi="宋体" w:eastAsia="宋体" w:cs="宋体"/>
          <w:color w:val="000000"/>
          <w:sz w:val="21"/>
          <w:szCs w:val="21"/>
        </w:rPr>
        <w:t>本项目采用全程电子化及不见面开评标的模式，开标当日，投标人无需到达开标现场，仅需在任意地点通过“苏采云”系统（网址：http://jszfcg.jsczt.cn/）“开标大厅”及相应的配套软硬件设备，完成远程解密、文件传输、提疑澄清、开标唱标、结果公布等交互环节，具体内容和规定详见招标文件。</w:t>
      </w:r>
    </w:p>
    <w:p w14:paraId="5BEFC498">
      <w:pPr>
        <w:spacing w:line="480" w:lineRule="exact"/>
        <w:ind w:firstLine="420"/>
        <w:rPr>
          <w:rFonts w:hint="eastAsia" w:ascii="宋体" w:hAnsi="宋体"/>
          <w:b/>
          <w:bCs/>
          <w:color w:val="000000"/>
          <w:szCs w:val="21"/>
        </w:rPr>
      </w:pPr>
      <w:r>
        <w:rPr>
          <w:rFonts w:hint="eastAsia" w:ascii="宋体" w:hAnsi="宋体"/>
          <w:b/>
          <w:bCs/>
          <w:color w:val="000000"/>
          <w:szCs w:val="21"/>
        </w:rPr>
        <w:t>一、定标原则</w:t>
      </w:r>
    </w:p>
    <w:p w14:paraId="7E8809E5">
      <w:pPr>
        <w:spacing w:line="480" w:lineRule="exact"/>
        <w:ind w:firstLine="420"/>
        <w:rPr>
          <w:rFonts w:hint="eastAsia" w:ascii="宋体" w:hAnsi="宋体"/>
          <w:color w:val="000000"/>
          <w:szCs w:val="21"/>
        </w:rPr>
      </w:pPr>
      <w:r>
        <w:rPr>
          <w:rFonts w:hint="eastAsia" w:ascii="宋体" w:hAnsi="宋体"/>
          <w:color w:val="000000"/>
          <w:szCs w:val="21"/>
        </w:rPr>
        <w:t>本次评标采用综合评分法。评标委员会对满足招标文件实质性要求的投标文件，按照本招标文件规定的评分标准进行打分，并按得分由高到低顺序推荐1-3名中标候选人。综合评分相等时，以投标报价低的优先；投标报价也相等的，由招标人确定。最低报价及任何单项因素的最优均不是中标的必要条件。</w:t>
      </w:r>
    </w:p>
    <w:p w14:paraId="7A676DAE">
      <w:pPr>
        <w:spacing w:line="480" w:lineRule="exact"/>
        <w:ind w:firstLine="420"/>
        <w:rPr>
          <w:rFonts w:hint="eastAsia" w:ascii="宋体" w:hAnsi="宋体"/>
          <w:b/>
          <w:bCs/>
          <w:color w:val="000000"/>
          <w:szCs w:val="21"/>
        </w:rPr>
      </w:pPr>
      <w:r>
        <w:rPr>
          <w:rFonts w:hint="eastAsia" w:ascii="宋体" w:hAnsi="宋体"/>
          <w:b/>
          <w:bCs/>
          <w:color w:val="000000"/>
          <w:szCs w:val="21"/>
        </w:rPr>
        <w:t>政府采购政策功能落实</w:t>
      </w:r>
    </w:p>
    <w:p w14:paraId="20E729E2">
      <w:pPr>
        <w:spacing w:line="480" w:lineRule="exact"/>
        <w:ind w:firstLine="420"/>
        <w:rPr>
          <w:rFonts w:hint="eastAsia" w:ascii="宋体" w:hAnsi="宋体"/>
          <w:color w:val="000000"/>
          <w:szCs w:val="21"/>
        </w:rPr>
      </w:pPr>
      <w:r>
        <w:rPr>
          <w:rFonts w:hint="eastAsia" w:ascii="宋体" w:hAnsi="宋体"/>
          <w:color w:val="000000"/>
          <w:szCs w:val="21"/>
        </w:rPr>
        <w:t>1、小微型企业价格扣除</w:t>
      </w:r>
    </w:p>
    <w:p w14:paraId="5A19E5A0">
      <w:pPr>
        <w:spacing w:line="480" w:lineRule="exact"/>
        <w:ind w:firstLine="420"/>
        <w:rPr>
          <w:rFonts w:hint="eastAsia" w:ascii="宋体" w:hAnsi="宋体"/>
          <w:color w:val="000000"/>
          <w:szCs w:val="21"/>
        </w:rPr>
      </w:pPr>
      <w:r>
        <w:rPr>
          <w:rFonts w:hint="eastAsia" w:ascii="宋体" w:hAnsi="宋体"/>
          <w:color w:val="000000"/>
          <w:szCs w:val="21"/>
        </w:rPr>
        <w:t>（1）本项目不专门面向中小企业采购，对符合规定的小型和微型企业报价给予20%的扣除价格，用扣除后的价格参与评审。</w:t>
      </w:r>
    </w:p>
    <w:p w14:paraId="73B3C08A">
      <w:pPr>
        <w:spacing w:line="480" w:lineRule="exact"/>
        <w:ind w:firstLine="420"/>
        <w:rPr>
          <w:rFonts w:hint="eastAsia" w:ascii="宋体" w:hAnsi="宋体"/>
          <w:color w:val="000000"/>
          <w:szCs w:val="21"/>
        </w:rPr>
      </w:pPr>
      <w:r>
        <w:rPr>
          <w:rFonts w:hint="eastAsia" w:ascii="宋体" w:hAnsi="宋体"/>
          <w:color w:val="000000"/>
          <w:szCs w:val="21"/>
        </w:rPr>
        <w:t>（2）供应商需按照采购文件的要求提供相应的《中小企业声明函》。</w:t>
      </w:r>
    </w:p>
    <w:p w14:paraId="73ACDBA4">
      <w:pPr>
        <w:spacing w:line="480" w:lineRule="exact"/>
        <w:ind w:firstLine="420"/>
        <w:rPr>
          <w:rFonts w:hint="eastAsia" w:ascii="宋体" w:hAnsi="宋体"/>
          <w:color w:val="000000"/>
          <w:szCs w:val="21"/>
        </w:rPr>
      </w:pPr>
      <w:r>
        <w:rPr>
          <w:rFonts w:hint="eastAsia" w:ascii="宋体" w:hAnsi="宋体"/>
          <w:color w:val="000000"/>
          <w:szCs w:val="21"/>
        </w:rPr>
        <w:t>（3）企业标准请参照《关于印发中小企业划型标准规定的通知》（工信部联企业〔2011〕300号）文件规定自行填写。</w:t>
      </w:r>
    </w:p>
    <w:p w14:paraId="123A9836">
      <w:pPr>
        <w:spacing w:line="480" w:lineRule="exact"/>
        <w:ind w:firstLine="420"/>
        <w:rPr>
          <w:rFonts w:hint="eastAsia" w:ascii="宋体" w:hAnsi="宋体"/>
          <w:color w:val="000000"/>
          <w:szCs w:val="21"/>
        </w:rPr>
      </w:pPr>
      <w:r>
        <w:rPr>
          <w:rFonts w:hint="eastAsia" w:ascii="宋体" w:hAnsi="宋体"/>
          <w:color w:val="000000"/>
          <w:szCs w:val="21"/>
        </w:rPr>
        <w:t>2、残疾人福利单位价格扣除</w:t>
      </w:r>
    </w:p>
    <w:p w14:paraId="48BAD8C1">
      <w:pPr>
        <w:spacing w:line="480" w:lineRule="exact"/>
        <w:ind w:firstLine="420"/>
        <w:rPr>
          <w:rFonts w:hint="eastAsia" w:ascii="宋体" w:hAnsi="宋体"/>
          <w:color w:val="000000"/>
          <w:szCs w:val="21"/>
        </w:rPr>
      </w:pPr>
      <w:r>
        <w:rPr>
          <w:rFonts w:hint="eastAsia" w:ascii="宋体" w:hAnsi="宋体"/>
          <w:color w:val="000000"/>
          <w:szCs w:val="21"/>
        </w:rPr>
        <w:t>（1）本项目对残疾人福利性单位视同小型、微型企业，给予20%的价格扣除。</w:t>
      </w:r>
    </w:p>
    <w:p w14:paraId="6DDC4FB5">
      <w:pPr>
        <w:spacing w:line="480" w:lineRule="exact"/>
        <w:ind w:firstLine="420"/>
        <w:rPr>
          <w:rFonts w:hint="eastAsia" w:ascii="宋体" w:hAnsi="宋体"/>
          <w:color w:val="000000"/>
          <w:szCs w:val="21"/>
        </w:rPr>
      </w:pPr>
      <w:r>
        <w:rPr>
          <w:rFonts w:hint="eastAsia" w:ascii="宋体" w:hAnsi="宋体"/>
          <w:color w:val="000000"/>
          <w:szCs w:val="21"/>
        </w:rPr>
        <w:t>（2）残疾人福利单位需按照采购文件的要求提供《残疾人福利性单位声明函》。</w:t>
      </w:r>
    </w:p>
    <w:p w14:paraId="05D26FC5">
      <w:pPr>
        <w:spacing w:line="480" w:lineRule="exact"/>
        <w:ind w:firstLine="420"/>
        <w:rPr>
          <w:rFonts w:hint="eastAsia" w:ascii="宋体" w:hAnsi="宋体"/>
          <w:color w:val="000000"/>
          <w:szCs w:val="21"/>
        </w:rPr>
      </w:pPr>
      <w:r>
        <w:rPr>
          <w:rFonts w:hint="eastAsia" w:ascii="宋体" w:hAnsi="宋体"/>
          <w:color w:val="000000"/>
          <w:szCs w:val="21"/>
        </w:rPr>
        <w:t>（3）残疾人福利单位标准请参照《关于促进残疾人就业政府采购政策的通知》（财库〔2017〕141号）。</w:t>
      </w:r>
    </w:p>
    <w:p w14:paraId="04DB8360">
      <w:pPr>
        <w:spacing w:line="480" w:lineRule="exact"/>
        <w:ind w:firstLine="420"/>
        <w:rPr>
          <w:rFonts w:hint="eastAsia" w:ascii="宋体" w:hAnsi="宋体"/>
          <w:color w:val="000000"/>
          <w:szCs w:val="21"/>
        </w:rPr>
      </w:pPr>
      <w:r>
        <w:rPr>
          <w:rFonts w:hint="eastAsia" w:ascii="宋体" w:hAnsi="宋体"/>
          <w:color w:val="000000"/>
          <w:szCs w:val="21"/>
        </w:rPr>
        <w:t>3、监狱和戒毒企业价格扣除</w:t>
      </w:r>
    </w:p>
    <w:p w14:paraId="7D3DF823">
      <w:pPr>
        <w:spacing w:line="480" w:lineRule="exact"/>
        <w:ind w:firstLine="420"/>
        <w:rPr>
          <w:rFonts w:hint="eastAsia" w:ascii="宋体" w:hAnsi="宋体"/>
          <w:color w:val="000000"/>
          <w:szCs w:val="21"/>
        </w:rPr>
      </w:pPr>
      <w:r>
        <w:rPr>
          <w:rFonts w:hint="eastAsia" w:ascii="宋体" w:hAnsi="宋体"/>
          <w:color w:val="000000"/>
          <w:szCs w:val="21"/>
        </w:rPr>
        <w:t>（1）本项目对监狱和戒毒企业（简称监狱企业）视同小型、微型企业，给予20%的价格扣除。</w:t>
      </w:r>
    </w:p>
    <w:p w14:paraId="734F155E">
      <w:pPr>
        <w:spacing w:line="480" w:lineRule="exact"/>
        <w:ind w:firstLine="420"/>
        <w:rPr>
          <w:rFonts w:hint="eastAsia" w:ascii="宋体" w:hAnsi="宋体"/>
          <w:color w:val="000000"/>
          <w:szCs w:val="21"/>
        </w:rPr>
      </w:pPr>
      <w:r>
        <w:rPr>
          <w:rFonts w:hint="eastAsia" w:ascii="宋体" w:hAnsi="宋体"/>
          <w:color w:val="000000"/>
          <w:szCs w:val="21"/>
        </w:rPr>
        <w:t>（2）监狱企业参加政府采购活动时，需提供由省级以上监狱管理局、戒毒管理局(含新疆生产建设兵团)出具的属于监狱企业的证明文件。供应商如不提供上述证明文件，价格将不做相应扣除。</w:t>
      </w:r>
    </w:p>
    <w:p w14:paraId="48706D45">
      <w:pPr>
        <w:spacing w:line="480" w:lineRule="exact"/>
        <w:ind w:firstLine="420"/>
        <w:rPr>
          <w:rFonts w:hint="eastAsia" w:ascii="宋体" w:hAnsi="宋体"/>
          <w:color w:val="000000"/>
          <w:szCs w:val="21"/>
        </w:rPr>
      </w:pPr>
      <w:r>
        <w:rPr>
          <w:rFonts w:hint="eastAsia" w:ascii="宋体" w:hAnsi="宋体"/>
          <w:color w:val="000000"/>
          <w:szCs w:val="21"/>
        </w:rPr>
        <w:t>（3）监狱企业标准请参照《关于政府采购支持监狱企业发展有关问题的通知》（财库〔2014〕68号）。</w:t>
      </w:r>
    </w:p>
    <w:p w14:paraId="70D78B33">
      <w:pPr>
        <w:spacing w:line="480" w:lineRule="exact"/>
        <w:ind w:firstLine="420"/>
        <w:rPr>
          <w:rFonts w:hint="eastAsia" w:ascii="宋体" w:hAnsi="宋体"/>
          <w:color w:val="000000"/>
          <w:szCs w:val="21"/>
        </w:rPr>
      </w:pPr>
      <w:r>
        <w:rPr>
          <w:rFonts w:hint="eastAsia" w:ascii="宋体" w:hAnsi="宋体"/>
          <w:color w:val="000000"/>
          <w:szCs w:val="21"/>
        </w:rPr>
        <w:t>4、残疾人福利单位、监狱企业属于小型、微型企业的，不重复享受政策。</w:t>
      </w:r>
    </w:p>
    <w:p w14:paraId="547A6AC6">
      <w:pPr>
        <w:spacing w:line="480" w:lineRule="exact"/>
        <w:ind w:firstLine="420"/>
        <w:rPr>
          <w:rFonts w:hint="eastAsia" w:ascii="宋体" w:hAnsi="宋体"/>
          <w:color w:val="000000"/>
          <w:szCs w:val="21"/>
        </w:rPr>
      </w:pPr>
      <w:r>
        <w:rPr>
          <w:rFonts w:hint="eastAsia" w:ascii="宋体" w:hAnsi="宋体"/>
          <w:color w:val="000000"/>
          <w:szCs w:val="21"/>
        </w:rPr>
        <w:t>5、采购本国产品的支持政策</w:t>
      </w:r>
    </w:p>
    <w:p w14:paraId="334A7598">
      <w:pPr>
        <w:spacing w:line="480" w:lineRule="exact"/>
        <w:ind w:firstLine="420"/>
        <w:rPr>
          <w:rFonts w:hint="eastAsia" w:ascii="宋体" w:hAnsi="宋体"/>
          <w:color w:val="000000"/>
          <w:szCs w:val="21"/>
        </w:rPr>
      </w:pPr>
      <w:r>
        <w:rPr>
          <w:rFonts w:hint="eastAsia" w:ascii="宋体" w:hAnsi="宋体"/>
          <w:color w:val="000000"/>
          <w:szCs w:val="21"/>
        </w:rPr>
        <w:t>5.1 本项目政府采购活动中既有本国产品又有非本国产品参与竞争的，依法对本国产品给予价格评审优惠，对本国产品的报价给予 20%的价格扣除，用扣除后的价格参与评审。</w:t>
      </w:r>
    </w:p>
    <w:p w14:paraId="762084DF">
      <w:pPr>
        <w:spacing w:line="480" w:lineRule="exact"/>
        <w:ind w:firstLine="420"/>
        <w:rPr>
          <w:rFonts w:hint="eastAsia" w:ascii="宋体" w:hAnsi="宋体"/>
          <w:color w:val="000000"/>
          <w:szCs w:val="21"/>
        </w:rPr>
      </w:pPr>
      <w:r>
        <w:rPr>
          <w:rFonts w:hint="eastAsia" w:ascii="宋体" w:hAnsi="宋体"/>
          <w:color w:val="000000"/>
          <w:szCs w:val="21"/>
        </w:rPr>
        <w:t>5.2 当采购项目或者采购包中含有多种产品，供应商为该采购项目或者采购包提供的符合本国产品标准的产品成本之和占该供应商提供的全部产品成本之和的比例达到80%以上时（供应商需在“第六章 投标文件格式”的“ 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2A349D10">
      <w:pPr>
        <w:spacing w:line="480" w:lineRule="exact"/>
        <w:ind w:firstLine="420"/>
        <w:rPr>
          <w:rFonts w:hint="eastAsia" w:ascii="宋体" w:hAnsi="宋体"/>
          <w:color w:val="000000"/>
          <w:szCs w:val="21"/>
        </w:rPr>
      </w:pPr>
      <w:r>
        <w:rPr>
          <w:rFonts w:hint="eastAsia" w:ascii="宋体" w:hAnsi="宋体"/>
          <w:color w:val="000000"/>
          <w:szCs w:val="21"/>
        </w:rPr>
        <w:t>5.3 供应商需按照招标文件的要求提供《关于符合本国产品标准的声明函》（以下简称《声明函》），如不提供将不享受本国产品价格评审优惠。</w:t>
      </w:r>
    </w:p>
    <w:p w14:paraId="4759444C">
      <w:pPr>
        <w:spacing w:line="480" w:lineRule="exact"/>
        <w:ind w:firstLine="420"/>
        <w:rPr>
          <w:rFonts w:hint="eastAsia" w:ascii="宋体" w:hAnsi="宋体"/>
          <w:color w:val="000000"/>
          <w:szCs w:val="21"/>
        </w:rPr>
      </w:pPr>
      <w:r>
        <w:rPr>
          <w:rFonts w:hint="eastAsia" w:ascii="宋体" w:hAnsi="宋体"/>
          <w:color w:val="000000"/>
          <w:szCs w:val="21"/>
        </w:rPr>
        <w:t>5.4 供应商需在《声明函》中逐一、准确填写产品名称、厂名、生产厂址三项信息（《声明函》中用横线划除的地方无需填写），三项信息中任意一项未填写的视为该项产品不符合本国产品标准，不享受本国产品价格评审优惠。</w:t>
      </w:r>
    </w:p>
    <w:p w14:paraId="1B965C85">
      <w:pPr>
        <w:spacing w:line="480" w:lineRule="exact"/>
        <w:ind w:firstLine="420"/>
        <w:rPr>
          <w:rFonts w:hint="eastAsia" w:ascii="宋体" w:hAnsi="宋体"/>
          <w:color w:val="000000"/>
          <w:szCs w:val="21"/>
        </w:rPr>
      </w:pPr>
      <w:r>
        <w:rPr>
          <w:rFonts w:hint="eastAsia" w:ascii="宋体" w:hAnsi="宋体"/>
          <w:color w:val="000000"/>
          <w:szCs w:val="21"/>
        </w:rPr>
        <w:t>5.5 评标过程中，如发现供应商在《声明函》内容含义不明确、同类事项与投标（响应）文件表述不一致或者有明显文字错误等情况的，评标委员会应当在苏采云系统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p w14:paraId="795098B7">
      <w:pPr>
        <w:spacing w:line="480" w:lineRule="exact"/>
        <w:ind w:firstLine="420"/>
        <w:rPr>
          <w:rFonts w:hint="eastAsia" w:ascii="宋体" w:hAnsi="宋体"/>
          <w:color w:val="000000"/>
          <w:szCs w:val="21"/>
        </w:rPr>
      </w:pPr>
      <w:r>
        <w:rPr>
          <w:rFonts w:hint="eastAsia" w:ascii="宋体" w:hAnsi="宋体"/>
          <w:color w:val="000000"/>
          <w:szCs w:val="21"/>
        </w:rPr>
        <w:t>6、严格执行政府采购关于支持节能产品、环境标志产品的相关政策规定。如本次采购的产品属于财政部、国家发展改革委、生态环境部、市场监管总局等部门发布的节能产品、环境标志产品品目清单政府强制采购范围的，供应商必须在响应文件中提供所投产品的相关证书(由国家确定的认证机构出具的、处于有效期之内的节能产品、环境标志产品认证证书)。节能产品、环境标志产品品目清单以递交响应文件截止时已正式公布的最近一期信息为准，如属政府强制采购产品未提供认证证书的或认证证书提供不全的将视为未实质性响应采购要求。其他条件相同情况下，应当优先采购节能产品、环境标志产品。</w:t>
      </w:r>
    </w:p>
    <w:p w14:paraId="7CC0C503">
      <w:pPr>
        <w:spacing w:line="360" w:lineRule="auto"/>
        <w:ind w:firstLine="482" w:firstLineChars="200"/>
        <w:jc w:val="left"/>
        <w:rPr>
          <w:rFonts w:hint="eastAsia" w:ascii="宋体" w:hAnsi="宋体" w:cs="宋体"/>
          <w:b/>
          <w:color w:val="000000"/>
          <w:sz w:val="24"/>
        </w:rPr>
      </w:pPr>
      <w:r>
        <w:rPr>
          <w:rFonts w:hint="eastAsia" w:ascii="宋体" w:hAnsi="宋体" w:cs="宋体"/>
          <w:b/>
          <w:color w:val="000000"/>
          <w:sz w:val="24"/>
        </w:rPr>
        <w:t>二、评标方法与评标标准</w:t>
      </w:r>
    </w:p>
    <w:p w14:paraId="41E08EBD">
      <w:pPr>
        <w:spacing w:line="480" w:lineRule="exact"/>
        <w:ind w:firstLine="420"/>
        <w:rPr>
          <w:rFonts w:hint="eastAsia" w:ascii="宋体" w:hAnsi="宋体" w:cs="宋体"/>
          <w:color w:val="000000"/>
          <w:szCs w:val="21"/>
        </w:rPr>
      </w:pPr>
      <w:r>
        <w:rPr>
          <w:rFonts w:hint="eastAsia" w:ascii="宋体" w:hAnsi="宋体" w:cs="宋体"/>
          <w:color w:val="000000"/>
          <w:szCs w:val="21"/>
        </w:rPr>
        <w:t>一、初步评审</w:t>
      </w:r>
    </w:p>
    <w:p w14:paraId="5ED0B995">
      <w:pPr>
        <w:spacing w:line="480" w:lineRule="exact"/>
        <w:ind w:left="420"/>
        <w:rPr>
          <w:rFonts w:hint="eastAsia" w:ascii="宋体" w:hAnsi="宋体" w:cs="宋体"/>
          <w:color w:val="000000"/>
          <w:szCs w:val="21"/>
        </w:rPr>
      </w:pPr>
      <w:r>
        <w:rPr>
          <w:rFonts w:hint="eastAsia" w:ascii="宋体" w:hAnsi="宋体" w:cs="宋体"/>
          <w:color w:val="000000"/>
          <w:szCs w:val="21"/>
        </w:rPr>
        <w:t>1、资格审查</w:t>
      </w:r>
    </w:p>
    <w:p w14:paraId="086C6991">
      <w:pPr>
        <w:spacing w:line="480" w:lineRule="exact"/>
        <w:ind w:firstLine="420"/>
        <w:rPr>
          <w:rFonts w:hint="eastAsia" w:ascii="宋体" w:hAnsi="宋体"/>
          <w:color w:val="FF0000"/>
          <w:szCs w:val="21"/>
        </w:rPr>
      </w:pPr>
      <w:r>
        <w:rPr>
          <w:rFonts w:hint="eastAsia" w:ascii="宋体" w:hAnsi="宋体"/>
          <w:color w:val="FF0000"/>
          <w:szCs w:val="21"/>
        </w:rPr>
        <w:t>（1）法人或者其他组织的营业执照等证明文件</w:t>
      </w:r>
      <w:r>
        <w:rPr>
          <w:rFonts w:hint="eastAsia" w:ascii="宋体" w:hAnsi="宋体" w:cs="宋体"/>
          <w:iCs/>
          <w:color w:val="FF0000"/>
        </w:rPr>
        <w:t>，自然人的身份证明</w:t>
      </w:r>
      <w:r>
        <w:rPr>
          <w:rFonts w:hint="eastAsia" w:ascii="宋体" w:hAnsi="宋体"/>
          <w:color w:val="FF0000"/>
          <w:szCs w:val="21"/>
        </w:rPr>
        <w:t>；</w:t>
      </w:r>
    </w:p>
    <w:p w14:paraId="421A8A63">
      <w:pPr>
        <w:spacing w:line="480" w:lineRule="exact"/>
        <w:ind w:firstLine="420"/>
        <w:rPr>
          <w:rFonts w:hint="eastAsia" w:ascii="宋体" w:hAnsi="宋体"/>
          <w:color w:val="FF0000"/>
          <w:szCs w:val="21"/>
        </w:rPr>
      </w:pPr>
      <w:r>
        <w:rPr>
          <w:rFonts w:hint="eastAsia" w:ascii="宋体" w:hAnsi="宋体"/>
          <w:color w:val="FF0000"/>
          <w:szCs w:val="21"/>
        </w:rPr>
        <w:t>（2）具有良好的商业信誉和健全的财务会计制度（投标人提供利润表、资产负债表、现金流量表或银行出具的资信证明或提供资格承诺函，成立不满一年不需</w:t>
      </w:r>
      <w:r>
        <w:rPr>
          <w:rFonts w:hint="eastAsia" w:ascii="宋体" w:hAnsi="宋体"/>
          <w:color w:val="FF0000"/>
          <w:szCs w:val="21"/>
          <w:lang w:val="en-US" w:eastAsia="zh-CN"/>
        </w:rPr>
        <w:t>要</w:t>
      </w:r>
      <w:r>
        <w:rPr>
          <w:rFonts w:hint="eastAsia" w:ascii="宋体" w:hAnsi="宋体"/>
          <w:color w:val="FF0000"/>
          <w:szCs w:val="21"/>
        </w:rPr>
        <w:t xml:space="preserve">提供）；  </w:t>
      </w:r>
    </w:p>
    <w:p w14:paraId="0F3BBFF9">
      <w:pPr>
        <w:spacing w:line="480" w:lineRule="exact"/>
        <w:ind w:firstLine="420"/>
        <w:rPr>
          <w:rFonts w:hint="eastAsia" w:ascii="宋体" w:hAnsi="宋体"/>
          <w:color w:val="FF0000"/>
          <w:szCs w:val="21"/>
        </w:rPr>
      </w:pPr>
      <w:r>
        <w:rPr>
          <w:rFonts w:hint="eastAsia" w:ascii="宋体" w:hAnsi="宋体"/>
          <w:color w:val="FF0000"/>
          <w:szCs w:val="21"/>
        </w:rPr>
        <w:t>（3）依法缴纳税收和社会保障资金的相关材料（投标时提供投标截止时间前一年内至少一个月依法缴纳税收及缴纳社会保障资金的证明材料。供应商依法享受缓缴、免缴税收、社会保障资金的提供证明材料）；</w:t>
      </w:r>
    </w:p>
    <w:p w14:paraId="02407C4B">
      <w:pPr>
        <w:spacing w:line="480" w:lineRule="exact"/>
        <w:ind w:firstLine="420"/>
        <w:rPr>
          <w:rFonts w:hint="eastAsia" w:ascii="宋体" w:hAnsi="宋体"/>
          <w:color w:val="FF0000"/>
          <w:szCs w:val="21"/>
        </w:rPr>
      </w:pPr>
      <w:r>
        <w:rPr>
          <w:rFonts w:hint="eastAsia" w:ascii="宋体" w:hAnsi="宋体"/>
          <w:color w:val="FF0000"/>
          <w:szCs w:val="21"/>
        </w:rPr>
        <w:t>（4）具备履行合同所必需的设备和专业技术能力的书面声明；</w:t>
      </w:r>
    </w:p>
    <w:p w14:paraId="7EECEBA2">
      <w:pPr>
        <w:spacing w:line="480" w:lineRule="exact"/>
        <w:ind w:firstLine="420"/>
        <w:rPr>
          <w:rFonts w:hint="eastAsia" w:ascii="宋体" w:hAnsi="宋体"/>
          <w:color w:val="FF0000"/>
          <w:szCs w:val="21"/>
        </w:rPr>
      </w:pPr>
      <w:r>
        <w:rPr>
          <w:rFonts w:hint="eastAsia" w:ascii="宋体" w:hAnsi="宋体"/>
          <w:color w:val="FF0000"/>
          <w:szCs w:val="21"/>
        </w:rPr>
        <w:t>（5）参加政府采购活动前3年内在经营活动中没有重大违法记录的书面声明。</w:t>
      </w:r>
    </w:p>
    <w:p w14:paraId="24DC49FB">
      <w:pPr>
        <w:widowControl/>
        <w:shd w:val="clear" w:color="auto" w:fill="FFFFFF"/>
        <w:spacing w:line="500" w:lineRule="exact"/>
        <w:ind w:firstLine="420"/>
        <w:jc w:val="left"/>
        <w:rPr>
          <w:rFonts w:hint="eastAsia" w:ascii="宋体" w:hAnsi="宋体"/>
          <w:b/>
          <w:bCs/>
          <w:color w:val="FF0000"/>
          <w:szCs w:val="21"/>
        </w:rPr>
      </w:pPr>
      <w:r>
        <w:rPr>
          <w:rFonts w:hint="eastAsia" w:ascii="宋体" w:hAnsi="宋体"/>
          <w:b/>
          <w:bCs/>
          <w:color w:val="FF0000"/>
          <w:szCs w:val="21"/>
        </w:rPr>
        <w:t>（6）本项目不接受因环境监测子站运维工作受到环保行政主管部门通报批评或处罚的供应商参与投标，投标文件中提供承诺函（加盖公章，格式自拟）。</w:t>
      </w:r>
    </w:p>
    <w:p w14:paraId="6218B45E">
      <w:pPr>
        <w:spacing w:line="480" w:lineRule="exact"/>
        <w:ind w:firstLine="420"/>
        <w:rPr>
          <w:rFonts w:hint="eastAsia" w:ascii="宋体" w:hAnsi="宋体" w:cs="宋体"/>
          <w:color w:val="000000"/>
          <w:szCs w:val="21"/>
        </w:rPr>
      </w:pPr>
      <w:r>
        <w:rPr>
          <w:rFonts w:hint="eastAsia" w:ascii="宋体" w:hAnsi="宋体" w:cs="宋体"/>
          <w:color w:val="000000"/>
          <w:szCs w:val="21"/>
        </w:rPr>
        <w:t>注：</w:t>
      </w:r>
      <w:r>
        <w:rPr>
          <w:rFonts w:ascii="宋体" w:hAnsi="宋体" w:cs="宋体"/>
          <w:color w:val="000000"/>
          <w:szCs w:val="21"/>
        </w:rPr>
        <w:t>a</w:t>
      </w:r>
      <w:r>
        <w:rPr>
          <w:rFonts w:hint="eastAsia" w:ascii="宋体" w:hAnsi="宋体" w:cs="宋体"/>
          <w:color w:val="000000"/>
          <w:szCs w:val="21"/>
        </w:rPr>
        <w:t>、因上述扫描件不清晰无法辨认或提供的关键信息不全、更新不及时导致被招标人或评标委员会评委认定为无效投标的，其不利的后果由投标人自行承担。</w:t>
      </w:r>
    </w:p>
    <w:p w14:paraId="68CC5722">
      <w:pPr>
        <w:spacing w:line="480" w:lineRule="exact"/>
        <w:ind w:firstLine="420"/>
        <w:rPr>
          <w:rFonts w:hint="eastAsia" w:ascii="宋体" w:hAnsi="宋体" w:cs="宋体"/>
          <w:color w:val="000000"/>
          <w:szCs w:val="21"/>
        </w:rPr>
      </w:pPr>
      <w:r>
        <w:rPr>
          <w:rFonts w:hint="eastAsia" w:ascii="宋体" w:hAnsi="宋体" w:cs="宋体"/>
          <w:color w:val="000000"/>
          <w:szCs w:val="21"/>
        </w:rPr>
        <w:t>b.若中标候选人上述有关证书有效性被质疑的，被质疑人出具发证机关证明或通过二维码或证书查询系统能够证明有效即可。</w:t>
      </w:r>
    </w:p>
    <w:p w14:paraId="02379D28">
      <w:pPr>
        <w:spacing w:line="480" w:lineRule="exact"/>
        <w:ind w:firstLine="420"/>
        <w:rPr>
          <w:rFonts w:hint="eastAsia" w:ascii="宋体" w:hAnsi="宋体" w:cs="宋体"/>
          <w:color w:val="000000"/>
          <w:szCs w:val="21"/>
        </w:rPr>
      </w:pPr>
      <w:r>
        <w:rPr>
          <w:rFonts w:hint="eastAsia" w:ascii="宋体" w:hAnsi="宋体" w:cs="宋体"/>
          <w:color w:val="000000"/>
          <w:szCs w:val="21"/>
        </w:rPr>
        <w:t>c.招标人或评标委员会的审查或评审仅针对投标文件提交截止时间前投标人提交的投标文件（包含以链接形式提供的附件资料）进行审查或评审，投标人后续撤回、修改、补充、更新、作废诚信库信息，不影响按照投标文件提交截止时间前投标人提交的投标文件形成的审查或评审结果。投标人若需要更正投标资料信息，应在投标文件提交截止时间前撤回投标文件，重新勾选投标资料后上传。投标文件提交后，投标人不得对投标资料信息进行改动。</w:t>
      </w:r>
    </w:p>
    <w:p w14:paraId="2A94A6EE">
      <w:pPr>
        <w:spacing w:line="480" w:lineRule="exact"/>
        <w:ind w:firstLine="420"/>
        <w:rPr>
          <w:rFonts w:hint="eastAsia" w:ascii="宋体" w:hAnsi="宋体" w:cs="宋体"/>
          <w:color w:val="000000"/>
          <w:szCs w:val="21"/>
        </w:rPr>
      </w:pPr>
      <w:r>
        <w:rPr>
          <w:rFonts w:hint="eastAsia" w:ascii="宋体" w:hAnsi="宋体" w:cs="宋体"/>
          <w:color w:val="000000"/>
          <w:szCs w:val="21"/>
        </w:rPr>
        <w:t>2、符合性评审：</w:t>
      </w:r>
    </w:p>
    <w:p w14:paraId="23D4B010">
      <w:pPr>
        <w:spacing w:line="480" w:lineRule="exact"/>
        <w:ind w:firstLine="420"/>
        <w:rPr>
          <w:rFonts w:hint="eastAsia" w:ascii="宋体" w:hAnsi="宋体" w:cs="宋体"/>
          <w:color w:val="000000"/>
          <w:szCs w:val="21"/>
        </w:rPr>
      </w:pPr>
      <w:r>
        <w:rPr>
          <w:rFonts w:hint="eastAsia" w:ascii="宋体" w:hAnsi="宋体" w:cs="宋体"/>
          <w:color w:val="000000"/>
          <w:szCs w:val="21"/>
        </w:rPr>
        <w:t>投标人的投标文件符合招标文件、招标答疑的要求，主要包括：采购需求、合同履行期间、质量、投标报价、签章等符合招标文件的实质性要求等。不符合招标文件采购需求最低要求的一律作为无效标书，不得作为中标候选人。</w:t>
      </w:r>
    </w:p>
    <w:p w14:paraId="317317C0">
      <w:pPr>
        <w:spacing w:line="480" w:lineRule="exact"/>
        <w:ind w:firstLine="420"/>
        <w:rPr>
          <w:rFonts w:hint="eastAsia" w:ascii="宋体" w:hAnsi="宋体" w:cs="宋体"/>
          <w:color w:val="000000"/>
          <w:szCs w:val="21"/>
        </w:rPr>
      </w:pPr>
      <w:r>
        <w:rPr>
          <w:rFonts w:hint="eastAsia" w:ascii="宋体" w:hAnsi="宋体" w:cs="宋体"/>
          <w:color w:val="000000"/>
          <w:szCs w:val="21"/>
        </w:rPr>
        <w:t>二、详细评审</w:t>
      </w:r>
    </w:p>
    <w:p w14:paraId="2762F499">
      <w:pPr>
        <w:pStyle w:val="108"/>
        <w:spacing w:before="0" w:after="0" w:line="480" w:lineRule="exact"/>
        <w:ind w:firstLine="422"/>
        <w:rPr>
          <w:rFonts w:hint="eastAsia" w:ascii="宋体" w:hAnsi="宋体" w:eastAsia="宋体"/>
          <w:b/>
          <w:sz w:val="21"/>
          <w:szCs w:val="21"/>
        </w:rPr>
      </w:pPr>
      <w:bookmarkStart w:id="39" w:name="_Toc498782289"/>
      <w:bookmarkStart w:id="40" w:name="_Toc32592"/>
      <w:bookmarkStart w:id="41" w:name="_Toc397928604"/>
      <w:bookmarkStart w:id="42" w:name="_Toc29388462"/>
      <w:r>
        <w:rPr>
          <w:rFonts w:ascii="宋体" w:hAnsi="宋体" w:eastAsia="宋体"/>
          <w:b/>
          <w:sz w:val="21"/>
          <w:szCs w:val="21"/>
        </w:rPr>
        <w:t>2.1</w:t>
      </w:r>
      <w:r>
        <w:rPr>
          <w:rFonts w:hint="eastAsia" w:ascii="宋体" w:hAnsi="宋体" w:eastAsia="宋体"/>
          <w:b/>
          <w:sz w:val="21"/>
          <w:szCs w:val="21"/>
        </w:rPr>
        <w:t>详细评审分值构成与评分标准</w:t>
      </w:r>
      <w:bookmarkEnd w:id="39"/>
    </w:p>
    <w:tbl>
      <w:tblPr>
        <w:tblStyle w:val="35"/>
        <w:tblW w:w="43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1079"/>
        <w:gridCol w:w="832"/>
        <w:gridCol w:w="5446"/>
      </w:tblGrid>
      <w:tr w14:paraId="1D01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37" w:type="pct"/>
            <w:tcBorders>
              <w:tl2br w:val="nil"/>
              <w:tr2bl w:val="nil"/>
            </w:tcBorders>
            <w:noWrap/>
            <w:vAlign w:val="center"/>
          </w:tcPr>
          <w:p w14:paraId="3CF4BF81">
            <w:pPr>
              <w:widowControl/>
              <w:jc w:val="center"/>
              <w:textAlignment w:val="center"/>
              <w:rPr>
                <w:rFonts w:hint="eastAsia" w:ascii="宋体" w:hAnsi="宋体" w:cs="宋体"/>
                <w:b/>
                <w:bCs/>
              </w:rPr>
            </w:pPr>
            <w:r>
              <w:rPr>
                <w:rFonts w:hint="eastAsia" w:ascii="宋体" w:hAnsi="宋体" w:cs="宋体"/>
                <w:b/>
                <w:bCs/>
              </w:rPr>
              <w:t>类别</w:t>
            </w:r>
          </w:p>
        </w:tc>
        <w:tc>
          <w:tcPr>
            <w:tcW w:w="625" w:type="pct"/>
            <w:tcBorders>
              <w:tl2br w:val="nil"/>
              <w:tr2bl w:val="nil"/>
            </w:tcBorders>
            <w:noWrap/>
            <w:vAlign w:val="center"/>
          </w:tcPr>
          <w:p w14:paraId="14639DB2">
            <w:pPr>
              <w:widowControl/>
              <w:jc w:val="center"/>
              <w:textAlignment w:val="center"/>
              <w:rPr>
                <w:rFonts w:hint="eastAsia" w:ascii="宋体" w:hAnsi="宋体" w:cs="宋体"/>
                <w:b/>
                <w:bCs/>
              </w:rPr>
            </w:pPr>
            <w:r>
              <w:rPr>
                <w:rFonts w:hint="eastAsia" w:ascii="宋体" w:hAnsi="宋体" w:cs="宋体"/>
                <w:b/>
                <w:bCs/>
              </w:rPr>
              <w:t>评分因素</w:t>
            </w:r>
          </w:p>
        </w:tc>
        <w:tc>
          <w:tcPr>
            <w:tcW w:w="481" w:type="pct"/>
            <w:tcBorders>
              <w:tl2br w:val="nil"/>
              <w:tr2bl w:val="nil"/>
            </w:tcBorders>
            <w:noWrap/>
            <w:vAlign w:val="center"/>
          </w:tcPr>
          <w:p w14:paraId="4CA5635F">
            <w:pPr>
              <w:widowControl/>
              <w:jc w:val="center"/>
              <w:textAlignment w:val="center"/>
              <w:rPr>
                <w:rFonts w:hint="eastAsia" w:ascii="宋体" w:hAnsi="宋体" w:cs="宋体"/>
                <w:b/>
                <w:bCs/>
              </w:rPr>
            </w:pPr>
            <w:r>
              <w:rPr>
                <w:rFonts w:hint="eastAsia" w:ascii="宋体" w:hAnsi="宋体" w:cs="宋体"/>
                <w:b/>
                <w:bCs/>
              </w:rPr>
              <w:t>分数</w:t>
            </w:r>
          </w:p>
        </w:tc>
        <w:tc>
          <w:tcPr>
            <w:tcW w:w="3155" w:type="pct"/>
            <w:tcBorders>
              <w:tl2br w:val="nil"/>
              <w:tr2bl w:val="nil"/>
            </w:tcBorders>
            <w:noWrap/>
            <w:vAlign w:val="center"/>
          </w:tcPr>
          <w:p w14:paraId="7FE205B4">
            <w:pPr>
              <w:widowControl/>
              <w:ind w:firstLine="482"/>
              <w:jc w:val="center"/>
              <w:textAlignment w:val="center"/>
              <w:rPr>
                <w:rFonts w:hint="eastAsia" w:ascii="宋体" w:hAnsi="宋体" w:cs="宋体"/>
                <w:b/>
                <w:bCs/>
              </w:rPr>
            </w:pPr>
            <w:r>
              <w:rPr>
                <w:rFonts w:hint="eastAsia" w:ascii="宋体" w:hAnsi="宋体" w:cs="宋体"/>
                <w:b/>
                <w:bCs/>
              </w:rPr>
              <w:t>评分标准</w:t>
            </w:r>
          </w:p>
        </w:tc>
      </w:tr>
      <w:tr w14:paraId="0C09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37" w:type="pct"/>
            <w:tcBorders>
              <w:tl2br w:val="nil"/>
              <w:tr2bl w:val="nil"/>
            </w:tcBorders>
            <w:noWrap/>
            <w:vAlign w:val="center"/>
          </w:tcPr>
          <w:p w14:paraId="6A4449B0">
            <w:pPr>
              <w:jc w:val="center"/>
              <w:rPr>
                <w:rFonts w:hint="eastAsia" w:ascii="宋体" w:hAnsi="宋体" w:cs="宋体"/>
                <w:szCs w:val="21"/>
              </w:rPr>
            </w:pPr>
            <w:r>
              <w:rPr>
                <w:rFonts w:hint="eastAsia" w:ascii="宋体" w:hAnsi="宋体" w:cs="宋体"/>
                <w:szCs w:val="21"/>
              </w:rPr>
              <w:t>价格部分</w:t>
            </w:r>
          </w:p>
        </w:tc>
        <w:tc>
          <w:tcPr>
            <w:tcW w:w="625" w:type="pct"/>
            <w:tcBorders>
              <w:tl2br w:val="nil"/>
              <w:tr2bl w:val="nil"/>
            </w:tcBorders>
            <w:noWrap/>
            <w:vAlign w:val="center"/>
          </w:tcPr>
          <w:p w14:paraId="58CBD9AD">
            <w:pPr>
              <w:jc w:val="center"/>
              <w:rPr>
                <w:rFonts w:hint="eastAsia" w:ascii="宋体" w:hAnsi="宋体" w:cs="宋体"/>
                <w:szCs w:val="21"/>
              </w:rPr>
            </w:pPr>
            <w:r>
              <w:rPr>
                <w:rFonts w:hint="eastAsia" w:ascii="宋体" w:hAnsi="宋体" w:cs="宋体"/>
                <w:szCs w:val="21"/>
              </w:rPr>
              <w:t>报价</w:t>
            </w:r>
          </w:p>
        </w:tc>
        <w:tc>
          <w:tcPr>
            <w:tcW w:w="481" w:type="pct"/>
            <w:tcBorders>
              <w:tl2br w:val="nil"/>
              <w:tr2bl w:val="nil"/>
            </w:tcBorders>
            <w:noWrap/>
            <w:vAlign w:val="center"/>
          </w:tcPr>
          <w:p w14:paraId="1F6A9B8A">
            <w:pPr>
              <w:jc w:val="center"/>
              <w:rPr>
                <w:rFonts w:hint="eastAsia" w:ascii="宋体" w:hAnsi="宋体" w:cs="宋体"/>
                <w:szCs w:val="21"/>
              </w:rPr>
            </w:pPr>
            <w:r>
              <w:rPr>
                <w:rFonts w:hint="eastAsia" w:ascii="宋体" w:hAnsi="宋体" w:cs="宋体"/>
                <w:szCs w:val="21"/>
              </w:rPr>
              <w:t>30分</w:t>
            </w:r>
          </w:p>
        </w:tc>
        <w:tc>
          <w:tcPr>
            <w:tcW w:w="3155" w:type="pct"/>
            <w:tcBorders>
              <w:tl2br w:val="nil"/>
              <w:tr2bl w:val="nil"/>
            </w:tcBorders>
            <w:noWrap/>
          </w:tcPr>
          <w:p w14:paraId="57DDC0DE">
            <w:pPr>
              <w:spacing w:line="400" w:lineRule="exact"/>
              <w:ind w:firstLine="420"/>
              <w:jc w:val="left"/>
              <w:rPr>
                <w:rFonts w:hint="eastAsia" w:ascii="宋体" w:hAnsi="宋体" w:cs="宋体"/>
                <w:szCs w:val="21"/>
              </w:rPr>
            </w:pPr>
            <w:r>
              <w:rPr>
                <w:rFonts w:hint="eastAsia" w:ascii="宋体" w:hAnsi="宋体" w:cs="宋体"/>
                <w:szCs w:val="21"/>
              </w:rPr>
              <w:t>满足招标文件要求且投标报价最低的投标报价为评标基准价，其价格为满分。其他投标人的价格分按照下列公式计算：投标报价得分＝（评标基准价/投标报价）×30分。</w:t>
            </w:r>
          </w:p>
          <w:p w14:paraId="713CE647">
            <w:pPr>
              <w:spacing w:line="400" w:lineRule="exact"/>
              <w:ind w:firstLine="420"/>
              <w:rPr>
                <w:rFonts w:hint="eastAsia" w:ascii="宋体" w:hAnsi="宋体" w:cs="仿宋"/>
                <w:szCs w:val="21"/>
              </w:rPr>
            </w:pPr>
            <w:r>
              <w:rPr>
                <w:rFonts w:hint="eastAsia" w:ascii="宋体" w:hAnsi="宋体" w:cs="仿宋"/>
                <w:szCs w:val="21"/>
              </w:rPr>
              <w:t>注解：</w:t>
            </w:r>
          </w:p>
          <w:p w14:paraId="485B25A2">
            <w:pPr>
              <w:spacing w:line="400" w:lineRule="exact"/>
              <w:ind w:firstLine="420"/>
              <w:rPr>
                <w:rFonts w:hint="eastAsia" w:ascii="宋体" w:hAnsi="宋体" w:cs="仿宋"/>
                <w:szCs w:val="21"/>
              </w:rPr>
            </w:pPr>
            <w:r>
              <w:rPr>
                <w:rFonts w:hint="eastAsia" w:ascii="宋体" w:hAnsi="宋体" w:cs="仿宋"/>
                <w:szCs w:val="21"/>
              </w:rPr>
              <w:t>1.评标基准价为满足招标文件要求且投标价格最低的有效投标报价；</w:t>
            </w:r>
          </w:p>
          <w:p w14:paraId="6BBF8ACB">
            <w:pPr>
              <w:spacing w:line="400" w:lineRule="exact"/>
              <w:ind w:firstLine="420"/>
              <w:rPr>
                <w:rFonts w:hint="eastAsia" w:ascii="宋体" w:hAnsi="宋体" w:cs="仿宋"/>
                <w:szCs w:val="21"/>
              </w:rPr>
            </w:pPr>
            <w:r>
              <w:rPr>
                <w:rFonts w:hint="eastAsia" w:ascii="宋体" w:hAnsi="宋体" w:cs="仿宋"/>
                <w:szCs w:val="21"/>
              </w:rPr>
              <w:t>2.得分数值保留两位小数。</w:t>
            </w:r>
          </w:p>
          <w:p w14:paraId="2E3C90DF">
            <w:pPr>
              <w:widowControl/>
              <w:spacing w:line="400" w:lineRule="exact"/>
              <w:ind w:firstLine="422"/>
              <w:jc w:val="left"/>
              <w:rPr>
                <w:rFonts w:hint="eastAsia" w:ascii="宋体" w:hAnsi="宋体" w:cs="仿宋"/>
                <w:szCs w:val="21"/>
              </w:rPr>
            </w:pPr>
            <w:r>
              <w:rPr>
                <w:rFonts w:hint="eastAsia" w:ascii="宋体" w:hAnsi="宋体" w:cs="仿宋"/>
                <w:b/>
                <w:bCs/>
                <w:color w:val="000000"/>
                <w:szCs w:val="21"/>
              </w:rPr>
              <w:t>3.对小型和微型企业产品或者服务的价格给予20%的扣除，用扣除后的价格参与评审（因落实政府采购政策进行价格调整的，以调整后的价格计算评标基准价和投标报价），如有虚假，将按照《中华人民共和国政府采购法》第七十七条依法承担相应责任。</w:t>
            </w:r>
          </w:p>
          <w:p w14:paraId="648E900E">
            <w:pPr>
              <w:widowControl/>
              <w:spacing w:line="400" w:lineRule="exact"/>
              <w:ind w:firstLine="422"/>
              <w:jc w:val="left"/>
              <w:rPr>
                <w:rFonts w:hint="eastAsia" w:ascii="宋体" w:hAnsi="宋体" w:cs="仿宋"/>
                <w:b/>
                <w:bCs/>
                <w:color w:val="000000"/>
                <w:szCs w:val="21"/>
              </w:rPr>
            </w:pPr>
            <w:r>
              <w:rPr>
                <w:rFonts w:hint="eastAsia" w:ascii="宋体" w:hAnsi="宋体" w:cs="仿宋"/>
                <w:b/>
                <w:bCs/>
                <w:color w:val="000000"/>
                <w:szCs w:val="21"/>
              </w:rPr>
              <w:t>4.评审过程中出现下列情形之一的，评标委员会应当启动异常低价投标审查程序：</w:t>
            </w:r>
          </w:p>
          <w:p w14:paraId="4C394925">
            <w:pPr>
              <w:widowControl/>
              <w:spacing w:line="400" w:lineRule="exact"/>
              <w:ind w:firstLine="422"/>
              <w:jc w:val="left"/>
              <w:rPr>
                <w:rFonts w:hint="eastAsia" w:ascii="宋体" w:hAnsi="宋体" w:cs="仿宋"/>
                <w:b/>
                <w:bCs/>
                <w:color w:val="000000"/>
                <w:szCs w:val="21"/>
              </w:rPr>
            </w:pPr>
            <w:r>
              <w:rPr>
                <w:rFonts w:hint="eastAsia" w:ascii="宋体" w:hAnsi="宋体" w:cs="仿宋"/>
                <w:b/>
                <w:bCs/>
                <w:color w:val="000000"/>
                <w:szCs w:val="21"/>
              </w:rPr>
              <w:t>（1）投标（响应）报价低于全部通过符合性审查供应商投标（响应）报价平均值50%的，即投标（响应）报价&lt;全部通过符合性审查供应商投标（响应）报价平均值×50%；</w:t>
            </w:r>
          </w:p>
          <w:p w14:paraId="4CB7E509">
            <w:pPr>
              <w:widowControl/>
              <w:spacing w:line="400" w:lineRule="exact"/>
              <w:ind w:firstLine="422"/>
              <w:jc w:val="left"/>
              <w:rPr>
                <w:rFonts w:hint="eastAsia" w:ascii="宋体" w:hAnsi="宋体" w:cs="仿宋"/>
                <w:b/>
                <w:bCs/>
                <w:color w:val="000000"/>
                <w:szCs w:val="21"/>
              </w:rPr>
            </w:pPr>
            <w:r>
              <w:rPr>
                <w:rFonts w:hint="eastAsia" w:ascii="宋体" w:hAnsi="宋体" w:cs="仿宋"/>
                <w:b/>
                <w:bCs/>
                <w:color w:val="000000"/>
                <w:szCs w:val="21"/>
              </w:rPr>
              <w:t>（2）投标（响应）报价低于通过符合性审查的次低报价供应商投标（响应）报价50%的，即投标（响应）报价&lt;通过符合性审查的次低报价供应商投标（响应）报价×50%；</w:t>
            </w:r>
          </w:p>
          <w:p w14:paraId="45DA66E2">
            <w:pPr>
              <w:widowControl/>
              <w:spacing w:line="400" w:lineRule="exact"/>
              <w:ind w:firstLine="422"/>
              <w:jc w:val="left"/>
              <w:rPr>
                <w:rFonts w:hint="eastAsia" w:ascii="宋体" w:hAnsi="宋体" w:cs="仿宋"/>
                <w:b/>
                <w:bCs/>
                <w:color w:val="000000"/>
                <w:szCs w:val="21"/>
              </w:rPr>
            </w:pPr>
            <w:r>
              <w:rPr>
                <w:rFonts w:hint="eastAsia" w:ascii="宋体" w:hAnsi="宋体" w:cs="仿宋"/>
                <w:b/>
                <w:bCs/>
                <w:color w:val="000000"/>
                <w:szCs w:val="21"/>
              </w:rPr>
              <w:t>（3）投标（响应）报价低于采购项目最高限价45%的，即投标（响应）报价&lt;采购项目最高限价×45%；</w:t>
            </w:r>
          </w:p>
          <w:p w14:paraId="66A9B30E">
            <w:pPr>
              <w:widowControl/>
              <w:spacing w:line="400" w:lineRule="exact"/>
              <w:ind w:firstLine="422"/>
              <w:jc w:val="left"/>
              <w:rPr>
                <w:rFonts w:hint="eastAsia" w:ascii="宋体" w:hAnsi="宋体" w:cs="仿宋"/>
                <w:b/>
                <w:bCs/>
                <w:color w:val="000000"/>
                <w:szCs w:val="21"/>
              </w:rPr>
            </w:pPr>
            <w:r>
              <w:rPr>
                <w:rFonts w:hint="eastAsia" w:ascii="宋体" w:hAnsi="宋体" w:cs="仿宋"/>
                <w:b/>
                <w:bCs/>
                <w:color w:val="000000"/>
                <w:szCs w:val="21"/>
              </w:rPr>
              <w:t>（4）评审委员会基于专业判断，认为供应商报价过低，有可能影响产品质量或者不能诚信履约的其他情形。</w:t>
            </w:r>
          </w:p>
          <w:p w14:paraId="174720D1">
            <w:pPr>
              <w:widowControl/>
              <w:spacing w:line="400" w:lineRule="exact"/>
              <w:ind w:firstLine="422"/>
              <w:jc w:val="left"/>
              <w:rPr>
                <w:rFonts w:hint="eastAsia" w:ascii="宋体" w:hAnsi="宋体" w:cs="仿宋"/>
                <w:b/>
                <w:bCs/>
                <w:color w:val="000000"/>
                <w:szCs w:val="21"/>
              </w:rPr>
            </w:pPr>
            <w:r>
              <w:rPr>
                <w:rFonts w:hint="eastAsia" w:ascii="宋体" w:hAnsi="宋体" w:cs="仿宋"/>
                <w:b/>
                <w:bCs/>
                <w:color w:val="000000"/>
                <w:szCs w:val="21"/>
              </w:rPr>
              <w:t>（5）相关法律法规对供应商报价有规定的，从其规定。</w:t>
            </w:r>
          </w:p>
          <w:p w14:paraId="1EC2A7A7">
            <w:pPr>
              <w:widowControl/>
              <w:spacing w:line="400" w:lineRule="exact"/>
              <w:ind w:firstLine="422"/>
              <w:jc w:val="left"/>
              <w:rPr>
                <w:rFonts w:hint="eastAsia" w:ascii="宋体" w:hAnsi="宋体" w:cs="仿宋"/>
                <w:b/>
                <w:bCs/>
                <w:color w:val="000000"/>
                <w:szCs w:val="21"/>
              </w:rPr>
            </w:pPr>
            <w:r>
              <w:rPr>
                <w:rFonts w:hint="eastAsia" w:ascii="宋体" w:hAnsi="宋体" w:cs="仿宋"/>
                <w:b/>
                <w:bCs/>
                <w:color w:val="000000"/>
                <w:szCs w:val="21"/>
              </w:rPr>
              <w:t>5.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CA66E36">
            <w:pPr>
              <w:widowControl/>
              <w:spacing w:line="400" w:lineRule="exact"/>
              <w:ind w:firstLine="422"/>
              <w:jc w:val="left"/>
              <w:rPr>
                <w:rFonts w:hint="eastAsia" w:ascii="宋体" w:hAnsi="宋体" w:cs="仿宋"/>
                <w:b/>
                <w:bCs/>
                <w:color w:val="000000"/>
                <w:szCs w:val="21"/>
              </w:rPr>
            </w:pPr>
            <w:r>
              <w:rPr>
                <w:rFonts w:hint="eastAsia" w:ascii="宋体" w:hAnsi="宋体" w:cs="仿宋"/>
                <w:b/>
                <w:bCs/>
                <w:color w:val="000000"/>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7DEDE78">
            <w:pPr>
              <w:widowControl/>
              <w:spacing w:line="400" w:lineRule="exact"/>
              <w:ind w:firstLine="422"/>
              <w:jc w:val="left"/>
              <w:rPr>
                <w:rFonts w:hint="eastAsia" w:ascii="宋体" w:hAnsi="宋体" w:cs="宋体"/>
                <w:b/>
                <w:bCs/>
                <w:szCs w:val="21"/>
              </w:rPr>
            </w:pPr>
            <w:r>
              <w:rPr>
                <w:rFonts w:hint="eastAsia" w:ascii="宋体" w:hAnsi="宋体" w:cs="仿宋"/>
                <w:b/>
                <w:bCs/>
                <w:color w:val="000000"/>
                <w:szCs w:val="21"/>
              </w:rPr>
              <w:t xml:space="preserve">  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tc>
      </w:tr>
      <w:tr w14:paraId="2369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3" w:hRule="atLeast"/>
          <w:jc w:val="center"/>
        </w:trPr>
        <w:tc>
          <w:tcPr>
            <w:tcW w:w="737" w:type="pct"/>
            <w:vMerge w:val="restart"/>
            <w:tcBorders>
              <w:tl2br w:val="nil"/>
              <w:tr2bl w:val="nil"/>
            </w:tcBorders>
            <w:noWrap/>
            <w:vAlign w:val="center"/>
          </w:tcPr>
          <w:p w14:paraId="5D0305DB">
            <w:pPr>
              <w:rPr>
                <w:rFonts w:hint="eastAsia" w:ascii="宋体" w:hAnsi="宋体" w:cs="宋体"/>
              </w:rPr>
            </w:pPr>
            <w:r>
              <w:rPr>
                <w:rFonts w:hint="eastAsia" w:ascii="宋体" w:hAnsi="宋体" w:cs="宋体"/>
              </w:rPr>
              <w:t>技术服务</w:t>
            </w:r>
          </w:p>
        </w:tc>
        <w:tc>
          <w:tcPr>
            <w:tcW w:w="625" w:type="pct"/>
            <w:vMerge w:val="restart"/>
            <w:tcBorders>
              <w:tl2br w:val="nil"/>
              <w:tr2bl w:val="nil"/>
            </w:tcBorders>
            <w:noWrap/>
            <w:vAlign w:val="center"/>
          </w:tcPr>
          <w:p w14:paraId="5804908D">
            <w:pPr>
              <w:rPr>
                <w:rFonts w:hint="eastAsia" w:ascii="宋体" w:hAnsi="宋体" w:cs="宋体"/>
              </w:rPr>
            </w:pPr>
            <w:r>
              <w:rPr>
                <w:rFonts w:hint="eastAsia" w:ascii="宋体" w:hAnsi="宋体" w:cs="宋体"/>
              </w:rPr>
              <w:t>技术方案（</w:t>
            </w:r>
            <w:r>
              <w:rPr>
                <w:rFonts w:hint="eastAsia" w:ascii="宋体" w:hAnsi="宋体" w:cs="宋体"/>
                <w:lang w:val="en-US" w:eastAsia="zh-CN"/>
              </w:rPr>
              <w:t>54</w:t>
            </w:r>
            <w:r>
              <w:rPr>
                <w:rFonts w:hint="eastAsia" w:ascii="宋体" w:hAnsi="宋体" w:cs="宋体"/>
              </w:rPr>
              <w:t>分）</w:t>
            </w:r>
          </w:p>
        </w:tc>
        <w:tc>
          <w:tcPr>
            <w:tcW w:w="481" w:type="pct"/>
            <w:tcBorders>
              <w:tl2br w:val="nil"/>
              <w:tr2bl w:val="nil"/>
            </w:tcBorders>
            <w:noWrap/>
            <w:vAlign w:val="center"/>
          </w:tcPr>
          <w:p w14:paraId="422A63F0">
            <w:pPr>
              <w:jc w:val="center"/>
              <w:rPr>
                <w:rFonts w:hint="eastAsia" w:ascii="宋体" w:hAnsi="宋体" w:cs="宋体"/>
                <w:szCs w:val="21"/>
              </w:rPr>
            </w:pPr>
            <w:r>
              <w:rPr>
                <w:rFonts w:hint="eastAsia" w:ascii="宋体" w:hAnsi="宋体" w:cs="宋体"/>
                <w:szCs w:val="21"/>
              </w:rPr>
              <w:t>6分</w:t>
            </w:r>
          </w:p>
        </w:tc>
        <w:tc>
          <w:tcPr>
            <w:tcW w:w="3155" w:type="pct"/>
            <w:tcBorders>
              <w:tl2br w:val="nil"/>
              <w:tr2bl w:val="nil"/>
            </w:tcBorders>
            <w:noWrap/>
            <w:vAlign w:val="center"/>
          </w:tcPr>
          <w:p w14:paraId="6F48CB8C">
            <w:pPr>
              <w:widowControl/>
              <w:spacing w:line="400" w:lineRule="exact"/>
              <w:jc w:val="left"/>
              <w:rPr>
                <w:rFonts w:hint="eastAsia" w:ascii="宋体" w:hAnsi="宋体" w:cs="仿宋"/>
                <w:b/>
                <w:bCs/>
                <w:color w:val="FF0000"/>
                <w:szCs w:val="21"/>
              </w:rPr>
            </w:pPr>
            <w:r>
              <w:rPr>
                <w:rFonts w:hint="eastAsia" w:ascii="宋体" w:hAnsi="宋体" w:cs="仿宋"/>
                <w:b/>
                <w:bCs/>
                <w:color w:val="FF0000"/>
                <w:szCs w:val="21"/>
              </w:rPr>
              <w:t>1、项目理解</w:t>
            </w:r>
          </w:p>
          <w:p w14:paraId="56B5A023">
            <w:pPr>
              <w:widowControl/>
              <w:spacing w:line="400" w:lineRule="exact"/>
              <w:jc w:val="left"/>
              <w:rPr>
                <w:rFonts w:hint="eastAsia" w:ascii="宋体" w:hAnsi="宋体"/>
                <w:szCs w:val="21"/>
              </w:rPr>
            </w:pPr>
            <w:bookmarkStart w:id="43" w:name="OLE_LINK20"/>
            <w:r>
              <w:rPr>
                <w:rFonts w:hint="eastAsia" w:ascii="宋体" w:hAnsi="宋体"/>
                <w:szCs w:val="21"/>
              </w:rPr>
              <w:t>根据投标人提供对本项目理解说明包括①本项目的基本情况②本项目工作范围的难点、重点描述与分析进行综合评价：</w:t>
            </w:r>
          </w:p>
          <w:p w14:paraId="10CD364F">
            <w:pPr>
              <w:widowControl/>
              <w:spacing w:line="400" w:lineRule="exact"/>
              <w:jc w:val="left"/>
              <w:rPr>
                <w:rFonts w:hint="eastAsia" w:ascii="宋体" w:hAnsi="宋体" w:cs="宋体"/>
                <w:szCs w:val="21"/>
              </w:rPr>
            </w:pPr>
            <w:r>
              <w:rPr>
                <w:rFonts w:hint="eastAsia" w:ascii="宋体" w:hAnsi="宋体" w:cs="宋体"/>
                <w:szCs w:val="21"/>
              </w:rPr>
              <w:t>完全包含上述要点的得基本分4分；每有一项不完全满足项目需求和实际情况的扣1分，每缺一项扣2分，扣完为止。</w:t>
            </w:r>
          </w:p>
          <w:p w14:paraId="2BA93524">
            <w:pPr>
              <w:widowControl/>
              <w:spacing w:line="400" w:lineRule="exact"/>
              <w:jc w:val="left"/>
              <w:rPr>
                <w:rFonts w:hint="eastAsia" w:ascii="宋体" w:hAnsi="宋体" w:cs="宋体"/>
                <w:szCs w:val="21"/>
              </w:rPr>
            </w:pPr>
            <w:r>
              <w:rPr>
                <w:rFonts w:hint="eastAsia" w:ascii="宋体" w:hAnsi="宋体" w:cs="宋体"/>
                <w:szCs w:val="21"/>
              </w:rPr>
              <w:t>对背景及需求理解深刻到位的，加1分；</w:t>
            </w:r>
          </w:p>
          <w:p w14:paraId="156861A6">
            <w:pPr>
              <w:widowControl/>
              <w:spacing w:line="400" w:lineRule="exact"/>
              <w:jc w:val="left"/>
              <w:rPr>
                <w:rFonts w:hint="eastAsia" w:ascii="宋体" w:hAnsi="宋体" w:cs="宋体"/>
                <w:szCs w:val="21"/>
              </w:rPr>
            </w:pPr>
            <w:r>
              <w:rPr>
                <w:rFonts w:hint="eastAsia" w:ascii="宋体" w:hAnsi="宋体" w:cs="宋体"/>
                <w:szCs w:val="21"/>
              </w:rPr>
              <w:t>对实施地现状分析全面到位，目标清晰的，加1分；</w:t>
            </w:r>
          </w:p>
          <w:p w14:paraId="6076E04A">
            <w:pPr>
              <w:widowControl/>
              <w:spacing w:line="400" w:lineRule="exact"/>
              <w:jc w:val="left"/>
              <w:rPr>
                <w:rFonts w:hint="eastAsia" w:ascii="宋体" w:hAnsi="宋体" w:cs="宋体"/>
                <w:szCs w:val="21"/>
              </w:rPr>
            </w:pPr>
            <w:r>
              <w:rPr>
                <w:rFonts w:hint="eastAsia" w:ascii="宋体" w:hAnsi="宋体" w:cs="宋体"/>
                <w:szCs w:val="21"/>
              </w:rPr>
              <w:t>未提供不得分。</w:t>
            </w:r>
          </w:p>
          <w:p w14:paraId="4B875F8F">
            <w:pPr>
              <w:widowControl/>
              <w:spacing w:line="400" w:lineRule="exact"/>
              <w:jc w:val="left"/>
              <w:rPr>
                <w:rFonts w:hint="eastAsia" w:ascii="宋体" w:hAnsi="宋体"/>
                <w:szCs w:val="21"/>
              </w:rPr>
            </w:pPr>
            <w:r>
              <w:rPr>
                <w:rFonts w:hint="eastAsia" w:ascii="宋体" w:hAnsi="宋体" w:cs="宋体"/>
                <w:szCs w:val="21"/>
              </w:rPr>
              <w:t>注：【每有一项不完全满足项目需求和实际情况是指方案中存在不适用项目实际情况、不符合采购需求、套用其他无关内容以及本项目无关等情况。】</w:t>
            </w:r>
            <w:bookmarkEnd w:id="43"/>
          </w:p>
        </w:tc>
      </w:tr>
      <w:tr w14:paraId="0E14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37" w:type="pct"/>
            <w:vMerge w:val="continue"/>
            <w:tcBorders>
              <w:tl2br w:val="nil"/>
              <w:tr2bl w:val="nil"/>
            </w:tcBorders>
            <w:noWrap/>
            <w:vAlign w:val="center"/>
          </w:tcPr>
          <w:p w14:paraId="2B28697B">
            <w:pPr>
              <w:ind w:firstLine="480"/>
              <w:jc w:val="center"/>
              <w:rPr>
                <w:rFonts w:hint="eastAsia" w:ascii="宋体" w:hAnsi="宋体" w:cs="宋体"/>
              </w:rPr>
            </w:pPr>
          </w:p>
        </w:tc>
        <w:tc>
          <w:tcPr>
            <w:tcW w:w="625" w:type="pct"/>
            <w:vMerge w:val="continue"/>
            <w:tcBorders>
              <w:tl2br w:val="nil"/>
              <w:tr2bl w:val="nil"/>
            </w:tcBorders>
            <w:noWrap/>
            <w:vAlign w:val="center"/>
          </w:tcPr>
          <w:p w14:paraId="48635F5C">
            <w:pPr>
              <w:ind w:firstLine="480"/>
              <w:jc w:val="center"/>
              <w:rPr>
                <w:rFonts w:hint="eastAsia" w:ascii="宋体" w:hAnsi="宋体" w:cs="宋体"/>
                <w:color w:val="000000"/>
              </w:rPr>
            </w:pPr>
          </w:p>
        </w:tc>
        <w:tc>
          <w:tcPr>
            <w:tcW w:w="481" w:type="pct"/>
            <w:tcBorders>
              <w:tl2br w:val="nil"/>
              <w:tr2bl w:val="nil"/>
            </w:tcBorders>
            <w:noWrap/>
            <w:vAlign w:val="center"/>
          </w:tcPr>
          <w:p w14:paraId="274E37CC">
            <w:pPr>
              <w:jc w:val="center"/>
              <w:rPr>
                <w:rFonts w:hint="eastAsia" w:ascii="宋体" w:hAnsi="宋体" w:cs="宋体"/>
                <w:szCs w:val="21"/>
              </w:rPr>
            </w:pPr>
            <w:r>
              <w:rPr>
                <w:rFonts w:hint="eastAsia" w:ascii="宋体" w:hAnsi="宋体" w:cs="宋体"/>
                <w:szCs w:val="21"/>
              </w:rPr>
              <w:t>6分</w:t>
            </w:r>
          </w:p>
        </w:tc>
        <w:tc>
          <w:tcPr>
            <w:tcW w:w="3155" w:type="pct"/>
            <w:tcBorders>
              <w:tl2br w:val="nil"/>
              <w:tr2bl w:val="nil"/>
            </w:tcBorders>
            <w:noWrap/>
            <w:vAlign w:val="center"/>
          </w:tcPr>
          <w:p w14:paraId="7EBF4BBF">
            <w:pPr>
              <w:widowControl/>
              <w:spacing w:line="400" w:lineRule="exact"/>
              <w:jc w:val="left"/>
              <w:rPr>
                <w:rFonts w:hint="eastAsia" w:ascii="宋体" w:hAnsi="宋体" w:cs="仿宋"/>
                <w:b/>
                <w:bCs/>
                <w:color w:val="FF0000"/>
                <w:szCs w:val="21"/>
              </w:rPr>
            </w:pPr>
            <w:r>
              <w:rPr>
                <w:rFonts w:hint="eastAsia" w:ascii="宋体" w:hAnsi="宋体" w:cs="仿宋"/>
                <w:b/>
                <w:bCs/>
                <w:color w:val="FF0000"/>
                <w:szCs w:val="21"/>
              </w:rPr>
              <w:t>2、运维方案</w:t>
            </w:r>
          </w:p>
          <w:p w14:paraId="0BC9D8E6">
            <w:pPr>
              <w:widowControl/>
              <w:spacing w:line="400" w:lineRule="exact"/>
              <w:jc w:val="left"/>
              <w:rPr>
                <w:rFonts w:hint="eastAsia" w:ascii="宋体" w:hAnsi="宋体"/>
                <w:szCs w:val="21"/>
              </w:rPr>
            </w:pPr>
            <w:bookmarkStart w:id="44" w:name="OLE_LINK21"/>
            <w:r>
              <w:rPr>
                <w:rFonts w:hint="eastAsia" w:ascii="宋体" w:hAnsi="宋体"/>
                <w:szCs w:val="21"/>
              </w:rPr>
              <w:t>根据投标人针对本项目提供运维方案，包括①运维计划②日常维护巡检内容进行综合评价：</w:t>
            </w:r>
          </w:p>
          <w:p w14:paraId="5992A26E">
            <w:pPr>
              <w:widowControl/>
              <w:spacing w:line="400" w:lineRule="exact"/>
              <w:jc w:val="left"/>
              <w:rPr>
                <w:rFonts w:hint="eastAsia" w:ascii="宋体" w:hAnsi="宋体" w:cs="宋体"/>
                <w:szCs w:val="21"/>
              </w:rPr>
            </w:pPr>
            <w:r>
              <w:rPr>
                <w:rFonts w:hint="eastAsia" w:ascii="宋体" w:hAnsi="宋体" w:cs="宋体"/>
                <w:szCs w:val="21"/>
              </w:rPr>
              <w:t>完全包含上述要点的得基本分4分；每有一项不完全满足项目需求和实际情况的扣1分，每缺一项扣2分，扣完为止。</w:t>
            </w:r>
          </w:p>
          <w:p w14:paraId="696E3C9C">
            <w:pPr>
              <w:widowControl/>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运维方案内容完善全面，思路清晰的，加1分；</w:t>
            </w:r>
          </w:p>
          <w:p w14:paraId="45182708">
            <w:pPr>
              <w:widowControl/>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运维方案架构完整，技术路线科学合理的，加1分；</w:t>
            </w:r>
          </w:p>
          <w:p w14:paraId="4A9E2922">
            <w:pPr>
              <w:widowControl/>
              <w:spacing w:line="400" w:lineRule="exact"/>
              <w:jc w:val="left"/>
              <w:rPr>
                <w:rFonts w:hint="eastAsia" w:ascii="宋体" w:hAnsi="宋体" w:cs="宋体"/>
                <w:szCs w:val="21"/>
              </w:rPr>
            </w:pPr>
            <w:r>
              <w:rPr>
                <w:rFonts w:hint="eastAsia" w:ascii="宋体" w:hAnsi="宋体" w:cs="宋体"/>
                <w:szCs w:val="21"/>
              </w:rPr>
              <w:t>未提供不得分。</w:t>
            </w:r>
          </w:p>
          <w:p w14:paraId="309CE547">
            <w:pPr>
              <w:widowControl/>
              <w:spacing w:line="400" w:lineRule="exact"/>
              <w:jc w:val="left"/>
              <w:rPr>
                <w:rFonts w:hint="eastAsia" w:ascii="宋体" w:hAnsi="宋体"/>
                <w:szCs w:val="21"/>
              </w:rPr>
            </w:pPr>
            <w:r>
              <w:rPr>
                <w:rFonts w:hint="eastAsia" w:ascii="宋体" w:hAnsi="宋体" w:cs="宋体"/>
                <w:szCs w:val="21"/>
              </w:rPr>
              <w:t>注：【每有一项不完全满足项目需求和实际情况是指方案中存在不适用项目实际情况、不符合采购需求、套用其他无关内容以及本项目无关等情况。】</w:t>
            </w:r>
            <w:bookmarkEnd w:id="44"/>
          </w:p>
        </w:tc>
      </w:tr>
      <w:tr w14:paraId="7D44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7" w:type="pct"/>
            <w:vMerge w:val="continue"/>
            <w:tcBorders>
              <w:tl2br w:val="nil"/>
              <w:tr2bl w:val="nil"/>
            </w:tcBorders>
            <w:noWrap/>
            <w:vAlign w:val="center"/>
          </w:tcPr>
          <w:p w14:paraId="4A1D72CA">
            <w:pPr>
              <w:ind w:firstLine="480"/>
              <w:jc w:val="center"/>
              <w:rPr>
                <w:rFonts w:hint="eastAsia" w:ascii="宋体" w:hAnsi="宋体" w:cs="宋体"/>
              </w:rPr>
            </w:pPr>
          </w:p>
        </w:tc>
        <w:tc>
          <w:tcPr>
            <w:tcW w:w="625" w:type="pct"/>
            <w:vMerge w:val="continue"/>
            <w:tcBorders>
              <w:tl2br w:val="nil"/>
              <w:tr2bl w:val="nil"/>
            </w:tcBorders>
            <w:noWrap/>
            <w:vAlign w:val="center"/>
          </w:tcPr>
          <w:p w14:paraId="66C99DAD">
            <w:pPr>
              <w:ind w:firstLine="480"/>
              <w:jc w:val="center"/>
              <w:rPr>
                <w:rFonts w:hint="eastAsia" w:ascii="宋体" w:hAnsi="宋体" w:cs="宋体"/>
              </w:rPr>
            </w:pPr>
          </w:p>
        </w:tc>
        <w:tc>
          <w:tcPr>
            <w:tcW w:w="481" w:type="pct"/>
            <w:tcBorders>
              <w:tl2br w:val="nil"/>
              <w:tr2bl w:val="nil"/>
            </w:tcBorders>
            <w:noWrap/>
            <w:vAlign w:val="center"/>
          </w:tcPr>
          <w:p w14:paraId="5FB2DE12">
            <w:pPr>
              <w:jc w:val="center"/>
              <w:rPr>
                <w:rFonts w:hint="eastAsia" w:ascii="宋体" w:hAnsi="宋体" w:cs="宋体"/>
                <w:szCs w:val="21"/>
              </w:rPr>
            </w:pPr>
            <w:r>
              <w:rPr>
                <w:rFonts w:hint="eastAsia" w:ascii="宋体" w:hAnsi="宋体" w:cs="宋体"/>
                <w:szCs w:val="21"/>
              </w:rPr>
              <w:t>6分</w:t>
            </w:r>
          </w:p>
        </w:tc>
        <w:tc>
          <w:tcPr>
            <w:tcW w:w="3155" w:type="pct"/>
            <w:tcBorders>
              <w:tl2br w:val="nil"/>
              <w:tr2bl w:val="nil"/>
            </w:tcBorders>
            <w:noWrap/>
            <w:vAlign w:val="center"/>
          </w:tcPr>
          <w:p w14:paraId="6BFE4BC7">
            <w:pPr>
              <w:widowControl/>
              <w:spacing w:line="400" w:lineRule="exact"/>
              <w:jc w:val="left"/>
              <w:rPr>
                <w:rFonts w:hint="eastAsia" w:ascii="宋体" w:hAnsi="宋体" w:cs="仿宋"/>
                <w:b/>
                <w:bCs/>
                <w:color w:val="FF0000"/>
                <w:szCs w:val="21"/>
              </w:rPr>
            </w:pPr>
            <w:r>
              <w:rPr>
                <w:rFonts w:hint="eastAsia" w:ascii="宋体" w:hAnsi="宋体" w:cs="仿宋"/>
                <w:b/>
                <w:bCs/>
                <w:color w:val="FF0000"/>
                <w:szCs w:val="21"/>
              </w:rPr>
              <w:t>3、故障维修方案</w:t>
            </w:r>
          </w:p>
          <w:p w14:paraId="15ADF912">
            <w:pPr>
              <w:widowControl/>
              <w:spacing w:line="400" w:lineRule="exact"/>
              <w:jc w:val="left"/>
              <w:rPr>
                <w:rFonts w:hint="eastAsia" w:ascii="宋体" w:hAnsi="宋体"/>
                <w:szCs w:val="21"/>
              </w:rPr>
            </w:pPr>
            <w:r>
              <w:rPr>
                <w:rFonts w:hint="eastAsia" w:ascii="宋体" w:hAnsi="宋体"/>
                <w:szCs w:val="21"/>
              </w:rPr>
              <w:t>根据投标人针对本项目提供故障维修方案，包括①故障维修流程②故障维修措施进行综合评价：</w:t>
            </w:r>
          </w:p>
          <w:p w14:paraId="4E38F10B">
            <w:pPr>
              <w:widowControl/>
              <w:spacing w:line="400" w:lineRule="exact"/>
              <w:jc w:val="left"/>
              <w:rPr>
                <w:rFonts w:hint="eastAsia" w:ascii="宋体" w:hAnsi="宋体" w:cs="宋体"/>
                <w:szCs w:val="21"/>
              </w:rPr>
            </w:pPr>
            <w:r>
              <w:rPr>
                <w:rFonts w:hint="eastAsia" w:ascii="宋体" w:hAnsi="宋体" w:cs="宋体"/>
                <w:szCs w:val="21"/>
              </w:rPr>
              <w:t>完全包含上述要点的得基本分4分；每有一项不完全满足项目需求和实际情况的扣1分，每缺一项扣2分，扣完为止。</w:t>
            </w:r>
          </w:p>
          <w:p w14:paraId="7984141A">
            <w:pPr>
              <w:widowControl/>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故障维修方案内容完善全面，思路清晰的，加1分；</w:t>
            </w:r>
          </w:p>
          <w:p w14:paraId="5B0412DE">
            <w:pPr>
              <w:widowControl/>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故障维修方案架构完整，针对性强的，加1分；</w:t>
            </w:r>
          </w:p>
          <w:p w14:paraId="4654BE5E">
            <w:pPr>
              <w:widowControl/>
              <w:spacing w:line="400" w:lineRule="exact"/>
              <w:jc w:val="left"/>
              <w:rPr>
                <w:rFonts w:hint="eastAsia" w:ascii="宋体" w:hAnsi="宋体" w:cs="宋体"/>
                <w:szCs w:val="21"/>
              </w:rPr>
            </w:pPr>
            <w:r>
              <w:rPr>
                <w:rFonts w:hint="eastAsia" w:ascii="宋体" w:hAnsi="宋体" w:cs="宋体"/>
                <w:szCs w:val="21"/>
              </w:rPr>
              <w:t>未提供不得分。</w:t>
            </w:r>
          </w:p>
          <w:p w14:paraId="3C17EF52">
            <w:pPr>
              <w:widowControl/>
              <w:spacing w:line="400" w:lineRule="exact"/>
              <w:jc w:val="left"/>
              <w:rPr>
                <w:rFonts w:hint="eastAsia" w:ascii="宋体" w:hAnsi="宋体"/>
                <w:szCs w:val="21"/>
              </w:rPr>
            </w:pPr>
            <w:r>
              <w:rPr>
                <w:rFonts w:hint="eastAsia" w:ascii="宋体" w:hAnsi="宋体" w:cs="宋体"/>
                <w:szCs w:val="21"/>
              </w:rPr>
              <w:t>注：【每有一项不完全满足项目需求和实际情况是指方案中存在不适用项目实际情况、不符合采购需求、套用其他无关内容以及本项目无关等情况。】</w:t>
            </w:r>
          </w:p>
        </w:tc>
      </w:tr>
      <w:tr w14:paraId="2674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7" w:type="pct"/>
            <w:vMerge w:val="continue"/>
            <w:tcBorders>
              <w:tl2br w:val="nil"/>
              <w:tr2bl w:val="nil"/>
            </w:tcBorders>
            <w:noWrap/>
            <w:vAlign w:val="center"/>
          </w:tcPr>
          <w:p w14:paraId="5788A940">
            <w:pPr>
              <w:ind w:firstLine="480"/>
              <w:jc w:val="center"/>
              <w:rPr>
                <w:rFonts w:hint="eastAsia" w:ascii="宋体" w:hAnsi="宋体" w:cs="宋体"/>
              </w:rPr>
            </w:pPr>
          </w:p>
        </w:tc>
        <w:tc>
          <w:tcPr>
            <w:tcW w:w="625" w:type="pct"/>
            <w:vMerge w:val="continue"/>
            <w:tcBorders>
              <w:tl2br w:val="nil"/>
              <w:tr2bl w:val="nil"/>
            </w:tcBorders>
            <w:noWrap/>
            <w:vAlign w:val="center"/>
          </w:tcPr>
          <w:p w14:paraId="30D1CF7F">
            <w:pPr>
              <w:ind w:firstLine="480"/>
              <w:jc w:val="center"/>
              <w:rPr>
                <w:rFonts w:hint="eastAsia" w:ascii="宋体" w:hAnsi="宋体" w:cs="宋体"/>
              </w:rPr>
            </w:pPr>
          </w:p>
        </w:tc>
        <w:tc>
          <w:tcPr>
            <w:tcW w:w="481" w:type="pct"/>
            <w:tcBorders>
              <w:tl2br w:val="nil"/>
              <w:tr2bl w:val="nil"/>
            </w:tcBorders>
            <w:noWrap/>
            <w:vAlign w:val="center"/>
          </w:tcPr>
          <w:p w14:paraId="7C120D68">
            <w:pPr>
              <w:jc w:val="center"/>
              <w:rPr>
                <w:rFonts w:hint="eastAsia" w:ascii="宋体" w:hAnsi="宋体" w:cs="宋体"/>
                <w:szCs w:val="21"/>
              </w:rPr>
            </w:pPr>
            <w:r>
              <w:rPr>
                <w:rFonts w:hint="eastAsia" w:ascii="宋体" w:hAnsi="宋体" w:cs="宋体"/>
                <w:szCs w:val="21"/>
              </w:rPr>
              <w:t>6分</w:t>
            </w:r>
          </w:p>
        </w:tc>
        <w:tc>
          <w:tcPr>
            <w:tcW w:w="3155" w:type="pct"/>
            <w:tcBorders>
              <w:tl2br w:val="nil"/>
              <w:tr2bl w:val="nil"/>
            </w:tcBorders>
            <w:noWrap/>
            <w:vAlign w:val="center"/>
          </w:tcPr>
          <w:p w14:paraId="5B99398D">
            <w:pPr>
              <w:widowControl/>
              <w:spacing w:line="400" w:lineRule="exact"/>
              <w:jc w:val="left"/>
              <w:rPr>
                <w:rFonts w:hint="eastAsia" w:ascii="宋体" w:hAnsi="宋体" w:cs="仿宋"/>
                <w:b/>
                <w:bCs/>
                <w:color w:val="FF0000"/>
                <w:szCs w:val="21"/>
              </w:rPr>
            </w:pPr>
            <w:r>
              <w:rPr>
                <w:rFonts w:hint="eastAsia" w:ascii="宋体" w:hAnsi="宋体" w:cs="仿宋"/>
                <w:b/>
                <w:bCs/>
                <w:color w:val="FF0000"/>
                <w:szCs w:val="21"/>
              </w:rPr>
              <w:t>4、质控方案</w:t>
            </w:r>
          </w:p>
          <w:p w14:paraId="2041D048">
            <w:pPr>
              <w:widowControl/>
              <w:spacing w:line="400" w:lineRule="exact"/>
              <w:jc w:val="left"/>
              <w:rPr>
                <w:rFonts w:hint="eastAsia" w:ascii="宋体" w:hAnsi="宋体"/>
                <w:szCs w:val="21"/>
              </w:rPr>
            </w:pPr>
            <w:r>
              <w:rPr>
                <w:rFonts w:hint="eastAsia" w:ascii="宋体" w:hAnsi="宋体"/>
                <w:szCs w:val="21"/>
              </w:rPr>
              <w:t>根据投标人针对本项目提供质控方案，包括①质控计划②质控措施进行综合评价：</w:t>
            </w:r>
          </w:p>
          <w:p w14:paraId="17E02FE1">
            <w:pPr>
              <w:widowControl/>
              <w:spacing w:line="400" w:lineRule="exact"/>
              <w:jc w:val="left"/>
              <w:rPr>
                <w:rFonts w:hint="eastAsia" w:ascii="宋体" w:hAnsi="宋体" w:cs="宋体"/>
                <w:szCs w:val="21"/>
              </w:rPr>
            </w:pPr>
            <w:r>
              <w:rPr>
                <w:rFonts w:hint="eastAsia" w:ascii="宋体" w:hAnsi="宋体" w:cs="宋体"/>
                <w:szCs w:val="21"/>
              </w:rPr>
              <w:t>完全包含上述要点的得基本分4分；每有一项不完全满足项目需求和实际情况的扣1分，每缺一项扣2分，扣完为止。</w:t>
            </w:r>
          </w:p>
          <w:p w14:paraId="0E99766D">
            <w:pPr>
              <w:widowControl/>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质控方案内容完善全面，思路清晰的，加1分；</w:t>
            </w:r>
          </w:p>
          <w:p w14:paraId="3060E31A">
            <w:pPr>
              <w:widowControl/>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质控方案架构完整，技术路线科学合理的，加1分；</w:t>
            </w:r>
          </w:p>
          <w:p w14:paraId="0FF53C6F">
            <w:pPr>
              <w:widowControl/>
              <w:spacing w:line="400" w:lineRule="exact"/>
              <w:jc w:val="left"/>
              <w:rPr>
                <w:rFonts w:hint="eastAsia" w:ascii="宋体" w:hAnsi="宋体" w:cs="宋体"/>
                <w:szCs w:val="21"/>
              </w:rPr>
            </w:pPr>
            <w:r>
              <w:rPr>
                <w:rFonts w:hint="eastAsia" w:ascii="宋体" w:hAnsi="宋体" w:cs="宋体"/>
                <w:szCs w:val="21"/>
              </w:rPr>
              <w:t>未提供不得分。</w:t>
            </w:r>
          </w:p>
          <w:p w14:paraId="4E1C1596">
            <w:pPr>
              <w:widowControl/>
              <w:spacing w:line="400" w:lineRule="exact"/>
              <w:jc w:val="left"/>
              <w:rPr>
                <w:rFonts w:hint="eastAsia" w:ascii="宋体" w:hAnsi="宋体" w:cs="仿宋"/>
                <w:b/>
                <w:bCs/>
                <w:color w:val="FF0000"/>
                <w:szCs w:val="21"/>
              </w:rPr>
            </w:pPr>
            <w:r>
              <w:rPr>
                <w:rFonts w:hint="eastAsia" w:ascii="宋体" w:hAnsi="宋体" w:cs="宋体"/>
                <w:szCs w:val="21"/>
              </w:rPr>
              <w:t>注：【每有一项不完全满足项目需求和实际情况是指方案中存在不适用项目实际情况、不符合采购需求、套用其他无关内容以及本项目无关等情况。】</w:t>
            </w:r>
          </w:p>
        </w:tc>
      </w:tr>
      <w:tr w14:paraId="585C4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0" w:hRule="atLeast"/>
          <w:jc w:val="center"/>
        </w:trPr>
        <w:tc>
          <w:tcPr>
            <w:tcW w:w="737" w:type="pct"/>
            <w:vMerge w:val="continue"/>
            <w:tcBorders>
              <w:tl2br w:val="nil"/>
              <w:tr2bl w:val="nil"/>
            </w:tcBorders>
            <w:noWrap/>
            <w:vAlign w:val="center"/>
          </w:tcPr>
          <w:p w14:paraId="70FD03A6">
            <w:pPr>
              <w:ind w:firstLine="480"/>
              <w:jc w:val="center"/>
              <w:rPr>
                <w:rFonts w:hint="eastAsia" w:ascii="宋体" w:hAnsi="宋体" w:cs="宋体"/>
              </w:rPr>
            </w:pPr>
          </w:p>
        </w:tc>
        <w:tc>
          <w:tcPr>
            <w:tcW w:w="625" w:type="pct"/>
            <w:vMerge w:val="continue"/>
            <w:tcBorders>
              <w:tl2br w:val="nil"/>
              <w:tr2bl w:val="nil"/>
            </w:tcBorders>
            <w:noWrap/>
            <w:vAlign w:val="center"/>
          </w:tcPr>
          <w:p w14:paraId="3581FB8E">
            <w:pPr>
              <w:ind w:firstLine="480"/>
              <w:jc w:val="center"/>
              <w:rPr>
                <w:rFonts w:hint="eastAsia" w:ascii="宋体" w:hAnsi="宋体" w:cs="宋体"/>
              </w:rPr>
            </w:pPr>
          </w:p>
        </w:tc>
        <w:tc>
          <w:tcPr>
            <w:tcW w:w="481" w:type="pct"/>
            <w:tcBorders>
              <w:tl2br w:val="nil"/>
              <w:tr2bl w:val="nil"/>
            </w:tcBorders>
            <w:noWrap/>
            <w:vAlign w:val="center"/>
          </w:tcPr>
          <w:p w14:paraId="569C40FD">
            <w:pPr>
              <w:jc w:val="center"/>
              <w:rPr>
                <w:rFonts w:hint="eastAsia" w:ascii="宋体" w:hAnsi="宋体" w:cs="宋体"/>
                <w:szCs w:val="21"/>
              </w:rPr>
            </w:pPr>
            <w:r>
              <w:rPr>
                <w:rFonts w:hint="eastAsia" w:ascii="宋体" w:hAnsi="宋体" w:cs="宋体"/>
                <w:szCs w:val="21"/>
              </w:rPr>
              <w:t>6分</w:t>
            </w:r>
          </w:p>
        </w:tc>
        <w:tc>
          <w:tcPr>
            <w:tcW w:w="3155" w:type="pct"/>
            <w:tcBorders>
              <w:tl2br w:val="nil"/>
              <w:tr2bl w:val="nil"/>
            </w:tcBorders>
            <w:noWrap/>
            <w:vAlign w:val="center"/>
          </w:tcPr>
          <w:p w14:paraId="437611E9">
            <w:pPr>
              <w:widowControl/>
              <w:spacing w:line="400" w:lineRule="exact"/>
              <w:jc w:val="left"/>
              <w:rPr>
                <w:rFonts w:hint="eastAsia" w:ascii="宋体" w:hAnsi="宋体" w:cs="仿宋"/>
                <w:b/>
                <w:bCs/>
                <w:color w:val="FF0000"/>
                <w:szCs w:val="21"/>
              </w:rPr>
            </w:pPr>
            <w:r>
              <w:rPr>
                <w:rFonts w:hint="eastAsia" w:ascii="宋体" w:hAnsi="宋体" w:cs="仿宋"/>
                <w:b/>
                <w:bCs/>
                <w:color w:val="FF0000"/>
                <w:szCs w:val="21"/>
              </w:rPr>
              <w:t>5、数据管理方案</w:t>
            </w:r>
          </w:p>
          <w:p w14:paraId="2399F5FB">
            <w:pPr>
              <w:widowControl/>
              <w:spacing w:line="400" w:lineRule="exact"/>
              <w:jc w:val="left"/>
              <w:rPr>
                <w:rFonts w:hint="eastAsia" w:ascii="宋体" w:hAnsi="宋体"/>
                <w:szCs w:val="21"/>
              </w:rPr>
            </w:pPr>
            <w:r>
              <w:rPr>
                <w:rFonts w:hint="eastAsia" w:ascii="宋体" w:hAnsi="宋体"/>
                <w:szCs w:val="21"/>
              </w:rPr>
              <w:t>根据投标人针对本项目提供数据管理方案，包括</w:t>
            </w:r>
            <w:bookmarkStart w:id="45" w:name="OLE_LINK7"/>
            <w:r>
              <w:rPr>
                <w:rFonts w:hint="eastAsia" w:ascii="宋体" w:hAnsi="宋体"/>
                <w:szCs w:val="21"/>
              </w:rPr>
              <w:t>①</w:t>
            </w:r>
            <w:bookmarkEnd w:id="45"/>
            <w:r>
              <w:rPr>
                <w:rFonts w:hint="eastAsia" w:ascii="宋体" w:hAnsi="宋体"/>
                <w:szCs w:val="21"/>
              </w:rPr>
              <w:t>数据审核措施②异常数据识别、处理措施进行综合评价：</w:t>
            </w:r>
          </w:p>
          <w:p w14:paraId="647E6BF5">
            <w:pPr>
              <w:widowControl/>
              <w:spacing w:line="400" w:lineRule="exact"/>
              <w:jc w:val="left"/>
              <w:rPr>
                <w:rFonts w:hint="eastAsia" w:ascii="宋体" w:hAnsi="宋体" w:cs="宋体"/>
                <w:szCs w:val="21"/>
              </w:rPr>
            </w:pPr>
            <w:r>
              <w:rPr>
                <w:rFonts w:hint="eastAsia" w:ascii="宋体" w:hAnsi="宋体" w:cs="宋体"/>
                <w:szCs w:val="21"/>
              </w:rPr>
              <w:t>完全包含上述要点的得基本分4分；每有一项不完全满足项目需求和实际情况的扣1分，每缺一项扣2分，扣完为止。</w:t>
            </w:r>
          </w:p>
          <w:p w14:paraId="610084AC">
            <w:pPr>
              <w:widowControl/>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数据管理方案</w:t>
            </w:r>
            <w:r>
              <w:rPr>
                <w:rFonts w:hint="eastAsia" w:ascii="宋体" w:hAnsi="宋体" w:cs="宋体"/>
                <w:szCs w:val="21"/>
              </w:rPr>
              <w:t>周密完善、合理规范的</w:t>
            </w:r>
            <w:r>
              <w:rPr>
                <w:rFonts w:hint="eastAsia" w:ascii="宋体" w:hAnsi="宋体" w:cs="宋体"/>
                <w:color w:val="000000" w:themeColor="text1"/>
                <w:szCs w:val="21"/>
                <w14:textFill>
                  <w14:solidFill>
                    <w14:schemeClr w14:val="tx1"/>
                  </w14:solidFill>
                </w14:textFill>
              </w:rPr>
              <w:t>，加1分；</w:t>
            </w:r>
          </w:p>
          <w:p w14:paraId="6BEE9F30">
            <w:pPr>
              <w:widowControl/>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数据管理方案</w:t>
            </w:r>
            <w:r>
              <w:rPr>
                <w:rFonts w:hint="eastAsia" w:ascii="宋体" w:hAnsi="宋体" w:cs="宋体"/>
                <w:szCs w:val="21"/>
              </w:rPr>
              <w:t>针对性强、内容详细全面</w:t>
            </w:r>
            <w:r>
              <w:rPr>
                <w:rFonts w:hint="eastAsia" w:ascii="宋体" w:hAnsi="宋体" w:cs="宋体"/>
                <w:color w:val="000000" w:themeColor="text1"/>
                <w:szCs w:val="21"/>
                <w14:textFill>
                  <w14:solidFill>
                    <w14:schemeClr w14:val="tx1"/>
                  </w14:solidFill>
                </w14:textFill>
              </w:rPr>
              <w:t>的，加1分；</w:t>
            </w:r>
          </w:p>
          <w:p w14:paraId="3C5DD313">
            <w:pPr>
              <w:widowControl/>
              <w:spacing w:line="400" w:lineRule="exact"/>
              <w:jc w:val="left"/>
              <w:rPr>
                <w:rFonts w:hint="eastAsia" w:ascii="宋体" w:hAnsi="宋体" w:cs="宋体"/>
                <w:szCs w:val="21"/>
              </w:rPr>
            </w:pPr>
            <w:r>
              <w:rPr>
                <w:rFonts w:hint="eastAsia" w:ascii="宋体" w:hAnsi="宋体" w:cs="宋体"/>
                <w:szCs w:val="21"/>
              </w:rPr>
              <w:t>未提供不得分。</w:t>
            </w:r>
          </w:p>
          <w:p w14:paraId="76774343">
            <w:pPr>
              <w:widowControl/>
              <w:spacing w:line="400" w:lineRule="exact"/>
              <w:jc w:val="left"/>
              <w:rPr>
                <w:rFonts w:hint="eastAsia" w:ascii="宋体" w:hAnsi="宋体" w:cs="仿宋"/>
                <w:b/>
                <w:bCs/>
                <w:color w:val="FF0000"/>
                <w:szCs w:val="21"/>
              </w:rPr>
            </w:pPr>
            <w:r>
              <w:rPr>
                <w:rFonts w:hint="eastAsia" w:ascii="宋体" w:hAnsi="宋体" w:cs="宋体"/>
                <w:szCs w:val="21"/>
              </w:rPr>
              <w:t>注：【每有一项不完全满足项目需求和实际情况是指方案中存在不适用项目实际情况、不符合采购需求、套用其他无关内容以及本项目无关等情况。】</w:t>
            </w:r>
          </w:p>
        </w:tc>
      </w:tr>
      <w:tr w14:paraId="1E21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7" w:type="pct"/>
            <w:vMerge w:val="continue"/>
            <w:tcBorders>
              <w:tl2br w:val="nil"/>
              <w:tr2bl w:val="nil"/>
            </w:tcBorders>
            <w:noWrap/>
            <w:vAlign w:val="center"/>
          </w:tcPr>
          <w:p w14:paraId="689733CA">
            <w:pPr>
              <w:ind w:firstLine="480"/>
              <w:jc w:val="center"/>
              <w:rPr>
                <w:rFonts w:hint="eastAsia" w:ascii="宋体" w:hAnsi="宋体" w:cs="宋体"/>
              </w:rPr>
            </w:pPr>
          </w:p>
        </w:tc>
        <w:tc>
          <w:tcPr>
            <w:tcW w:w="625" w:type="pct"/>
            <w:vMerge w:val="continue"/>
            <w:tcBorders>
              <w:tl2br w:val="nil"/>
              <w:tr2bl w:val="nil"/>
            </w:tcBorders>
            <w:noWrap/>
            <w:vAlign w:val="center"/>
          </w:tcPr>
          <w:p w14:paraId="0BAAAB78">
            <w:pPr>
              <w:ind w:firstLine="480"/>
              <w:jc w:val="center"/>
              <w:rPr>
                <w:rFonts w:hint="eastAsia" w:ascii="宋体" w:hAnsi="宋体" w:cs="宋体"/>
              </w:rPr>
            </w:pPr>
          </w:p>
        </w:tc>
        <w:tc>
          <w:tcPr>
            <w:tcW w:w="481" w:type="pct"/>
            <w:tcBorders>
              <w:tl2br w:val="nil"/>
              <w:tr2bl w:val="nil"/>
            </w:tcBorders>
            <w:noWrap/>
            <w:vAlign w:val="center"/>
          </w:tcPr>
          <w:p w14:paraId="2D80E154">
            <w:pPr>
              <w:jc w:val="center"/>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分</w:t>
            </w:r>
          </w:p>
        </w:tc>
        <w:tc>
          <w:tcPr>
            <w:tcW w:w="3155" w:type="pct"/>
            <w:tcBorders>
              <w:tl2br w:val="nil"/>
              <w:tr2bl w:val="nil"/>
            </w:tcBorders>
            <w:noWrap/>
            <w:vAlign w:val="center"/>
          </w:tcPr>
          <w:p w14:paraId="445118F9">
            <w:pPr>
              <w:widowControl/>
              <w:spacing w:line="400" w:lineRule="exact"/>
              <w:jc w:val="left"/>
              <w:rPr>
                <w:rFonts w:hint="eastAsia" w:ascii="宋体" w:hAnsi="宋体" w:cs="仿宋"/>
                <w:b/>
                <w:bCs/>
                <w:color w:val="FF0000"/>
                <w:szCs w:val="21"/>
              </w:rPr>
            </w:pPr>
            <w:r>
              <w:rPr>
                <w:rFonts w:hint="eastAsia" w:ascii="宋体" w:hAnsi="宋体" w:cs="仿宋"/>
                <w:b/>
                <w:bCs/>
                <w:color w:val="FF0000"/>
                <w:szCs w:val="21"/>
                <w:lang w:val="en-US" w:eastAsia="zh-CN"/>
              </w:rPr>
              <w:t>6</w:t>
            </w:r>
            <w:r>
              <w:rPr>
                <w:rFonts w:hint="eastAsia" w:ascii="宋体" w:hAnsi="宋体" w:cs="仿宋"/>
                <w:b/>
                <w:bCs/>
                <w:color w:val="FF0000"/>
                <w:szCs w:val="21"/>
              </w:rPr>
              <w:t>、突发事件应急预案和措施</w:t>
            </w:r>
          </w:p>
          <w:p w14:paraId="7637F0E7">
            <w:pPr>
              <w:widowControl/>
              <w:spacing w:line="400" w:lineRule="exact"/>
              <w:jc w:val="left"/>
              <w:rPr>
                <w:rFonts w:hint="eastAsia" w:ascii="宋体" w:hAnsi="宋体" w:cs="仿宋"/>
                <w:color w:val="000000"/>
                <w:szCs w:val="21"/>
              </w:rPr>
            </w:pPr>
            <w:r>
              <w:rPr>
                <w:rFonts w:hint="eastAsia" w:ascii="宋体" w:hAnsi="宋体" w:cs="仿宋"/>
                <w:color w:val="000000"/>
                <w:szCs w:val="21"/>
              </w:rPr>
              <w:t>根据投标人针对本项目提供突发事件应急预案和措施，包括①系统故障类②其他应急事件进行综合评价：</w:t>
            </w:r>
          </w:p>
          <w:p w14:paraId="5B21D610">
            <w:pPr>
              <w:widowControl/>
              <w:spacing w:line="400" w:lineRule="exact"/>
              <w:jc w:val="left"/>
              <w:rPr>
                <w:rFonts w:hint="eastAsia" w:ascii="宋体" w:hAnsi="宋体" w:cs="宋体"/>
                <w:szCs w:val="21"/>
              </w:rPr>
            </w:pPr>
            <w:r>
              <w:rPr>
                <w:rFonts w:hint="eastAsia" w:ascii="宋体" w:hAnsi="宋体" w:cs="宋体"/>
                <w:szCs w:val="21"/>
              </w:rPr>
              <w:t>完全包含上述要点的得基本分</w:t>
            </w:r>
            <w:r>
              <w:rPr>
                <w:rFonts w:hint="eastAsia" w:ascii="宋体" w:hAnsi="宋体" w:cs="宋体"/>
                <w:szCs w:val="21"/>
                <w:lang w:val="en-US" w:eastAsia="zh-CN"/>
              </w:rPr>
              <w:t>3</w:t>
            </w:r>
            <w:r>
              <w:rPr>
                <w:rFonts w:hint="eastAsia" w:ascii="宋体" w:hAnsi="宋体" w:cs="宋体"/>
                <w:szCs w:val="21"/>
              </w:rPr>
              <w:t>分；每有一项不完全满足项目需求和实际情况的扣</w:t>
            </w:r>
            <w:r>
              <w:rPr>
                <w:rFonts w:hint="eastAsia" w:ascii="宋体" w:hAnsi="宋体" w:cs="宋体"/>
                <w:szCs w:val="21"/>
                <w:lang w:val="en-US" w:eastAsia="zh-CN"/>
              </w:rPr>
              <w:t>1</w:t>
            </w:r>
            <w:r>
              <w:rPr>
                <w:rFonts w:hint="eastAsia" w:ascii="宋体" w:hAnsi="宋体" w:cs="宋体"/>
                <w:szCs w:val="21"/>
              </w:rPr>
              <w:t>分，每缺一项扣</w:t>
            </w:r>
            <w:r>
              <w:rPr>
                <w:rFonts w:hint="eastAsia" w:ascii="宋体" w:hAnsi="宋体" w:cs="宋体"/>
                <w:szCs w:val="21"/>
                <w:lang w:val="en-US" w:eastAsia="zh-CN"/>
              </w:rPr>
              <w:t>1.5</w:t>
            </w:r>
            <w:r>
              <w:rPr>
                <w:rFonts w:hint="eastAsia" w:ascii="宋体" w:hAnsi="宋体" w:cs="宋体"/>
                <w:szCs w:val="21"/>
              </w:rPr>
              <w:t>分，扣完为止。</w:t>
            </w:r>
          </w:p>
          <w:p w14:paraId="3C1DFF4D">
            <w:pPr>
              <w:widowControl/>
              <w:spacing w:line="400" w:lineRule="exact"/>
              <w:jc w:val="left"/>
              <w:rPr>
                <w:rFonts w:hint="eastAsia" w:ascii="宋体" w:hAnsi="宋体" w:cs="宋体"/>
                <w:szCs w:val="21"/>
              </w:rPr>
            </w:pPr>
            <w:r>
              <w:rPr>
                <w:rFonts w:hint="eastAsia" w:ascii="宋体" w:hAnsi="宋体" w:cs="宋体"/>
                <w:szCs w:val="21"/>
              </w:rPr>
              <w:t>应急预案可行性强、安排详细的，加1分；</w:t>
            </w:r>
          </w:p>
          <w:p w14:paraId="65D7FE7E">
            <w:pPr>
              <w:widowControl/>
              <w:spacing w:line="400" w:lineRule="exact"/>
              <w:jc w:val="left"/>
              <w:rPr>
                <w:rFonts w:hint="eastAsia" w:ascii="宋体" w:hAnsi="宋体" w:cs="宋体"/>
                <w:szCs w:val="21"/>
              </w:rPr>
            </w:pPr>
            <w:r>
              <w:rPr>
                <w:rFonts w:hint="eastAsia" w:ascii="宋体" w:hAnsi="宋体" w:cs="宋体"/>
                <w:szCs w:val="21"/>
              </w:rPr>
              <w:t>应急预案科学、清晰合理的，加1分；</w:t>
            </w:r>
          </w:p>
          <w:p w14:paraId="2A4B1997">
            <w:pPr>
              <w:widowControl/>
              <w:spacing w:line="400" w:lineRule="exact"/>
              <w:jc w:val="left"/>
              <w:rPr>
                <w:rFonts w:hint="eastAsia" w:ascii="宋体" w:hAnsi="宋体" w:cs="宋体"/>
                <w:szCs w:val="21"/>
              </w:rPr>
            </w:pPr>
            <w:r>
              <w:rPr>
                <w:rFonts w:hint="eastAsia" w:ascii="宋体" w:hAnsi="宋体" w:cs="宋体"/>
                <w:szCs w:val="21"/>
              </w:rPr>
              <w:t>未提供不得分。</w:t>
            </w:r>
          </w:p>
          <w:p w14:paraId="585552AA">
            <w:pPr>
              <w:widowControl/>
              <w:spacing w:line="400" w:lineRule="exact"/>
              <w:jc w:val="left"/>
              <w:rPr>
                <w:rFonts w:hint="eastAsia" w:ascii="宋体" w:hAnsi="宋体" w:cs="宋体"/>
                <w:szCs w:val="21"/>
              </w:rPr>
            </w:pPr>
            <w:r>
              <w:rPr>
                <w:rFonts w:hint="eastAsia" w:ascii="宋体" w:hAnsi="宋体" w:cs="宋体"/>
                <w:szCs w:val="21"/>
              </w:rPr>
              <w:t>注：【每有一项不完全满足项目需求和实际情况是指方案中存在不适用项目实际情况、不符合采购需求、套用其他无关内容以及本项目无关等情况。】</w:t>
            </w:r>
          </w:p>
        </w:tc>
      </w:tr>
      <w:tr w14:paraId="3F76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7" w:type="pct"/>
            <w:vMerge w:val="continue"/>
            <w:tcBorders>
              <w:tl2br w:val="nil"/>
              <w:tr2bl w:val="nil"/>
            </w:tcBorders>
            <w:noWrap/>
            <w:vAlign w:val="center"/>
          </w:tcPr>
          <w:p w14:paraId="08111729">
            <w:pPr>
              <w:ind w:firstLine="480"/>
              <w:jc w:val="center"/>
              <w:rPr>
                <w:rFonts w:hint="eastAsia" w:ascii="宋体" w:hAnsi="宋体" w:cs="宋体"/>
              </w:rPr>
            </w:pPr>
          </w:p>
        </w:tc>
        <w:tc>
          <w:tcPr>
            <w:tcW w:w="625" w:type="pct"/>
            <w:vMerge w:val="continue"/>
            <w:tcBorders>
              <w:tl2br w:val="nil"/>
              <w:tr2bl w:val="nil"/>
            </w:tcBorders>
            <w:noWrap/>
            <w:vAlign w:val="center"/>
          </w:tcPr>
          <w:p w14:paraId="12B22C8E">
            <w:pPr>
              <w:ind w:firstLine="480"/>
              <w:jc w:val="center"/>
              <w:rPr>
                <w:rFonts w:hint="eastAsia" w:ascii="宋体" w:hAnsi="宋体" w:cs="宋体"/>
              </w:rPr>
            </w:pPr>
          </w:p>
        </w:tc>
        <w:tc>
          <w:tcPr>
            <w:tcW w:w="481" w:type="pct"/>
            <w:tcBorders>
              <w:tl2br w:val="nil"/>
              <w:tr2bl w:val="nil"/>
            </w:tcBorders>
            <w:noWrap/>
            <w:vAlign w:val="center"/>
          </w:tcPr>
          <w:p w14:paraId="586400F3">
            <w:pPr>
              <w:jc w:val="center"/>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分</w:t>
            </w:r>
          </w:p>
        </w:tc>
        <w:tc>
          <w:tcPr>
            <w:tcW w:w="3155" w:type="pct"/>
            <w:tcBorders>
              <w:tl2br w:val="nil"/>
              <w:tr2bl w:val="nil"/>
            </w:tcBorders>
            <w:noWrap/>
            <w:vAlign w:val="center"/>
          </w:tcPr>
          <w:p w14:paraId="0F85616B">
            <w:pPr>
              <w:widowControl/>
              <w:spacing w:line="400" w:lineRule="exact"/>
              <w:jc w:val="left"/>
              <w:rPr>
                <w:rFonts w:hint="eastAsia" w:ascii="宋体" w:hAnsi="宋体" w:cs="仿宋"/>
                <w:b/>
                <w:bCs/>
                <w:color w:val="FF0000"/>
                <w:szCs w:val="21"/>
              </w:rPr>
            </w:pPr>
            <w:r>
              <w:rPr>
                <w:rFonts w:hint="eastAsia" w:ascii="宋体" w:hAnsi="宋体" w:cs="仿宋"/>
                <w:b/>
                <w:bCs/>
                <w:color w:val="FF0000"/>
                <w:szCs w:val="21"/>
                <w:lang w:val="en-US" w:eastAsia="zh-CN"/>
              </w:rPr>
              <w:t>7</w:t>
            </w:r>
            <w:r>
              <w:rPr>
                <w:rFonts w:hint="eastAsia" w:ascii="宋体" w:hAnsi="宋体" w:cs="仿宋"/>
                <w:b/>
                <w:bCs/>
                <w:color w:val="FF0000"/>
                <w:szCs w:val="21"/>
              </w:rPr>
              <w:t>、服务保障</w:t>
            </w:r>
          </w:p>
          <w:p w14:paraId="0AF6F202">
            <w:pPr>
              <w:widowControl/>
              <w:spacing w:line="400" w:lineRule="exact"/>
              <w:jc w:val="left"/>
              <w:rPr>
                <w:rFonts w:hint="eastAsia" w:ascii="宋体" w:hAnsi="宋体"/>
                <w:szCs w:val="21"/>
              </w:rPr>
            </w:pPr>
            <w:bookmarkStart w:id="46" w:name="OLE_LINK22"/>
            <w:r>
              <w:rPr>
                <w:rFonts w:hint="eastAsia" w:ascii="宋体" w:hAnsi="宋体"/>
                <w:szCs w:val="21"/>
              </w:rPr>
              <w:t>根据投标人针对本项目提供服务保障，包括①项目服务进度保障措施②服务期间与业主配合措施进行综合评价：</w:t>
            </w:r>
          </w:p>
          <w:p w14:paraId="3EAEE9AE">
            <w:pPr>
              <w:widowControl/>
              <w:spacing w:line="400" w:lineRule="exact"/>
              <w:jc w:val="left"/>
              <w:rPr>
                <w:rFonts w:hint="eastAsia" w:ascii="宋体" w:hAnsi="宋体" w:cs="宋体"/>
                <w:szCs w:val="21"/>
              </w:rPr>
            </w:pPr>
            <w:r>
              <w:rPr>
                <w:rFonts w:hint="eastAsia" w:ascii="宋体" w:hAnsi="宋体" w:cs="宋体"/>
                <w:szCs w:val="21"/>
              </w:rPr>
              <w:t>完全包含上述要点的得基本分</w:t>
            </w:r>
            <w:r>
              <w:rPr>
                <w:rFonts w:hint="eastAsia" w:ascii="宋体" w:hAnsi="宋体" w:cs="宋体"/>
                <w:szCs w:val="21"/>
                <w:lang w:val="en-US" w:eastAsia="zh-CN"/>
              </w:rPr>
              <w:t>3</w:t>
            </w:r>
            <w:r>
              <w:rPr>
                <w:rFonts w:hint="eastAsia" w:ascii="宋体" w:hAnsi="宋体" w:cs="宋体"/>
                <w:szCs w:val="21"/>
              </w:rPr>
              <w:t>分；每有一项不完全满足项目需求和实际情况的扣</w:t>
            </w:r>
            <w:r>
              <w:rPr>
                <w:rFonts w:hint="eastAsia" w:ascii="宋体" w:hAnsi="宋体" w:cs="宋体"/>
                <w:szCs w:val="21"/>
                <w:lang w:val="en-US" w:eastAsia="zh-CN"/>
              </w:rPr>
              <w:t>1</w:t>
            </w:r>
            <w:r>
              <w:rPr>
                <w:rFonts w:hint="eastAsia" w:ascii="宋体" w:hAnsi="宋体" w:cs="宋体"/>
                <w:szCs w:val="21"/>
              </w:rPr>
              <w:t>分，每缺一项扣</w:t>
            </w:r>
            <w:r>
              <w:rPr>
                <w:rFonts w:hint="eastAsia" w:ascii="宋体" w:hAnsi="宋体" w:cs="宋体"/>
                <w:szCs w:val="21"/>
                <w:lang w:val="en-US" w:eastAsia="zh-CN"/>
              </w:rPr>
              <w:t>1.5</w:t>
            </w:r>
            <w:r>
              <w:rPr>
                <w:rFonts w:hint="eastAsia" w:ascii="宋体" w:hAnsi="宋体" w:cs="宋体"/>
                <w:szCs w:val="21"/>
              </w:rPr>
              <w:t>分，扣完为止。</w:t>
            </w:r>
          </w:p>
          <w:p w14:paraId="57477F77">
            <w:pPr>
              <w:widowControl/>
              <w:spacing w:line="400" w:lineRule="exact"/>
              <w:jc w:val="left"/>
              <w:rPr>
                <w:rFonts w:hint="eastAsia" w:ascii="宋体" w:hAnsi="宋体" w:cs="宋体"/>
                <w:szCs w:val="21"/>
              </w:rPr>
            </w:pPr>
            <w:r>
              <w:rPr>
                <w:rFonts w:hint="eastAsia" w:ascii="宋体" w:hAnsi="宋体" w:cs="宋体"/>
                <w:szCs w:val="21"/>
              </w:rPr>
              <w:t>服务保障措施安排详细、</w:t>
            </w:r>
            <w:r>
              <w:rPr>
                <w:rFonts w:hint="eastAsia" w:ascii="宋体" w:hAnsi="宋体" w:cs="宋体"/>
                <w:color w:val="000000" w:themeColor="text1"/>
                <w:szCs w:val="21"/>
                <w14:textFill>
                  <w14:solidFill>
                    <w14:schemeClr w14:val="tx1"/>
                  </w14:solidFill>
                </w14:textFill>
              </w:rPr>
              <w:t>措施有力、</w:t>
            </w:r>
            <w:r>
              <w:rPr>
                <w:rFonts w:hint="eastAsia" w:ascii="宋体" w:hAnsi="宋体" w:cs="宋体"/>
                <w:szCs w:val="21"/>
              </w:rPr>
              <w:t>各环节衔接紧凑，合理的，加1分；</w:t>
            </w:r>
          </w:p>
          <w:p w14:paraId="6CF1EE77">
            <w:pPr>
              <w:widowControl/>
              <w:spacing w:line="400" w:lineRule="exact"/>
              <w:jc w:val="left"/>
              <w:rPr>
                <w:rFonts w:hint="eastAsia" w:ascii="宋体" w:hAnsi="宋体" w:cs="宋体"/>
                <w:szCs w:val="21"/>
              </w:rPr>
            </w:pPr>
            <w:r>
              <w:rPr>
                <w:rFonts w:hint="eastAsia" w:ascii="宋体" w:hAnsi="宋体" w:cs="宋体"/>
                <w:color w:val="000000" w:themeColor="text1"/>
                <w:szCs w:val="21"/>
                <w14:textFill>
                  <w14:solidFill>
                    <w14:schemeClr w14:val="tx1"/>
                  </w14:solidFill>
                </w14:textFill>
              </w:rPr>
              <w:t>配合方案可行行强、科学合理</w:t>
            </w:r>
            <w:r>
              <w:rPr>
                <w:rFonts w:hint="eastAsia" w:ascii="宋体" w:hAnsi="宋体" w:cs="宋体"/>
                <w:szCs w:val="21"/>
              </w:rPr>
              <w:t>的，加1分；</w:t>
            </w:r>
          </w:p>
          <w:p w14:paraId="18563D33">
            <w:pPr>
              <w:widowControl/>
              <w:spacing w:line="400" w:lineRule="exact"/>
              <w:jc w:val="left"/>
              <w:rPr>
                <w:rFonts w:hint="eastAsia" w:ascii="宋体" w:hAnsi="宋体" w:cs="宋体"/>
                <w:szCs w:val="21"/>
              </w:rPr>
            </w:pPr>
            <w:r>
              <w:rPr>
                <w:rFonts w:hint="eastAsia" w:ascii="宋体" w:hAnsi="宋体" w:cs="宋体"/>
                <w:szCs w:val="21"/>
              </w:rPr>
              <w:t>未提供不得分。</w:t>
            </w:r>
            <w:bookmarkEnd w:id="46"/>
          </w:p>
          <w:p w14:paraId="052D5D41">
            <w:pPr>
              <w:widowControl/>
              <w:spacing w:line="400" w:lineRule="exact"/>
              <w:jc w:val="left"/>
              <w:rPr>
                <w:rFonts w:hint="eastAsia" w:ascii="宋体" w:hAnsi="宋体" w:cs="宋体"/>
                <w:szCs w:val="21"/>
              </w:rPr>
            </w:pPr>
            <w:r>
              <w:rPr>
                <w:rFonts w:hint="eastAsia" w:ascii="宋体" w:hAnsi="宋体" w:cs="宋体"/>
                <w:szCs w:val="21"/>
              </w:rPr>
              <w:t>注：【每有一项不完全满足项目需求和实际情况是指方案中存在不适用项目实际情况、不符合采购需求、套用其他无关内容以及本项目无关等情况。】</w:t>
            </w:r>
          </w:p>
        </w:tc>
      </w:tr>
      <w:tr w14:paraId="6EC8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37" w:type="pct"/>
            <w:vMerge w:val="continue"/>
            <w:tcBorders>
              <w:tl2br w:val="nil"/>
              <w:tr2bl w:val="nil"/>
            </w:tcBorders>
            <w:noWrap/>
            <w:vAlign w:val="center"/>
          </w:tcPr>
          <w:p w14:paraId="41D802AC">
            <w:pPr>
              <w:ind w:firstLine="480"/>
              <w:jc w:val="center"/>
              <w:rPr>
                <w:rFonts w:hint="eastAsia" w:ascii="宋体" w:hAnsi="宋体" w:cs="宋体"/>
              </w:rPr>
            </w:pPr>
          </w:p>
        </w:tc>
        <w:tc>
          <w:tcPr>
            <w:tcW w:w="625" w:type="pct"/>
            <w:vMerge w:val="continue"/>
            <w:tcBorders>
              <w:tl2br w:val="nil"/>
              <w:tr2bl w:val="nil"/>
            </w:tcBorders>
            <w:noWrap/>
            <w:vAlign w:val="center"/>
          </w:tcPr>
          <w:p w14:paraId="16EB5023">
            <w:pPr>
              <w:ind w:firstLine="480"/>
              <w:jc w:val="center"/>
              <w:rPr>
                <w:rFonts w:hint="eastAsia" w:ascii="宋体" w:hAnsi="宋体" w:cs="宋体"/>
              </w:rPr>
            </w:pPr>
          </w:p>
        </w:tc>
        <w:tc>
          <w:tcPr>
            <w:tcW w:w="481" w:type="pct"/>
            <w:tcBorders>
              <w:tl2br w:val="nil"/>
              <w:tr2bl w:val="nil"/>
            </w:tcBorders>
            <w:noWrap/>
            <w:vAlign w:val="center"/>
          </w:tcPr>
          <w:p w14:paraId="5C6E0569">
            <w:pPr>
              <w:jc w:val="center"/>
              <w:rPr>
                <w:rFonts w:hint="eastAsia" w:ascii="宋体" w:hAnsi="宋体" w:cs="宋体"/>
                <w:szCs w:val="21"/>
              </w:rPr>
            </w:pPr>
            <w:r>
              <w:rPr>
                <w:rFonts w:hint="eastAsia" w:ascii="宋体" w:hAnsi="宋体" w:cs="宋体"/>
                <w:szCs w:val="21"/>
              </w:rPr>
              <w:t>5分</w:t>
            </w:r>
          </w:p>
        </w:tc>
        <w:tc>
          <w:tcPr>
            <w:tcW w:w="3155" w:type="pct"/>
            <w:tcBorders>
              <w:tl2br w:val="nil"/>
              <w:tr2bl w:val="nil"/>
            </w:tcBorders>
            <w:noWrap/>
            <w:vAlign w:val="center"/>
          </w:tcPr>
          <w:p w14:paraId="03D27DEA">
            <w:pPr>
              <w:widowControl/>
              <w:spacing w:line="400" w:lineRule="exact"/>
              <w:jc w:val="left"/>
              <w:rPr>
                <w:rFonts w:hint="eastAsia" w:ascii="宋体" w:hAnsi="宋体" w:cs="仿宋"/>
                <w:b/>
                <w:bCs/>
                <w:color w:val="FF0000"/>
                <w:szCs w:val="21"/>
              </w:rPr>
            </w:pPr>
            <w:r>
              <w:rPr>
                <w:rFonts w:hint="eastAsia" w:ascii="宋体" w:hAnsi="宋体" w:cs="仿宋"/>
                <w:b/>
                <w:bCs/>
                <w:color w:val="FF0000"/>
                <w:szCs w:val="21"/>
                <w:lang w:val="en-US" w:eastAsia="zh-CN"/>
              </w:rPr>
              <w:t>8</w:t>
            </w:r>
            <w:r>
              <w:rPr>
                <w:rFonts w:hint="eastAsia" w:ascii="宋体" w:hAnsi="宋体" w:cs="仿宋"/>
                <w:b/>
                <w:bCs/>
                <w:color w:val="FF0000"/>
                <w:szCs w:val="21"/>
              </w:rPr>
              <w:t>、管理制度</w:t>
            </w:r>
          </w:p>
          <w:p w14:paraId="3D353BA5">
            <w:pPr>
              <w:widowControl/>
              <w:spacing w:line="400" w:lineRule="exact"/>
              <w:jc w:val="left"/>
              <w:rPr>
                <w:rFonts w:hint="eastAsia" w:ascii="宋体" w:hAnsi="宋体" w:cs="仿宋"/>
                <w:color w:val="000000"/>
                <w:szCs w:val="21"/>
              </w:rPr>
            </w:pPr>
            <w:bookmarkStart w:id="47" w:name="OLE_LINK24"/>
            <w:r>
              <w:rPr>
                <w:rFonts w:hint="eastAsia" w:ascii="宋体" w:hAnsi="宋体" w:cs="仿宋"/>
                <w:color w:val="000000"/>
                <w:szCs w:val="21"/>
              </w:rPr>
              <w:t>根据投标人针对本项目提供管理制度，包括①各项制度②内部绩效考评办法进行综合评价：</w:t>
            </w:r>
          </w:p>
          <w:p w14:paraId="3E3E0747">
            <w:pPr>
              <w:widowControl/>
              <w:spacing w:line="400" w:lineRule="exact"/>
              <w:jc w:val="left"/>
              <w:rPr>
                <w:rFonts w:hint="eastAsia" w:ascii="宋体" w:hAnsi="宋体" w:cs="宋体"/>
                <w:szCs w:val="21"/>
              </w:rPr>
            </w:pPr>
            <w:r>
              <w:rPr>
                <w:rFonts w:hint="eastAsia" w:ascii="宋体" w:hAnsi="宋体" w:cs="宋体"/>
                <w:szCs w:val="21"/>
              </w:rPr>
              <w:t>完全包含上述要点的得基本分3分；每有一项不完全满足项目需求和实际情况的扣1分，每缺一项扣1.5分，扣完为止。</w:t>
            </w:r>
          </w:p>
          <w:p w14:paraId="6CA9FC91">
            <w:pPr>
              <w:widowControl/>
              <w:spacing w:line="400" w:lineRule="exact"/>
              <w:jc w:val="left"/>
              <w:rPr>
                <w:rFonts w:hint="eastAsia" w:ascii="宋体" w:hAnsi="宋体" w:cs="宋体"/>
                <w:szCs w:val="21"/>
              </w:rPr>
            </w:pPr>
            <w:r>
              <w:rPr>
                <w:rFonts w:hint="eastAsia" w:ascii="宋体" w:hAnsi="宋体" w:cs="宋体"/>
                <w:szCs w:val="21"/>
              </w:rPr>
              <w:t>管理制度施周密完善、合理规范的，加1分；</w:t>
            </w:r>
          </w:p>
          <w:p w14:paraId="504B3558">
            <w:pPr>
              <w:widowControl/>
              <w:spacing w:line="400" w:lineRule="exact"/>
              <w:jc w:val="left"/>
              <w:rPr>
                <w:rFonts w:hint="eastAsia" w:ascii="宋体" w:hAnsi="宋体" w:cs="宋体"/>
                <w:bCs/>
                <w:color w:val="000000"/>
                <w:szCs w:val="21"/>
              </w:rPr>
            </w:pPr>
            <w:r>
              <w:rPr>
                <w:rFonts w:hint="eastAsia" w:ascii="宋体" w:hAnsi="宋体" w:cs="宋体"/>
                <w:szCs w:val="21"/>
              </w:rPr>
              <w:t>管理制度针对性强、内容详细全面的，加1分；</w:t>
            </w:r>
          </w:p>
          <w:p w14:paraId="704A55BF">
            <w:pPr>
              <w:widowControl/>
              <w:spacing w:line="400" w:lineRule="exact"/>
              <w:jc w:val="left"/>
              <w:rPr>
                <w:rFonts w:hint="eastAsia" w:ascii="宋体" w:hAnsi="宋体" w:cs="宋体"/>
                <w:szCs w:val="21"/>
              </w:rPr>
            </w:pPr>
            <w:r>
              <w:rPr>
                <w:rFonts w:hint="eastAsia" w:ascii="宋体" w:hAnsi="宋体" w:cs="宋体"/>
                <w:szCs w:val="21"/>
              </w:rPr>
              <w:t>未提供不得分。</w:t>
            </w:r>
            <w:bookmarkEnd w:id="47"/>
          </w:p>
          <w:p w14:paraId="209A5479">
            <w:pPr>
              <w:widowControl/>
              <w:spacing w:line="400" w:lineRule="exact"/>
              <w:jc w:val="left"/>
              <w:rPr>
                <w:rFonts w:hint="eastAsia" w:ascii="宋体" w:hAnsi="宋体" w:cs="宋体"/>
                <w:szCs w:val="21"/>
              </w:rPr>
            </w:pPr>
            <w:r>
              <w:rPr>
                <w:rFonts w:hint="eastAsia" w:ascii="宋体" w:hAnsi="宋体" w:cs="宋体"/>
                <w:szCs w:val="21"/>
              </w:rPr>
              <w:t>注：【每有一项不完全满足项目需求和实际情况是指方案中存在不适用项目实际情况、不符合采购需求、套用其他无关内容以及本项目无关等情况。】</w:t>
            </w:r>
          </w:p>
        </w:tc>
      </w:tr>
      <w:tr w14:paraId="1A46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7" w:type="pct"/>
            <w:vMerge w:val="continue"/>
            <w:tcBorders>
              <w:tl2br w:val="nil"/>
              <w:tr2bl w:val="nil"/>
            </w:tcBorders>
            <w:noWrap/>
            <w:vAlign w:val="center"/>
          </w:tcPr>
          <w:p w14:paraId="18FD8071">
            <w:pPr>
              <w:ind w:firstLine="480"/>
              <w:jc w:val="center"/>
              <w:rPr>
                <w:rFonts w:hint="eastAsia" w:ascii="宋体" w:hAnsi="宋体" w:cs="宋体"/>
              </w:rPr>
            </w:pPr>
          </w:p>
        </w:tc>
        <w:tc>
          <w:tcPr>
            <w:tcW w:w="625" w:type="pct"/>
            <w:vMerge w:val="continue"/>
            <w:tcBorders>
              <w:tl2br w:val="nil"/>
              <w:tr2bl w:val="nil"/>
            </w:tcBorders>
            <w:noWrap/>
            <w:vAlign w:val="center"/>
          </w:tcPr>
          <w:p w14:paraId="50352752">
            <w:pPr>
              <w:ind w:firstLine="480"/>
              <w:jc w:val="center"/>
              <w:rPr>
                <w:rFonts w:hint="eastAsia" w:ascii="宋体" w:hAnsi="宋体" w:cs="宋体"/>
              </w:rPr>
            </w:pPr>
          </w:p>
        </w:tc>
        <w:tc>
          <w:tcPr>
            <w:tcW w:w="481" w:type="pct"/>
            <w:tcBorders>
              <w:tl2br w:val="nil"/>
              <w:tr2bl w:val="nil"/>
            </w:tcBorders>
            <w:noWrap/>
            <w:vAlign w:val="center"/>
          </w:tcPr>
          <w:p w14:paraId="22325E71">
            <w:pPr>
              <w:jc w:val="center"/>
              <w:rPr>
                <w:rFonts w:hint="eastAsia" w:ascii="宋体" w:hAnsi="宋体" w:cs="宋体"/>
                <w:szCs w:val="21"/>
              </w:rPr>
            </w:pPr>
            <w:r>
              <w:rPr>
                <w:rFonts w:hint="eastAsia" w:ascii="宋体" w:hAnsi="宋体" w:cs="宋体"/>
                <w:szCs w:val="21"/>
              </w:rPr>
              <w:t>5分</w:t>
            </w:r>
          </w:p>
        </w:tc>
        <w:tc>
          <w:tcPr>
            <w:tcW w:w="3155" w:type="pct"/>
            <w:tcBorders>
              <w:tl2br w:val="nil"/>
              <w:tr2bl w:val="nil"/>
            </w:tcBorders>
            <w:noWrap/>
            <w:vAlign w:val="center"/>
          </w:tcPr>
          <w:p w14:paraId="015DCCE0">
            <w:pPr>
              <w:widowControl/>
              <w:spacing w:line="400" w:lineRule="exact"/>
              <w:jc w:val="left"/>
              <w:rPr>
                <w:rFonts w:hint="eastAsia" w:ascii="宋体" w:hAnsi="宋体" w:cs="仿宋"/>
                <w:b/>
                <w:bCs/>
                <w:color w:val="FF0000"/>
                <w:szCs w:val="21"/>
              </w:rPr>
            </w:pPr>
            <w:r>
              <w:rPr>
                <w:rFonts w:hint="eastAsia" w:ascii="宋体" w:hAnsi="宋体" w:cs="仿宋"/>
                <w:b/>
                <w:bCs/>
                <w:color w:val="FF0000"/>
                <w:szCs w:val="21"/>
                <w:lang w:val="en-US" w:eastAsia="zh-CN"/>
              </w:rPr>
              <w:t>9</w:t>
            </w:r>
            <w:r>
              <w:rPr>
                <w:rFonts w:hint="eastAsia" w:ascii="宋体" w:hAnsi="宋体" w:cs="仿宋"/>
                <w:b/>
                <w:bCs/>
                <w:color w:val="FF0000"/>
                <w:szCs w:val="21"/>
              </w:rPr>
              <w:t>、操作规程</w:t>
            </w:r>
          </w:p>
          <w:p w14:paraId="06896D38">
            <w:pPr>
              <w:widowControl/>
              <w:spacing w:line="400" w:lineRule="exact"/>
              <w:jc w:val="left"/>
              <w:rPr>
                <w:rFonts w:hint="eastAsia" w:ascii="宋体" w:hAnsi="宋体" w:cs="仿宋"/>
                <w:color w:val="000000"/>
                <w:szCs w:val="21"/>
              </w:rPr>
            </w:pPr>
            <w:r>
              <w:rPr>
                <w:rFonts w:hint="eastAsia" w:ascii="宋体" w:hAnsi="宋体" w:cs="仿宋"/>
                <w:color w:val="000000"/>
                <w:szCs w:val="21"/>
              </w:rPr>
              <w:t>根据投标人针对本项目提供设备操作规程，包括①运维服务操作规程②监测设备操作规程进行综合评价：</w:t>
            </w:r>
          </w:p>
          <w:p w14:paraId="612FA787">
            <w:pPr>
              <w:widowControl/>
              <w:spacing w:line="400" w:lineRule="exact"/>
              <w:jc w:val="left"/>
              <w:rPr>
                <w:rFonts w:hint="eastAsia" w:ascii="宋体" w:hAnsi="宋体" w:cs="宋体"/>
                <w:szCs w:val="21"/>
              </w:rPr>
            </w:pPr>
            <w:r>
              <w:rPr>
                <w:rFonts w:hint="eastAsia" w:ascii="宋体" w:hAnsi="宋体" w:cs="宋体"/>
                <w:szCs w:val="21"/>
              </w:rPr>
              <w:t>完全包含上述要点的得基本分3分；每有一项不完全满足项目需求和实际情况的扣1分，每缺一项扣</w:t>
            </w:r>
            <w:bookmarkStart w:id="48" w:name="OLE_LINK14"/>
            <w:r>
              <w:rPr>
                <w:rFonts w:hint="eastAsia" w:ascii="宋体" w:hAnsi="宋体" w:cs="宋体"/>
                <w:szCs w:val="21"/>
              </w:rPr>
              <w:t>1.5</w:t>
            </w:r>
            <w:bookmarkEnd w:id="48"/>
            <w:r>
              <w:rPr>
                <w:rFonts w:hint="eastAsia" w:ascii="宋体" w:hAnsi="宋体" w:cs="宋体"/>
                <w:szCs w:val="21"/>
              </w:rPr>
              <w:t>分，扣完为止。</w:t>
            </w:r>
          </w:p>
          <w:p w14:paraId="7C3AD57E">
            <w:pPr>
              <w:widowControl/>
              <w:spacing w:line="400" w:lineRule="exact"/>
              <w:jc w:val="left"/>
              <w:rPr>
                <w:rFonts w:hint="eastAsia" w:ascii="宋体" w:hAnsi="宋体" w:cs="宋体"/>
                <w:szCs w:val="21"/>
              </w:rPr>
            </w:pPr>
            <w:r>
              <w:rPr>
                <w:rFonts w:hint="eastAsia" w:ascii="宋体" w:hAnsi="宋体" w:cs="宋体"/>
                <w:szCs w:val="21"/>
              </w:rPr>
              <w:t>操作规程施周密完善、合理规范的，加1分；</w:t>
            </w:r>
          </w:p>
          <w:p w14:paraId="781D2F7E">
            <w:pPr>
              <w:widowControl/>
              <w:spacing w:line="400" w:lineRule="exact"/>
              <w:jc w:val="left"/>
              <w:rPr>
                <w:rFonts w:hint="eastAsia" w:ascii="宋体" w:hAnsi="宋体" w:cs="宋体"/>
                <w:bCs/>
                <w:color w:val="000000"/>
                <w:szCs w:val="21"/>
              </w:rPr>
            </w:pPr>
            <w:r>
              <w:rPr>
                <w:rFonts w:hint="eastAsia" w:ascii="宋体" w:hAnsi="宋体" w:cs="宋体"/>
                <w:szCs w:val="21"/>
              </w:rPr>
              <w:t>操作规程针对性强、满足本项目所有品牌型号设备要求的，加1分；</w:t>
            </w:r>
          </w:p>
          <w:p w14:paraId="12B3E432">
            <w:pPr>
              <w:widowControl/>
              <w:spacing w:line="400" w:lineRule="exact"/>
              <w:jc w:val="left"/>
              <w:rPr>
                <w:rFonts w:hint="eastAsia" w:ascii="宋体" w:hAnsi="宋体" w:cs="宋体"/>
                <w:szCs w:val="21"/>
              </w:rPr>
            </w:pPr>
            <w:r>
              <w:rPr>
                <w:rFonts w:hint="eastAsia" w:ascii="宋体" w:hAnsi="宋体" w:cs="宋体"/>
                <w:szCs w:val="21"/>
              </w:rPr>
              <w:t>未提供不得分。</w:t>
            </w:r>
          </w:p>
          <w:p w14:paraId="0A04A5A8">
            <w:pPr>
              <w:widowControl/>
              <w:spacing w:line="400" w:lineRule="exact"/>
              <w:jc w:val="left"/>
              <w:rPr>
                <w:rFonts w:hint="eastAsia" w:ascii="宋体" w:hAnsi="宋体" w:cs="宋体"/>
                <w:szCs w:val="21"/>
              </w:rPr>
            </w:pPr>
            <w:r>
              <w:rPr>
                <w:rFonts w:hint="eastAsia" w:ascii="宋体" w:hAnsi="宋体" w:cs="宋体"/>
                <w:szCs w:val="21"/>
              </w:rPr>
              <w:t>注：【每有一项不完全满足项目需求和实际情况是指方案中存在不适用项目实际情况、不符合采购需求、套用其他无关内容以及本项目无关等情况。】</w:t>
            </w:r>
          </w:p>
        </w:tc>
      </w:tr>
      <w:tr w14:paraId="6D1E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37" w:type="pct"/>
            <w:vMerge w:val="continue"/>
            <w:tcBorders>
              <w:tl2br w:val="nil"/>
              <w:tr2bl w:val="nil"/>
            </w:tcBorders>
            <w:noWrap/>
            <w:vAlign w:val="center"/>
          </w:tcPr>
          <w:p w14:paraId="3AEA9306">
            <w:pPr>
              <w:ind w:firstLine="480"/>
              <w:jc w:val="center"/>
              <w:rPr>
                <w:rFonts w:hint="eastAsia" w:ascii="宋体" w:hAnsi="宋体" w:cs="宋体"/>
              </w:rPr>
            </w:pPr>
          </w:p>
        </w:tc>
        <w:tc>
          <w:tcPr>
            <w:tcW w:w="625" w:type="pct"/>
            <w:vMerge w:val="continue"/>
            <w:tcBorders>
              <w:tl2br w:val="nil"/>
              <w:tr2bl w:val="nil"/>
            </w:tcBorders>
            <w:noWrap/>
            <w:vAlign w:val="center"/>
          </w:tcPr>
          <w:p w14:paraId="3C78FF85">
            <w:pPr>
              <w:ind w:firstLine="480"/>
              <w:jc w:val="center"/>
              <w:rPr>
                <w:rFonts w:hint="eastAsia" w:ascii="宋体" w:hAnsi="宋体" w:cs="宋体"/>
              </w:rPr>
            </w:pPr>
          </w:p>
        </w:tc>
        <w:tc>
          <w:tcPr>
            <w:tcW w:w="481" w:type="pct"/>
            <w:tcBorders>
              <w:tl2br w:val="nil"/>
              <w:tr2bl w:val="nil"/>
            </w:tcBorders>
            <w:noWrap/>
            <w:vAlign w:val="center"/>
          </w:tcPr>
          <w:p w14:paraId="7078E144">
            <w:pPr>
              <w:jc w:val="center"/>
              <w:rPr>
                <w:rFonts w:hint="default" w:ascii="宋体" w:hAnsi="宋体" w:eastAsia="宋体" w:cs="宋体"/>
                <w:szCs w:val="21"/>
                <w:lang w:val="en-US" w:eastAsia="zh-CN"/>
              </w:rPr>
            </w:pPr>
            <w:r>
              <w:rPr>
                <w:rFonts w:hint="eastAsia" w:ascii="宋体" w:hAnsi="宋体" w:cs="宋体"/>
                <w:szCs w:val="21"/>
                <w:lang w:val="en-US" w:eastAsia="zh-CN"/>
              </w:rPr>
              <w:t>4分</w:t>
            </w:r>
          </w:p>
        </w:tc>
        <w:tc>
          <w:tcPr>
            <w:tcW w:w="3155" w:type="pct"/>
            <w:tcBorders>
              <w:tl2br w:val="nil"/>
              <w:tr2bl w:val="nil"/>
            </w:tcBorders>
            <w:noWrap/>
            <w:vAlign w:val="center"/>
          </w:tcPr>
          <w:p w14:paraId="0A273D35">
            <w:pPr>
              <w:widowControl/>
              <w:spacing w:line="400" w:lineRule="exact"/>
              <w:jc w:val="left"/>
              <w:rPr>
                <w:rFonts w:hint="eastAsia" w:ascii="宋体" w:hAnsi="宋体" w:cs="仿宋"/>
                <w:b/>
                <w:bCs/>
                <w:color w:val="FF0000"/>
                <w:szCs w:val="21"/>
              </w:rPr>
            </w:pPr>
            <w:r>
              <w:rPr>
                <w:rFonts w:hint="eastAsia" w:ascii="宋体" w:hAnsi="宋体" w:cs="仿宋"/>
                <w:b/>
                <w:bCs/>
                <w:color w:val="FF0000"/>
                <w:szCs w:val="21"/>
                <w:lang w:val="en-US" w:eastAsia="zh-CN"/>
              </w:rPr>
              <w:t>10</w:t>
            </w:r>
            <w:r>
              <w:rPr>
                <w:rFonts w:hint="eastAsia" w:ascii="宋体" w:hAnsi="宋体" w:cs="仿宋"/>
                <w:b/>
                <w:bCs/>
                <w:color w:val="FF0000"/>
                <w:szCs w:val="21"/>
              </w:rPr>
              <w:t>、交接方案</w:t>
            </w:r>
          </w:p>
          <w:p w14:paraId="65E83ABD">
            <w:pPr>
              <w:widowControl/>
              <w:spacing w:line="400" w:lineRule="exact"/>
              <w:jc w:val="left"/>
              <w:rPr>
                <w:rFonts w:hint="eastAsia" w:ascii="宋体" w:hAnsi="宋体" w:eastAsia="宋体" w:cs="Times New Roman"/>
                <w:szCs w:val="21"/>
              </w:rPr>
            </w:pPr>
            <w:bookmarkStart w:id="49" w:name="OLE_LINK10"/>
            <w:r>
              <w:rPr>
                <w:rFonts w:hint="eastAsia" w:ascii="宋体" w:hAnsi="宋体" w:eastAsia="宋体" w:cs="仿宋"/>
                <w:color w:val="000000"/>
                <w:szCs w:val="21"/>
              </w:rPr>
              <w:t>根据投标人针对本项目提供</w:t>
            </w:r>
            <w:r>
              <w:rPr>
                <w:rFonts w:hint="eastAsia" w:ascii="宋体" w:hAnsi="宋体" w:eastAsia="宋体" w:cs="Times New Roman"/>
                <w:szCs w:val="21"/>
              </w:rPr>
              <w:t>交接方案，包括①责任分工、安排②交接内容等，</w:t>
            </w:r>
            <w:r>
              <w:rPr>
                <w:rFonts w:hint="eastAsia" w:ascii="宋体" w:hAnsi="宋体" w:eastAsia="宋体" w:cs="仿宋"/>
                <w:color w:val="000000"/>
                <w:szCs w:val="21"/>
              </w:rPr>
              <w:t>进行综合评价：</w:t>
            </w:r>
          </w:p>
          <w:p w14:paraId="19225069">
            <w:pPr>
              <w:widowControl/>
              <w:spacing w:line="400" w:lineRule="exact"/>
              <w:jc w:val="left"/>
              <w:rPr>
                <w:rFonts w:hint="eastAsia" w:ascii="宋体" w:hAnsi="宋体" w:eastAsia="宋体" w:cs="宋体"/>
                <w:szCs w:val="21"/>
              </w:rPr>
            </w:pPr>
            <w:r>
              <w:rPr>
                <w:rFonts w:hint="eastAsia" w:ascii="宋体" w:hAnsi="宋体" w:eastAsia="宋体" w:cs="宋体"/>
                <w:szCs w:val="21"/>
              </w:rPr>
              <w:t>完全包含上述要点的得基本分2分；每有一项不完全满足项目需求和实际情况的扣0.5分，每缺一项扣1分，扣完为止。</w:t>
            </w:r>
          </w:p>
          <w:p w14:paraId="54738743">
            <w:pPr>
              <w:widowControl/>
              <w:spacing w:line="400" w:lineRule="exact"/>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交接方案内容完善全面，科学合理的，加1分；</w:t>
            </w:r>
          </w:p>
          <w:p w14:paraId="6F18FB3D">
            <w:pPr>
              <w:widowControl/>
              <w:spacing w:line="400" w:lineRule="exact"/>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交接方案针对性强的，加1分；</w:t>
            </w:r>
          </w:p>
          <w:p w14:paraId="116FB9CE">
            <w:pPr>
              <w:widowControl/>
              <w:spacing w:line="400" w:lineRule="exact"/>
              <w:jc w:val="left"/>
              <w:rPr>
                <w:rFonts w:hint="eastAsia" w:ascii="宋体" w:hAnsi="宋体" w:eastAsia="宋体" w:cs="宋体"/>
                <w:szCs w:val="21"/>
              </w:rPr>
            </w:pPr>
            <w:r>
              <w:rPr>
                <w:rFonts w:hint="eastAsia" w:ascii="宋体" w:hAnsi="宋体" w:eastAsia="宋体" w:cs="宋体"/>
                <w:szCs w:val="21"/>
              </w:rPr>
              <w:t>未提供不得分。</w:t>
            </w:r>
            <w:bookmarkEnd w:id="49"/>
          </w:p>
          <w:p w14:paraId="30AE1275">
            <w:pPr>
              <w:widowControl/>
              <w:spacing w:line="400" w:lineRule="exact"/>
              <w:jc w:val="left"/>
              <w:rPr>
                <w:rFonts w:hint="eastAsia" w:ascii="宋体" w:hAnsi="宋体" w:eastAsia="宋体" w:cs="宋体"/>
                <w:szCs w:val="21"/>
              </w:rPr>
            </w:pPr>
            <w:r>
              <w:rPr>
                <w:rFonts w:hint="eastAsia" w:ascii="宋体" w:hAnsi="宋体" w:cs="宋体"/>
                <w:szCs w:val="21"/>
              </w:rPr>
              <w:t>注：【每有一项不完全满足项目需求和实际情况是指方案中存在不适用项目实际情况、不符合采购需求、套用其他无关内容以及本项目无关等情况。】</w:t>
            </w:r>
          </w:p>
        </w:tc>
      </w:tr>
      <w:tr w14:paraId="2A46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37" w:type="pct"/>
            <w:vMerge w:val="restart"/>
            <w:tcBorders>
              <w:tl2br w:val="nil"/>
              <w:tr2bl w:val="nil"/>
            </w:tcBorders>
            <w:noWrap/>
            <w:vAlign w:val="center"/>
          </w:tcPr>
          <w:p w14:paraId="0BE8AF87">
            <w:pPr>
              <w:jc w:val="center"/>
              <w:rPr>
                <w:rFonts w:hint="eastAsia" w:ascii="宋体" w:hAnsi="宋体" w:cs="宋体"/>
              </w:rPr>
            </w:pPr>
            <w:r>
              <w:rPr>
                <w:rFonts w:hint="eastAsia" w:ascii="宋体" w:hAnsi="宋体" w:cs="宋体"/>
                <w:szCs w:val="21"/>
              </w:rPr>
              <w:t>商务部分</w:t>
            </w:r>
          </w:p>
          <w:p w14:paraId="78A290F3">
            <w:pPr>
              <w:ind w:firstLine="480"/>
              <w:jc w:val="center"/>
              <w:rPr>
                <w:rFonts w:hint="eastAsia" w:ascii="宋体" w:hAnsi="宋体" w:cs="宋体"/>
              </w:rPr>
            </w:pPr>
          </w:p>
        </w:tc>
        <w:tc>
          <w:tcPr>
            <w:tcW w:w="625" w:type="pct"/>
            <w:tcBorders>
              <w:tl2br w:val="nil"/>
              <w:tr2bl w:val="nil"/>
            </w:tcBorders>
            <w:noWrap/>
            <w:vAlign w:val="center"/>
          </w:tcPr>
          <w:p w14:paraId="0F9FC25A">
            <w:pPr>
              <w:jc w:val="center"/>
              <w:rPr>
                <w:rFonts w:hint="eastAsia" w:ascii="宋体" w:hAnsi="宋体" w:cs="宋体"/>
                <w:color w:val="000000"/>
                <w:szCs w:val="21"/>
              </w:rPr>
            </w:pPr>
            <w:r>
              <w:rPr>
                <w:rFonts w:hint="eastAsia" w:ascii="宋体" w:hAnsi="宋体" w:cs="宋体"/>
                <w:color w:val="000000"/>
                <w:szCs w:val="21"/>
              </w:rPr>
              <w:t>项目负责人</w:t>
            </w:r>
          </w:p>
        </w:tc>
        <w:tc>
          <w:tcPr>
            <w:tcW w:w="481" w:type="pct"/>
            <w:tcBorders>
              <w:tl2br w:val="nil"/>
              <w:tr2bl w:val="nil"/>
            </w:tcBorders>
            <w:noWrap/>
            <w:vAlign w:val="center"/>
          </w:tcPr>
          <w:p w14:paraId="7EEFA4C6">
            <w:pPr>
              <w:jc w:val="center"/>
              <w:rPr>
                <w:rFonts w:hint="eastAsia" w:ascii="宋体" w:hAnsi="宋体" w:cs="宋体"/>
                <w:szCs w:val="21"/>
              </w:rPr>
            </w:pPr>
            <w:r>
              <w:rPr>
                <w:rFonts w:hint="eastAsia" w:ascii="宋体" w:hAnsi="宋体" w:cs="宋体"/>
                <w:szCs w:val="21"/>
              </w:rPr>
              <w:t>3分</w:t>
            </w:r>
          </w:p>
        </w:tc>
        <w:tc>
          <w:tcPr>
            <w:tcW w:w="3155" w:type="pct"/>
            <w:tcBorders>
              <w:tl2br w:val="nil"/>
              <w:tr2bl w:val="nil"/>
            </w:tcBorders>
            <w:noWrap/>
            <w:vAlign w:val="center"/>
          </w:tcPr>
          <w:p w14:paraId="4A9134F8">
            <w:pPr>
              <w:widowControl/>
              <w:spacing w:line="400" w:lineRule="exact"/>
              <w:jc w:val="left"/>
              <w:rPr>
                <w:rFonts w:hint="eastAsia" w:ascii="宋体" w:hAnsi="宋体" w:cs="宋体"/>
                <w:bCs/>
                <w:szCs w:val="21"/>
              </w:rPr>
            </w:pPr>
            <w:r>
              <w:rPr>
                <w:rFonts w:hint="eastAsia" w:ascii="宋体" w:hAnsi="宋体" w:cs="宋体"/>
                <w:bCs/>
                <w:szCs w:val="21"/>
              </w:rPr>
              <w:t>投标人拟投入项目经理具有环境类</w:t>
            </w:r>
            <w:r>
              <w:rPr>
                <w:rFonts w:hint="eastAsia" w:ascii="宋体" w:hAnsi="宋体" w:cs="宋体"/>
                <w:bCs/>
                <w:szCs w:val="21"/>
                <w:lang w:val="en-US" w:eastAsia="zh-CN"/>
              </w:rPr>
              <w:t>会环保类</w:t>
            </w:r>
            <w:r>
              <w:rPr>
                <w:rFonts w:hint="eastAsia" w:ascii="宋体" w:hAnsi="宋体" w:cs="宋体"/>
                <w:bCs/>
                <w:szCs w:val="21"/>
              </w:rPr>
              <w:t>正高级职称证书的得3分，具有环境类</w:t>
            </w:r>
            <w:r>
              <w:rPr>
                <w:rFonts w:hint="eastAsia" w:ascii="宋体" w:hAnsi="宋体" w:cs="宋体"/>
                <w:bCs/>
                <w:szCs w:val="21"/>
                <w:lang w:val="en-US" w:eastAsia="zh-CN"/>
              </w:rPr>
              <w:t>或环保类</w:t>
            </w:r>
            <w:r>
              <w:rPr>
                <w:rFonts w:hint="eastAsia" w:ascii="宋体" w:hAnsi="宋体" w:cs="宋体"/>
                <w:bCs/>
                <w:szCs w:val="21"/>
              </w:rPr>
              <w:t>副高级职称证书的得2分，具有环境类中级职称证书的得1分，本项目最高得3分。</w:t>
            </w:r>
          </w:p>
          <w:p w14:paraId="3FA9DD71">
            <w:pPr>
              <w:pStyle w:val="20"/>
              <w:spacing w:after="0" w:line="400" w:lineRule="exact"/>
              <w:ind w:left="0" w:leftChars="0"/>
              <w:rPr>
                <w:rFonts w:hint="eastAsia" w:ascii="宋体" w:hAnsi="宋体" w:eastAsia="宋体" w:cs="Times New Roman"/>
                <w:bCs/>
                <w:szCs w:val="21"/>
              </w:rPr>
            </w:pPr>
            <w:r>
              <w:rPr>
                <w:rFonts w:hint="eastAsia" w:ascii="宋体" w:hAnsi="宋体" w:eastAsia="宋体" w:cs="Times New Roman"/>
                <w:bCs/>
                <w:szCs w:val="21"/>
              </w:rPr>
              <w:t>注：</w:t>
            </w:r>
          </w:p>
          <w:p w14:paraId="72A11F99">
            <w:pPr>
              <w:pStyle w:val="20"/>
              <w:spacing w:after="0" w:line="400" w:lineRule="exact"/>
              <w:ind w:left="0" w:leftChars="0"/>
              <w:rPr>
                <w:rFonts w:hint="eastAsia" w:ascii="宋体" w:hAnsi="宋体"/>
                <w:bCs/>
                <w:szCs w:val="21"/>
              </w:rPr>
            </w:pPr>
            <w:r>
              <w:rPr>
                <w:rFonts w:hint="eastAsia" w:ascii="宋体" w:hAnsi="宋体" w:eastAsia="宋体" w:cs="Times New Roman"/>
                <w:bCs/>
                <w:color w:val="0000FF"/>
                <w:szCs w:val="21"/>
              </w:rPr>
              <w:t>（1）投标时提供人员的证书以及投标截止当月(不含)向前半年内任意</w:t>
            </w:r>
            <w:r>
              <w:rPr>
                <w:rFonts w:hint="eastAsia" w:ascii="宋体" w:hAnsi="宋体" w:eastAsia="宋体" w:cs="Times New Roman"/>
                <w:bCs/>
                <w:color w:val="0000FF"/>
                <w:szCs w:val="21"/>
                <w:lang w:val="en-US" w:eastAsia="zh-CN"/>
              </w:rPr>
              <w:t>1</w:t>
            </w:r>
            <w:r>
              <w:rPr>
                <w:rFonts w:hint="eastAsia" w:ascii="宋体" w:hAnsi="宋体" w:eastAsia="宋体" w:cs="Times New Roman"/>
                <w:bCs/>
                <w:color w:val="0000FF"/>
                <w:szCs w:val="21"/>
              </w:rPr>
              <w:t>个月在本单位缴纳养老保险扫描件(投标人通过补交使得项目实施人员的参保符合要求的不予认可)</w:t>
            </w:r>
          </w:p>
        </w:tc>
      </w:tr>
      <w:tr w14:paraId="2B45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737" w:type="pct"/>
            <w:vMerge w:val="continue"/>
            <w:tcBorders>
              <w:tl2br w:val="nil"/>
              <w:tr2bl w:val="nil"/>
            </w:tcBorders>
            <w:noWrap/>
            <w:vAlign w:val="center"/>
          </w:tcPr>
          <w:p w14:paraId="61F29EF4">
            <w:pPr>
              <w:ind w:firstLine="480"/>
              <w:jc w:val="center"/>
              <w:rPr>
                <w:rFonts w:hint="eastAsia" w:ascii="宋体" w:hAnsi="宋体" w:cs="宋体"/>
              </w:rPr>
            </w:pPr>
          </w:p>
        </w:tc>
        <w:tc>
          <w:tcPr>
            <w:tcW w:w="625" w:type="pct"/>
            <w:tcBorders>
              <w:tl2br w:val="nil"/>
              <w:tr2bl w:val="nil"/>
            </w:tcBorders>
            <w:noWrap/>
            <w:vAlign w:val="center"/>
          </w:tcPr>
          <w:p w14:paraId="33C8EA08">
            <w:pPr>
              <w:rPr>
                <w:rFonts w:hint="eastAsia" w:ascii="宋体" w:hAnsi="宋体" w:cs="宋体"/>
                <w:color w:val="000000"/>
                <w:szCs w:val="21"/>
              </w:rPr>
            </w:pPr>
            <w:r>
              <w:rPr>
                <w:rFonts w:hint="eastAsia" w:ascii="宋体" w:hAnsi="宋体" w:cs="宋体"/>
                <w:color w:val="000000"/>
                <w:szCs w:val="21"/>
              </w:rPr>
              <w:t>项目组其他成员（除项目负责人）</w:t>
            </w:r>
          </w:p>
        </w:tc>
        <w:tc>
          <w:tcPr>
            <w:tcW w:w="481" w:type="pct"/>
            <w:tcBorders>
              <w:tl2br w:val="nil"/>
              <w:tr2bl w:val="nil"/>
            </w:tcBorders>
            <w:noWrap/>
            <w:vAlign w:val="center"/>
          </w:tcPr>
          <w:p w14:paraId="3DC70441">
            <w:pPr>
              <w:jc w:val="center"/>
              <w:rPr>
                <w:rFonts w:hint="eastAsia" w:ascii="宋体" w:hAnsi="宋体" w:cs="宋体"/>
                <w:szCs w:val="21"/>
              </w:rPr>
            </w:pPr>
            <w:r>
              <w:rPr>
                <w:rFonts w:hint="eastAsia" w:ascii="宋体" w:hAnsi="宋体" w:cs="宋体"/>
                <w:szCs w:val="21"/>
                <w:lang w:val="en-US" w:eastAsia="zh-CN"/>
              </w:rPr>
              <w:t>8</w:t>
            </w:r>
            <w:r>
              <w:rPr>
                <w:rFonts w:hint="eastAsia" w:ascii="宋体" w:hAnsi="宋体" w:cs="宋体"/>
                <w:szCs w:val="21"/>
              </w:rPr>
              <w:t>分</w:t>
            </w:r>
          </w:p>
        </w:tc>
        <w:tc>
          <w:tcPr>
            <w:tcW w:w="3155" w:type="pct"/>
            <w:tcBorders>
              <w:tl2br w:val="nil"/>
              <w:tr2bl w:val="nil"/>
            </w:tcBorders>
            <w:noWrap/>
            <w:vAlign w:val="center"/>
          </w:tcPr>
          <w:p w14:paraId="16FB192B">
            <w:pPr>
              <w:widowControl/>
              <w:spacing w:line="400" w:lineRule="exact"/>
              <w:jc w:val="left"/>
              <w:rPr>
                <w:rFonts w:hint="eastAsia" w:ascii="宋体" w:hAnsi="宋体" w:cs="宋体"/>
                <w:b/>
                <w:color w:val="000000"/>
                <w:szCs w:val="21"/>
              </w:rPr>
            </w:pPr>
            <w:bookmarkStart w:id="50" w:name="OLE_LINK5"/>
            <w:r>
              <w:rPr>
                <w:rFonts w:hint="eastAsia" w:ascii="宋体" w:hAnsi="宋体" w:cs="宋体"/>
                <w:b/>
                <w:color w:val="000000"/>
                <w:szCs w:val="21"/>
              </w:rPr>
              <w:t>项目组其他成员（除项目负责人）</w:t>
            </w:r>
            <w:r>
              <w:rPr>
                <w:rFonts w:hint="eastAsia" w:ascii="宋体" w:hAnsi="宋体" w:cs="宋体"/>
                <w:b/>
                <w:color w:val="000000"/>
                <w:szCs w:val="21"/>
                <w:lang w:val="en-US" w:eastAsia="zh-CN"/>
              </w:rPr>
              <w:t>8</w:t>
            </w:r>
            <w:r>
              <w:rPr>
                <w:rFonts w:hint="eastAsia" w:ascii="宋体" w:hAnsi="宋体" w:cs="宋体"/>
                <w:b/>
                <w:color w:val="000000"/>
                <w:szCs w:val="21"/>
              </w:rPr>
              <w:t>分</w:t>
            </w:r>
          </w:p>
          <w:p w14:paraId="672F3820">
            <w:pPr>
              <w:shd w:val="clear" w:color="auto" w:fill="FFFFFF"/>
              <w:spacing w:line="400" w:lineRule="exact"/>
              <w:rPr>
                <w:rFonts w:ascii="宋体" w:hAnsi="宋体" w:eastAsia="宋体" w:cs="Times New Roman"/>
                <w:bCs/>
                <w:color w:val="000000" w:themeColor="text1"/>
                <w:kern w:val="1"/>
                <w:szCs w:val="21"/>
                <w14:textFill>
                  <w14:solidFill>
                    <w14:schemeClr w14:val="tx1"/>
                  </w14:solidFill>
                </w14:textFill>
              </w:rPr>
            </w:pPr>
            <w:bookmarkStart w:id="51" w:name="OLE_LINK26"/>
            <w:r>
              <w:rPr>
                <w:rFonts w:hint="eastAsia" w:ascii="宋体" w:hAnsi="宋体" w:eastAsia="宋体" w:cs="Times New Roman"/>
                <w:bCs/>
                <w:color w:val="000000" w:themeColor="text1"/>
                <w:kern w:val="1"/>
                <w:szCs w:val="21"/>
                <w14:textFill>
                  <w14:solidFill>
                    <w14:schemeClr w14:val="tx1"/>
                  </w14:solidFill>
                </w14:textFill>
              </w:rPr>
              <w:t>1.投标人拟投入运维人员具有中国环境监测总站或省环境监测中心颁发的的大气中挥发性有机物监测技术培训合格证书的，每提供一人得2分，本项最高得2分。</w:t>
            </w:r>
          </w:p>
          <w:p w14:paraId="15EACFD1">
            <w:pPr>
              <w:shd w:val="clear" w:color="auto" w:fill="FFFFFF"/>
              <w:spacing w:line="400" w:lineRule="exact"/>
              <w:rPr>
                <w:rFonts w:hint="eastAsia" w:ascii="宋体" w:hAnsi="宋体" w:eastAsia="宋体" w:cs="Times New Roman"/>
                <w:bCs/>
                <w:color w:val="000000" w:themeColor="text1"/>
                <w:kern w:val="1"/>
                <w:szCs w:val="21"/>
                <w14:textFill>
                  <w14:solidFill>
                    <w14:schemeClr w14:val="tx1"/>
                  </w14:solidFill>
                </w14:textFill>
              </w:rPr>
            </w:pPr>
            <w:r>
              <w:rPr>
                <w:rFonts w:hint="eastAsia" w:ascii="宋体" w:hAnsi="宋体" w:eastAsia="宋体" w:cs="Times New Roman"/>
                <w:bCs/>
                <w:color w:val="000000" w:themeColor="text1"/>
                <w:kern w:val="1"/>
                <w:szCs w:val="21"/>
                <w14:textFill>
                  <w14:solidFill>
                    <w14:schemeClr w14:val="tx1"/>
                  </w14:solidFill>
                </w14:textFill>
              </w:rPr>
              <w:t>2.投标人拟投入运维人员具有中国环境监测总站或省环境监测中心颁发的的生态环境监测条例及配套制度培训合格证书的，每提供一人得2分，本项最高得2分。</w:t>
            </w:r>
          </w:p>
          <w:p w14:paraId="4B6775CE">
            <w:pPr>
              <w:shd w:val="clear" w:color="auto" w:fill="FFFFFF"/>
              <w:spacing w:line="400" w:lineRule="exact"/>
              <w:rPr>
                <w:rFonts w:hint="eastAsia" w:ascii="宋体" w:hAnsi="宋体" w:eastAsia="宋体" w:cs="Times New Roman"/>
                <w:bCs/>
                <w:color w:val="000000" w:themeColor="text1"/>
                <w:kern w:val="1"/>
                <w:szCs w:val="21"/>
                <w14:textFill>
                  <w14:solidFill>
                    <w14:schemeClr w14:val="tx1"/>
                  </w14:solidFill>
                </w14:textFill>
              </w:rPr>
            </w:pPr>
            <w:r>
              <w:rPr>
                <w:rFonts w:hint="eastAsia" w:ascii="宋体" w:hAnsi="宋体" w:eastAsia="宋体" w:cs="Times New Roman"/>
                <w:bCs/>
                <w:color w:val="000000" w:themeColor="text1"/>
                <w:kern w:val="1"/>
                <w:szCs w:val="21"/>
                <w14:textFill>
                  <w14:solidFill>
                    <w14:schemeClr w14:val="tx1"/>
                  </w14:solidFill>
                </w14:textFill>
              </w:rPr>
              <w:t>3.投标人拟投入数据审核人员具有中国环境监测总站或省环境监测中心颁发的的环境空气质量预测预警培训合格证书的，得2分，本项最高得2分。</w:t>
            </w:r>
          </w:p>
          <w:p w14:paraId="5B1F4B82">
            <w:pPr>
              <w:shd w:val="clear" w:color="auto" w:fill="FFFFFF"/>
              <w:spacing w:line="400" w:lineRule="exact"/>
              <w:rPr>
                <w:rFonts w:hint="eastAsia" w:ascii="宋体" w:hAnsi="宋体" w:eastAsia="宋体" w:cs="Times New Roman"/>
                <w:bCs/>
                <w:color w:val="000000" w:themeColor="text1"/>
                <w:kern w:val="1"/>
                <w:szCs w:val="21"/>
                <w14:textFill>
                  <w14:solidFill>
                    <w14:schemeClr w14:val="tx1"/>
                  </w14:solidFill>
                </w14:textFill>
              </w:rPr>
            </w:pPr>
            <w:r>
              <w:rPr>
                <w:rFonts w:hint="eastAsia" w:ascii="宋体" w:hAnsi="宋体" w:eastAsia="宋体" w:cs="Times New Roman"/>
                <w:bCs/>
                <w:color w:val="000000" w:themeColor="text1"/>
                <w:kern w:val="1"/>
                <w:szCs w:val="21"/>
                <w14:textFill>
                  <w14:solidFill>
                    <w14:schemeClr w14:val="tx1"/>
                  </w14:solidFill>
                </w14:textFill>
              </w:rPr>
              <w:t>4.投标人拟投入质控人员具有取得中国环境监测总站或省环境监测中心颁发的环境空气质量预测预警培训合格证书的，得2分，本项最高得2分。</w:t>
            </w:r>
          </w:p>
          <w:p w14:paraId="7E209345">
            <w:pPr>
              <w:spacing w:line="400" w:lineRule="exact"/>
              <w:rPr>
                <w:rFonts w:hint="eastAsia" w:ascii="宋体" w:hAnsi="宋体" w:cs="宋体"/>
                <w:bCs/>
                <w:color w:val="0000FF"/>
                <w:szCs w:val="21"/>
              </w:rPr>
            </w:pPr>
            <w:r>
              <w:rPr>
                <w:rFonts w:hint="eastAsia" w:ascii="宋体" w:hAnsi="宋体" w:cs="宋体"/>
                <w:bCs/>
                <w:color w:val="0000FF"/>
                <w:szCs w:val="21"/>
              </w:rPr>
              <w:t>注：</w:t>
            </w:r>
          </w:p>
          <w:p w14:paraId="42BEC2D7">
            <w:pPr>
              <w:spacing w:line="400" w:lineRule="exact"/>
              <w:rPr>
                <w:rFonts w:hint="eastAsia" w:ascii="宋体" w:hAnsi="宋体"/>
                <w:bCs/>
                <w:szCs w:val="21"/>
              </w:rPr>
            </w:pPr>
            <w:r>
              <w:rPr>
                <w:rFonts w:hint="eastAsia" w:ascii="宋体" w:hAnsi="宋体" w:cs="宋体"/>
                <w:bCs/>
                <w:color w:val="0000FF"/>
                <w:szCs w:val="21"/>
              </w:rPr>
              <w:t>投标时提供上述相应人员的证书以及投标截止当月(不含)向前半年内任意</w:t>
            </w:r>
            <w:r>
              <w:rPr>
                <w:rFonts w:hint="eastAsia" w:ascii="宋体" w:hAnsi="宋体" w:cs="宋体"/>
                <w:bCs/>
                <w:color w:val="0000FF"/>
                <w:szCs w:val="21"/>
                <w:lang w:val="en-US" w:eastAsia="zh-CN"/>
              </w:rPr>
              <w:t>1</w:t>
            </w:r>
            <w:r>
              <w:rPr>
                <w:rFonts w:hint="eastAsia" w:ascii="宋体" w:hAnsi="宋体" w:cs="宋体"/>
                <w:bCs/>
                <w:color w:val="0000FF"/>
                <w:szCs w:val="21"/>
              </w:rPr>
              <w:t>个月在本单位缴纳养老保险扫描件(投标人通过补交使得项目实施人员的参保符合要求的不予认可)</w:t>
            </w:r>
            <w:bookmarkEnd w:id="50"/>
            <w:bookmarkEnd w:id="51"/>
          </w:p>
        </w:tc>
      </w:tr>
      <w:tr w14:paraId="0FBF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737" w:type="pct"/>
            <w:vMerge w:val="continue"/>
            <w:tcBorders>
              <w:tl2br w:val="nil"/>
              <w:tr2bl w:val="nil"/>
            </w:tcBorders>
            <w:noWrap/>
            <w:vAlign w:val="center"/>
          </w:tcPr>
          <w:p w14:paraId="25531D62">
            <w:pPr>
              <w:ind w:firstLine="480"/>
              <w:jc w:val="center"/>
              <w:rPr>
                <w:rFonts w:hint="eastAsia" w:ascii="宋体" w:hAnsi="宋体" w:cs="宋体"/>
              </w:rPr>
            </w:pPr>
          </w:p>
        </w:tc>
        <w:tc>
          <w:tcPr>
            <w:tcW w:w="625" w:type="pct"/>
            <w:tcBorders>
              <w:tl2br w:val="nil"/>
              <w:tr2bl w:val="nil"/>
            </w:tcBorders>
            <w:noWrap/>
            <w:vAlign w:val="center"/>
          </w:tcPr>
          <w:p w14:paraId="009AF752">
            <w:pPr>
              <w:rPr>
                <w:rFonts w:hint="eastAsia" w:ascii="宋体" w:hAnsi="宋体" w:cs="宋体"/>
                <w:color w:val="000000"/>
              </w:rPr>
            </w:pPr>
            <w:r>
              <w:rPr>
                <w:rFonts w:hint="eastAsia" w:ascii="宋体" w:hAnsi="宋体" w:cs="宋体"/>
                <w:color w:val="000000"/>
              </w:rPr>
              <w:t>类似案例</w:t>
            </w:r>
          </w:p>
        </w:tc>
        <w:tc>
          <w:tcPr>
            <w:tcW w:w="481" w:type="pct"/>
            <w:tcBorders>
              <w:tl2br w:val="nil"/>
              <w:tr2bl w:val="nil"/>
            </w:tcBorders>
            <w:noWrap/>
            <w:vAlign w:val="center"/>
          </w:tcPr>
          <w:p w14:paraId="540EB98A">
            <w:pPr>
              <w:jc w:val="center"/>
              <w:rPr>
                <w:rFonts w:hint="eastAsia" w:ascii="宋体" w:hAnsi="宋体" w:cs="宋体"/>
              </w:rPr>
            </w:pPr>
            <w:r>
              <w:rPr>
                <w:rFonts w:hint="eastAsia" w:ascii="宋体" w:hAnsi="宋体" w:cs="宋体"/>
                <w:lang w:val="en-US" w:eastAsia="zh-CN"/>
              </w:rPr>
              <w:t>4</w:t>
            </w:r>
            <w:r>
              <w:rPr>
                <w:rFonts w:hint="eastAsia" w:ascii="宋体" w:hAnsi="宋体" w:cs="宋体"/>
              </w:rPr>
              <w:t>分</w:t>
            </w:r>
          </w:p>
        </w:tc>
        <w:tc>
          <w:tcPr>
            <w:tcW w:w="3155" w:type="pct"/>
            <w:tcBorders>
              <w:tl2br w:val="nil"/>
              <w:tr2bl w:val="nil"/>
            </w:tcBorders>
            <w:noWrap/>
            <w:vAlign w:val="center"/>
          </w:tcPr>
          <w:p w14:paraId="53F0B82D">
            <w:pPr>
              <w:spacing w:line="400" w:lineRule="exact"/>
              <w:rPr>
                <w:rFonts w:hint="eastAsia" w:ascii="宋体" w:hAnsi="宋体" w:cs="宋体"/>
                <w:bCs/>
                <w:szCs w:val="21"/>
              </w:rPr>
            </w:pPr>
            <w:r>
              <w:rPr>
                <w:rFonts w:hint="eastAsia" w:ascii="宋体" w:hAnsi="宋体" w:cs="宋体"/>
                <w:bCs/>
                <w:szCs w:val="21"/>
              </w:rPr>
              <w:t>1、投标人自2023年1月1日（含）以来（以签订合同时间为准）承担过与本项目类似环境空气自动监测站的运维服务项目（运维因子至少包括GCMS），每提供一份业绩材料得</w:t>
            </w:r>
            <w:r>
              <w:rPr>
                <w:rFonts w:hint="eastAsia" w:ascii="宋体" w:hAnsi="宋体" w:cs="宋体"/>
                <w:bCs/>
                <w:szCs w:val="21"/>
                <w:lang w:val="en-US" w:eastAsia="zh-CN"/>
              </w:rPr>
              <w:t>2</w:t>
            </w:r>
            <w:r>
              <w:rPr>
                <w:rFonts w:hint="eastAsia" w:ascii="宋体" w:hAnsi="宋体" w:cs="宋体"/>
                <w:bCs/>
                <w:szCs w:val="21"/>
              </w:rPr>
              <w:t>分，最高得</w:t>
            </w:r>
            <w:r>
              <w:rPr>
                <w:rFonts w:hint="eastAsia" w:ascii="宋体" w:hAnsi="宋体" w:cs="宋体"/>
                <w:bCs/>
                <w:szCs w:val="21"/>
                <w:lang w:val="en-US" w:eastAsia="zh-CN"/>
              </w:rPr>
              <w:t>2</w:t>
            </w:r>
            <w:r>
              <w:rPr>
                <w:rFonts w:hint="eastAsia" w:ascii="宋体" w:hAnsi="宋体" w:cs="宋体"/>
                <w:bCs/>
                <w:szCs w:val="21"/>
              </w:rPr>
              <w:t>分。</w:t>
            </w:r>
          </w:p>
          <w:p w14:paraId="54D681DE">
            <w:pPr>
              <w:spacing w:line="400" w:lineRule="exact"/>
              <w:rPr>
                <w:rFonts w:hint="eastAsia" w:ascii="宋体" w:hAnsi="宋体" w:cs="宋体"/>
                <w:bCs/>
                <w:szCs w:val="21"/>
              </w:rPr>
            </w:pPr>
            <w:r>
              <w:rPr>
                <w:rFonts w:hint="eastAsia" w:ascii="宋体" w:hAnsi="宋体" w:cs="宋体"/>
                <w:bCs/>
                <w:szCs w:val="21"/>
              </w:rPr>
              <w:t>2、</w:t>
            </w:r>
            <w:bookmarkStart w:id="120" w:name="_GoBack"/>
            <w:bookmarkEnd w:id="120"/>
            <w:r>
              <w:rPr>
                <w:rFonts w:hint="eastAsia" w:ascii="宋体" w:hAnsi="宋体" w:cs="宋体"/>
                <w:bCs/>
                <w:szCs w:val="21"/>
              </w:rPr>
              <w:t>投标人自2023年1月1日（含）以来（以签订合同时间为准）承担过地表水自动监测站的运维项目（运维因子至少包括：水质五参数，高猛酸盐，氨氮，总磷，总氮）的，每提供一份业绩材料得</w:t>
            </w:r>
            <w:r>
              <w:rPr>
                <w:rFonts w:hint="eastAsia" w:ascii="宋体" w:hAnsi="宋体" w:cs="宋体"/>
                <w:bCs/>
                <w:szCs w:val="21"/>
                <w:lang w:val="en-US" w:eastAsia="zh-CN"/>
              </w:rPr>
              <w:t>2</w:t>
            </w:r>
            <w:r>
              <w:rPr>
                <w:rFonts w:hint="eastAsia" w:ascii="宋体" w:hAnsi="宋体" w:cs="宋体"/>
                <w:bCs/>
                <w:szCs w:val="21"/>
              </w:rPr>
              <w:t>分，最高得</w:t>
            </w:r>
            <w:r>
              <w:rPr>
                <w:rFonts w:hint="eastAsia" w:ascii="宋体" w:hAnsi="宋体" w:cs="宋体"/>
                <w:bCs/>
                <w:szCs w:val="21"/>
                <w:lang w:val="en-US" w:eastAsia="zh-CN"/>
              </w:rPr>
              <w:t>2</w:t>
            </w:r>
            <w:r>
              <w:rPr>
                <w:rFonts w:hint="eastAsia" w:ascii="宋体" w:hAnsi="宋体" w:cs="宋体"/>
                <w:bCs/>
                <w:szCs w:val="21"/>
              </w:rPr>
              <w:t xml:space="preserve">分。 </w:t>
            </w:r>
          </w:p>
          <w:p w14:paraId="44411497">
            <w:pPr>
              <w:spacing w:line="400" w:lineRule="exact"/>
              <w:rPr>
                <w:rFonts w:hint="eastAsia" w:ascii="宋体" w:hAnsi="宋体"/>
              </w:rPr>
            </w:pPr>
            <w:r>
              <w:rPr>
                <w:rFonts w:hint="eastAsia" w:ascii="宋体" w:hAnsi="宋体" w:cs="宋体"/>
                <w:bCs/>
                <w:color w:val="0000FF"/>
                <w:szCs w:val="21"/>
              </w:rPr>
              <w:t>注：投标时提供合同原件彩色扫描件或加盖投标人公章复印件扫描件和对应合同任意一次结算发票（发票佐证材料至少提供1张，扫描件加盖公章，否则不得分)</w:t>
            </w:r>
          </w:p>
        </w:tc>
      </w:tr>
      <w:tr w14:paraId="7699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37" w:type="pct"/>
            <w:tcBorders>
              <w:tl2br w:val="nil"/>
              <w:tr2bl w:val="nil"/>
            </w:tcBorders>
            <w:noWrap/>
            <w:vAlign w:val="center"/>
          </w:tcPr>
          <w:p w14:paraId="47ECDC64">
            <w:pPr>
              <w:rPr>
                <w:rFonts w:hint="eastAsia" w:ascii="宋体" w:hAnsi="宋体" w:cs="宋体"/>
                <w:szCs w:val="21"/>
              </w:rPr>
            </w:pPr>
            <w:r>
              <w:rPr>
                <w:rFonts w:hint="eastAsia" w:ascii="宋体" w:hAnsi="宋体" w:cs="宋体"/>
                <w:szCs w:val="21"/>
              </w:rPr>
              <w:t>诚信投标</w:t>
            </w:r>
          </w:p>
        </w:tc>
        <w:tc>
          <w:tcPr>
            <w:tcW w:w="625" w:type="pct"/>
            <w:tcBorders>
              <w:tl2br w:val="nil"/>
              <w:tr2bl w:val="nil"/>
            </w:tcBorders>
            <w:noWrap/>
            <w:vAlign w:val="center"/>
          </w:tcPr>
          <w:p w14:paraId="64CFC0F7">
            <w:pPr>
              <w:rPr>
                <w:rFonts w:hint="eastAsia" w:ascii="宋体" w:hAnsi="宋体" w:cs="宋体"/>
                <w:szCs w:val="21"/>
              </w:rPr>
            </w:pPr>
            <w:r>
              <w:rPr>
                <w:rFonts w:hint="eastAsia" w:ascii="宋体" w:hAnsi="宋体" w:cs="宋体"/>
                <w:szCs w:val="21"/>
              </w:rPr>
              <w:t>诚信投标</w:t>
            </w:r>
          </w:p>
        </w:tc>
        <w:tc>
          <w:tcPr>
            <w:tcW w:w="481" w:type="pct"/>
            <w:tcBorders>
              <w:tl2br w:val="nil"/>
              <w:tr2bl w:val="nil"/>
            </w:tcBorders>
            <w:noWrap/>
            <w:vAlign w:val="center"/>
          </w:tcPr>
          <w:p w14:paraId="112ABF5E">
            <w:pPr>
              <w:jc w:val="center"/>
              <w:rPr>
                <w:rFonts w:hint="eastAsia" w:ascii="宋体" w:hAnsi="宋体" w:cs="宋体"/>
                <w:szCs w:val="21"/>
              </w:rPr>
            </w:pPr>
            <w:r>
              <w:rPr>
                <w:rFonts w:ascii="宋体" w:hAnsi="宋体" w:cs="宋体"/>
                <w:szCs w:val="21"/>
              </w:rPr>
              <w:t>1</w:t>
            </w:r>
            <w:r>
              <w:rPr>
                <w:rFonts w:hint="eastAsia" w:ascii="宋体" w:hAnsi="宋体" w:cs="宋体"/>
                <w:szCs w:val="21"/>
              </w:rPr>
              <w:t>分</w:t>
            </w:r>
          </w:p>
        </w:tc>
        <w:tc>
          <w:tcPr>
            <w:tcW w:w="3155" w:type="pct"/>
            <w:tcBorders>
              <w:tl2br w:val="nil"/>
              <w:tr2bl w:val="nil"/>
            </w:tcBorders>
            <w:noWrap/>
            <w:vAlign w:val="center"/>
          </w:tcPr>
          <w:p w14:paraId="2FFC2163">
            <w:pPr>
              <w:spacing w:line="400" w:lineRule="exact"/>
              <w:rPr>
                <w:rFonts w:hint="eastAsia" w:ascii="宋体" w:hAnsi="宋体" w:cs="宋体"/>
                <w:szCs w:val="21"/>
              </w:rPr>
            </w:pPr>
            <w:r>
              <w:rPr>
                <w:rFonts w:hint="eastAsia" w:ascii="宋体" w:hAnsi="宋体" w:cs="宋体"/>
                <w:szCs w:val="21"/>
              </w:rPr>
              <w:t>投标人提交签署并盖章《盐城市大丰区政府招标采购供应商承诺书》原件扫描件的得1分，未提供的不得分</w:t>
            </w:r>
          </w:p>
        </w:tc>
      </w:tr>
    </w:tbl>
    <w:p w14:paraId="25305F3F">
      <w:pPr>
        <w:pStyle w:val="42"/>
        <w:ind w:firstLine="422"/>
        <w:rPr>
          <w:rFonts w:hint="eastAsia"/>
          <w:b/>
          <w:sz w:val="21"/>
          <w:szCs w:val="21"/>
        </w:rPr>
      </w:pPr>
    </w:p>
    <w:bookmarkEnd w:id="40"/>
    <w:bookmarkEnd w:id="41"/>
    <w:p w14:paraId="1937E603">
      <w:pPr>
        <w:shd w:val="clear" w:color="auto" w:fill="FFFFFF"/>
        <w:spacing w:line="460" w:lineRule="exact"/>
        <w:ind w:firstLine="420"/>
        <w:rPr>
          <w:rFonts w:hint="eastAsia" w:ascii="宋体" w:hAnsi="宋体"/>
          <w:b/>
          <w:szCs w:val="21"/>
        </w:rPr>
      </w:pPr>
      <w:r>
        <w:rPr>
          <w:rFonts w:hint="eastAsia" w:ascii="宋体" w:hAnsi="宋体" w:cs="宋体"/>
          <w:b/>
          <w:bCs/>
          <w:color w:val="FF0000"/>
          <w:sz w:val="24"/>
        </w:rPr>
        <w:t>备注：上述涉及的扫描件是指：</w:t>
      </w:r>
      <w:r>
        <w:rPr>
          <w:rFonts w:ascii="宋体" w:hAnsi="宋体" w:cs="宋体"/>
          <w:b/>
          <w:bCs/>
          <w:color w:val="FF0000"/>
          <w:sz w:val="24"/>
        </w:rPr>
        <w:t>原件彩色扫描件或加盖投标人公章复印件扫描件</w:t>
      </w:r>
    </w:p>
    <w:p w14:paraId="107FCC9F">
      <w:pPr>
        <w:shd w:val="clear" w:color="auto" w:fill="FFFFFF"/>
        <w:spacing w:line="460" w:lineRule="exact"/>
        <w:ind w:firstLine="420"/>
        <w:rPr>
          <w:rFonts w:hint="eastAsia" w:ascii="宋体" w:hAnsi="宋体"/>
          <w:b/>
          <w:szCs w:val="21"/>
        </w:rPr>
      </w:pPr>
      <w:r>
        <w:rPr>
          <w:rFonts w:hint="eastAsia" w:ascii="宋体" w:hAnsi="宋体"/>
          <w:b/>
          <w:szCs w:val="21"/>
        </w:rPr>
        <w:t>2.</w:t>
      </w:r>
      <w:r>
        <w:rPr>
          <w:rFonts w:ascii="宋体" w:hAnsi="宋体"/>
          <w:b/>
          <w:szCs w:val="21"/>
        </w:rPr>
        <w:t>2</w:t>
      </w:r>
      <w:r>
        <w:rPr>
          <w:rFonts w:hint="eastAsia" w:ascii="宋体" w:hAnsi="宋体"/>
          <w:b/>
          <w:szCs w:val="21"/>
        </w:rPr>
        <w:t>招标人有权在中标公示期间、签约前后等任何环节对相关资料的真实性进行核验，如发现提供虚假资料招标人将依法取消其中标资格。</w:t>
      </w:r>
    </w:p>
    <w:p w14:paraId="11D9A6D6">
      <w:pPr>
        <w:shd w:val="clear" w:color="auto" w:fill="FFFFFF"/>
        <w:spacing w:line="460" w:lineRule="exact"/>
        <w:ind w:firstLine="420"/>
        <w:rPr>
          <w:rFonts w:hint="eastAsia" w:ascii="宋体" w:hAnsi="宋体"/>
          <w:szCs w:val="21"/>
        </w:rPr>
      </w:pPr>
      <w:r>
        <w:rPr>
          <w:rFonts w:hint="eastAsia" w:ascii="宋体" w:hAnsi="宋体"/>
          <w:szCs w:val="21"/>
        </w:rPr>
        <w:t>2.</w:t>
      </w:r>
      <w:r>
        <w:rPr>
          <w:rFonts w:ascii="宋体" w:hAnsi="宋体"/>
          <w:szCs w:val="21"/>
        </w:rPr>
        <w:t>3</w:t>
      </w:r>
      <w:r>
        <w:rPr>
          <w:rFonts w:hint="eastAsia" w:ascii="宋体" w:hAnsi="宋体"/>
          <w:szCs w:val="21"/>
        </w:rPr>
        <w:t>评委应记名打分，打分未记名的或未按招标文件规定的评标办法打分的，一律按无效打分处理。取所有评委的有效分值进行计分、汇总；各项汇总时，每大项计分保留三位小数（第四位四舍五入）；总得分汇总时保留两位小数（第三位四舍五入）。</w:t>
      </w:r>
    </w:p>
    <w:p w14:paraId="04A8B4A0">
      <w:pPr>
        <w:spacing w:line="460" w:lineRule="exact"/>
        <w:ind w:firstLine="420"/>
        <w:rPr>
          <w:rFonts w:hint="eastAsia" w:ascii="宋体" w:hAnsi="宋体" w:cs="宋体"/>
          <w:color w:val="000000"/>
          <w:szCs w:val="21"/>
        </w:rPr>
      </w:pPr>
      <w:r>
        <w:rPr>
          <w:rFonts w:hint="eastAsia" w:ascii="宋体" w:hAnsi="宋体" w:cs="宋体"/>
          <w:color w:val="000000"/>
          <w:szCs w:val="21"/>
        </w:rPr>
        <w:t>任何最低报价及任何单项因素的最优均不是中标的必要条件。评标时，评标委员会各成员独立对每个有效投标人的标书进行评价、打分，然后汇总，按算术平均方法，计算出每个投标人的得分；报价得分通过计算直接取得；报价得分加评委算术平均得分，为投标人的总得分。</w:t>
      </w:r>
    </w:p>
    <w:p w14:paraId="65E2269F">
      <w:pPr>
        <w:spacing w:line="460" w:lineRule="exact"/>
        <w:ind w:firstLine="420"/>
        <w:rPr>
          <w:rFonts w:hint="eastAsia" w:ascii="宋体" w:hAnsi="宋体" w:cs="宋体"/>
          <w:color w:val="000000"/>
          <w:szCs w:val="21"/>
        </w:rPr>
      </w:pPr>
      <w:r>
        <w:rPr>
          <w:rFonts w:hint="eastAsia" w:ascii="宋体" w:hAnsi="宋体" w:cs="宋体"/>
          <w:color w:val="000000"/>
          <w:szCs w:val="21"/>
        </w:rPr>
        <w:t>三、评标程序</w:t>
      </w:r>
      <w:bookmarkEnd w:id="42"/>
    </w:p>
    <w:p w14:paraId="2FF09B86">
      <w:pPr>
        <w:spacing w:line="460" w:lineRule="exact"/>
        <w:ind w:firstLine="420"/>
        <w:rPr>
          <w:rFonts w:hint="eastAsia" w:ascii="宋体" w:hAnsi="宋体" w:cs="宋体"/>
          <w:color w:val="000000"/>
          <w:szCs w:val="21"/>
        </w:rPr>
      </w:pPr>
      <w:bookmarkStart w:id="52" w:name="_Toc29388463"/>
      <w:bookmarkStart w:id="53" w:name="_Toc22907"/>
      <w:bookmarkStart w:id="54" w:name="_Toc397928606"/>
      <w:r>
        <w:rPr>
          <w:rFonts w:hint="eastAsia" w:ascii="宋体" w:hAnsi="宋体" w:cs="宋体"/>
          <w:color w:val="000000"/>
          <w:szCs w:val="21"/>
        </w:rPr>
        <w:t>3.1 评标准备</w:t>
      </w:r>
      <w:bookmarkEnd w:id="52"/>
      <w:bookmarkEnd w:id="53"/>
      <w:bookmarkEnd w:id="54"/>
    </w:p>
    <w:p w14:paraId="3C8B1D86">
      <w:pPr>
        <w:spacing w:line="460" w:lineRule="exact"/>
        <w:ind w:firstLine="420"/>
        <w:rPr>
          <w:rFonts w:hint="eastAsia" w:ascii="宋体" w:hAnsi="宋体" w:cs="宋体"/>
          <w:color w:val="000000"/>
          <w:szCs w:val="21"/>
        </w:rPr>
      </w:pPr>
      <w:r>
        <w:rPr>
          <w:rFonts w:hint="eastAsia" w:ascii="宋体" w:hAnsi="宋体" w:cs="宋体"/>
          <w:color w:val="000000"/>
          <w:szCs w:val="21"/>
        </w:rPr>
        <w:t>3.1.</w:t>
      </w:r>
      <w:r>
        <w:rPr>
          <w:rFonts w:ascii="宋体" w:hAnsi="宋体" w:cs="宋体"/>
          <w:color w:val="000000"/>
          <w:szCs w:val="21"/>
        </w:rPr>
        <w:t>1</w:t>
      </w:r>
      <w:r>
        <w:rPr>
          <w:rFonts w:hint="eastAsia" w:ascii="宋体" w:hAnsi="宋体" w:cs="宋体"/>
          <w:color w:val="000000"/>
          <w:szCs w:val="21"/>
        </w:rPr>
        <w:t xml:space="preserve"> 评标委员会成员首先推选一名评标委员会负责人，负责评标活动的组织领导工作。</w:t>
      </w:r>
    </w:p>
    <w:p w14:paraId="3FF88036">
      <w:pPr>
        <w:spacing w:line="460" w:lineRule="exact"/>
        <w:ind w:firstLine="420"/>
        <w:rPr>
          <w:rFonts w:hint="eastAsia" w:ascii="宋体" w:hAnsi="宋体" w:cs="宋体"/>
          <w:color w:val="000000"/>
          <w:szCs w:val="21"/>
        </w:rPr>
      </w:pPr>
      <w:r>
        <w:rPr>
          <w:rFonts w:hint="eastAsia" w:ascii="宋体" w:hAnsi="宋体" w:cs="宋体"/>
          <w:color w:val="000000"/>
          <w:szCs w:val="21"/>
        </w:rPr>
        <w:t>3.1.</w:t>
      </w:r>
      <w:r>
        <w:rPr>
          <w:rFonts w:ascii="宋体" w:hAnsi="宋体" w:cs="宋体"/>
          <w:color w:val="000000"/>
          <w:szCs w:val="21"/>
        </w:rPr>
        <w:t>2</w:t>
      </w:r>
      <w:r>
        <w:rPr>
          <w:rFonts w:hint="eastAsia" w:ascii="宋体" w:hAnsi="宋体" w:cs="宋体"/>
          <w:color w:val="000000"/>
          <w:szCs w:val="21"/>
        </w:rPr>
        <w:t xml:space="preserve"> 招标人或招标代理机构应向评标委员会提供评标所需的信息和数据。评标委员会负责人应组织评标委员会成员认真研究招标文件，未在招标文件中规定的标准和方法不得作为评标的依据。</w:t>
      </w:r>
    </w:p>
    <w:p w14:paraId="3B5B6BFD">
      <w:pPr>
        <w:spacing w:line="460" w:lineRule="exact"/>
        <w:ind w:firstLine="420"/>
        <w:rPr>
          <w:rFonts w:hint="eastAsia" w:ascii="宋体" w:hAnsi="宋体" w:cs="宋体"/>
          <w:color w:val="000000"/>
          <w:szCs w:val="21"/>
        </w:rPr>
      </w:pPr>
      <w:bookmarkStart w:id="55" w:name="_Toc397928607"/>
      <w:bookmarkStart w:id="56" w:name="_Toc6331"/>
      <w:bookmarkStart w:id="57" w:name="_Toc29388464"/>
      <w:r>
        <w:rPr>
          <w:rFonts w:hint="eastAsia" w:ascii="宋体" w:hAnsi="宋体" w:cs="宋体"/>
          <w:color w:val="000000"/>
          <w:szCs w:val="21"/>
        </w:rPr>
        <w:t>3.2 初步评审</w:t>
      </w:r>
      <w:bookmarkEnd w:id="55"/>
      <w:bookmarkEnd w:id="56"/>
      <w:bookmarkEnd w:id="57"/>
    </w:p>
    <w:p w14:paraId="3D4A909E">
      <w:pPr>
        <w:spacing w:line="460" w:lineRule="exact"/>
        <w:ind w:firstLine="420"/>
        <w:rPr>
          <w:rFonts w:hint="eastAsia" w:ascii="宋体" w:hAnsi="宋体" w:cs="宋体"/>
          <w:color w:val="000000"/>
          <w:szCs w:val="21"/>
        </w:rPr>
      </w:pPr>
      <w:r>
        <w:rPr>
          <w:rFonts w:hint="eastAsia" w:ascii="宋体" w:hAnsi="宋体" w:cs="宋体"/>
          <w:color w:val="000000"/>
          <w:szCs w:val="21"/>
        </w:rPr>
        <w:t>3.2.1评标委员会依据本章第一款规定的标准对投标文件进行初步评审。</w:t>
      </w:r>
    </w:p>
    <w:p w14:paraId="709AD0B7">
      <w:pPr>
        <w:spacing w:line="460" w:lineRule="exact"/>
        <w:ind w:firstLine="420"/>
        <w:rPr>
          <w:rFonts w:hint="eastAsia" w:ascii="宋体" w:hAnsi="宋体" w:cs="宋体"/>
          <w:color w:val="000000"/>
          <w:szCs w:val="21"/>
        </w:rPr>
      </w:pPr>
      <w:r>
        <w:rPr>
          <w:rFonts w:hint="eastAsia" w:ascii="宋体" w:hAnsi="宋体" w:cs="宋体"/>
          <w:color w:val="000000"/>
          <w:szCs w:val="21"/>
        </w:rPr>
        <w:t>3.2.2投标文件不符合本章第一款评审标准的，属于重大偏差，视为未能对招标文件作出实质性响应，应当作为无效投标予以否决。</w:t>
      </w:r>
    </w:p>
    <w:p w14:paraId="7E45FC14">
      <w:pPr>
        <w:spacing w:line="460" w:lineRule="exact"/>
        <w:ind w:firstLine="420"/>
        <w:rPr>
          <w:rFonts w:hint="eastAsia" w:ascii="宋体" w:hAnsi="宋体" w:cs="宋体"/>
          <w:color w:val="000000"/>
          <w:szCs w:val="21"/>
        </w:rPr>
      </w:pPr>
      <w:r>
        <w:rPr>
          <w:rFonts w:hint="eastAsia" w:ascii="宋体" w:hAnsi="宋体" w:cs="宋体"/>
          <w:color w:val="000000"/>
          <w:szCs w:val="21"/>
        </w:rPr>
        <w:t>3.2.</w:t>
      </w:r>
      <w:r>
        <w:rPr>
          <w:rFonts w:ascii="宋体" w:hAnsi="宋体" w:cs="宋体"/>
          <w:color w:val="000000"/>
          <w:szCs w:val="21"/>
        </w:rPr>
        <w:t>3</w:t>
      </w:r>
      <w:r>
        <w:rPr>
          <w:rFonts w:hint="eastAsia" w:ascii="宋体" w:hAnsi="宋体" w:cs="宋体"/>
          <w:color w:val="000000"/>
          <w:szCs w:val="21"/>
        </w:rPr>
        <w:t>只有通过初步评审的投标文件才能进入详细评审。</w:t>
      </w:r>
    </w:p>
    <w:p w14:paraId="5DE4985B">
      <w:pPr>
        <w:spacing w:line="460" w:lineRule="exact"/>
        <w:ind w:firstLine="420"/>
        <w:rPr>
          <w:rFonts w:hint="eastAsia" w:ascii="宋体" w:hAnsi="宋体" w:cs="宋体"/>
          <w:color w:val="000000"/>
          <w:szCs w:val="21"/>
        </w:rPr>
      </w:pPr>
      <w:bookmarkStart w:id="58" w:name="_Toc29388465"/>
      <w:bookmarkStart w:id="59" w:name="_Toc397928608"/>
      <w:bookmarkStart w:id="60" w:name="_Toc7389"/>
      <w:r>
        <w:rPr>
          <w:rFonts w:hint="eastAsia" w:ascii="宋体" w:hAnsi="宋体" w:cs="宋体"/>
          <w:color w:val="000000"/>
          <w:szCs w:val="21"/>
        </w:rPr>
        <w:t>3.3 详细评审</w:t>
      </w:r>
      <w:bookmarkEnd w:id="58"/>
      <w:bookmarkEnd w:id="59"/>
      <w:bookmarkEnd w:id="60"/>
    </w:p>
    <w:p w14:paraId="25B5B619">
      <w:pPr>
        <w:spacing w:line="460" w:lineRule="exact"/>
        <w:ind w:firstLine="420"/>
        <w:rPr>
          <w:rFonts w:hint="eastAsia" w:ascii="宋体" w:hAnsi="宋体" w:cs="宋体"/>
          <w:color w:val="000000"/>
          <w:szCs w:val="21"/>
        </w:rPr>
      </w:pPr>
      <w:bookmarkStart w:id="61" w:name="_Toc397928609"/>
      <w:bookmarkStart w:id="62" w:name="_Toc5826"/>
      <w:bookmarkStart w:id="63" w:name="_Toc29388466"/>
      <w:r>
        <w:rPr>
          <w:rFonts w:hint="eastAsia" w:ascii="宋体" w:hAnsi="宋体" w:cs="宋体"/>
          <w:color w:val="000000"/>
          <w:szCs w:val="21"/>
        </w:rPr>
        <w:t>3.4 投标文件的澄清和补正</w:t>
      </w:r>
      <w:bookmarkEnd w:id="61"/>
      <w:bookmarkEnd w:id="62"/>
      <w:bookmarkEnd w:id="63"/>
    </w:p>
    <w:p w14:paraId="4717AB28">
      <w:pPr>
        <w:spacing w:line="460" w:lineRule="exact"/>
        <w:ind w:firstLine="420"/>
        <w:rPr>
          <w:rFonts w:hint="eastAsia" w:ascii="宋体" w:hAnsi="宋体" w:cs="宋体"/>
          <w:color w:val="000000"/>
          <w:szCs w:val="21"/>
        </w:rPr>
      </w:pPr>
      <w:r>
        <w:rPr>
          <w:rFonts w:hint="eastAsia" w:ascii="宋体" w:hAnsi="宋体" w:cs="宋体"/>
          <w:color w:val="000000"/>
          <w:szCs w:val="21"/>
        </w:rPr>
        <w:t>3.4.1 在评标过程中，评标委员会可以书面形式要求投标人对所提交投标文件中不明确的内容进行书面澄清或说明，或者对细微偏差进行补正。评标委员会不接受投标人主动提出的澄清、说明或补正。</w:t>
      </w:r>
    </w:p>
    <w:p w14:paraId="720E01B5">
      <w:pPr>
        <w:spacing w:line="460" w:lineRule="exact"/>
        <w:ind w:firstLine="420"/>
        <w:rPr>
          <w:rFonts w:hint="eastAsia" w:ascii="宋体" w:hAnsi="宋体" w:cs="宋体"/>
          <w:color w:val="000000"/>
          <w:szCs w:val="21"/>
        </w:rPr>
      </w:pPr>
      <w:r>
        <w:rPr>
          <w:rFonts w:hint="eastAsia" w:ascii="宋体" w:hAnsi="宋体" w:cs="宋体"/>
          <w:color w:val="000000"/>
          <w:szCs w:val="21"/>
        </w:rPr>
        <w:t>3.4.2 澄清、说明和补正不得改变投标文件的实质性内容（算术性错误修正的除外）。投标人的书面澄清、说明和补正属于投标文件的组成部分。</w:t>
      </w:r>
    </w:p>
    <w:p w14:paraId="1E647757">
      <w:pPr>
        <w:spacing w:line="460" w:lineRule="exact"/>
        <w:ind w:firstLine="420"/>
        <w:rPr>
          <w:rFonts w:hint="eastAsia" w:ascii="宋体" w:hAnsi="宋体" w:cs="宋体"/>
          <w:color w:val="000000"/>
          <w:szCs w:val="21"/>
        </w:rPr>
      </w:pPr>
      <w:r>
        <w:rPr>
          <w:rFonts w:hint="eastAsia" w:ascii="宋体" w:hAnsi="宋体" w:cs="宋体"/>
          <w:color w:val="000000"/>
          <w:szCs w:val="21"/>
        </w:rPr>
        <w:t>3.4.3 评标委员会对投标人提交的澄清、说明或补正有疑问的，可以要求投标人进一步澄清、说明或补正。</w:t>
      </w:r>
    </w:p>
    <w:p w14:paraId="0F42FE61">
      <w:pPr>
        <w:spacing w:line="460" w:lineRule="exact"/>
        <w:ind w:firstLine="420"/>
        <w:rPr>
          <w:rFonts w:hint="eastAsia" w:ascii="宋体" w:hAnsi="宋体" w:cs="宋体"/>
          <w:color w:val="000000"/>
          <w:szCs w:val="21"/>
        </w:rPr>
      </w:pPr>
      <w:bookmarkStart w:id="64" w:name="_Toc397928610"/>
      <w:bookmarkStart w:id="65" w:name="_Toc29288"/>
      <w:bookmarkStart w:id="66" w:name="_Toc29388467"/>
      <w:r>
        <w:rPr>
          <w:rFonts w:hint="eastAsia" w:ascii="宋体" w:hAnsi="宋体" w:cs="宋体"/>
          <w:color w:val="000000"/>
          <w:szCs w:val="21"/>
        </w:rPr>
        <w:t>3.5 推荐中标候选人或直接确定中标人</w:t>
      </w:r>
      <w:bookmarkEnd w:id="64"/>
      <w:bookmarkEnd w:id="65"/>
      <w:bookmarkEnd w:id="66"/>
    </w:p>
    <w:p w14:paraId="18258471">
      <w:pPr>
        <w:spacing w:line="460" w:lineRule="exact"/>
        <w:ind w:firstLine="420"/>
        <w:rPr>
          <w:rFonts w:hint="eastAsia" w:ascii="宋体" w:hAnsi="宋体" w:cs="宋体"/>
          <w:color w:val="000000"/>
          <w:szCs w:val="21"/>
        </w:rPr>
      </w:pPr>
      <w:r>
        <w:rPr>
          <w:rFonts w:hint="eastAsia" w:ascii="宋体" w:hAnsi="宋体" w:cs="宋体"/>
          <w:color w:val="000000"/>
          <w:szCs w:val="21"/>
        </w:rPr>
        <w:t>3.5.1 除投标人须知前附表授权直接确定中标人外，评标委员会在推荐中标候选人时，应遵照以下原则：</w:t>
      </w:r>
    </w:p>
    <w:p w14:paraId="7256952D">
      <w:pPr>
        <w:spacing w:line="460" w:lineRule="exact"/>
        <w:ind w:firstLine="420"/>
        <w:jc w:val="left"/>
        <w:rPr>
          <w:rFonts w:ascii="宋体" w:hAnsi="TimesNewRomanPSMT"/>
          <w:color w:val="000000"/>
          <w:szCs w:val="21"/>
        </w:rPr>
      </w:pPr>
      <w:bookmarkStart w:id="67" w:name="_Toc29388468"/>
      <w:bookmarkStart w:id="68" w:name="_Toc397928611"/>
      <w:r>
        <w:rPr>
          <w:rFonts w:hint="eastAsia" w:ascii="宋体" w:hAnsi="TimesNewRomanPSMT"/>
          <w:color w:val="000000"/>
          <w:szCs w:val="21"/>
        </w:rPr>
        <w:t>评标委员会按照最终得分由高至低的次序排列，并根据投标人须知前附表规定的中标候选人数量，将排序在前的投标人推荐为中标候选人。</w:t>
      </w:r>
    </w:p>
    <w:p w14:paraId="7EA5CD0A">
      <w:pPr>
        <w:spacing w:line="460" w:lineRule="exact"/>
        <w:ind w:firstLine="420"/>
        <w:rPr>
          <w:rFonts w:hint="eastAsia" w:ascii="宋体" w:hAnsi="宋体" w:cs="宋体"/>
          <w:color w:val="000000"/>
          <w:szCs w:val="21"/>
        </w:rPr>
      </w:pPr>
      <w:r>
        <w:rPr>
          <w:rFonts w:hint="eastAsia" w:ascii="宋体" w:hAnsi="宋体" w:cs="宋体"/>
          <w:color w:val="000000"/>
          <w:szCs w:val="21"/>
        </w:rPr>
        <w:t>3.6 提交评标报告</w:t>
      </w:r>
      <w:bookmarkEnd w:id="67"/>
      <w:bookmarkEnd w:id="68"/>
    </w:p>
    <w:p w14:paraId="39B7F5D7">
      <w:pPr>
        <w:spacing w:line="460" w:lineRule="exact"/>
        <w:ind w:firstLine="420"/>
        <w:rPr>
          <w:rFonts w:hint="eastAsia" w:ascii="宋体" w:hAnsi="宋体" w:cs="宋体"/>
          <w:color w:val="000000"/>
          <w:szCs w:val="21"/>
        </w:rPr>
      </w:pPr>
      <w:r>
        <w:rPr>
          <w:rFonts w:hint="eastAsia" w:ascii="宋体" w:hAnsi="宋体" w:cs="宋体"/>
          <w:color w:val="000000"/>
          <w:szCs w:val="21"/>
        </w:rPr>
        <w:t>评标委员会完成评标后，应当向招标人提交书面评标报告。评标报告应当由全体评标委员会成员签字，并于评标结束时抄送有关行政监督部门。</w:t>
      </w:r>
    </w:p>
    <w:p w14:paraId="615F00A9">
      <w:pPr>
        <w:spacing w:line="460" w:lineRule="exact"/>
        <w:ind w:firstLine="420"/>
        <w:rPr>
          <w:rFonts w:hint="eastAsia" w:ascii="宋体" w:hAnsi="宋体" w:cs="宋体"/>
          <w:color w:val="000000"/>
          <w:szCs w:val="21"/>
        </w:rPr>
      </w:pPr>
      <w:bookmarkStart w:id="69" w:name="_Toc29388469"/>
      <w:r>
        <w:rPr>
          <w:rFonts w:hint="eastAsia" w:ascii="宋体" w:hAnsi="宋体" w:cs="宋体"/>
          <w:color w:val="000000"/>
          <w:szCs w:val="21"/>
        </w:rPr>
        <w:t>4. 通用评标规则</w:t>
      </w:r>
      <w:bookmarkEnd w:id="69"/>
    </w:p>
    <w:p w14:paraId="14A93F25">
      <w:pPr>
        <w:spacing w:line="460" w:lineRule="exact"/>
        <w:ind w:firstLine="420"/>
        <w:rPr>
          <w:rFonts w:hint="eastAsia" w:ascii="宋体" w:hAnsi="宋体" w:cs="宋体"/>
          <w:color w:val="000000"/>
          <w:szCs w:val="21"/>
        </w:rPr>
      </w:pPr>
      <w:bookmarkStart w:id="70" w:name="_Toc29388470"/>
      <w:r>
        <w:rPr>
          <w:rFonts w:hint="eastAsia" w:ascii="宋体" w:hAnsi="宋体" w:cs="宋体"/>
          <w:color w:val="000000"/>
          <w:szCs w:val="21"/>
        </w:rPr>
        <w:t>4.1 评标程序</w:t>
      </w:r>
      <w:bookmarkEnd w:id="70"/>
    </w:p>
    <w:p w14:paraId="3BE8298F">
      <w:pPr>
        <w:spacing w:line="460" w:lineRule="exact"/>
        <w:ind w:firstLine="420"/>
        <w:rPr>
          <w:rFonts w:hint="eastAsia" w:ascii="宋体" w:hAnsi="宋体" w:cs="宋体"/>
          <w:color w:val="000000"/>
          <w:szCs w:val="21"/>
        </w:rPr>
      </w:pPr>
      <w:r>
        <w:rPr>
          <w:rFonts w:hint="eastAsia" w:ascii="宋体" w:hAnsi="宋体" w:cs="宋体"/>
          <w:color w:val="000000"/>
          <w:szCs w:val="21"/>
        </w:rPr>
        <w:t>资信文件、商务文件应分别评审，评审后不得更改。</w:t>
      </w:r>
    </w:p>
    <w:p w14:paraId="548F38DA">
      <w:pPr>
        <w:spacing w:line="460" w:lineRule="exact"/>
        <w:ind w:firstLine="420"/>
        <w:rPr>
          <w:rFonts w:hint="eastAsia" w:ascii="宋体" w:hAnsi="宋体" w:cs="宋体"/>
          <w:color w:val="000000"/>
          <w:szCs w:val="21"/>
        </w:rPr>
      </w:pPr>
      <w:bookmarkStart w:id="71" w:name="_Toc29388472"/>
      <w:r>
        <w:rPr>
          <w:rFonts w:hint="eastAsia" w:ascii="宋体" w:hAnsi="宋体" w:cs="宋体"/>
          <w:color w:val="000000"/>
          <w:szCs w:val="21"/>
        </w:rPr>
        <w:t>4.2计价文件评审规定</w:t>
      </w:r>
      <w:bookmarkEnd w:id="71"/>
    </w:p>
    <w:p w14:paraId="1584DE3C">
      <w:pPr>
        <w:spacing w:line="460" w:lineRule="exact"/>
        <w:ind w:firstLine="420"/>
        <w:rPr>
          <w:rFonts w:hint="eastAsia" w:ascii="宋体" w:hAnsi="宋体" w:cs="宋体"/>
          <w:color w:val="000000"/>
          <w:szCs w:val="21"/>
        </w:rPr>
      </w:pPr>
      <w:r>
        <w:rPr>
          <w:rFonts w:hint="eastAsia" w:ascii="宋体" w:hAnsi="宋体" w:cs="宋体"/>
          <w:color w:val="000000"/>
          <w:szCs w:val="21"/>
        </w:rPr>
        <w:t>评标委员会认为投标人的投标报价有可能低于其个别成本时，应当要求投标人以书面方式作出澄清，并提供相关证明材料后再进行认定。</w:t>
      </w:r>
    </w:p>
    <w:p w14:paraId="254E71E0">
      <w:pPr>
        <w:spacing w:line="460" w:lineRule="exact"/>
        <w:ind w:firstLine="420"/>
        <w:rPr>
          <w:rFonts w:hint="eastAsia" w:ascii="宋体" w:hAnsi="宋体" w:cs="宋体"/>
          <w:color w:val="000000"/>
          <w:szCs w:val="21"/>
        </w:rPr>
      </w:pPr>
      <w:bookmarkStart w:id="72" w:name="_Toc29388474"/>
      <w:r>
        <w:rPr>
          <w:rFonts w:hint="eastAsia" w:ascii="宋体" w:hAnsi="宋体" w:cs="宋体"/>
          <w:color w:val="000000"/>
          <w:szCs w:val="21"/>
        </w:rPr>
        <w:t>4.3争议处理</w:t>
      </w:r>
      <w:bookmarkEnd w:id="72"/>
    </w:p>
    <w:p w14:paraId="4D735C31">
      <w:pPr>
        <w:spacing w:line="460" w:lineRule="exact"/>
        <w:ind w:firstLine="420"/>
        <w:rPr>
          <w:rFonts w:hint="eastAsia" w:ascii="宋体" w:hAnsi="宋体" w:cs="宋体"/>
          <w:color w:val="000000"/>
          <w:szCs w:val="21"/>
        </w:rPr>
      </w:pPr>
      <w:r>
        <w:rPr>
          <w:rFonts w:hint="eastAsia" w:ascii="宋体" w:hAnsi="宋体" w:cs="宋体"/>
          <w:color w:val="000000"/>
          <w:szCs w:val="21"/>
        </w:rPr>
        <w:t>评标中发生重大情况或重大争议，需要进一步调查了解、协调处理的，现场监督人员报招标投标管理部门同意后可暂时休会，待有关问题得到澄清后再行复会。休会期间，所有招投标资料一律封存，所有与会人员一律不得泄露评标情况。</w:t>
      </w:r>
    </w:p>
    <w:p w14:paraId="5DA49805">
      <w:pPr>
        <w:spacing w:line="460" w:lineRule="exact"/>
        <w:ind w:firstLine="420"/>
        <w:rPr>
          <w:rFonts w:hint="eastAsia" w:ascii="宋体" w:hAnsi="宋体" w:cs="宋体"/>
          <w:color w:val="000000"/>
          <w:szCs w:val="21"/>
        </w:rPr>
      </w:pPr>
      <w:bookmarkStart w:id="73" w:name="_Toc29388475"/>
      <w:r>
        <w:rPr>
          <w:rFonts w:hint="eastAsia" w:ascii="宋体" w:hAnsi="宋体" w:cs="宋体"/>
          <w:color w:val="000000"/>
          <w:szCs w:val="21"/>
        </w:rPr>
        <w:t>4.4违法违纪行为</w:t>
      </w:r>
      <w:bookmarkEnd w:id="73"/>
    </w:p>
    <w:p w14:paraId="0E68D7F4">
      <w:pPr>
        <w:spacing w:line="460" w:lineRule="exact"/>
        <w:ind w:firstLine="420"/>
        <w:rPr>
          <w:rFonts w:hint="eastAsia" w:ascii="宋体" w:hAnsi="宋体" w:cs="宋体"/>
          <w:color w:val="000000"/>
          <w:szCs w:val="21"/>
        </w:rPr>
      </w:pPr>
      <w:r>
        <w:rPr>
          <w:rFonts w:hint="eastAsia" w:ascii="宋体" w:hAnsi="宋体" w:cs="宋体"/>
          <w:color w:val="000000"/>
          <w:szCs w:val="21"/>
        </w:rPr>
        <w:t>在招投标过程中发生行贿受贿、扰乱招投标活动秩序及其他严重违法违纪行为的，一律取消有关责任人参与招投标活动的资格；影响评审结果的，应宣布评审结果无效。</w:t>
      </w:r>
    </w:p>
    <w:p w14:paraId="673160D6">
      <w:pPr>
        <w:pStyle w:val="54"/>
        <w:spacing w:before="0" w:after="0" w:line="600" w:lineRule="exact"/>
        <w:ind w:firstLine="482"/>
        <w:rPr>
          <w:color w:val="000000"/>
        </w:rPr>
      </w:pPr>
      <w:r>
        <w:rPr>
          <w:rFonts w:ascii="宋体" w:hAnsi="TimesNewRomanPSMT"/>
          <w:color w:val="000000"/>
          <w:sz w:val="24"/>
        </w:rPr>
        <w:br w:type="page" w:clear="all"/>
      </w:r>
      <w:bookmarkStart w:id="74" w:name="_Toc498782305"/>
      <w:bookmarkStart w:id="75" w:name="_Toc246996252"/>
      <w:bookmarkStart w:id="76" w:name="_Toc247085767"/>
      <w:bookmarkStart w:id="77" w:name="_Toc144974577"/>
      <w:bookmarkStart w:id="78" w:name="_Toc152045609"/>
      <w:bookmarkStart w:id="79" w:name="_Toc17692"/>
      <w:bookmarkStart w:id="80" w:name="_Toc152042387"/>
      <w:bookmarkStart w:id="81" w:name="_Toc387526436"/>
      <w:bookmarkStart w:id="82" w:name="_Toc246996995"/>
      <w:bookmarkStart w:id="83" w:name="_Toc397928625"/>
      <w:bookmarkStart w:id="84" w:name="_Toc387526344"/>
      <w:bookmarkStart w:id="85" w:name="_Toc366679736"/>
      <w:bookmarkStart w:id="86" w:name="_Toc179632627"/>
      <w:bookmarkStart w:id="87" w:name="_Toc387526240"/>
      <w:r>
        <w:rPr>
          <w:rFonts w:hint="eastAsia"/>
          <w:color w:val="000000"/>
        </w:rPr>
        <w:t>第四章 合同条款及格式</w:t>
      </w:r>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0D4E8D81">
      <w:pPr>
        <w:spacing w:line="480" w:lineRule="exact"/>
        <w:ind w:firstLine="420"/>
        <w:rPr>
          <w:rFonts w:hint="eastAsia" w:ascii="宋体" w:hAnsi="宋体" w:cs="Arial"/>
          <w:szCs w:val="21"/>
        </w:rPr>
      </w:pPr>
      <w:bookmarkStart w:id="88" w:name="OLE_LINK4"/>
      <w:bookmarkStart w:id="89" w:name="OLE_LINK3"/>
      <w:bookmarkStart w:id="90" w:name="MOFFICE_OUTDOC_NTDOC__TITLE"/>
      <w:r>
        <w:rPr>
          <w:rFonts w:ascii="宋体" w:hAnsi="宋体" w:cs="Arial"/>
          <w:szCs w:val="21"/>
        </w:rPr>
        <w:t>甲方：</w:t>
      </w:r>
      <w:r>
        <w:rPr>
          <w:rFonts w:hint="eastAsia" w:ascii="宋体" w:hAnsi="宋体" w:cs="Arial"/>
          <w:szCs w:val="21"/>
          <w:u w:val="single"/>
        </w:rPr>
        <w:t>江苏大丰港经济开发区管理委员会</w:t>
      </w:r>
    </w:p>
    <w:p w14:paraId="7C4E92D6">
      <w:pPr>
        <w:spacing w:line="480" w:lineRule="exact"/>
        <w:ind w:firstLine="420"/>
        <w:rPr>
          <w:rFonts w:hint="eastAsia" w:ascii="宋体" w:hAnsi="宋体" w:cs="Arial"/>
          <w:szCs w:val="21"/>
        </w:rPr>
      </w:pPr>
      <w:r>
        <w:rPr>
          <w:rFonts w:ascii="宋体" w:hAnsi="宋体" w:cs="Arial"/>
          <w:szCs w:val="21"/>
        </w:rPr>
        <w:t>乙方：</w:t>
      </w:r>
      <w:r>
        <w:rPr>
          <w:rFonts w:hint="eastAsia" w:ascii="宋体" w:hAnsi="宋体" w:cs="Arial"/>
          <w:szCs w:val="21"/>
          <w:u w:val="single"/>
        </w:rPr>
        <w:t xml:space="preserve">                              </w:t>
      </w:r>
    </w:p>
    <w:p w14:paraId="164BB563">
      <w:pPr>
        <w:spacing w:line="480" w:lineRule="exact"/>
        <w:ind w:firstLine="420"/>
        <w:rPr>
          <w:rFonts w:hint="eastAsia" w:ascii="宋体" w:hAnsi="宋体" w:cs="Arial"/>
          <w:szCs w:val="21"/>
        </w:rPr>
      </w:pPr>
      <w:r>
        <w:rPr>
          <w:rFonts w:hint="eastAsia" w:ascii="宋体" w:hAnsi="宋体" w:cs="Arial"/>
          <w:szCs w:val="21"/>
        </w:rPr>
        <w:t>甲乙双方根据</w:t>
      </w:r>
      <w:r>
        <w:rPr>
          <w:rFonts w:hint="eastAsia" w:ascii="宋体" w:hAnsi="宋体" w:cs="Arial"/>
          <w:szCs w:val="21"/>
          <w:u w:val="single"/>
        </w:rPr>
        <w:t xml:space="preserve"> 大丰港石化新材料产业园环境监控设备运维服务项目（2026-2027） </w:t>
      </w:r>
      <w:r>
        <w:rPr>
          <w:rFonts w:hint="eastAsia" w:ascii="宋体" w:hAnsi="宋体" w:cs="Arial"/>
          <w:szCs w:val="21"/>
        </w:rPr>
        <w:t>中标结果及招标文件的要求, 根据《中华人民共和国民法典》等法律法规的规定，经协商一致, 签署本合同。</w:t>
      </w:r>
    </w:p>
    <w:p w14:paraId="287FA656">
      <w:pPr>
        <w:widowControl/>
        <w:spacing w:line="480" w:lineRule="exact"/>
        <w:ind w:firstLine="420"/>
        <w:jc w:val="left"/>
        <w:rPr>
          <w:rFonts w:hint="eastAsia" w:ascii="宋体" w:hAnsi="宋体" w:cs="Arial"/>
          <w:szCs w:val="21"/>
        </w:rPr>
      </w:pPr>
      <w:r>
        <w:rPr>
          <w:rFonts w:hint="eastAsia" w:ascii="宋体" w:hAnsi="宋体" w:cs="Arial"/>
          <w:szCs w:val="21"/>
        </w:rPr>
        <w:t xml:space="preserve">一、合同内容： </w:t>
      </w:r>
    </w:p>
    <w:p w14:paraId="0B963032">
      <w:pPr>
        <w:widowControl/>
        <w:spacing w:line="480" w:lineRule="exact"/>
        <w:ind w:firstLine="420"/>
        <w:jc w:val="left"/>
        <w:rPr>
          <w:rFonts w:hint="eastAsia" w:ascii="宋体" w:hAnsi="宋体" w:cs="Arial"/>
          <w:szCs w:val="21"/>
        </w:rPr>
      </w:pPr>
      <w:r>
        <w:rPr>
          <w:rFonts w:hint="eastAsia" w:ascii="宋体" w:hAnsi="宋体" w:cs="Arial"/>
          <w:szCs w:val="21"/>
        </w:rPr>
        <w:t>1、乙方提供甲方采购的</w:t>
      </w:r>
      <w:r>
        <w:rPr>
          <w:rFonts w:hint="eastAsia" w:ascii="宋体" w:hAnsi="宋体" w:cs="Arial"/>
          <w:szCs w:val="21"/>
          <w:u w:val="single"/>
        </w:rPr>
        <w:t>大丰港石化新材料产业园环境监控设备运维服务项目（2026-2027）具体详见采购需求。</w:t>
      </w:r>
      <w:r>
        <w:rPr>
          <w:rFonts w:hint="eastAsia" w:ascii="宋体" w:hAnsi="宋体" w:cs="Arial"/>
          <w:szCs w:val="21"/>
        </w:rPr>
        <w:t xml:space="preserve"> </w:t>
      </w:r>
    </w:p>
    <w:p w14:paraId="0F3517B9">
      <w:pPr>
        <w:widowControl/>
        <w:spacing w:line="480" w:lineRule="exact"/>
        <w:ind w:firstLine="420"/>
        <w:jc w:val="left"/>
        <w:rPr>
          <w:rFonts w:hint="eastAsia" w:ascii="宋体" w:hAnsi="宋体" w:cs="Arial"/>
          <w:szCs w:val="21"/>
        </w:rPr>
      </w:pPr>
      <w:r>
        <w:rPr>
          <w:rFonts w:hint="eastAsia" w:ascii="宋体" w:hAnsi="宋体" w:cs="Arial"/>
          <w:szCs w:val="21"/>
        </w:rPr>
        <w:t>2、合同价款，详见如下：</w:t>
      </w:r>
    </w:p>
    <w:p w14:paraId="02AA66E2">
      <w:pPr>
        <w:spacing w:line="480" w:lineRule="exact"/>
        <w:ind w:firstLine="420" w:firstLineChars="200"/>
        <w:rPr>
          <w:rFonts w:hint="eastAsia" w:ascii="宋体" w:hAnsi="宋体"/>
          <w:color w:val="000000"/>
          <w:szCs w:val="21"/>
        </w:rPr>
      </w:pPr>
      <w:r>
        <w:rPr>
          <w:rFonts w:hint="eastAsia" w:ascii="宋体" w:hAnsi="宋体" w:cs="Arial"/>
          <w:szCs w:val="21"/>
        </w:rPr>
        <w:t>（1）本项目采用“</w:t>
      </w:r>
      <w:r>
        <w:rPr>
          <w:rFonts w:hint="eastAsia" w:ascii="宋体" w:hAnsi="宋体" w:cs="Arial"/>
          <w:bCs/>
          <w:szCs w:val="21"/>
        </w:rPr>
        <w:t>固定总价</w:t>
      </w:r>
      <w:r>
        <w:rPr>
          <w:rFonts w:hint="eastAsia" w:ascii="宋体" w:hAnsi="宋体" w:cs="Arial"/>
          <w:szCs w:val="21"/>
        </w:rPr>
        <w:t>”合同</w:t>
      </w:r>
      <w:r>
        <w:rPr>
          <w:rFonts w:hint="eastAsia" w:ascii="宋体" w:hAnsi="宋体" w:cs="Arial"/>
          <w:szCs w:val="21"/>
          <w:lang w:eastAsia="zh-CN"/>
        </w:rPr>
        <w:t>，</w:t>
      </w:r>
      <w:r>
        <w:rPr>
          <w:rFonts w:hint="eastAsia" w:ascii="宋体" w:hAnsi="宋体" w:cs="Arial"/>
          <w:szCs w:val="21"/>
        </w:rPr>
        <w:t>本合同价款包括</w:t>
      </w:r>
      <w:r>
        <w:rPr>
          <w:rFonts w:hint="eastAsia" w:ascii="宋体" w:hAnsi="宋体" w:cs="宋体"/>
        </w:rPr>
        <w:t>完成招标文件所确定的招标范围的全部内容的全部价格体现。乙方应已充分考虑为完成招标内容所必须的【包括管理费用和人员工资、保险费、交通费、差旅费、备机、设施设备检修维护保养费、利润、税金、运行维护期间所有设施设备及配件的采购、设施设备及零部件的拆卸安装更换费用、设施设备及零部件的运杂费、维修更换措施费用及其他不可预见的一切费用（人为因素造成的或间接造成的除外）】，且不得高于招标人设定的最高限价。</w:t>
      </w:r>
      <w:r>
        <w:rPr>
          <w:rFonts w:hint="eastAsia" w:ascii="宋体" w:hAnsi="宋体"/>
          <w:color w:val="000000"/>
          <w:szCs w:val="21"/>
        </w:rPr>
        <w:t>若有遗漏或投标人在投标时未能预见而必须发生的费用，均由投标人自行承担，招标人不予以补偿。如服务期间遇国家或地方政府政策性调整基础工资、社保费用的，则以国家或地方政府最新规定为准，合同价不作调整。</w:t>
      </w:r>
    </w:p>
    <w:p w14:paraId="0879DD06">
      <w:pPr>
        <w:widowControl/>
        <w:spacing w:line="480" w:lineRule="exact"/>
        <w:ind w:firstLine="420"/>
        <w:jc w:val="left"/>
      </w:pPr>
      <w:r>
        <w:rPr>
          <w:rFonts w:hint="eastAsia"/>
        </w:rPr>
        <w:t>具体服务范围及内容均由意向投标人现场踏勘了解，不论服务内容的变化影响，</w:t>
      </w:r>
      <w:r>
        <w:rPr>
          <w:rFonts w:hint="eastAsia"/>
          <w:lang w:val="en-US" w:eastAsia="zh-CN"/>
        </w:rPr>
        <w:t>合同价款</w:t>
      </w:r>
      <w:r>
        <w:rPr>
          <w:rFonts w:hint="eastAsia"/>
        </w:rPr>
        <w:t>均不作调整，因此各投标人应充分掌握实际服务范围及服务要求，投标人可与招标采购单位代表联系后自行踏勘现场，以充分了解掌握服务内容及要求，若有遗漏，后果由投标人自行承担。</w:t>
      </w:r>
    </w:p>
    <w:p w14:paraId="77646B27">
      <w:pPr>
        <w:spacing w:line="48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若有遗漏或投标人在投标时未能预见而必须发生的费用，均由投标人自行承担，合同价款不予以补偿。如服务期间遇国家或地方政府政策性调整基础工资、社保费用的，则以国家或地方政府最新规定为准，合同价款不作调整。</w:t>
      </w:r>
    </w:p>
    <w:p w14:paraId="70EEE395">
      <w:pPr>
        <w:widowControl/>
        <w:spacing w:line="480" w:lineRule="exact"/>
        <w:ind w:firstLine="420"/>
        <w:jc w:val="left"/>
        <w:rPr>
          <w:rFonts w:hint="eastAsia" w:ascii="宋体" w:hAnsi="宋体" w:cs="Arial"/>
          <w:szCs w:val="21"/>
        </w:rPr>
      </w:pPr>
    </w:p>
    <w:p w14:paraId="17403299">
      <w:pPr>
        <w:widowControl/>
        <w:spacing w:line="480" w:lineRule="exact"/>
        <w:ind w:firstLine="420"/>
        <w:jc w:val="left"/>
        <w:rPr>
          <w:rFonts w:hint="eastAsia" w:ascii="宋体" w:hAnsi="宋体" w:cs="Arial"/>
          <w:szCs w:val="21"/>
        </w:rPr>
      </w:pPr>
      <w:r>
        <w:rPr>
          <w:rFonts w:hint="eastAsia" w:ascii="宋体" w:hAnsi="宋体" w:cs="Arial"/>
          <w:szCs w:val="21"/>
        </w:rPr>
        <w:t xml:space="preserve">（2）根据现行税法对甲方征收的与本合同有关的一切税费均由甲方承担；根据现行税法对乙方征收的与本合同有关的一切税费均由乙方承担。 </w:t>
      </w:r>
    </w:p>
    <w:p w14:paraId="169D91DF">
      <w:pPr>
        <w:widowControl/>
        <w:spacing w:line="480" w:lineRule="exact"/>
        <w:ind w:firstLine="420"/>
        <w:jc w:val="left"/>
        <w:rPr>
          <w:rFonts w:hint="eastAsia" w:ascii="宋体" w:hAnsi="宋体" w:cs="Arial"/>
          <w:szCs w:val="21"/>
        </w:rPr>
      </w:pPr>
      <w:r>
        <w:rPr>
          <w:rFonts w:hint="eastAsia" w:ascii="宋体" w:hAnsi="宋体" w:cs="Arial"/>
          <w:szCs w:val="21"/>
        </w:rPr>
        <w:t xml:space="preserve">3、下列文件为本合同不可分割部分： </w:t>
      </w:r>
    </w:p>
    <w:p w14:paraId="6B5F883B">
      <w:pPr>
        <w:widowControl/>
        <w:spacing w:line="480" w:lineRule="exact"/>
        <w:ind w:firstLine="420"/>
        <w:jc w:val="left"/>
        <w:rPr>
          <w:rFonts w:hint="eastAsia" w:ascii="宋体" w:hAnsi="宋体" w:cs="Arial"/>
          <w:szCs w:val="21"/>
        </w:rPr>
      </w:pPr>
      <w:r>
        <w:rPr>
          <w:rFonts w:hint="eastAsia" w:ascii="宋体" w:hAnsi="宋体" w:cs="Arial"/>
          <w:szCs w:val="21"/>
        </w:rPr>
        <w:t xml:space="preserve">（1）招标文件； </w:t>
      </w:r>
    </w:p>
    <w:p w14:paraId="179A0015">
      <w:pPr>
        <w:widowControl/>
        <w:spacing w:line="480" w:lineRule="exact"/>
        <w:ind w:firstLine="420"/>
        <w:jc w:val="left"/>
        <w:rPr>
          <w:rFonts w:hint="eastAsia" w:ascii="宋体" w:hAnsi="宋体" w:cs="Arial"/>
          <w:szCs w:val="21"/>
        </w:rPr>
      </w:pPr>
      <w:r>
        <w:rPr>
          <w:rFonts w:hint="eastAsia" w:ascii="宋体" w:hAnsi="宋体" w:cs="Arial"/>
          <w:szCs w:val="21"/>
        </w:rPr>
        <w:t xml:space="preserve">（2）投标文件； </w:t>
      </w:r>
    </w:p>
    <w:p w14:paraId="443B598B">
      <w:pPr>
        <w:widowControl/>
        <w:spacing w:line="480" w:lineRule="exact"/>
        <w:ind w:firstLine="420"/>
        <w:jc w:val="left"/>
        <w:rPr>
          <w:rFonts w:hint="eastAsia" w:ascii="宋体" w:hAnsi="宋体" w:cs="Arial"/>
          <w:szCs w:val="21"/>
        </w:rPr>
      </w:pPr>
      <w:r>
        <w:rPr>
          <w:rFonts w:hint="eastAsia" w:ascii="宋体" w:hAnsi="宋体" w:cs="Arial"/>
          <w:szCs w:val="21"/>
        </w:rPr>
        <w:t xml:space="preserve">（3）中标通知书。 </w:t>
      </w:r>
    </w:p>
    <w:p w14:paraId="18B1C7F6">
      <w:pPr>
        <w:widowControl/>
        <w:spacing w:line="480" w:lineRule="exact"/>
        <w:ind w:firstLine="420"/>
        <w:jc w:val="left"/>
        <w:rPr>
          <w:rFonts w:hint="eastAsia" w:ascii="宋体" w:hAnsi="宋体" w:cs="Arial"/>
          <w:szCs w:val="21"/>
        </w:rPr>
      </w:pPr>
      <w:r>
        <w:rPr>
          <w:rFonts w:hint="eastAsia" w:ascii="宋体" w:hAnsi="宋体" w:cs="Arial"/>
          <w:szCs w:val="21"/>
        </w:rPr>
        <w:t>（4）采购需求</w:t>
      </w:r>
    </w:p>
    <w:p w14:paraId="318CA9E4">
      <w:pPr>
        <w:widowControl/>
        <w:spacing w:line="480" w:lineRule="exact"/>
        <w:ind w:firstLine="420"/>
        <w:jc w:val="left"/>
        <w:rPr>
          <w:rFonts w:hint="eastAsia" w:ascii="宋体" w:hAnsi="宋体" w:cs="Arial"/>
          <w:szCs w:val="21"/>
        </w:rPr>
      </w:pPr>
      <w:r>
        <w:rPr>
          <w:rFonts w:hint="eastAsia" w:ascii="宋体" w:hAnsi="宋体" w:cs="Arial"/>
          <w:szCs w:val="21"/>
        </w:rPr>
        <w:t>二、服务内容：详见招标文件</w:t>
      </w:r>
    </w:p>
    <w:p w14:paraId="28DDB4B1">
      <w:pPr>
        <w:widowControl/>
        <w:spacing w:line="480" w:lineRule="exact"/>
        <w:ind w:firstLine="420"/>
        <w:jc w:val="left"/>
        <w:rPr>
          <w:rFonts w:hint="eastAsia" w:ascii="宋体" w:hAnsi="宋体" w:cs="宋体"/>
          <w:szCs w:val="21"/>
        </w:rPr>
      </w:pPr>
      <w:r>
        <w:rPr>
          <w:rFonts w:hint="eastAsia" w:ascii="宋体" w:hAnsi="宋体" w:cs="宋体"/>
          <w:szCs w:val="21"/>
        </w:rPr>
        <w:t>三、技术资料</w:t>
      </w:r>
    </w:p>
    <w:p w14:paraId="58C01171">
      <w:pPr>
        <w:widowControl/>
        <w:spacing w:line="480" w:lineRule="exact"/>
        <w:ind w:firstLine="420"/>
        <w:jc w:val="left"/>
        <w:rPr>
          <w:rFonts w:hint="eastAsia" w:ascii="宋体" w:hAnsi="宋体" w:cs="宋体"/>
          <w:szCs w:val="21"/>
        </w:rPr>
      </w:pPr>
      <w:r>
        <w:rPr>
          <w:rFonts w:hint="eastAsia" w:ascii="宋体" w:hAnsi="宋体" w:cs="宋体"/>
          <w:szCs w:val="21"/>
        </w:rPr>
        <w:t>1、乙方应按招标文件规</w:t>
      </w:r>
      <w:r>
        <w:rPr>
          <w:rFonts w:hint="eastAsia" w:ascii="宋体" w:hAnsi="宋体" w:cs="Arial"/>
          <w:szCs w:val="21"/>
        </w:rPr>
        <w:t>定及合同约定的时</w:t>
      </w:r>
      <w:r>
        <w:rPr>
          <w:rFonts w:hint="eastAsia" w:ascii="宋体" w:hAnsi="宋体" w:cs="宋体"/>
          <w:szCs w:val="21"/>
        </w:rPr>
        <w:t>间向甲方提供实现合同目的所需的有关技术资料。</w:t>
      </w:r>
    </w:p>
    <w:p w14:paraId="325ACF34">
      <w:pPr>
        <w:widowControl/>
        <w:spacing w:line="480" w:lineRule="exact"/>
        <w:ind w:firstLine="420"/>
        <w:jc w:val="left"/>
        <w:rPr>
          <w:rFonts w:hint="eastAsia" w:ascii="宋体" w:hAnsi="宋体" w:cs="宋体"/>
          <w:szCs w:val="21"/>
        </w:rPr>
      </w:pPr>
      <w:r>
        <w:rPr>
          <w:rFonts w:hint="eastAsia" w:ascii="宋体" w:hAnsi="宋体" w:cs="宋体"/>
          <w:szCs w:val="21"/>
        </w:rPr>
        <w:t>2、没有甲方事先书面同意，乙方不得将由甲方提供的有关合同或任何合同条文、规格、计划或资料提供给与履行本合同无关的任何其他人。即使向履行本合同有关的人员提供，也应注意保密并限于履行合同的必需范围。乙方若违反本合同约定的保密义务，甲方有权单方解除本合同，同时乙方应赔偿甲方的损失。</w:t>
      </w:r>
    </w:p>
    <w:p w14:paraId="2152082D">
      <w:pPr>
        <w:widowControl/>
        <w:spacing w:line="480" w:lineRule="exact"/>
        <w:ind w:firstLine="420"/>
        <w:jc w:val="left"/>
        <w:rPr>
          <w:rFonts w:hint="eastAsia" w:ascii="宋体" w:hAnsi="宋体" w:cs="宋体"/>
          <w:szCs w:val="21"/>
        </w:rPr>
      </w:pPr>
      <w:r>
        <w:rPr>
          <w:rFonts w:hint="eastAsia" w:ascii="宋体" w:hAnsi="宋体" w:cs="宋体"/>
          <w:szCs w:val="21"/>
        </w:rPr>
        <w:t>四、知识产权</w:t>
      </w:r>
    </w:p>
    <w:p w14:paraId="5E646441">
      <w:pPr>
        <w:widowControl/>
        <w:spacing w:line="480" w:lineRule="exact"/>
        <w:ind w:firstLine="420"/>
        <w:jc w:val="left"/>
        <w:rPr>
          <w:rFonts w:ascii="Times New Roman" w:hAnsi="Times New Roman" w:eastAsia="宋体" w:cs="Times New Roman"/>
          <w:color w:val="EE0000"/>
          <w:szCs w:val="21"/>
        </w:rPr>
      </w:pPr>
      <w:r>
        <w:rPr>
          <w:rFonts w:hint="eastAsia" w:ascii="宋体" w:hAnsi="宋体" w:eastAsia="宋体" w:cs="宋体"/>
          <w:szCs w:val="21"/>
        </w:rPr>
        <w:t>甲方提供给乙方的任何计划、方案或资料等以及乙方向甲方交付的方案等服务成果的知识产权属于甲方。乙方应保证所提供的服务及服务成果其全部或其任何一部分均不会侵犯任何第三方的知识产权。一旦出现侵权，由乙方承担全部责任、费用。同时消除对甲方产生的不利影响，如造成甲方损失的，乙方应承担赔偿责任。</w:t>
      </w:r>
    </w:p>
    <w:p w14:paraId="3AEE9AF3">
      <w:pPr>
        <w:widowControl/>
        <w:spacing w:line="480" w:lineRule="exact"/>
        <w:ind w:firstLine="420"/>
        <w:jc w:val="left"/>
        <w:rPr>
          <w:rFonts w:hint="eastAsia" w:ascii="宋体" w:hAnsi="宋体" w:cs="宋体"/>
          <w:szCs w:val="21"/>
        </w:rPr>
      </w:pPr>
      <w:r>
        <w:rPr>
          <w:rFonts w:hint="eastAsia" w:ascii="宋体" w:hAnsi="宋体" w:cs="宋体"/>
          <w:szCs w:val="21"/>
        </w:rPr>
        <w:t>五、其它要求:</w:t>
      </w:r>
    </w:p>
    <w:p w14:paraId="3E03288D">
      <w:pPr>
        <w:widowControl/>
        <w:spacing w:line="480" w:lineRule="exact"/>
        <w:ind w:firstLine="420"/>
        <w:jc w:val="left"/>
        <w:rPr>
          <w:rFonts w:hint="eastAsia" w:ascii="宋体" w:hAnsi="宋体" w:cs="宋体"/>
          <w:szCs w:val="21"/>
        </w:rPr>
      </w:pPr>
      <w:r>
        <w:rPr>
          <w:rFonts w:hint="eastAsia" w:ascii="宋体" w:hAnsi="宋体" w:cs="宋体"/>
          <w:szCs w:val="21"/>
        </w:rPr>
        <w:t>1、乙方工作人员在服务期间内出现的工伤及其他意外事故，均由乙方自行负责，甲方不承担任何责任。乙方及其员工在工作期间故意或过失造成甲方、用人单位、自身或其他人员的人身、财产损失的，由乙方负责处理并承担全部责任</w:t>
      </w:r>
      <w:r>
        <w:rPr>
          <w:rFonts w:hint="eastAsia" w:ascii="宋体" w:hAnsi="宋体" w:cs="宋体"/>
          <w:szCs w:val="21"/>
          <w:lang w:eastAsia="zh-CN"/>
        </w:rPr>
        <w:t>、</w:t>
      </w:r>
      <w:r>
        <w:rPr>
          <w:rFonts w:hint="eastAsia" w:ascii="宋体" w:hAnsi="宋体" w:cs="宋体"/>
          <w:szCs w:val="21"/>
          <w:lang w:val="en-US" w:eastAsia="zh-CN"/>
        </w:rPr>
        <w:t>费用</w:t>
      </w:r>
      <w:r>
        <w:rPr>
          <w:rFonts w:hint="eastAsia" w:ascii="宋体" w:hAnsi="宋体" w:cs="宋体"/>
          <w:szCs w:val="21"/>
        </w:rPr>
        <w:t>。</w:t>
      </w:r>
    </w:p>
    <w:p w14:paraId="2196CAE6">
      <w:pPr>
        <w:widowControl/>
        <w:spacing w:line="480" w:lineRule="exact"/>
        <w:ind w:firstLine="420"/>
        <w:jc w:val="left"/>
        <w:rPr>
          <w:rFonts w:hint="eastAsia" w:ascii="宋体" w:hAnsi="宋体" w:cs="宋体"/>
          <w:szCs w:val="21"/>
        </w:rPr>
      </w:pPr>
      <w:r>
        <w:rPr>
          <w:rFonts w:hint="eastAsia" w:ascii="宋体" w:hAnsi="宋体" w:cs="宋体"/>
          <w:szCs w:val="21"/>
        </w:rPr>
        <w:t>2、若乙方在</w:t>
      </w:r>
      <w:r>
        <w:rPr>
          <w:rFonts w:hint="eastAsia" w:ascii="宋体" w:hAnsi="宋体" w:cs="宋体"/>
          <w:szCs w:val="21"/>
          <w:u w:val="single"/>
        </w:rPr>
        <w:t>大丰港石化新材料产业园环境监控设备运维服务项目（2026-2027）</w:t>
      </w:r>
      <w:r>
        <w:rPr>
          <w:rFonts w:hint="eastAsia" w:ascii="宋体" w:hAnsi="宋体" w:cs="宋体"/>
          <w:szCs w:val="21"/>
        </w:rPr>
        <w:t>合同履约期间，违反下列约定将被解除服务合同，不得要求返还履约保证金，并承担合同价款总额20%的违约金及赔偿甲方损失:</w:t>
      </w:r>
    </w:p>
    <w:p w14:paraId="4386A019">
      <w:pPr>
        <w:widowControl/>
        <w:spacing w:line="480" w:lineRule="exact"/>
        <w:ind w:firstLine="420"/>
        <w:jc w:val="left"/>
        <w:rPr>
          <w:rFonts w:hint="eastAsia" w:ascii="宋体" w:hAnsi="宋体" w:cs="宋体"/>
          <w:szCs w:val="21"/>
        </w:rPr>
      </w:pPr>
      <w:r>
        <w:rPr>
          <w:rFonts w:hint="eastAsia" w:ascii="宋体" w:hAnsi="宋体" w:cs="宋体"/>
          <w:szCs w:val="21"/>
        </w:rPr>
        <w:t>（1）严禁将承包的</w:t>
      </w:r>
      <w:r>
        <w:rPr>
          <w:rFonts w:hint="eastAsia" w:ascii="宋体" w:hAnsi="宋体" w:cs="宋体"/>
          <w:szCs w:val="21"/>
          <w:u w:val="single"/>
        </w:rPr>
        <w:t>大丰港石化新材料产业园环境监控设备运维服务项目（2026-2027）</w:t>
      </w:r>
      <w:r>
        <w:rPr>
          <w:rFonts w:hint="eastAsia" w:ascii="宋体" w:hAnsi="宋体" w:cs="宋体"/>
          <w:szCs w:val="21"/>
        </w:rPr>
        <w:t>转包、分包他人；</w:t>
      </w:r>
    </w:p>
    <w:p w14:paraId="616D334C">
      <w:pPr>
        <w:widowControl/>
        <w:spacing w:line="480" w:lineRule="exact"/>
        <w:ind w:firstLine="420"/>
        <w:jc w:val="left"/>
        <w:rPr>
          <w:rFonts w:hint="eastAsia" w:ascii="宋体" w:hAnsi="宋体" w:cs="宋体"/>
          <w:szCs w:val="21"/>
        </w:rPr>
      </w:pPr>
      <w:r>
        <w:rPr>
          <w:rFonts w:hint="eastAsia" w:ascii="宋体" w:hAnsi="宋体" w:cs="宋体"/>
          <w:szCs w:val="21"/>
        </w:rPr>
        <w:t>（2）乙方在履行合同期间，若所提供的服务有连续2次、累计3次季度考核未能达到招标文件规定及合同约定的标准及其响应承诺；</w:t>
      </w:r>
    </w:p>
    <w:p w14:paraId="084F04AC">
      <w:pPr>
        <w:widowControl/>
        <w:spacing w:line="480" w:lineRule="exact"/>
        <w:ind w:firstLine="420"/>
        <w:jc w:val="left"/>
        <w:rPr>
          <w:rFonts w:hint="eastAsia" w:ascii="宋体" w:hAnsi="宋体" w:cs="宋体"/>
          <w:szCs w:val="21"/>
        </w:rPr>
      </w:pPr>
      <w:r>
        <w:rPr>
          <w:rFonts w:hint="eastAsia" w:ascii="宋体" w:hAnsi="宋体" w:cs="宋体"/>
          <w:szCs w:val="21"/>
        </w:rPr>
        <w:t>（3）未按照国家劳动法规定聘用服务人员；</w:t>
      </w:r>
    </w:p>
    <w:p w14:paraId="629AC8C3">
      <w:pPr>
        <w:widowControl/>
        <w:spacing w:line="480" w:lineRule="exact"/>
        <w:ind w:firstLine="420"/>
        <w:jc w:val="left"/>
        <w:rPr>
          <w:rFonts w:hint="eastAsia" w:ascii="宋体" w:hAnsi="宋体" w:cs="宋体"/>
          <w:szCs w:val="21"/>
        </w:rPr>
      </w:pPr>
      <w:r>
        <w:rPr>
          <w:rFonts w:hint="eastAsia" w:ascii="宋体" w:hAnsi="宋体" w:cs="宋体"/>
          <w:szCs w:val="21"/>
        </w:rPr>
        <w:t>3、因乙方管理不善，造成秩序维护工作范围内的设施、设备等损坏的，由乙方负责赔偿损失，情节严重的可解除合同甚至诉诸法律。如遇甲方办公场所调整或迁移等重大情况，甲方将提前一个月告知乙方，合同内容经双方协商调整直至终止。</w:t>
      </w:r>
    </w:p>
    <w:p w14:paraId="523A8A08">
      <w:pPr>
        <w:widowControl/>
        <w:spacing w:line="480" w:lineRule="exact"/>
        <w:ind w:firstLine="420"/>
        <w:jc w:val="left"/>
        <w:rPr>
          <w:rFonts w:hint="eastAsia" w:ascii="宋体" w:hAnsi="宋体" w:cs="宋体"/>
          <w:szCs w:val="21"/>
        </w:rPr>
      </w:pPr>
      <w:r>
        <w:rPr>
          <w:rFonts w:hint="eastAsia" w:ascii="宋体" w:hAnsi="宋体" w:cs="宋体"/>
          <w:szCs w:val="21"/>
        </w:rPr>
        <w:t>4、甲方有权检查监督乙方</w:t>
      </w:r>
      <w:r>
        <w:rPr>
          <w:rFonts w:hint="eastAsia" w:ascii="宋体" w:hAnsi="宋体" w:cs="宋体"/>
          <w:szCs w:val="21"/>
          <w:u w:val="single"/>
        </w:rPr>
        <w:t>大丰港石化新材料产业园环境监控设备运维服务项目（2026-2027）</w:t>
      </w:r>
      <w:r>
        <w:rPr>
          <w:rFonts w:hint="eastAsia" w:ascii="宋体" w:hAnsi="宋体" w:cs="宋体"/>
          <w:szCs w:val="21"/>
        </w:rPr>
        <w:t>服务质量，乙方的服务人员须固定工作岗位，不得混岗。甲方对不称职的工作人员有权要求乙方在一周内更换，直至人选合格为止。</w:t>
      </w:r>
    </w:p>
    <w:p w14:paraId="2BBE18F3">
      <w:pPr>
        <w:widowControl/>
        <w:spacing w:line="480" w:lineRule="exact"/>
        <w:ind w:firstLine="420"/>
        <w:jc w:val="left"/>
        <w:rPr>
          <w:rFonts w:hint="eastAsia" w:ascii="宋体" w:hAnsi="宋体" w:cs="宋体"/>
          <w:szCs w:val="21"/>
        </w:rPr>
      </w:pPr>
      <w:r>
        <w:rPr>
          <w:rFonts w:hint="eastAsia" w:ascii="宋体" w:hAnsi="宋体" w:cs="宋体"/>
          <w:szCs w:val="21"/>
        </w:rPr>
        <w:t>六、服务费用及服务期</w:t>
      </w:r>
    </w:p>
    <w:p w14:paraId="0EB6AF5A">
      <w:pPr>
        <w:widowControl/>
        <w:spacing w:line="480" w:lineRule="exact"/>
        <w:ind w:firstLine="420"/>
        <w:jc w:val="left"/>
        <w:rPr>
          <w:rFonts w:hint="eastAsia" w:ascii="宋体" w:hAnsi="宋体" w:cs="宋体"/>
          <w:szCs w:val="21"/>
        </w:rPr>
      </w:pPr>
      <w:r>
        <w:rPr>
          <w:rFonts w:hint="eastAsia" w:ascii="宋体" w:hAnsi="宋体" w:cs="宋体"/>
          <w:szCs w:val="21"/>
        </w:rPr>
        <w:t>服务费用即合同价款:</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，服务期:</w:t>
      </w:r>
      <w:r>
        <w:rPr>
          <w:rFonts w:hint="eastAsia" w:ascii="宋体" w:hAnsi="宋体" w:cs="宋体"/>
          <w:szCs w:val="21"/>
          <w:u w:val="single"/>
        </w:rPr>
        <w:t xml:space="preserve">  两年</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，时间为</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日至</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日，其中试用期3个月，时间为    年   月   日至    年   月   日，如试用期不符合甲方要求的，甲方有权解除合同，不予支付任何费用。服务期内，招标人对中标人的服务质量根据本项目招标文件、考核要求、合同及国家、省、市现行相关的法律法规按季度进行考核，如有连续2次、累计3次达不到考核标准，招标人有权解除合同，中标人须无条件接受，并在收到书面终止服务通知后10个工作日内无条件撤离，如不能按期撤离，则按违约金500元/天由招标人在合同价款中扣除。</w:t>
      </w:r>
    </w:p>
    <w:p w14:paraId="1171D4C8">
      <w:pPr>
        <w:widowControl/>
        <w:spacing w:line="480" w:lineRule="exact"/>
        <w:ind w:firstLine="420"/>
        <w:jc w:val="left"/>
        <w:rPr>
          <w:rFonts w:ascii="Times New Roman" w:hAnsi="Times New Roman" w:eastAsia="宋体" w:cs="Times New Roman"/>
          <w:color w:val="0000FF"/>
          <w:szCs w:val="21"/>
        </w:rPr>
      </w:pPr>
      <w:r>
        <w:rPr>
          <w:rFonts w:hint="eastAsia" w:ascii="宋体" w:hAnsi="宋体" w:cs="宋体"/>
          <w:color w:val="0000FF"/>
          <w:szCs w:val="21"/>
        </w:rPr>
        <w:t>合同价款的支付</w:t>
      </w:r>
      <w:r>
        <w:rPr>
          <w:rFonts w:hint="eastAsia" w:ascii="宋体" w:hAnsi="宋体" w:cs="宋体"/>
          <w:color w:val="0000FF"/>
          <w:szCs w:val="21"/>
          <w:lang w:eastAsia="zh-CN"/>
        </w:rPr>
        <w:t>：</w:t>
      </w:r>
      <w:r>
        <w:rPr>
          <w:rFonts w:hint="eastAsia" w:ascii="宋体" w:hAnsi="宋体" w:cs="宋体"/>
          <w:color w:val="0000FF"/>
          <w:szCs w:val="21"/>
        </w:rPr>
        <w:t>合同签订后由乙方向甲方申请预支付第一年合同价款的30%（合同签订并收到乙方发票后 10个工作日内），一年服务期满且达到考核标准并提供项目成果经甲方验收合格后60日内付至第一年结算价款的80%（结算价款的计算方式考核细则详见附件），待本项目两年服务期满且达到考核标准并提供项目成果提交经甲方验收合格后60日内一次性结清余款；若服务期满一年，经甲方年度考核未达到考核标准（连续2次、累计3次季度考核分数低于70分的认定为不合格），甲方依据约定解除本合同的，乙方无条件接受，并在收到书面终止服务通知后10个工作日内无条件撤离。第一年的服务费双方按照考核细则的考核结果按实结算，甲方不再支付合同剩余款项，乙方不得提出其他补偿要求</w:t>
      </w:r>
      <w:r>
        <w:rPr>
          <w:rFonts w:hint="eastAsia" w:ascii="Times New Roman" w:hAnsi="Times New Roman" w:eastAsia="宋体" w:cs="Times New Roman"/>
          <w:color w:val="0000FF"/>
          <w:szCs w:val="21"/>
        </w:rPr>
        <w:t>。</w:t>
      </w:r>
    </w:p>
    <w:p w14:paraId="65294686">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420" w:firstLineChars="200"/>
        <w:jc w:val="left"/>
        <w:textAlignment w:val="auto"/>
        <w:rPr>
          <w:szCs w:val="21"/>
        </w:rPr>
      </w:pPr>
      <w:r>
        <w:rPr>
          <w:rFonts w:hint="eastAsia"/>
          <w:szCs w:val="21"/>
          <w:lang w:eastAsia="zh-CN"/>
        </w:rPr>
        <w:t>（</w:t>
      </w:r>
      <w:r>
        <w:rPr>
          <w:rFonts w:hint="eastAsia"/>
          <w:szCs w:val="21"/>
          <w:lang w:val="en-US" w:eastAsia="zh-CN"/>
        </w:rPr>
        <w:t>1</w:t>
      </w:r>
      <w:r>
        <w:rPr>
          <w:rFonts w:hint="eastAsia"/>
          <w:szCs w:val="21"/>
          <w:lang w:eastAsia="zh-CN"/>
        </w:rPr>
        <w:t>）</w:t>
      </w:r>
      <w:r>
        <w:rPr>
          <w:rFonts w:hint="eastAsia"/>
          <w:szCs w:val="21"/>
        </w:rPr>
        <w:t>以上付款均无银行利息，且乙方需于甲方付款前提供相应金额的有效票据，否则甲方有权拒绝付款且不构成违约；</w:t>
      </w:r>
    </w:p>
    <w:p w14:paraId="3C6781A0">
      <w:pPr>
        <w:widowControl/>
        <w:spacing w:line="480" w:lineRule="exact"/>
        <w:ind w:firstLine="420"/>
        <w:jc w:val="left"/>
        <w:rPr>
          <w:szCs w:val="21"/>
        </w:rPr>
      </w:pPr>
      <w:r>
        <w:rPr>
          <w:rFonts w:hint="eastAsia"/>
          <w:szCs w:val="21"/>
          <w:lang w:eastAsia="zh-CN"/>
        </w:rPr>
        <w:t>（</w:t>
      </w:r>
      <w:r>
        <w:rPr>
          <w:rFonts w:hint="eastAsia"/>
          <w:szCs w:val="21"/>
          <w:lang w:val="en-US" w:eastAsia="zh-CN"/>
        </w:rPr>
        <w:t>2</w:t>
      </w:r>
      <w:r>
        <w:rPr>
          <w:rFonts w:hint="eastAsia"/>
          <w:szCs w:val="21"/>
          <w:lang w:eastAsia="zh-CN"/>
        </w:rPr>
        <w:t>）</w:t>
      </w:r>
      <w:r>
        <w:rPr>
          <w:rFonts w:hint="eastAsia"/>
          <w:szCs w:val="21"/>
        </w:rPr>
        <w:t>在签订合同时或履行过程中，乙方明确表示无需预付款或者主动要求降低预付款比例的，甲方可不适用上述关于预付款的约定；</w:t>
      </w:r>
    </w:p>
    <w:p w14:paraId="0DF2305F">
      <w:pPr>
        <w:widowControl/>
        <w:spacing w:line="480" w:lineRule="exact"/>
        <w:ind w:firstLine="420"/>
        <w:jc w:val="left"/>
        <w:rPr>
          <w:rFonts w:hint="eastAsia" w:ascii="宋体" w:hAnsi="宋体" w:cs="宋体"/>
          <w:szCs w:val="21"/>
        </w:rPr>
      </w:pPr>
      <w:r>
        <w:rPr>
          <w:rFonts w:hint="eastAsia" w:ascii="宋体" w:hAnsi="宋体" w:cs="宋体"/>
          <w:szCs w:val="21"/>
        </w:rPr>
        <w:t>2、付款方式:银行转账。</w:t>
      </w:r>
    </w:p>
    <w:p w14:paraId="7DCAE3AD">
      <w:pPr>
        <w:widowControl/>
        <w:spacing w:line="480" w:lineRule="exact"/>
        <w:ind w:firstLine="420"/>
        <w:jc w:val="left"/>
        <w:rPr>
          <w:rFonts w:hint="eastAsia" w:ascii="宋体" w:hAnsi="宋体" w:cs="宋体"/>
          <w:szCs w:val="21"/>
        </w:rPr>
      </w:pPr>
      <w:r>
        <w:rPr>
          <w:rFonts w:hint="eastAsia" w:ascii="宋体" w:hAnsi="宋体" w:cs="宋体"/>
          <w:szCs w:val="21"/>
        </w:rPr>
        <w:t>3、甲方支付服务费用外不再承担其它费用。</w:t>
      </w:r>
    </w:p>
    <w:p w14:paraId="62B2E3D1">
      <w:pPr>
        <w:widowControl/>
        <w:spacing w:line="480" w:lineRule="exact"/>
        <w:ind w:firstLine="420"/>
        <w:jc w:val="left"/>
        <w:rPr>
          <w:rFonts w:hint="eastAsia" w:ascii="宋体" w:hAnsi="宋体" w:cs="宋体"/>
          <w:szCs w:val="21"/>
        </w:rPr>
      </w:pPr>
      <w:r>
        <w:rPr>
          <w:rFonts w:hint="eastAsia" w:ascii="宋体" w:hAnsi="宋体" w:cs="宋体"/>
          <w:szCs w:val="21"/>
        </w:rPr>
        <w:t>七、履约保证金</w:t>
      </w:r>
    </w:p>
    <w:p w14:paraId="35FB18BC">
      <w:pPr>
        <w:widowControl/>
        <w:spacing w:line="480" w:lineRule="exact"/>
        <w:ind w:firstLine="420"/>
        <w:jc w:val="left"/>
        <w:rPr>
          <w:rFonts w:hint="eastAsia" w:ascii="宋体" w:hAnsi="宋体" w:cs="宋体"/>
          <w:strike/>
          <w:szCs w:val="21"/>
        </w:rPr>
      </w:pPr>
      <w:r>
        <w:rPr>
          <w:rFonts w:hint="eastAsia" w:ascii="宋体" w:hAnsi="宋体" w:cs="宋体"/>
          <w:szCs w:val="21"/>
        </w:rPr>
        <w:t>1、乙方在签订合同前，须向甲方交纳中标价10%的履约保证金，</w:t>
      </w:r>
      <w:r>
        <w:rPr>
          <w:rFonts w:hint="eastAsia" w:ascii="宋体" w:hAnsi="宋体"/>
          <w:bCs/>
          <w:szCs w:val="21"/>
        </w:rPr>
        <w:t>合同履行期满乙方履行全部服务内容经甲方验收合格后30日内无息退还</w:t>
      </w:r>
      <w:r>
        <w:rPr>
          <w:rFonts w:hint="eastAsia" w:ascii="宋体" w:hAnsi="宋体" w:cs="宋体"/>
          <w:szCs w:val="21"/>
        </w:rPr>
        <w:t>。履约保证金用以约束乙方在合同履行中的行为，弥补合同执行中由于自身行为可能给甲方带来的各种损失。对提供第三方信用服务机构依据标准规范评定为AA级及以上的政府采购供应商（须在签订采购合同前提供信用管理部门备案的第三方信用报告，且信用报告通过“信用盐城网”可查实）降低为中标价5%的履约保证金。</w:t>
      </w:r>
    </w:p>
    <w:p w14:paraId="1D13B3EF">
      <w:pPr>
        <w:widowControl/>
        <w:spacing w:line="480" w:lineRule="exact"/>
        <w:ind w:firstLine="420"/>
        <w:jc w:val="left"/>
        <w:rPr>
          <w:rFonts w:hint="eastAsia" w:ascii="宋体" w:hAnsi="宋体" w:cs="宋体"/>
          <w:szCs w:val="21"/>
        </w:rPr>
      </w:pPr>
      <w:r>
        <w:rPr>
          <w:rFonts w:hint="eastAsia" w:ascii="宋体" w:hAnsi="宋体" w:cs="宋体"/>
          <w:szCs w:val="21"/>
        </w:rPr>
        <w:t>2、履约保证金形式：供应商应当以支票、汇票、本票或者金融机构、担保机构出具的保函等非现金形式提交，依据《关于在全省政府采购领域推行电子履约保函（保险）的通知》，鼓励供应商自愿使用履约保函（保险）代替缴纳履约保证金），供应商可登录江苏政府采购网“资料下载”栏目（网址：www.ccgp-jiangsu.gov.cn/jiangsu/zlxz）下载“政府采购电子履约保函（保险）操作手册”。</w:t>
      </w:r>
    </w:p>
    <w:p w14:paraId="3A66E857">
      <w:pPr>
        <w:widowControl/>
        <w:spacing w:line="480" w:lineRule="exact"/>
        <w:ind w:firstLine="420"/>
        <w:jc w:val="left"/>
        <w:rPr>
          <w:rFonts w:hint="eastAsia" w:ascii="宋体" w:hAnsi="宋体" w:cs="宋体"/>
          <w:szCs w:val="21"/>
        </w:rPr>
      </w:pPr>
      <w:r>
        <w:rPr>
          <w:rFonts w:ascii="宋体" w:hAnsi="宋体" w:cs="宋体"/>
          <w:szCs w:val="21"/>
        </w:rPr>
        <w:t>3</w:t>
      </w:r>
      <w:r>
        <w:rPr>
          <w:rFonts w:hint="eastAsia" w:ascii="宋体" w:hAnsi="宋体" w:cs="宋体"/>
          <w:szCs w:val="21"/>
        </w:rPr>
        <w:t>、不予退还情形：</w:t>
      </w:r>
    </w:p>
    <w:p w14:paraId="5E950DD4">
      <w:pPr>
        <w:widowControl/>
        <w:spacing w:line="480" w:lineRule="exact"/>
        <w:ind w:firstLine="420"/>
        <w:jc w:val="left"/>
        <w:rPr>
          <w:rFonts w:hint="eastAsia" w:ascii="宋体" w:hAnsi="宋体" w:cs="宋体"/>
          <w:szCs w:val="21"/>
        </w:rPr>
      </w:pPr>
      <w:r>
        <w:rPr>
          <w:rFonts w:hint="eastAsia" w:ascii="宋体" w:hAnsi="宋体" w:cs="宋体"/>
          <w:szCs w:val="21"/>
        </w:rPr>
        <w:t>除不可抗力情况外，投标人出现下列情形之一的，其履约保证金，招标人将视情节决定不予退还或部分不予退还。</w:t>
      </w:r>
    </w:p>
    <w:p w14:paraId="45B6F67B">
      <w:pPr>
        <w:widowControl/>
        <w:spacing w:line="480" w:lineRule="exact"/>
        <w:ind w:firstLine="420"/>
        <w:jc w:val="left"/>
        <w:rPr>
          <w:rFonts w:ascii="宋体" w:hAnsi="宋体" w:eastAsia="宋体" w:cs="宋体"/>
          <w:szCs w:val="21"/>
        </w:rPr>
      </w:pPr>
      <w:r>
        <w:rPr>
          <w:rFonts w:hint="eastAsia" w:ascii="宋体" w:hAnsi="宋体" w:eastAsia="宋体" w:cs="宋体"/>
          <w:szCs w:val="21"/>
        </w:rPr>
        <w:t>（1）乙方无正当理由拒绝签订合同的，或者在签订合同时向甲方提出附加条件或者更改合同实质性内容要求的；</w:t>
      </w:r>
    </w:p>
    <w:p w14:paraId="171A9870">
      <w:pPr>
        <w:widowControl/>
        <w:spacing w:line="480" w:lineRule="exact"/>
        <w:ind w:firstLine="420"/>
        <w:jc w:val="left"/>
        <w:rPr>
          <w:rFonts w:ascii="宋体" w:hAnsi="宋体" w:eastAsia="宋体" w:cs="宋体"/>
          <w:szCs w:val="21"/>
        </w:rPr>
      </w:pPr>
      <w:r>
        <w:rPr>
          <w:rFonts w:hint="eastAsia" w:ascii="宋体" w:hAnsi="宋体" w:eastAsia="宋体" w:cs="宋体"/>
          <w:szCs w:val="21"/>
        </w:rPr>
        <w:t>（2）乙方不履行与甲方订立的合同的；</w:t>
      </w:r>
    </w:p>
    <w:p w14:paraId="7256CCA9">
      <w:pPr>
        <w:widowControl/>
        <w:spacing w:line="480" w:lineRule="exact"/>
        <w:ind w:firstLine="420"/>
        <w:jc w:val="left"/>
        <w:rPr>
          <w:rFonts w:ascii="宋体" w:hAnsi="宋体" w:eastAsia="宋体" w:cs="宋体"/>
          <w:szCs w:val="21"/>
        </w:rPr>
      </w:pPr>
      <w:r>
        <w:rPr>
          <w:rFonts w:hint="eastAsia" w:ascii="宋体" w:hAnsi="宋体" w:eastAsia="宋体" w:cs="宋体"/>
          <w:szCs w:val="21"/>
        </w:rPr>
        <w:t>（3）乙方所供货物或服务不符合招标文件规定要求的；</w:t>
      </w:r>
    </w:p>
    <w:p w14:paraId="06F676A5">
      <w:pPr>
        <w:widowControl/>
        <w:spacing w:line="480" w:lineRule="exact"/>
        <w:ind w:firstLine="420"/>
        <w:jc w:val="left"/>
        <w:rPr>
          <w:rFonts w:ascii="宋体" w:hAnsi="宋体" w:eastAsia="宋体" w:cs="宋体"/>
          <w:szCs w:val="21"/>
        </w:rPr>
      </w:pPr>
      <w:r>
        <w:rPr>
          <w:rFonts w:hint="eastAsia" w:ascii="宋体" w:hAnsi="宋体" w:eastAsia="宋体" w:cs="宋体"/>
          <w:szCs w:val="21"/>
        </w:rPr>
        <w:t>（4）乙方采取欺骗、弄虚作假方式投标的或与其它投标人串通投标的；</w:t>
      </w:r>
    </w:p>
    <w:p w14:paraId="3832462C">
      <w:pPr>
        <w:widowControl/>
        <w:spacing w:line="480" w:lineRule="exact"/>
        <w:ind w:firstLine="420"/>
        <w:jc w:val="left"/>
        <w:rPr>
          <w:rFonts w:ascii="宋体" w:hAnsi="宋体" w:eastAsia="宋体" w:cs="宋体"/>
          <w:szCs w:val="21"/>
        </w:rPr>
      </w:pPr>
      <w:r>
        <w:rPr>
          <w:rFonts w:hint="eastAsia" w:ascii="宋体" w:hAnsi="宋体" w:eastAsia="宋体" w:cs="宋体"/>
          <w:szCs w:val="21"/>
        </w:rPr>
        <w:t>（5）乙方将合同内容转包、分包的；</w:t>
      </w:r>
    </w:p>
    <w:p w14:paraId="7BBAE298">
      <w:pPr>
        <w:widowControl/>
        <w:spacing w:line="480" w:lineRule="exact"/>
        <w:ind w:firstLine="420"/>
        <w:jc w:val="left"/>
        <w:rPr>
          <w:rFonts w:ascii="宋体" w:hAnsi="宋体" w:eastAsia="宋体" w:cs="宋体"/>
          <w:szCs w:val="21"/>
        </w:rPr>
      </w:pPr>
      <w:r>
        <w:rPr>
          <w:rFonts w:hint="eastAsia" w:ascii="宋体" w:hAnsi="宋体" w:eastAsia="宋体" w:cs="宋体"/>
          <w:szCs w:val="21"/>
        </w:rPr>
        <w:t>（6）乙方故意捏造事实或伪造证明材料，进行虚假恶意投诉或反映的。</w:t>
      </w:r>
    </w:p>
    <w:p w14:paraId="4B93CE8A">
      <w:pPr>
        <w:widowControl/>
        <w:spacing w:line="480" w:lineRule="exact"/>
        <w:ind w:firstLine="420"/>
        <w:jc w:val="left"/>
        <w:rPr>
          <w:rFonts w:ascii="宋体" w:hAnsi="宋体" w:eastAsia="宋体" w:cs="宋体"/>
          <w:szCs w:val="21"/>
        </w:rPr>
      </w:pPr>
      <w:r>
        <w:rPr>
          <w:rFonts w:hint="eastAsia" w:ascii="宋体" w:hAnsi="宋体" w:eastAsia="宋体" w:cs="宋体"/>
          <w:szCs w:val="21"/>
        </w:rPr>
        <w:t>八、违约责任:</w:t>
      </w:r>
    </w:p>
    <w:p w14:paraId="00675E93">
      <w:pPr>
        <w:widowControl/>
        <w:spacing w:line="480" w:lineRule="exact"/>
        <w:ind w:firstLine="420"/>
        <w:jc w:val="left"/>
        <w:rPr>
          <w:rFonts w:ascii="宋体" w:hAnsi="宋体" w:eastAsia="宋体" w:cs="宋体"/>
          <w:szCs w:val="21"/>
        </w:rPr>
      </w:pPr>
      <w:r>
        <w:rPr>
          <w:rFonts w:hint="eastAsia" w:ascii="宋体" w:hAnsi="宋体" w:eastAsia="宋体" w:cs="宋体"/>
          <w:szCs w:val="21"/>
        </w:rPr>
        <w:t>1、项目实施过程中，如果达不到招投标文件规定及合同约定的质量目标，无法满足甲方的项目需求，乙方必须无偿整改达到质量目标，另按合同价款的5%向甲方支付违约金，甲方有权直接从履约保证金或项目结算价款中扣除。给甲方造成实际损失的还将承担经济赔偿责任。</w:t>
      </w:r>
    </w:p>
    <w:p w14:paraId="18A3EA19">
      <w:pPr>
        <w:widowControl/>
        <w:spacing w:line="480" w:lineRule="exact"/>
        <w:ind w:firstLine="420"/>
        <w:jc w:val="left"/>
        <w:rPr>
          <w:rFonts w:ascii="宋体" w:hAnsi="宋体" w:eastAsia="宋体" w:cs="宋体"/>
          <w:szCs w:val="21"/>
        </w:rPr>
      </w:pPr>
      <w:r>
        <w:rPr>
          <w:rFonts w:hint="eastAsia" w:ascii="宋体" w:hAnsi="宋体" w:eastAsia="宋体" w:cs="宋体"/>
          <w:szCs w:val="21"/>
        </w:rPr>
        <w:t>2、甲方根据上级规范性文件、政策措施及上级行政主管部门要求，变更合同内容、项目实施及解除合同的，乙方承诺予以理解、认可</w:t>
      </w:r>
      <w:r>
        <w:rPr>
          <w:rFonts w:hint="eastAsia" w:ascii="宋体" w:hAnsi="宋体" w:eastAsia="宋体" w:cs="宋体"/>
          <w:szCs w:val="21"/>
          <w:lang w:eastAsia="zh-CN"/>
        </w:rPr>
        <w:t>，</w:t>
      </w:r>
      <w:r>
        <w:rPr>
          <w:rFonts w:hint="eastAsia" w:ascii="宋体" w:hAnsi="宋体" w:eastAsia="宋体" w:cs="宋体"/>
          <w:szCs w:val="21"/>
        </w:rPr>
        <w:t>甲方不承担违约责任。</w:t>
      </w:r>
    </w:p>
    <w:p w14:paraId="63587981">
      <w:pPr>
        <w:widowControl/>
        <w:spacing w:line="480" w:lineRule="exact"/>
        <w:ind w:firstLine="420"/>
        <w:jc w:val="left"/>
        <w:rPr>
          <w:rFonts w:ascii="宋体" w:hAnsi="宋体" w:eastAsia="宋体" w:cs="宋体"/>
          <w:szCs w:val="21"/>
        </w:rPr>
      </w:pPr>
      <w:r>
        <w:rPr>
          <w:rFonts w:hint="eastAsia" w:ascii="宋体" w:hAnsi="宋体" w:eastAsia="宋体" w:cs="宋体"/>
          <w:szCs w:val="21"/>
        </w:rPr>
        <w:t>3、甲方如迟延支付款项的，应按合同订立时壹年期贷款市场报价利率承担逾期利息。</w:t>
      </w:r>
    </w:p>
    <w:p w14:paraId="543A2974">
      <w:pPr>
        <w:widowControl/>
        <w:spacing w:line="480" w:lineRule="exact"/>
        <w:ind w:firstLine="420"/>
        <w:jc w:val="left"/>
        <w:rPr>
          <w:rFonts w:ascii="宋体" w:hAnsi="宋体" w:eastAsia="宋体" w:cs="宋体"/>
          <w:szCs w:val="21"/>
        </w:rPr>
      </w:pPr>
      <w:r>
        <w:rPr>
          <w:rFonts w:hint="eastAsia" w:ascii="宋体" w:hAnsi="宋体" w:eastAsia="宋体" w:cs="宋体"/>
          <w:szCs w:val="21"/>
        </w:rPr>
        <w:t>九、合同的终止</w:t>
      </w:r>
    </w:p>
    <w:p w14:paraId="56552028">
      <w:pPr>
        <w:widowControl/>
        <w:spacing w:line="480" w:lineRule="exact"/>
        <w:ind w:firstLine="420"/>
        <w:jc w:val="left"/>
        <w:rPr>
          <w:rFonts w:hint="default" w:ascii="宋体" w:hAnsi="宋体" w:eastAsia="宋体" w:cs="宋体"/>
          <w:szCs w:val="21"/>
          <w:lang w:val="en-US" w:eastAsia="zh-CN"/>
        </w:rPr>
      </w:pPr>
      <w:r>
        <w:rPr>
          <w:rFonts w:hint="eastAsia" w:ascii="宋体" w:hAnsi="宋体" w:eastAsia="宋体" w:cs="宋体"/>
          <w:szCs w:val="21"/>
        </w:rPr>
        <w:t>合同执行期内如遇有关政策变化等因素，甲方有权终止合同且不承担违约责任，相关费用结算至合同终止当月</w:t>
      </w:r>
      <w:r>
        <w:rPr>
          <w:rFonts w:hint="eastAsia" w:ascii="宋体" w:hAnsi="宋体" w:eastAsia="宋体" w:cs="宋体"/>
          <w:szCs w:val="21"/>
          <w:lang w:eastAsia="zh-CN"/>
        </w:rPr>
        <w:t>，</w:t>
      </w:r>
      <w:r>
        <w:rPr>
          <w:rFonts w:hint="eastAsia" w:ascii="宋体" w:hAnsi="宋体" w:eastAsia="宋体" w:cs="宋体"/>
          <w:szCs w:val="21"/>
          <w:lang w:val="en-US" w:eastAsia="zh-CN"/>
        </w:rPr>
        <w:t>相关费用按月平均服务费结算。</w:t>
      </w:r>
    </w:p>
    <w:p w14:paraId="5D474F57">
      <w:pPr>
        <w:widowControl/>
        <w:spacing w:line="480" w:lineRule="exact"/>
        <w:ind w:firstLine="420"/>
        <w:jc w:val="left"/>
        <w:rPr>
          <w:rFonts w:hint="eastAsia" w:ascii="宋体" w:hAnsi="宋体" w:cs="宋体"/>
          <w:szCs w:val="21"/>
        </w:rPr>
      </w:pPr>
      <w:r>
        <w:rPr>
          <w:rFonts w:hint="eastAsia" w:ascii="宋体" w:hAnsi="宋体" w:cs="宋体"/>
          <w:szCs w:val="21"/>
        </w:rPr>
        <w:t>十、合同的解除和转让:</w:t>
      </w:r>
    </w:p>
    <w:p w14:paraId="4FC86722">
      <w:pPr>
        <w:widowControl/>
        <w:spacing w:line="480" w:lineRule="exact"/>
        <w:ind w:firstLine="420"/>
        <w:jc w:val="left"/>
        <w:rPr>
          <w:rFonts w:hint="eastAsia" w:ascii="宋体" w:hAnsi="宋体" w:cs="宋体"/>
          <w:szCs w:val="21"/>
        </w:rPr>
      </w:pPr>
      <w:r>
        <w:rPr>
          <w:rFonts w:hint="eastAsia" w:ascii="宋体" w:hAnsi="宋体" w:cs="宋体"/>
          <w:szCs w:val="21"/>
        </w:rPr>
        <w:t>1、有下列情形之一，合同一方可以解除合同:</w:t>
      </w:r>
    </w:p>
    <w:p w14:paraId="71D75D4F">
      <w:pPr>
        <w:widowControl/>
        <w:spacing w:line="480" w:lineRule="exact"/>
        <w:ind w:firstLine="420"/>
        <w:jc w:val="left"/>
        <w:rPr>
          <w:rFonts w:hint="eastAsia" w:ascii="宋体" w:hAnsi="宋体" w:cs="宋体"/>
          <w:szCs w:val="21"/>
        </w:rPr>
      </w:pPr>
      <w:r>
        <w:rPr>
          <w:rFonts w:hint="eastAsia" w:ascii="宋体" w:hAnsi="宋体" w:cs="宋体"/>
          <w:szCs w:val="21"/>
        </w:rPr>
        <w:t>因不可抗力致使不能实现合同目的，未受不可抗力影响的一方有权解除合同；</w:t>
      </w:r>
    </w:p>
    <w:p w14:paraId="0027A2F6">
      <w:pPr>
        <w:widowControl/>
        <w:spacing w:line="480" w:lineRule="exact"/>
        <w:ind w:firstLine="420"/>
        <w:jc w:val="left"/>
        <w:rPr>
          <w:rFonts w:hint="eastAsia" w:ascii="宋体" w:hAnsi="宋体" w:cs="宋体"/>
          <w:szCs w:val="21"/>
        </w:rPr>
      </w:pPr>
      <w:r>
        <w:rPr>
          <w:rFonts w:hint="eastAsia" w:ascii="宋体" w:hAnsi="宋体" w:cs="宋体"/>
          <w:szCs w:val="21"/>
        </w:rPr>
        <w:t>因合同一方违约导致合同不能履行，另一方有权解除合同。</w:t>
      </w:r>
    </w:p>
    <w:p w14:paraId="03631766">
      <w:pPr>
        <w:widowControl/>
        <w:spacing w:line="480" w:lineRule="exact"/>
        <w:ind w:firstLine="420"/>
        <w:jc w:val="left"/>
        <w:rPr>
          <w:rFonts w:hint="eastAsia" w:ascii="宋体" w:hAnsi="宋体" w:cs="宋体"/>
          <w:szCs w:val="21"/>
        </w:rPr>
      </w:pPr>
      <w:r>
        <w:rPr>
          <w:rFonts w:hint="eastAsia" w:ascii="宋体" w:hAnsi="宋体" w:cs="宋体"/>
          <w:szCs w:val="21"/>
        </w:rPr>
        <w:t>2、有权解除合同的一方，应当在违约事实或不可抗力发生之后三十天内书面通知对方以主张解除合同，合同在书面通知到达对方时解除。</w:t>
      </w:r>
    </w:p>
    <w:p w14:paraId="60D6D245">
      <w:pPr>
        <w:widowControl/>
        <w:spacing w:line="480" w:lineRule="exact"/>
        <w:ind w:firstLine="420"/>
        <w:jc w:val="left"/>
        <w:rPr>
          <w:rFonts w:hint="eastAsia" w:ascii="宋体" w:hAnsi="宋体" w:cs="宋体"/>
          <w:szCs w:val="21"/>
        </w:rPr>
      </w:pPr>
      <w:r>
        <w:rPr>
          <w:rFonts w:hint="eastAsia" w:ascii="宋体" w:hAnsi="宋体" w:cs="宋体"/>
          <w:szCs w:val="21"/>
        </w:rPr>
        <w:t>3、合同的部分和全部都不得转让。</w:t>
      </w:r>
    </w:p>
    <w:p w14:paraId="005C5056">
      <w:pPr>
        <w:widowControl/>
        <w:spacing w:line="480" w:lineRule="exact"/>
        <w:ind w:firstLine="420"/>
        <w:jc w:val="left"/>
        <w:rPr>
          <w:rFonts w:hint="eastAsia" w:ascii="宋体" w:hAnsi="宋体" w:cs="宋体"/>
          <w:szCs w:val="21"/>
        </w:rPr>
      </w:pPr>
      <w:r>
        <w:rPr>
          <w:rFonts w:hint="eastAsia" w:ascii="宋体" w:hAnsi="宋体" w:cs="宋体"/>
          <w:szCs w:val="21"/>
        </w:rPr>
        <w:t>十一、争议处理:</w:t>
      </w:r>
    </w:p>
    <w:p w14:paraId="0487E839">
      <w:pPr>
        <w:widowControl/>
        <w:spacing w:line="480" w:lineRule="exact"/>
        <w:ind w:firstLine="420"/>
        <w:jc w:val="left"/>
        <w:rPr>
          <w:rFonts w:hint="eastAsia" w:ascii="宋体" w:hAnsi="宋体" w:cs="宋体"/>
          <w:szCs w:val="21"/>
        </w:rPr>
      </w:pPr>
      <w:r>
        <w:rPr>
          <w:rFonts w:hint="eastAsia" w:ascii="宋体" w:hAnsi="宋体" w:cs="宋体"/>
          <w:szCs w:val="21"/>
        </w:rPr>
        <w:t>合同履行过程中发生争议的，双方可以通过友好协商或调解解决；不愿协商、调解或者协商、调解不成的，可向项目所在地盐城市大丰区人民法院提起诉讼。</w:t>
      </w:r>
    </w:p>
    <w:p w14:paraId="3E6BD2EC">
      <w:pPr>
        <w:widowControl/>
        <w:spacing w:line="480" w:lineRule="exact"/>
        <w:ind w:firstLine="420"/>
        <w:jc w:val="left"/>
        <w:rPr>
          <w:rFonts w:hint="eastAsia" w:ascii="宋体" w:hAnsi="宋体" w:cs="宋体"/>
          <w:szCs w:val="21"/>
        </w:rPr>
      </w:pPr>
      <w:r>
        <w:rPr>
          <w:rFonts w:hint="eastAsia" w:ascii="宋体" w:hAnsi="宋体" w:cs="宋体"/>
          <w:szCs w:val="21"/>
        </w:rPr>
        <w:t>十二、附则：</w:t>
      </w:r>
    </w:p>
    <w:p w14:paraId="0A3DAEA9">
      <w:pPr>
        <w:widowControl/>
        <w:spacing w:line="480" w:lineRule="exact"/>
        <w:ind w:firstLine="420"/>
        <w:jc w:val="left"/>
        <w:rPr>
          <w:rFonts w:hint="eastAsia" w:ascii="宋体" w:hAnsi="宋体" w:cs="宋体"/>
          <w:szCs w:val="21"/>
        </w:rPr>
      </w:pPr>
      <w:r>
        <w:rPr>
          <w:rFonts w:hint="eastAsia" w:ascii="宋体" w:hAnsi="宋体" w:cs="宋体"/>
          <w:szCs w:val="21"/>
        </w:rPr>
        <w:t>1、合同份数：本合同一式肆份，甲乙双方各执贰份，均具有同等法律效力。</w:t>
      </w:r>
    </w:p>
    <w:p w14:paraId="232B27D6">
      <w:pPr>
        <w:widowControl/>
        <w:spacing w:line="480" w:lineRule="exact"/>
        <w:ind w:firstLine="420"/>
        <w:jc w:val="left"/>
        <w:rPr>
          <w:rFonts w:hint="eastAsia" w:ascii="宋体" w:hAnsi="宋体" w:cs="宋体"/>
          <w:szCs w:val="21"/>
        </w:rPr>
      </w:pPr>
      <w:r>
        <w:rPr>
          <w:rFonts w:hint="eastAsia" w:ascii="宋体" w:hAnsi="宋体" w:cs="宋体"/>
          <w:szCs w:val="21"/>
        </w:rPr>
        <w:t>2、未尽事宜：本合同未尽事宜应按《中华人民共和国民法典》以及其他相关法律、法规之规定解释。</w:t>
      </w:r>
    </w:p>
    <w:p w14:paraId="09CECE40">
      <w:pPr>
        <w:widowControl/>
        <w:spacing w:line="480" w:lineRule="exact"/>
        <w:ind w:firstLine="420"/>
        <w:jc w:val="left"/>
        <w:rPr>
          <w:rFonts w:hint="eastAsia" w:ascii="宋体" w:hAnsi="宋体" w:cs="宋体"/>
          <w:szCs w:val="21"/>
        </w:rPr>
      </w:pPr>
      <w:r>
        <w:rPr>
          <w:rFonts w:hint="eastAsia" w:ascii="宋体" w:hAnsi="宋体" w:cs="宋体"/>
          <w:szCs w:val="21"/>
        </w:rPr>
        <w:t>3、本合同自双方盖章、法定代表人或授权代表人签名后生效。</w:t>
      </w:r>
      <w:bookmarkEnd w:id="88"/>
      <w:bookmarkEnd w:id="89"/>
    </w:p>
    <w:p w14:paraId="582AF360">
      <w:pPr>
        <w:rPr>
          <w:rFonts w:hint="eastAsia" w:ascii="宋体" w:hAnsi="宋体"/>
          <w:szCs w:val="21"/>
        </w:rPr>
      </w:pPr>
    </w:p>
    <w:p w14:paraId="1B487EEA">
      <w:pPr>
        <w:ind w:firstLine="420"/>
        <w:rPr>
          <w:rFonts w:hint="eastAsia" w:ascii="宋体" w:hAnsi="宋体"/>
          <w:szCs w:val="21"/>
        </w:rPr>
      </w:pPr>
      <w:r>
        <w:rPr>
          <w:rFonts w:hint="eastAsia" w:ascii="宋体" w:hAnsi="宋体"/>
          <w:szCs w:val="21"/>
        </w:rPr>
        <w:t xml:space="preserve">甲方：                                      乙方： </w:t>
      </w:r>
    </w:p>
    <w:p w14:paraId="54265F48">
      <w:pPr>
        <w:ind w:firstLine="420"/>
        <w:rPr>
          <w:rFonts w:hint="eastAsia" w:ascii="宋体" w:hAnsi="宋体"/>
          <w:szCs w:val="21"/>
        </w:rPr>
      </w:pPr>
      <w:r>
        <w:rPr>
          <w:rFonts w:hint="eastAsia" w:ascii="宋体" w:hAnsi="宋体"/>
          <w:szCs w:val="21"/>
        </w:rPr>
        <w:t xml:space="preserve">地址：                                      地址： </w:t>
      </w:r>
    </w:p>
    <w:p w14:paraId="358FFED0">
      <w:pPr>
        <w:ind w:firstLine="420"/>
        <w:rPr>
          <w:rFonts w:hint="eastAsia" w:ascii="宋体" w:hAnsi="宋体"/>
          <w:szCs w:val="21"/>
        </w:rPr>
      </w:pPr>
      <w:r>
        <w:rPr>
          <w:rFonts w:hint="eastAsia" w:ascii="宋体" w:hAnsi="宋体"/>
          <w:szCs w:val="21"/>
        </w:rPr>
        <w:t>法定（授权）代表人：                        法定（授权）代表人：</w:t>
      </w:r>
    </w:p>
    <w:p w14:paraId="4B00475C">
      <w:pPr>
        <w:ind w:firstLine="420"/>
        <w:rPr>
          <w:rFonts w:hint="eastAsia" w:ascii="宋体" w:hAnsi="宋体"/>
          <w:szCs w:val="21"/>
        </w:rPr>
      </w:pPr>
      <w:r>
        <w:rPr>
          <w:rFonts w:hint="eastAsia" w:ascii="宋体" w:hAnsi="宋体"/>
          <w:szCs w:val="21"/>
        </w:rPr>
        <w:t>签署日期：      年  月  日                  签署日期：      年  月  日</w:t>
      </w:r>
    </w:p>
    <w:p w14:paraId="7B516ED9">
      <w:pPr>
        <w:widowControl/>
        <w:spacing w:line="360" w:lineRule="auto"/>
        <w:ind w:left="1470" w:right="1470" w:firstLine="420"/>
        <w:jc w:val="left"/>
        <w:rPr>
          <w:rFonts w:hint="eastAsia" w:ascii="宋体" w:hAnsi="宋体"/>
          <w:szCs w:val="21"/>
        </w:rPr>
      </w:pPr>
      <w:r>
        <w:rPr>
          <w:rFonts w:hint="eastAsia" w:ascii="宋体" w:hAnsi="宋体"/>
          <w:szCs w:val="21"/>
        </w:rPr>
        <w:br w:type="page" w:clear="all"/>
      </w:r>
    </w:p>
    <w:p w14:paraId="38F0F3E9">
      <w:pPr>
        <w:ind w:firstLine="214"/>
        <w:jc w:val="center"/>
        <w:rPr>
          <w:rFonts w:hint="eastAsia" w:ascii="宋体" w:hAnsi="宋体"/>
          <w:b/>
          <w:sz w:val="30"/>
          <w:szCs w:val="30"/>
        </w:rPr>
      </w:pPr>
      <w:r>
        <w:rPr>
          <w:rFonts w:hint="eastAsia" w:ascii="宋体" w:hAnsi="宋体"/>
          <w:b/>
          <w:sz w:val="30"/>
          <w:szCs w:val="30"/>
        </w:rPr>
        <w:t>安全合同</w:t>
      </w:r>
    </w:p>
    <w:p w14:paraId="6A048F22">
      <w:pPr>
        <w:widowControl/>
        <w:spacing w:line="480" w:lineRule="exact"/>
        <w:ind w:firstLine="420"/>
        <w:jc w:val="left"/>
        <w:rPr>
          <w:rFonts w:hint="eastAsia" w:ascii="宋体" w:hAnsi="宋体" w:cs="宋体"/>
          <w:szCs w:val="21"/>
        </w:rPr>
      </w:pPr>
      <w:r>
        <w:rPr>
          <w:rFonts w:hint="eastAsia" w:ascii="宋体" w:hAnsi="宋体" w:cs="宋体"/>
          <w:szCs w:val="21"/>
        </w:rPr>
        <w:t>为在</w:t>
      </w:r>
      <w:r>
        <w:rPr>
          <w:rFonts w:hint="eastAsia" w:ascii="宋体" w:hAnsi="宋体"/>
          <w:szCs w:val="21"/>
          <w:u w:val="single"/>
        </w:rPr>
        <w:t>大丰港石化新材料产业园环境监控设备运维服务项目（2026-2027）</w:t>
      </w:r>
      <w:r>
        <w:rPr>
          <w:rFonts w:hint="eastAsia" w:ascii="宋体" w:hAnsi="宋体" w:cs="宋体"/>
          <w:szCs w:val="21"/>
        </w:rPr>
        <w:t xml:space="preserve">合同的实施过程中创造安全、高效的环境，切实搞好本项目的安全管理工作，本项目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（以下简称“甲方”）与</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（以下简称“乙方”）特此签订安全合同：</w:t>
      </w:r>
    </w:p>
    <w:p w14:paraId="68275BF0">
      <w:pPr>
        <w:widowControl/>
        <w:spacing w:line="480" w:lineRule="exact"/>
        <w:ind w:firstLine="422"/>
        <w:jc w:val="left"/>
        <w:rPr>
          <w:rFonts w:hint="eastAsia" w:ascii="宋体" w:hAnsi="宋体" w:cs="宋体"/>
          <w:szCs w:val="21"/>
        </w:rPr>
      </w:pPr>
      <w:r>
        <w:rPr>
          <w:rFonts w:hint="eastAsia" w:ascii="宋体" w:hAnsi="宋体" w:cs="宋体"/>
          <w:b/>
          <w:bCs/>
          <w:szCs w:val="21"/>
        </w:rPr>
        <w:t>一、甲方职责</w:t>
      </w:r>
    </w:p>
    <w:p w14:paraId="30DF6579">
      <w:pPr>
        <w:widowControl/>
        <w:spacing w:line="480" w:lineRule="exact"/>
        <w:ind w:firstLine="420"/>
        <w:jc w:val="left"/>
        <w:rPr>
          <w:rFonts w:hint="eastAsia" w:ascii="宋体" w:hAnsi="宋体" w:cs="宋体"/>
          <w:szCs w:val="21"/>
        </w:rPr>
      </w:pPr>
      <w:r>
        <w:rPr>
          <w:rFonts w:hint="eastAsia" w:ascii="宋体" w:hAnsi="宋体" w:cs="宋体"/>
          <w:szCs w:val="21"/>
        </w:rPr>
        <w:t>1、严格遵守国家有关安全生产的法律法规，认真执行服务合同中的有关安全要求。</w:t>
      </w:r>
    </w:p>
    <w:p w14:paraId="4078CC46">
      <w:pPr>
        <w:widowControl/>
        <w:spacing w:line="480" w:lineRule="exact"/>
        <w:ind w:firstLine="420"/>
        <w:jc w:val="left"/>
        <w:rPr>
          <w:rFonts w:hint="eastAsia" w:ascii="宋体" w:hAnsi="宋体" w:cs="宋体"/>
          <w:szCs w:val="21"/>
        </w:rPr>
      </w:pPr>
      <w:r>
        <w:rPr>
          <w:rFonts w:hint="eastAsia" w:ascii="宋体" w:hAnsi="宋体" w:cs="宋体"/>
          <w:szCs w:val="21"/>
        </w:rPr>
        <w:t>2、按照“安全第一、预防为主”的原则进行安全管理。</w:t>
      </w:r>
    </w:p>
    <w:p w14:paraId="2EFFE2BE">
      <w:pPr>
        <w:widowControl/>
        <w:spacing w:line="480" w:lineRule="exact"/>
        <w:ind w:firstLine="420"/>
        <w:jc w:val="left"/>
        <w:rPr>
          <w:rFonts w:hint="eastAsia" w:ascii="宋体" w:hAnsi="宋体" w:cs="宋体"/>
          <w:szCs w:val="21"/>
        </w:rPr>
      </w:pPr>
      <w:r>
        <w:rPr>
          <w:rFonts w:hint="eastAsia" w:ascii="宋体" w:hAnsi="宋体" w:cs="宋体"/>
          <w:szCs w:val="21"/>
        </w:rPr>
        <w:t>3、组织对乙方项目服务现场安全检查，监督乙方及时发现并处理各种安全隐患。</w:t>
      </w:r>
    </w:p>
    <w:p w14:paraId="1537471E">
      <w:pPr>
        <w:widowControl/>
        <w:spacing w:line="480" w:lineRule="exact"/>
        <w:ind w:firstLine="422"/>
        <w:jc w:val="left"/>
        <w:rPr>
          <w:rFonts w:hint="eastAsia" w:ascii="宋体" w:hAnsi="宋体" w:cs="宋体"/>
          <w:szCs w:val="21"/>
        </w:rPr>
      </w:pPr>
      <w:r>
        <w:rPr>
          <w:rFonts w:hint="eastAsia" w:ascii="宋体" w:hAnsi="宋体" w:cs="宋体"/>
          <w:b/>
          <w:bCs/>
          <w:szCs w:val="21"/>
        </w:rPr>
        <w:t>二、乙方职责</w:t>
      </w:r>
    </w:p>
    <w:p w14:paraId="2084991C">
      <w:pPr>
        <w:widowControl/>
        <w:spacing w:line="480" w:lineRule="exact"/>
        <w:ind w:firstLine="420"/>
        <w:jc w:val="left"/>
        <w:rPr>
          <w:rFonts w:hint="eastAsia" w:ascii="宋体" w:hAnsi="宋体" w:cs="宋体"/>
          <w:szCs w:val="21"/>
        </w:rPr>
      </w:pPr>
      <w:r>
        <w:rPr>
          <w:rFonts w:hint="eastAsia" w:ascii="宋体" w:hAnsi="宋体" w:cs="宋体"/>
          <w:szCs w:val="21"/>
        </w:rPr>
        <w:t>1、严格遵守国家有关安全生产的法律法规、相关部门颁发的有关安全生产的规定，认真执行项目服务合同中的有关安全要求。</w:t>
      </w:r>
    </w:p>
    <w:p w14:paraId="1AAD1AF6">
      <w:pPr>
        <w:widowControl/>
        <w:spacing w:line="480" w:lineRule="exact"/>
        <w:ind w:firstLine="420"/>
        <w:jc w:val="left"/>
        <w:rPr>
          <w:rFonts w:hint="eastAsia" w:ascii="宋体" w:hAnsi="宋体" w:cs="宋体"/>
          <w:szCs w:val="21"/>
        </w:rPr>
      </w:pPr>
      <w:r>
        <w:rPr>
          <w:rFonts w:hint="eastAsia" w:ascii="宋体" w:hAnsi="宋体" w:cs="宋体"/>
          <w:szCs w:val="21"/>
        </w:rPr>
        <w:t>2、坚持“安全第一、预防为主”的原则，加强安全宣传教育，增强全员安全意识，建立健全的安全管理机构和安全管理制度，配备专职及兼职安全检查人员，有组织有领导地开展活动。各级领导和具体服务人员，必须熟悉和遵守本条款的各项规定，做到服务与安全工作同时计划、布置、检查、总结和评比。</w:t>
      </w:r>
    </w:p>
    <w:p w14:paraId="5D0A5C7F">
      <w:pPr>
        <w:widowControl/>
        <w:spacing w:line="480" w:lineRule="exact"/>
        <w:ind w:firstLine="420"/>
        <w:jc w:val="left"/>
        <w:rPr>
          <w:rFonts w:hint="eastAsia" w:ascii="宋体" w:hAnsi="宋体" w:cs="宋体"/>
          <w:szCs w:val="21"/>
        </w:rPr>
      </w:pPr>
      <w:r>
        <w:rPr>
          <w:rFonts w:hint="eastAsia" w:ascii="宋体" w:hAnsi="宋体" w:cs="宋体"/>
          <w:szCs w:val="21"/>
        </w:rPr>
        <w:t>3、建立健全安全责任制。从派往项目实施的</w:t>
      </w:r>
      <w:r>
        <w:rPr>
          <w:rFonts w:hint="eastAsia" w:ascii="宋体" w:hAnsi="宋体"/>
          <w:szCs w:val="21"/>
        </w:rPr>
        <w:t>项目经理、现场管理人员</w:t>
      </w:r>
      <w:r>
        <w:rPr>
          <w:rFonts w:hint="eastAsia" w:ascii="宋体" w:hAnsi="宋体" w:cs="宋体"/>
          <w:szCs w:val="21"/>
        </w:rPr>
        <w:t>到服务人员的安全生产管理系统必须做到纵向到底，一环不漏；各职能部门、人员的安全生产责任制做到横向到边，人人有责。项目经理是安全的第一责任人。</w:t>
      </w:r>
    </w:p>
    <w:p w14:paraId="7C6F2852">
      <w:pPr>
        <w:widowControl/>
        <w:spacing w:line="480" w:lineRule="exact"/>
        <w:ind w:firstLine="420"/>
        <w:jc w:val="left"/>
        <w:rPr>
          <w:rFonts w:hint="eastAsia" w:ascii="宋体" w:hAnsi="宋体" w:cs="宋体"/>
          <w:szCs w:val="21"/>
        </w:rPr>
      </w:pPr>
      <w:r>
        <w:rPr>
          <w:rFonts w:hint="eastAsia" w:ascii="宋体" w:hAnsi="宋体" w:cs="宋体"/>
          <w:szCs w:val="21"/>
        </w:rPr>
        <w:t>4、乙方在任何时候都应采取各种合理的预防措施，防止其员工发生任何违法、违禁、暴力或防碍治安的行为。</w:t>
      </w:r>
    </w:p>
    <w:p w14:paraId="19BA2190">
      <w:pPr>
        <w:widowControl/>
        <w:spacing w:line="480" w:lineRule="exact"/>
        <w:ind w:firstLine="420"/>
        <w:jc w:val="left"/>
        <w:rPr>
          <w:rFonts w:hint="eastAsia" w:ascii="宋体" w:hAnsi="宋体" w:cs="宋体"/>
          <w:szCs w:val="21"/>
        </w:rPr>
      </w:pPr>
      <w:r>
        <w:rPr>
          <w:rFonts w:hint="eastAsia" w:ascii="宋体" w:hAnsi="宋体" w:cs="宋体"/>
          <w:szCs w:val="21"/>
        </w:rPr>
        <w:t>5、服务人员上岗，必须按规定穿戴防护用品。项目经理和现场管理人员应随时检查劳动防护用品的穿戴情况，不按规定穿戴防护用品的人员不得上岗。</w:t>
      </w:r>
    </w:p>
    <w:p w14:paraId="6B91790C">
      <w:pPr>
        <w:widowControl/>
        <w:spacing w:line="480" w:lineRule="exact"/>
        <w:ind w:firstLine="420"/>
        <w:jc w:val="left"/>
        <w:rPr>
          <w:rFonts w:hint="eastAsia" w:ascii="宋体" w:hAnsi="宋体" w:cs="宋体"/>
          <w:szCs w:val="21"/>
        </w:rPr>
      </w:pPr>
      <w:r>
        <w:rPr>
          <w:rFonts w:hint="eastAsia" w:ascii="宋体" w:hAnsi="宋体" w:cs="宋体"/>
          <w:szCs w:val="21"/>
        </w:rPr>
        <w:t>6、所有机具设备均应定期检查，并有签字记录，保证其经常处于完好状态；不合格的机具、设备和劳动保护用品严禁使用。</w:t>
      </w:r>
    </w:p>
    <w:p w14:paraId="2B38ACAB">
      <w:pPr>
        <w:widowControl/>
        <w:spacing w:line="480" w:lineRule="exact"/>
        <w:ind w:firstLine="420"/>
        <w:jc w:val="left"/>
        <w:rPr>
          <w:rFonts w:hint="eastAsia" w:ascii="宋体" w:hAnsi="宋体" w:cs="宋体"/>
          <w:szCs w:val="21"/>
        </w:rPr>
      </w:pPr>
      <w:r>
        <w:rPr>
          <w:rFonts w:hint="eastAsia" w:ascii="宋体" w:hAnsi="宋体" w:cs="宋体"/>
          <w:szCs w:val="21"/>
        </w:rPr>
        <w:t>7、乙方应对安全技术资料建立档案，安全技术资料应当真实、完整齐全。</w:t>
      </w:r>
    </w:p>
    <w:p w14:paraId="5F4CC57C">
      <w:pPr>
        <w:widowControl/>
        <w:spacing w:line="480" w:lineRule="exact"/>
        <w:ind w:firstLine="420"/>
        <w:jc w:val="left"/>
        <w:rPr>
          <w:rFonts w:hint="eastAsia" w:ascii="宋体" w:hAnsi="宋体" w:cs="宋体"/>
          <w:szCs w:val="21"/>
        </w:rPr>
      </w:pPr>
      <w:r>
        <w:rPr>
          <w:rFonts w:hint="eastAsia" w:ascii="宋体" w:hAnsi="宋体" w:cs="宋体"/>
          <w:szCs w:val="21"/>
        </w:rPr>
        <w:t>8、乙方应当接受甲方及政府安全监督机构对其安全生产的监督检查。对于检查单位下达的整改意见通知，乙方要立即予以整改，由此发生的费用乙方自负。</w:t>
      </w:r>
    </w:p>
    <w:p w14:paraId="3E3CF66E">
      <w:pPr>
        <w:widowControl/>
        <w:spacing w:line="480" w:lineRule="exact"/>
        <w:ind w:firstLine="420"/>
        <w:jc w:val="left"/>
        <w:rPr>
          <w:rFonts w:hint="eastAsia" w:ascii="宋体" w:hAnsi="宋体" w:cs="宋体"/>
          <w:szCs w:val="21"/>
        </w:rPr>
      </w:pPr>
      <w:r>
        <w:rPr>
          <w:rFonts w:hint="eastAsia" w:ascii="宋体" w:hAnsi="宋体" w:cs="宋体"/>
          <w:szCs w:val="21"/>
        </w:rPr>
        <w:t>9、乙方必须按照本项目特点，组织制定本项目实施中的安全事故应急救援预案；如果发生安全事故，应按照《国务院关于特大安全事故行政责任追究的规定》以及其它有关规定，及时上报有关部门，并坚持“三不放过”的原则，严肃处理相关责任人。</w:t>
      </w:r>
    </w:p>
    <w:p w14:paraId="30DCFB87">
      <w:pPr>
        <w:widowControl/>
        <w:spacing w:line="480" w:lineRule="exact"/>
        <w:ind w:firstLine="420"/>
        <w:jc w:val="left"/>
        <w:rPr>
          <w:rFonts w:hint="eastAsia" w:ascii="宋体" w:hAnsi="宋体" w:cs="宋体"/>
          <w:szCs w:val="21"/>
        </w:rPr>
      </w:pPr>
      <w:r>
        <w:rPr>
          <w:rFonts w:hint="eastAsia" w:ascii="宋体" w:hAnsi="宋体" w:cs="宋体"/>
          <w:szCs w:val="21"/>
        </w:rPr>
        <w:t>10、发生重大伤亡及其他安全事故，乙方应按有关规定立即上报有关部门并通知甲方，同时按政府有关部门要求处理。</w:t>
      </w:r>
    </w:p>
    <w:p w14:paraId="0FCD5CCC">
      <w:pPr>
        <w:widowControl/>
        <w:spacing w:line="480" w:lineRule="exact"/>
        <w:ind w:firstLine="422"/>
        <w:jc w:val="left"/>
        <w:rPr>
          <w:rFonts w:hint="eastAsia" w:ascii="宋体" w:hAnsi="宋体" w:cs="宋体"/>
          <w:b/>
          <w:bCs/>
          <w:szCs w:val="21"/>
        </w:rPr>
      </w:pPr>
      <w:r>
        <w:rPr>
          <w:rFonts w:hint="eastAsia" w:ascii="宋体" w:hAnsi="宋体" w:cs="宋体"/>
          <w:b/>
          <w:bCs/>
          <w:szCs w:val="21"/>
        </w:rPr>
        <w:t>三、违约责任</w:t>
      </w:r>
    </w:p>
    <w:p w14:paraId="7139BFA9">
      <w:pPr>
        <w:widowControl/>
        <w:spacing w:line="480" w:lineRule="exact"/>
        <w:ind w:firstLine="420"/>
        <w:jc w:val="left"/>
        <w:rPr>
          <w:rFonts w:hint="eastAsia" w:ascii="宋体" w:hAnsi="宋体" w:cs="宋体"/>
          <w:szCs w:val="21"/>
        </w:rPr>
      </w:pPr>
      <w:r>
        <w:rPr>
          <w:rFonts w:hint="eastAsia" w:ascii="宋体" w:hAnsi="宋体" w:cs="宋体"/>
          <w:szCs w:val="21"/>
        </w:rPr>
        <w:t>1、乙方应对发生在本项目服务期间的交通安全、安全事故（包括人损）负全部法律责任，并承担由此而产生的一切经济损失。</w:t>
      </w:r>
    </w:p>
    <w:p w14:paraId="5180BB6F">
      <w:pPr>
        <w:widowControl/>
        <w:spacing w:line="480" w:lineRule="exact"/>
        <w:ind w:firstLine="420"/>
        <w:jc w:val="left"/>
        <w:rPr>
          <w:rFonts w:hint="eastAsia" w:ascii="宋体" w:hAnsi="宋体" w:cs="宋体"/>
          <w:szCs w:val="21"/>
        </w:rPr>
      </w:pPr>
      <w:r>
        <w:rPr>
          <w:rFonts w:hint="eastAsia" w:ascii="宋体" w:hAnsi="宋体" w:cs="宋体"/>
          <w:szCs w:val="21"/>
        </w:rPr>
        <w:t>2、如乙方发生安全事故不及时妥善处理，引起纠纷或诉讼，甲方有权扣留其履约保证金和未付合同款用于支付事故处理费用。</w:t>
      </w:r>
    </w:p>
    <w:p w14:paraId="1D636C1E">
      <w:pPr>
        <w:spacing w:line="480" w:lineRule="exact"/>
        <w:ind w:firstLine="420"/>
        <w:rPr>
          <w:rFonts w:hint="eastAsia" w:ascii="宋体" w:hAnsi="宋体" w:cs="宋体"/>
          <w:szCs w:val="21"/>
        </w:rPr>
      </w:pPr>
      <w:r>
        <w:rPr>
          <w:rFonts w:hint="eastAsia" w:ascii="宋体" w:hAnsi="宋体" w:cs="宋体"/>
          <w:szCs w:val="21"/>
        </w:rPr>
        <w:t>四、本合同一式四份，正本二份、副本二份，甲、乙双方正本、副本各执一份，均具有同等法律效力。合同由双方法定代表人或其授权的代理人签名与加盖公章后生效，</w:t>
      </w:r>
      <w:r>
        <w:rPr>
          <w:rFonts w:hint="eastAsia" w:ascii="宋体" w:hAnsi="宋体"/>
          <w:bCs/>
          <w:szCs w:val="21"/>
        </w:rPr>
        <w:t>甲、乙双方所签定的安全合同的时效与服务合同时效等同</w:t>
      </w:r>
      <w:r>
        <w:rPr>
          <w:rFonts w:hint="eastAsia" w:ascii="宋体" w:hAnsi="宋体" w:cs="宋体"/>
          <w:szCs w:val="21"/>
        </w:rPr>
        <w:t>。</w:t>
      </w:r>
    </w:p>
    <w:p w14:paraId="5CDD190A">
      <w:pPr>
        <w:spacing w:line="500" w:lineRule="exact"/>
        <w:ind w:firstLine="735"/>
        <w:rPr>
          <w:rFonts w:hint="eastAsia" w:ascii="宋体" w:hAnsi="宋体" w:cs="宋体"/>
          <w:szCs w:val="21"/>
        </w:rPr>
      </w:pPr>
    </w:p>
    <w:p w14:paraId="2C48942B">
      <w:pPr>
        <w:spacing w:line="500" w:lineRule="exact"/>
        <w:ind w:firstLine="420"/>
        <w:rPr>
          <w:rFonts w:hint="eastAsia" w:ascii="宋体" w:hAnsi="宋体" w:cs="宋体"/>
          <w:szCs w:val="21"/>
        </w:rPr>
      </w:pPr>
      <w:r>
        <w:rPr>
          <w:rFonts w:hint="eastAsia" w:ascii="宋体" w:hAnsi="宋体" w:cs="宋体"/>
          <w:szCs w:val="21"/>
        </w:rPr>
        <w:t>甲方：（盖章）                               乙方：（盖章）</w:t>
      </w:r>
    </w:p>
    <w:p w14:paraId="0B465B36">
      <w:pPr>
        <w:spacing w:line="500" w:lineRule="exact"/>
        <w:ind w:firstLine="420"/>
        <w:rPr>
          <w:rFonts w:hint="eastAsia" w:ascii="宋体" w:hAnsi="宋体" w:cs="宋体"/>
          <w:szCs w:val="21"/>
        </w:rPr>
      </w:pPr>
      <w:r>
        <w:rPr>
          <w:rFonts w:hint="eastAsia" w:ascii="宋体" w:hAnsi="宋体" w:cs="宋体"/>
          <w:szCs w:val="21"/>
        </w:rPr>
        <w:t>法定代表人  　　　　　　　　                法定代表人</w:t>
      </w:r>
    </w:p>
    <w:p w14:paraId="3EF43C00">
      <w:pPr>
        <w:spacing w:line="500" w:lineRule="exact"/>
        <w:ind w:firstLine="420"/>
        <w:rPr>
          <w:rFonts w:hint="eastAsia" w:ascii="宋体" w:hAnsi="宋体" w:cs="宋体"/>
          <w:szCs w:val="21"/>
        </w:rPr>
      </w:pPr>
      <w:r>
        <w:rPr>
          <w:rFonts w:hint="eastAsia" w:ascii="宋体" w:hAnsi="宋体" w:cs="宋体"/>
          <w:szCs w:val="21"/>
        </w:rPr>
        <w:t>或授权代理人：　　　　　　　　　　          或授权代理人：</w:t>
      </w:r>
    </w:p>
    <w:p w14:paraId="1ED062F6">
      <w:pPr>
        <w:spacing w:line="500" w:lineRule="exact"/>
        <w:ind w:firstLine="420"/>
        <w:rPr>
          <w:rFonts w:hint="eastAsia" w:ascii="宋体" w:hAnsi="宋体" w:cs="宋体"/>
          <w:szCs w:val="21"/>
        </w:rPr>
      </w:pPr>
      <w:r>
        <w:rPr>
          <w:rFonts w:hint="eastAsia" w:ascii="宋体" w:hAnsi="宋体" w:cs="宋体"/>
          <w:szCs w:val="21"/>
        </w:rPr>
        <w:t>签订日期：　　年　 月　 日                   签订日期： 　年　 月　 日</w:t>
      </w:r>
    </w:p>
    <w:p w14:paraId="7C071C7B">
      <w:pPr>
        <w:spacing w:line="360" w:lineRule="exact"/>
        <w:jc w:val="center"/>
        <w:rPr>
          <w:rFonts w:hint="eastAsia" w:ascii="宋体" w:hAnsi="宋体" w:cs="宋体"/>
          <w:b/>
          <w:sz w:val="30"/>
          <w:szCs w:val="30"/>
        </w:rPr>
      </w:pPr>
      <w:r>
        <w:rPr>
          <w:rFonts w:ascii="宋体" w:hAnsi="宋体"/>
          <w:sz w:val="24"/>
        </w:rPr>
        <w:br w:type="page" w:clear="all"/>
      </w:r>
      <w:r>
        <w:rPr>
          <w:rFonts w:hint="eastAsia" w:ascii="宋体" w:hAnsi="宋体" w:cs="宋体"/>
          <w:b/>
          <w:sz w:val="30"/>
          <w:szCs w:val="30"/>
        </w:rPr>
        <w:t>廉 政 合 同</w:t>
      </w:r>
    </w:p>
    <w:p w14:paraId="0AF19BAD">
      <w:pPr>
        <w:spacing w:line="480" w:lineRule="exact"/>
        <w:ind w:firstLine="422"/>
        <w:rPr>
          <w:rFonts w:hint="eastAsia" w:ascii="宋体" w:hAnsi="宋体" w:cs="宋体"/>
          <w:szCs w:val="21"/>
          <w:u w:val="single"/>
        </w:rPr>
      </w:pPr>
      <w:r>
        <w:rPr>
          <w:rFonts w:hint="eastAsia" w:ascii="宋体" w:hAnsi="宋体" w:cs="宋体"/>
          <w:b/>
          <w:szCs w:val="21"/>
        </w:rPr>
        <w:t>项目名称：</w:t>
      </w:r>
      <w:r>
        <w:rPr>
          <w:rFonts w:hint="eastAsia" w:ascii="宋体" w:hAnsi="宋体" w:cs="宋体"/>
          <w:szCs w:val="21"/>
          <w:u w:val="single"/>
        </w:rPr>
        <w:t>大丰港石化新材料产业园环境监控设备运维服务项目（2026-2027）</w:t>
      </w:r>
      <w:r>
        <w:rPr>
          <w:rFonts w:ascii="宋体" w:hAnsi="宋体" w:cs="宋体"/>
          <w:szCs w:val="21"/>
          <w:u w:val="single"/>
        </w:rPr>
        <w:t xml:space="preserve"> </w:t>
      </w:r>
      <w:r>
        <w:rPr>
          <w:rFonts w:hint="eastAsia" w:ascii="宋体" w:hAnsi="宋体" w:cs="宋体"/>
          <w:szCs w:val="21"/>
        </w:rPr>
        <w:t xml:space="preserve">       </w:t>
      </w:r>
      <w:r>
        <w:rPr>
          <w:rFonts w:hint="eastAsia" w:ascii="宋体" w:hAnsi="宋体" w:cs="宋体"/>
          <w:b/>
          <w:szCs w:val="21"/>
        </w:rPr>
        <w:t xml:space="preserve">  </w:t>
      </w:r>
    </w:p>
    <w:p w14:paraId="2C295F69">
      <w:pPr>
        <w:widowControl/>
        <w:spacing w:line="480" w:lineRule="exact"/>
        <w:ind w:firstLine="422"/>
        <w:rPr>
          <w:rFonts w:hint="eastAsia" w:ascii="宋体" w:hAnsi="宋体" w:cs="宋体"/>
          <w:szCs w:val="21"/>
        </w:rPr>
      </w:pPr>
      <w:r>
        <w:rPr>
          <w:rFonts w:hint="eastAsia" w:ascii="宋体" w:hAnsi="宋体" w:cs="宋体"/>
          <w:b/>
          <w:szCs w:val="21"/>
        </w:rPr>
        <w:t>采购方：</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（以下简称甲方）</w:t>
      </w:r>
    </w:p>
    <w:p w14:paraId="7C36BE45">
      <w:pPr>
        <w:widowControl/>
        <w:spacing w:line="480" w:lineRule="exact"/>
        <w:ind w:firstLine="422"/>
        <w:rPr>
          <w:rFonts w:hint="eastAsia" w:ascii="宋体" w:hAnsi="宋体" w:cs="宋体"/>
          <w:szCs w:val="21"/>
        </w:rPr>
      </w:pPr>
      <w:r>
        <w:rPr>
          <w:rFonts w:hint="eastAsia" w:ascii="宋体" w:hAnsi="宋体" w:cs="宋体"/>
          <w:b/>
          <w:szCs w:val="21"/>
        </w:rPr>
        <w:t>供应方：</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（以下简称乙方）</w:t>
      </w:r>
    </w:p>
    <w:p w14:paraId="2A000844">
      <w:pPr>
        <w:spacing w:line="480" w:lineRule="exact"/>
        <w:ind w:firstLine="420"/>
        <w:rPr>
          <w:rFonts w:hint="eastAsia" w:ascii="宋体" w:hAnsi="宋体" w:cs="宋体"/>
          <w:szCs w:val="21"/>
        </w:rPr>
      </w:pPr>
      <w:r>
        <w:rPr>
          <w:rFonts w:hint="eastAsia" w:ascii="宋体" w:hAnsi="宋体" w:cs="宋体"/>
          <w:szCs w:val="21"/>
        </w:rPr>
        <w:t>为贯彻执行党风廉政法规，加强</w:t>
      </w:r>
      <w:r>
        <w:rPr>
          <w:rFonts w:hint="eastAsia" w:ascii="宋体" w:hAnsi="宋体" w:cs="宋体"/>
          <w:szCs w:val="21"/>
          <w:u w:val="single"/>
        </w:rPr>
        <w:t xml:space="preserve"> 大丰港石化新材料产业园环境监控设备运维服务项目（2026-2027）</w:t>
      </w:r>
      <w:r>
        <w:rPr>
          <w:rFonts w:hint="eastAsia" w:ascii="宋体" w:hAnsi="宋体" w:cs="宋体"/>
          <w:szCs w:val="21"/>
        </w:rPr>
        <w:t>中的党风廉政建设，特订立本廉政合同。</w:t>
      </w:r>
    </w:p>
    <w:p w14:paraId="581686D4">
      <w:pPr>
        <w:spacing w:line="480" w:lineRule="exact"/>
        <w:ind w:firstLine="420"/>
        <w:rPr>
          <w:rFonts w:hint="eastAsia" w:ascii="宋体" w:hAnsi="宋体" w:cs="宋体"/>
          <w:szCs w:val="21"/>
        </w:rPr>
      </w:pPr>
      <w:r>
        <w:rPr>
          <w:rFonts w:hint="eastAsia" w:ascii="宋体" w:hAnsi="宋体" w:cs="宋体"/>
          <w:szCs w:val="21"/>
        </w:rPr>
        <w:t>一、甲乙双方约定</w:t>
      </w:r>
    </w:p>
    <w:p w14:paraId="6A7403AB">
      <w:pPr>
        <w:spacing w:line="480" w:lineRule="exact"/>
        <w:ind w:firstLine="420"/>
        <w:rPr>
          <w:rFonts w:hint="eastAsia" w:ascii="宋体" w:hAnsi="宋体" w:cs="宋体"/>
          <w:szCs w:val="21"/>
        </w:rPr>
      </w:pPr>
      <w:r>
        <w:rPr>
          <w:rFonts w:hint="eastAsia" w:ascii="宋体" w:hAnsi="宋体" w:cs="宋体"/>
          <w:szCs w:val="21"/>
        </w:rPr>
        <w:t>1、强化廉政意识，共同遵守《盐城市市场廉政准入规定（试行）》等党风廉政建设的各项规定。</w:t>
      </w:r>
    </w:p>
    <w:p w14:paraId="0EBE581C">
      <w:pPr>
        <w:spacing w:line="480" w:lineRule="exact"/>
        <w:ind w:firstLine="420"/>
        <w:rPr>
          <w:rFonts w:hint="eastAsia" w:ascii="宋体" w:hAnsi="宋体" w:cs="宋体"/>
          <w:szCs w:val="21"/>
        </w:rPr>
      </w:pPr>
      <w:r>
        <w:rPr>
          <w:rFonts w:hint="eastAsia" w:ascii="宋体" w:hAnsi="宋体" w:cs="宋体"/>
          <w:szCs w:val="21"/>
        </w:rPr>
        <w:t>2、认真执行</w:t>
      </w:r>
      <w:r>
        <w:rPr>
          <w:rFonts w:hint="eastAsia" w:ascii="宋体" w:hAnsi="宋体" w:cs="宋体"/>
          <w:szCs w:val="21"/>
          <w:u w:val="single"/>
        </w:rPr>
        <w:t xml:space="preserve"> 大丰港石化新材料产业园环境监控设备运维服务项目（2026-2027）</w:t>
      </w:r>
      <w:r>
        <w:rPr>
          <w:rFonts w:ascii="宋体" w:hAnsi="宋体" w:cs="宋体"/>
          <w:szCs w:val="21"/>
          <w:u w:val="single"/>
        </w:rPr>
        <w:t xml:space="preserve"> </w:t>
      </w:r>
      <w:r>
        <w:rPr>
          <w:rFonts w:hint="eastAsia" w:ascii="宋体" w:hAnsi="宋体" w:cs="宋体"/>
          <w:szCs w:val="21"/>
        </w:rPr>
        <w:t>合同文件，自觉按合同办事。</w:t>
      </w:r>
    </w:p>
    <w:p w14:paraId="5DF77F4C">
      <w:pPr>
        <w:spacing w:line="480" w:lineRule="exact"/>
        <w:ind w:firstLine="420"/>
        <w:rPr>
          <w:rFonts w:hint="eastAsia" w:ascii="宋体" w:hAnsi="宋体" w:cs="宋体"/>
          <w:szCs w:val="21"/>
        </w:rPr>
      </w:pPr>
      <w:r>
        <w:rPr>
          <w:rFonts w:hint="eastAsia" w:ascii="宋体" w:hAnsi="宋体" w:cs="宋体"/>
          <w:szCs w:val="21"/>
        </w:rPr>
        <w:t>3、除法定的商业秘密和合同文件另有规定之外，甲、乙双方的业务活动应坚持公开、公正、透明的原则，严禁损害国家和集体利益，以及违反法律、制度规定的不正当交易。</w:t>
      </w:r>
    </w:p>
    <w:p w14:paraId="24AC19E9">
      <w:pPr>
        <w:spacing w:line="480" w:lineRule="exact"/>
        <w:ind w:firstLine="420"/>
        <w:rPr>
          <w:rFonts w:hint="eastAsia" w:ascii="宋体" w:hAnsi="宋体" w:cs="宋体"/>
          <w:szCs w:val="21"/>
        </w:rPr>
      </w:pPr>
      <w:r>
        <w:rPr>
          <w:rFonts w:hint="eastAsia" w:ascii="宋体" w:hAnsi="宋体" w:cs="宋体"/>
          <w:szCs w:val="21"/>
        </w:rPr>
        <w:t>4、加强本方人员的廉政监督，建立和健全廉政制度，认真查处违法违纪行为。</w:t>
      </w:r>
    </w:p>
    <w:p w14:paraId="3F014ED6">
      <w:pPr>
        <w:spacing w:line="480" w:lineRule="exact"/>
        <w:ind w:firstLine="420"/>
        <w:rPr>
          <w:rFonts w:hint="eastAsia" w:ascii="宋体" w:hAnsi="宋体" w:cs="宋体"/>
          <w:szCs w:val="21"/>
        </w:rPr>
      </w:pPr>
      <w:r>
        <w:rPr>
          <w:rFonts w:hint="eastAsia" w:ascii="宋体" w:hAnsi="宋体" w:cs="宋体"/>
          <w:szCs w:val="21"/>
        </w:rPr>
        <w:t>5、对本方人员开展廉政告知、廉政教育和职业道德教育。</w:t>
      </w:r>
    </w:p>
    <w:p w14:paraId="0C824726">
      <w:pPr>
        <w:spacing w:line="480" w:lineRule="exact"/>
        <w:ind w:firstLine="420"/>
        <w:rPr>
          <w:rFonts w:hint="eastAsia" w:ascii="宋体" w:hAnsi="宋体" w:cs="宋体"/>
          <w:szCs w:val="21"/>
        </w:rPr>
      </w:pPr>
      <w:r>
        <w:rPr>
          <w:rFonts w:hint="eastAsia" w:ascii="宋体" w:hAnsi="宋体" w:cs="宋体"/>
          <w:szCs w:val="21"/>
        </w:rPr>
        <w:t>6、如发现对方在业务活动中有违反廉政制度的行为，甲乙双方有及时提醒对方并督促其纠正的权利和义务。</w:t>
      </w:r>
    </w:p>
    <w:p w14:paraId="63150F89">
      <w:pPr>
        <w:spacing w:line="480" w:lineRule="exact"/>
        <w:ind w:firstLine="420"/>
        <w:rPr>
          <w:rFonts w:hint="eastAsia" w:ascii="宋体" w:hAnsi="宋体" w:cs="宋体"/>
          <w:szCs w:val="21"/>
        </w:rPr>
      </w:pPr>
      <w:r>
        <w:rPr>
          <w:rFonts w:hint="eastAsia" w:ascii="宋体" w:hAnsi="宋体" w:cs="宋体"/>
          <w:szCs w:val="21"/>
        </w:rPr>
        <w:t>二、甲方在廉政建设方面的责任</w:t>
      </w:r>
    </w:p>
    <w:p w14:paraId="542E2A78">
      <w:pPr>
        <w:spacing w:line="480" w:lineRule="exact"/>
        <w:ind w:firstLine="420"/>
        <w:rPr>
          <w:rFonts w:hint="eastAsia" w:ascii="宋体" w:hAnsi="宋体" w:cs="宋体"/>
          <w:szCs w:val="21"/>
        </w:rPr>
      </w:pPr>
      <w:r>
        <w:rPr>
          <w:rFonts w:hint="eastAsia" w:ascii="宋体" w:hAnsi="宋体" w:cs="宋体"/>
          <w:szCs w:val="21"/>
        </w:rPr>
        <w:t>1、不得以任何形式向乙方索要和收受回扣。</w:t>
      </w:r>
    </w:p>
    <w:p w14:paraId="5B703E6E">
      <w:pPr>
        <w:spacing w:line="480" w:lineRule="exact"/>
        <w:ind w:firstLine="420"/>
        <w:rPr>
          <w:rFonts w:hint="eastAsia" w:ascii="宋体" w:hAnsi="宋体" w:cs="宋体"/>
          <w:szCs w:val="21"/>
        </w:rPr>
      </w:pPr>
      <w:r>
        <w:rPr>
          <w:rFonts w:hint="eastAsia" w:ascii="宋体" w:hAnsi="宋体" w:cs="宋体"/>
          <w:szCs w:val="21"/>
        </w:rPr>
        <w:t>2、不得接受乙方礼金、礼品、有价证券和贵重物品，不得在乙方报销任何应由个人支付的费用。对无法推辞的礼金、礼品、有价证券和贵重物品应交见证部门登记。</w:t>
      </w:r>
    </w:p>
    <w:p w14:paraId="2DF70C96">
      <w:pPr>
        <w:spacing w:line="480" w:lineRule="exact"/>
        <w:ind w:firstLine="420"/>
        <w:rPr>
          <w:rFonts w:hint="eastAsia" w:ascii="宋体" w:hAnsi="宋体" w:cs="宋体"/>
          <w:szCs w:val="21"/>
        </w:rPr>
      </w:pPr>
      <w:r>
        <w:rPr>
          <w:rFonts w:hint="eastAsia" w:ascii="宋体" w:hAnsi="宋体" w:cs="宋体"/>
          <w:szCs w:val="21"/>
        </w:rPr>
        <w:t>3、不得参加可能对公正执行公务有影响的宴请和娱乐、旅游活动。</w:t>
      </w:r>
    </w:p>
    <w:p w14:paraId="5E8A2BBF">
      <w:pPr>
        <w:spacing w:line="480" w:lineRule="exact"/>
        <w:ind w:firstLine="420"/>
        <w:rPr>
          <w:rFonts w:hint="eastAsia" w:ascii="宋体" w:hAnsi="宋体" w:cs="宋体"/>
          <w:szCs w:val="21"/>
        </w:rPr>
      </w:pPr>
      <w:r>
        <w:rPr>
          <w:rFonts w:hint="eastAsia" w:ascii="宋体" w:hAnsi="宋体" w:cs="宋体"/>
          <w:szCs w:val="21"/>
        </w:rPr>
        <w:t>4、不得要求或者接受乙方为其住宅装修、婚丧嫁娶、家属子女的工作安排以及外出旅行等提供方便。</w:t>
      </w:r>
    </w:p>
    <w:p w14:paraId="525C3A84">
      <w:pPr>
        <w:spacing w:line="480" w:lineRule="exact"/>
        <w:ind w:firstLine="420"/>
        <w:rPr>
          <w:rFonts w:hint="eastAsia" w:ascii="宋体" w:hAnsi="宋体" w:cs="宋体"/>
          <w:szCs w:val="21"/>
        </w:rPr>
      </w:pPr>
      <w:r>
        <w:rPr>
          <w:rFonts w:hint="eastAsia" w:ascii="宋体" w:hAnsi="宋体" w:cs="宋体"/>
          <w:szCs w:val="21"/>
        </w:rPr>
        <w:t>5、不得在家接待乙方有关招投标和采购供应事项等涉及公务的询访。</w:t>
      </w:r>
    </w:p>
    <w:p w14:paraId="29CE5D2C">
      <w:pPr>
        <w:spacing w:line="480" w:lineRule="exact"/>
        <w:ind w:firstLine="420"/>
        <w:rPr>
          <w:rFonts w:hint="eastAsia" w:ascii="宋体" w:hAnsi="宋体" w:cs="宋体"/>
          <w:szCs w:val="21"/>
        </w:rPr>
      </w:pPr>
      <w:r>
        <w:rPr>
          <w:rFonts w:hint="eastAsia" w:ascii="宋体" w:hAnsi="宋体" w:cs="宋体"/>
          <w:szCs w:val="21"/>
        </w:rPr>
        <w:t>6、不得有其他违反廉政规定的行为。</w:t>
      </w:r>
    </w:p>
    <w:p w14:paraId="55BCE85A">
      <w:pPr>
        <w:spacing w:line="480" w:lineRule="exact"/>
        <w:ind w:firstLine="420"/>
        <w:rPr>
          <w:rFonts w:hint="eastAsia" w:ascii="宋体" w:hAnsi="宋体" w:cs="宋体"/>
          <w:szCs w:val="21"/>
        </w:rPr>
      </w:pPr>
      <w:r>
        <w:rPr>
          <w:rFonts w:hint="eastAsia" w:ascii="宋体" w:hAnsi="宋体" w:cs="宋体"/>
          <w:szCs w:val="21"/>
        </w:rPr>
        <w:t>三、乙方在廉政建设方面的责任</w:t>
      </w:r>
    </w:p>
    <w:p w14:paraId="2721F923">
      <w:pPr>
        <w:spacing w:line="480" w:lineRule="exact"/>
        <w:ind w:firstLine="420"/>
        <w:rPr>
          <w:rFonts w:hint="eastAsia" w:ascii="宋体" w:hAnsi="宋体" w:cs="宋体"/>
          <w:szCs w:val="21"/>
        </w:rPr>
      </w:pPr>
      <w:r>
        <w:rPr>
          <w:rFonts w:hint="eastAsia" w:ascii="宋体" w:hAnsi="宋体" w:cs="宋体"/>
          <w:szCs w:val="21"/>
        </w:rPr>
        <w:t>1、不得以任何理由向甲方人员行贿或馈赠礼品、礼金和有价证券。</w:t>
      </w:r>
    </w:p>
    <w:p w14:paraId="72A4471C">
      <w:pPr>
        <w:spacing w:line="480" w:lineRule="exact"/>
        <w:ind w:firstLine="420"/>
        <w:rPr>
          <w:rFonts w:hint="eastAsia" w:ascii="宋体" w:hAnsi="宋体" w:cs="宋体"/>
          <w:szCs w:val="21"/>
        </w:rPr>
      </w:pPr>
      <w:r>
        <w:rPr>
          <w:rFonts w:hint="eastAsia" w:ascii="宋体" w:hAnsi="宋体" w:cs="宋体"/>
          <w:szCs w:val="21"/>
        </w:rPr>
        <w:t>2、不得以甲方人员报支应由其支付的任何费用。</w:t>
      </w:r>
    </w:p>
    <w:p w14:paraId="57512201">
      <w:pPr>
        <w:spacing w:line="480" w:lineRule="exact"/>
        <w:ind w:firstLine="420"/>
        <w:rPr>
          <w:rFonts w:hint="eastAsia" w:ascii="宋体" w:hAnsi="宋体" w:cs="宋体"/>
          <w:szCs w:val="21"/>
        </w:rPr>
      </w:pPr>
      <w:r>
        <w:rPr>
          <w:rFonts w:hint="eastAsia" w:ascii="宋体" w:hAnsi="宋体" w:cs="宋体"/>
          <w:szCs w:val="21"/>
        </w:rPr>
        <w:t>3、不得邀请甲方工作人员外出旅游和参加由公款支付的各项高消费娱乐性活动。</w:t>
      </w:r>
    </w:p>
    <w:p w14:paraId="08C8D61E">
      <w:pPr>
        <w:spacing w:line="480" w:lineRule="exact"/>
        <w:ind w:firstLine="420"/>
        <w:rPr>
          <w:rFonts w:hint="eastAsia" w:ascii="宋体" w:hAnsi="宋体" w:cs="宋体"/>
          <w:szCs w:val="21"/>
        </w:rPr>
      </w:pPr>
      <w:r>
        <w:rPr>
          <w:rFonts w:hint="eastAsia" w:ascii="宋体" w:hAnsi="宋体" w:cs="宋体"/>
          <w:szCs w:val="21"/>
        </w:rPr>
        <w:t>4、不得为甲方单位和个人购置或者提供通讯工具、交通工具、家电和高档办公用品。</w:t>
      </w:r>
    </w:p>
    <w:p w14:paraId="1879ACF2">
      <w:pPr>
        <w:spacing w:line="480" w:lineRule="exact"/>
        <w:ind w:firstLine="420"/>
        <w:rPr>
          <w:rFonts w:hint="eastAsia" w:ascii="宋体" w:hAnsi="宋体" w:cs="宋体"/>
          <w:szCs w:val="21"/>
        </w:rPr>
      </w:pPr>
      <w:r>
        <w:rPr>
          <w:rFonts w:hint="eastAsia" w:ascii="宋体" w:hAnsi="宋体" w:cs="宋体"/>
          <w:szCs w:val="21"/>
        </w:rPr>
        <w:t>5、不得到甲方人员家里询访有关招标和采购事项。</w:t>
      </w:r>
    </w:p>
    <w:p w14:paraId="405B2C5A">
      <w:pPr>
        <w:spacing w:line="480" w:lineRule="exact"/>
        <w:ind w:firstLine="420"/>
        <w:rPr>
          <w:rFonts w:hint="eastAsia" w:ascii="宋体" w:hAnsi="宋体" w:cs="宋体"/>
          <w:szCs w:val="21"/>
        </w:rPr>
      </w:pPr>
      <w:r>
        <w:rPr>
          <w:rFonts w:hint="eastAsia" w:ascii="宋体" w:hAnsi="宋体" w:cs="宋体"/>
          <w:szCs w:val="21"/>
        </w:rPr>
        <w:t>6、不得谋取私利擅自与甲方人员就项目承包、物资采购、设备供应项目的费用等问题私下商谈或达成默契。</w:t>
      </w:r>
    </w:p>
    <w:p w14:paraId="05EE35BC">
      <w:pPr>
        <w:spacing w:line="480" w:lineRule="exact"/>
        <w:ind w:firstLine="420"/>
        <w:rPr>
          <w:rFonts w:hint="eastAsia" w:ascii="宋体" w:hAnsi="宋体" w:cs="宋体"/>
          <w:szCs w:val="21"/>
        </w:rPr>
      </w:pPr>
      <w:r>
        <w:rPr>
          <w:rFonts w:hint="eastAsia" w:ascii="宋体" w:hAnsi="宋体" w:cs="宋体"/>
          <w:szCs w:val="21"/>
        </w:rPr>
        <w:t>7、不得有其他违反廉政规定行为。</w:t>
      </w:r>
    </w:p>
    <w:p w14:paraId="0A698848">
      <w:pPr>
        <w:spacing w:line="480" w:lineRule="exact"/>
        <w:ind w:firstLine="420"/>
        <w:rPr>
          <w:rFonts w:hint="eastAsia" w:ascii="宋体" w:hAnsi="宋体" w:cs="宋体"/>
          <w:szCs w:val="21"/>
        </w:rPr>
      </w:pPr>
      <w:r>
        <w:rPr>
          <w:rFonts w:hint="eastAsia" w:ascii="宋体" w:hAnsi="宋体" w:cs="宋体"/>
          <w:szCs w:val="21"/>
        </w:rPr>
        <w:t>四、违约责任</w:t>
      </w:r>
    </w:p>
    <w:p w14:paraId="15AA63C0">
      <w:pPr>
        <w:spacing w:line="480" w:lineRule="exact"/>
        <w:ind w:firstLine="420"/>
        <w:rPr>
          <w:rFonts w:hint="eastAsia" w:ascii="宋体" w:hAnsi="宋体" w:cs="宋体"/>
          <w:szCs w:val="21"/>
        </w:rPr>
      </w:pPr>
      <w:r>
        <w:rPr>
          <w:rFonts w:hint="eastAsia" w:ascii="宋体" w:hAnsi="宋体" w:cs="宋体"/>
          <w:szCs w:val="21"/>
        </w:rPr>
        <w:t>1、甲方有违反本合同第一条第1至第5款和第二条的，除按党风廉政建设规定进行责任追究和执行主管部门有关处罚规定外，另外支付违约金</w:t>
      </w:r>
      <w:r>
        <w:rPr>
          <w:rFonts w:hint="eastAsia" w:ascii="宋体" w:hAnsi="宋体" w:cs="宋体"/>
          <w:szCs w:val="21"/>
          <w:u w:val="single"/>
        </w:rPr>
        <w:t>2000</w:t>
      </w:r>
      <w:r>
        <w:rPr>
          <w:rFonts w:hint="eastAsia" w:ascii="宋体" w:hAnsi="宋体" w:cs="宋体"/>
          <w:szCs w:val="21"/>
        </w:rPr>
        <w:t>元；给乙方造成损失的应于赔偿。</w:t>
      </w:r>
    </w:p>
    <w:p w14:paraId="0913ADFC">
      <w:pPr>
        <w:spacing w:line="480" w:lineRule="exact"/>
        <w:ind w:firstLine="420"/>
        <w:rPr>
          <w:rFonts w:hint="eastAsia" w:ascii="宋体" w:hAnsi="宋体" w:cs="宋体"/>
          <w:szCs w:val="21"/>
        </w:rPr>
      </w:pPr>
      <w:r>
        <w:rPr>
          <w:rFonts w:hint="eastAsia" w:ascii="宋体" w:hAnsi="宋体" w:cs="宋体"/>
          <w:szCs w:val="21"/>
        </w:rPr>
        <w:t>2、乙方有违反本合同第一条第1至第5款和第三条的，除按《盐城市市场廉政准入规定（试行）》和行政主管部门有关规定处罚外，视情节轻重给与项目总价的</w:t>
      </w:r>
      <w:r>
        <w:rPr>
          <w:rFonts w:hint="eastAsia" w:ascii="宋体" w:hAnsi="宋体" w:cs="宋体"/>
          <w:szCs w:val="21"/>
          <w:u w:val="single"/>
        </w:rPr>
        <w:t>5%</w:t>
      </w:r>
      <w:r>
        <w:rPr>
          <w:rFonts w:hint="eastAsia" w:ascii="宋体" w:hAnsi="宋体" w:cs="宋体"/>
          <w:szCs w:val="21"/>
        </w:rPr>
        <w:t>违约处罚，并承担由此造成的损失。</w:t>
      </w:r>
    </w:p>
    <w:p w14:paraId="36203036">
      <w:pPr>
        <w:spacing w:line="480" w:lineRule="exact"/>
        <w:ind w:firstLine="420"/>
        <w:rPr>
          <w:rFonts w:hint="eastAsia" w:ascii="宋体" w:hAnsi="宋体" w:cs="宋体"/>
          <w:szCs w:val="21"/>
        </w:rPr>
      </w:pPr>
      <w:r>
        <w:rPr>
          <w:rFonts w:hint="eastAsia" w:ascii="宋体" w:hAnsi="宋体" w:cs="宋体"/>
          <w:szCs w:val="21"/>
        </w:rPr>
        <w:t>3、甲方双方凡违反本合同规定的均要视情节追究纪律责任，情节严重的已经移送司法机关处理。</w:t>
      </w:r>
    </w:p>
    <w:p w14:paraId="5A131BEC">
      <w:pPr>
        <w:spacing w:line="480" w:lineRule="exact"/>
        <w:ind w:firstLine="420"/>
        <w:rPr>
          <w:rFonts w:hint="eastAsia" w:ascii="宋体" w:hAnsi="宋体" w:cs="宋体"/>
          <w:szCs w:val="21"/>
        </w:rPr>
      </w:pPr>
      <w:r>
        <w:rPr>
          <w:rFonts w:hint="eastAsia" w:ascii="宋体" w:hAnsi="宋体" w:cs="宋体"/>
          <w:szCs w:val="21"/>
        </w:rPr>
        <w:t>五、见证单位的约定和授权</w:t>
      </w:r>
    </w:p>
    <w:p w14:paraId="336CC48B">
      <w:pPr>
        <w:spacing w:line="480" w:lineRule="exact"/>
        <w:ind w:firstLine="420"/>
        <w:rPr>
          <w:rFonts w:hint="eastAsia" w:ascii="宋体" w:hAnsi="宋体" w:cs="宋体"/>
          <w:szCs w:val="21"/>
        </w:rPr>
      </w:pPr>
      <w:r>
        <w:rPr>
          <w:rFonts w:hint="eastAsia" w:ascii="宋体" w:hAnsi="宋体" w:cs="宋体"/>
          <w:szCs w:val="21"/>
        </w:rPr>
        <w:t>1、双方约定：本合同的见证单位为各单位的内设纪检组织、市纪委派驻纪检组或纪检监察机关和检查机关。双方授权见证单位组织 本合同执行情况的检查，提出在本合同在规定范围内的意见。</w:t>
      </w:r>
    </w:p>
    <w:p w14:paraId="5C59E2C9">
      <w:pPr>
        <w:spacing w:line="480" w:lineRule="exact"/>
        <w:ind w:firstLine="420"/>
        <w:rPr>
          <w:rFonts w:hint="eastAsia" w:ascii="宋体" w:hAnsi="宋体" w:cs="宋体"/>
          <w:szCs w:val="21"/>
        </w:rPr>
      </w:pPr>
      <w:r>
        <w:rPr>
          <w:rFonts w:hint="eastAsia" w:ascii="宋体" w:hAnsi="宋体" w:cs="宋体"/>
          <w:szCs w:val="21"/>
        </w:rPr>
        <w:t>六、检查方式</w:t>
      </w:r>
    </w:p>
    <w:p w14:paraId="2D2AA552">
      <w:pPr>
        <w:spacing w:line="480" w:lineRule="exact"/>
        <w:ind w:firstLine="420"/>
        <w:rPr>
          <w:rFonts w:hint="eastAsia" w:ascii="宋体" w:hAnsi="宋体" w:cs="宋体"/>
          <w:szCs w:val="21"/>
        </w:rPr>
      </w:pPr>
      <w:r>
        <w:rPr>
          <w:rFonts w:hint="eastAsia" w:ascii="宋体" w:hAnsi="宋体" w:cs="宋体"/>
          <w:szCs w:val="21"/>
        </w:rPr>
        <w:t>本合同的履约情况检查由甲乙双方共同派人参加。检查方式为座谈、问卷、调查、查阅资料或其他约定方式。检查时间、次数、检查方式和检查结论、处罚意见由见证单位依据事实确定或裁定。</w:t>
      </w:r>
    </w:p>
    <w:p w14:paraId="3CB338C3">
      <w:pPr>
        <w:spacing w:line="480" w:lineRule="exact"/>
        <w:ind w:firstLine="420"/>
        <w:rPr>
          <w:rFonts w:hint="eastAsia" w:ascii="宋体" w:hAnsi="宋体" w:cs="宋体"/>
          <w:szCs w:val="21"/>
        </w:rPr>
      </w:pPr>
      <w:r>
        <w:rPr>
          <w:rFonts w:hint="eastAsia" w:ascii="宋体" w:hAnsi="宋体" w:cs="宋体"/>
          <w:szCs w:val="21"/>
        </w:rPr>
        <w:t>七、本合同有效期自甲、乙双方签署之日起至该项目验收合格后合同价款付清时止。</w:t>
      </w:r>
    </w:p>
    <w:p w14:paraId="4AD70ABB">
      <w:pPr>
        <w:spacing w:line="480" w:lineRule="exact"/>
        <w:ind w:firstLine="420"/>
        <w:rPr>
          <w:rFonts w:hint="eastAsia" w:ascii="宋体" w:hAnsi="宋体" w:cs="宋体"/>
          <w:szCs w:val="21"/>
        </w:rPr>
      </w:pPr>
      <w:r>
        <w:rPr>
          <w:rFonts w:hint="eastAsia" w:ascii="宋体" w:hAnsi="宋体" w:cs="宋体"/>
          <w:szCs w:val="21"/>
        </w:rPr>
        <w:t>八、本合同作为</w:t>
      </w:r>
      <w:r>
        <w:rPr>
          <w:rFonts w:hint="eastAsia" w:ascii="宋体" w:hAnsi="宋体" w:cs="宋体"/>
          <w:szCs w:val="21"/>
          <w:u w:val="single"/>
        </w:rPr>
        <w:t xml:space="preserve"> 大丰港石化新材料产业园环境监控设备运维服务项目（2026-2027） </w:t>
      </w:r>
      <w:r>
        <w:rPr>
          <w:rFonts w:hint="eastAsia" w:ascii="宋体" w:hAnsi="宋体" w:cs="宋体"/>
          <w:szCs w:val="21"/>
        </w:rPr>
        <w:t>合同的附件，于本合同具有同等法律效力。</w:t>
      </w:r>
    </w:p>
    <w:p w14:paraId="06211715">
      <w:pPr>
        <w:spacing w:line="480" w:lineRule="exact"/>
        <w:ind w:firstLine="420"/>
        <w:rPr>
          <w:rFonts w:hint="eastAsia" w:ascii="宋体" w:hAnsi="宋体" w:cs="宋体"/>
          <w:szCs w:val="21"/>
        </w:rPr>
      </w:pPr>
      <w:r>
        <w:rPr>
          <w:rFonts w:hint="eastAsia" w:ascii="宋体" w:hAnsi="宋体" w:cs="宋体"/>
          <w:szCs w:val="21"/>
        </w:rPr>
        <w:t>九、</w:t>
      </w:r>
      <w:r>
        <w:rPr>
          <w:rFonts w:ascii="宋体" w:hAnsi="宋体"/>
          <w:szCs w:val="21"/>
        </w:rPr>
        <w:t>本合同</w:t>
      </w:r>
      <w:r>
        <w:rPr>
          <w:rFonts w:hint="eastAsia" w:ascii="宋体" w:hAnsi="宋体"/>
          <w:szCs w:val="21"/>
        </w:rPr>
        <w:t>一式四份，正本二份、副本二份</w:t>
      </w:r>
      <w:r>
        <w:rPr>
          <w:rFonts w:ascii="宋体" w:hAnsi="宋体"/>
          <w:szCs w:val="21"/>
        </w:rPr>
        <w:t>，甲、乙双方各执</w:t>
      </w:r>
      <w:r>
        <w:rPr>
          <w:rFonts w:hint="eastAsia" w:ascii="宋体" w:hAnsi="宋体"/>
          <w:szCs w:val="21"/>
        </w:rPr>
        <w:t>二</w:t>
      </w:r>
      <w:r>
        <w:rPr>
          <w:rFonts w:ascii="宋体" w:hAnsi="宋体"/>
          <w:szCs w:val="21"/>
        </w:rPr>
        <w:t>份</w:t>
      </w:r>
      <w:r>
        <w:rPr>
          <w:rFonts w:hint="eastAsia" w:ascii="宋体" w:hAnsi="宋体" w:cs="宋体"/>
          <w:szCs w:val="21"/>
        </w:rPr>
        <w:t>。</w:t>
      </w:r>
    </w:p>
    <w:p w14:paraId="43ADFC82">
      <w:pPr>
        <w:spacing w:line="500" w:lineRule="exact"/>
        <w:ind w:firstLine="420"/>
        <w:rPr>
          <w:rFonts w:hint="eastAsia" w:ascii="宋体" w:hAnsi="宋体" w:cs="宋体"/>
          <w:szCs w:val="21"/>
        </w:rPr>
      </w:pPr>
      <w:r>
        <w:rPr>
          <w:rFonts w:hint="eastAsia" w:ascii="宋体" w:hAnsi="宋体" w:cs="宋体"/>
          <w:szCs w:val="21"/>
        </w:rPr>
        <w:t xml:space="preserve">甲方：（盖章）                               </w:t>
      </w:r>
      <w:r>
        <w:rPr>
          <w:rFonts w:ascii="宋体" w:hAnsi="宋体" w:cs="宋体"/>
          <w:szCs w:val="21"/>
        </w:rPr>
        <w:t xml:space="preserve"> </w:t>
      </w:r>
      <w:r>
        <w:rPr>
          <w:rFonts w:hint="eastAsia" w:ascii="宋体" w:hAnsi="宋体" w:cs="宋体"/>
          <w:szCs w:val="21"/>
        </w:rPr>
        <w:t>乙方：（盖章）</w:t>
      </w:r>
    </w:p>
    <w:p w14:paraId="71D4437E">
      <w:pPr>
        <w:spacing w:line="500" w:lineRule="exact"/>
        <w:ind w:firstLine="420"/>
        <w:rPr>
          <w:rFonts w:hint="eastAsia" w:ascii="宋体" w:hAnsi="宋体" w:cs="宋体"/>
          <w:szCs w:val="21"/>
        </w:rPr>
      </w:pPr>
      <w:r>
        <w:rPr>
          <w:rFonts w:hint="eastAsia" w:ascii="宋体" w:hAnsi="宋体" w:cs="宋体"/>
          <w:szCs w:val="21"/>
        </w:rPr>
        <w:t>法定代表人  　　　　　　　　                 法定代表人</w:t>
      </w:r>
    </w:p>
    <w:p w14:paraId="68412032">
      <w:pPr>
        <w:spacing w:line="500" w:lineRule="exact"/>
        <w:ind w:firstLine="420"/>
        <w:rPr>
          <w:rFonts w:hint="eastAsia" w:ascii="宋体" w:hAnsi="宋体" w:cs="宋体"/>
          <w:szCs w:val="21"/>
        </w:rPr>
      </w:pPr>
      <w:r>
        <w:rPr>
          <w:rFonts w:hint="eastAsia" w:ascii="宋体" w:hAnsi="宋体" w:cs="宋体"/>
          <w:szCs w:val="21"/>
        </w:rPr>
        <w:t>或授权代理人：　　　　　　　　　　           或授权代理人：</w:t>
      </w:r>
    </w:p>
    <w:p w14:paraId="0083AD81">
      <w:pPr>
        <w:spacing w:line="500" w:lineRule="exact"/>
        <w:ind w:firstLine="420"/>
        <w:rPr>
          <w:rFonts w:hint="eastAsia" w:ascii="宋体" w:hAnsi="宋体" w:cs="宋体"/>
          <w:szCs w:val="21"/>
        </w:rPr>
      </w:pPr>
      <w:r>
        <w:rPr>
          <w:rFonts w:hint="eastAsia" w:ascii="宋体" w:hAnsi="宋体" w:cs="宋体"/>
          <w:szCs w:val="21"/>
        </w:rPr>
        <w:t xml:space="preserve">签订日期：　　年　 月　 日                   </w:t>
      </w:r>
      <w:r>
        <w:rPr>
          <w:rFonts w:ascii="宋体" w:hAnsi="宋体" w:cs="宋体"/>
          <w:szCs w:val="21"/>
        </w:rPr>
        <w:t xml:space="preserve"> </w:t>
      </w:r>
      <w:r>
        <w:rPr>
          <w:rFonts w:hint="eastAsia" w:ascii="宋体" w:hAnsi="宋体" w:cs="宋体"/>
          <w:szCs w:val="21"/>
        </w:rPr>
        <w:t>签订日期： 　年　 月　 日</w:t>
      </w:r>
    </w:p>
    <w:p w14:paraId="570B01F3">
      <w:pPr>
        <w:rPr>
          <w:rFonts w:hint="eastAsia" w:ascii="宋体" w:hAnsi="宋体"/>
          <w:color w:val="000000"/>
          <w:sz w:val="36"/>
        </w:rPr>
      </w:pPr>
      <w:r>
        <w:rPr>
          <w:rFonts w:ascii="宋体" w:hAnsi="宋体"/>
          <w:color w:val="000000"/>
          <w:sz w:val="36"/>
        </w:rPr>
        <w:br w:type="page"/>
      </w:r>
    </w:p>
    <w:p w14:paraId="2F1DD6A6">
      <w:pPr>
        <w:jc w:val="center"/>
        <w:rPr>
          <w:rFonts w:hint="eastAsia" w:ascii="宋体" w:hAnsi="宋体"/>
          <w:color w:val="000000"/>
          <w:sz w:val="36"/>
        </w:rPr>
      </w:pPr>
      <w:r>
        <w:rPr>
          <w:rFonts w:ascii="宋体" w:hAnsi="宋体"/>
          <w:color w:val="000000"/>
          <w:sz w:val="36"/>
        </w:rPr>
        <w:t>政府采购合同履约验收书（参考格式）</w:t>
      </w:r>
    </w:p>
    <w:p w14:paraId="26C07BBE">
      <w:pPr>
        <w:spacing w:line="560" w:lineRule="exact"/>
        <w:ind w:firstLine="480"/>
        <w:jc w:val="left"/>
        <w:rPr>
          <w:rFonts w:hint="eastAsia" w:ascii="宋体" w:hAnsi="宋体"/>
          <w:color w:val="505050"/>
          <w:sz w:val="24"/>
        </w:rPr>
      </w:pPr>
      <w:r>
        <w:rPr>
          <w:rFonts w:ascii="宋体" w:hAnsi="宋体"/>
          <w:color w:val="000000"/>
          <w:sz w:val="24"/>
        </w:rPr>
        <w:t>根据政府采购合同（编号：</w:t>
      </w:r>
      <w:r>
        <w:rPr>
          <w:rFonts w:ascii="宋体" w:hAnsi="宋体"/>
          <w:color w:val="000000"/>
          <w:sz w:val="24"/>
          <w:u w:val="single"/>
        </w:rPr>
        <w:t xml:space="preserve">          </w:t>
      </w:r>
      <w:r>
        <w:rPr>
          <w:rFonts w:ascii="宋体" w:hAnsi="宋体"/>
          <w:color w:val="000000"/>
          <w:sz w:val="24"/>
        </w:rPr>
        <w:t>）的约定，我单位组织对</w:t>
      </w:r>
      <w:r>
        <w:rPr>
          <w:rFonts w:ascii="宋体" w:hAnsi="宋体"/>
          <w:color w:val="000000"/>
          <w:sz w:val="24"/>
          <w:u w:val="single"/>
        </w:rPr>
        <w:t>（项目名称）</w:t>
      </w:r>
      <w:r>
        <w:rPr>
          <w:rFonts w:ascii="宋体" w:hAnsi="宋体"/>
          <w:color w:val="000000"/>
          <w:sz w:val="24"/>
        </w:rPr>
        <w:t>项目中标（成交）供应商</w:t>
      </w:r>
      <w:r>
        <w:rPr>
          <w:rFonts w:ascii="宋体" w:hAnsi="宋体"/>
          <w:color w:val="000000"/>
          <w:sz w:val="24"/>
          <w:u w:val="single"/>
        </w:rPr>
        <w:t>（公司名称）</w:t>
      </w:r>
      <w:r>
        <w:rPr>
          <w:rFonts w:ascii="宋体" w:hAnsi="宋体"/>
          <w:color w:val="000000"/>
          <w:sz w:val="24"/>
        </w:rPr>
        <w:t>提供的货物（工程、服务）进行了履约验收，验收情况如下：</w:t>
      </w:r>
    </w:p>
    <w:bookmarkEnd w:id="90"/>
    <w:tbl>
      <w:tblPr>
        <w:tblStyle w:val="35"/>
        <w:tblW w:w="9750" w:type="dxa"/>
        <w:jc w:val="center"/>
        <w:tblLayout w:type="fixed"/>
        <w:tblCellMar>
          <w:top w:w="0" w:type="dxa"/>
          <w:left w:w="108" w:type="dxa"/>
          <w:bottom w:w="0" w:type="dxa"/>
          <w:right w:w="108" w:type="dxa"/>
        </w:tblCellMar>
      </w:tblPr>
      <w:tblGrid>
        <w:gridCol w:w="1712"/>
        <w:gridCol w:w="2719"/>
        <w:gridCol w:w="1750"/>
        <w:gridCol w:w="3569"/>
      </w:tblGrid>
      <w:tr w14:paraId="3718E6C5">
        <w:tblPrEx>
          <w:tblCellMar>
            <w:top w:w="0" w:type="dxa"/>
            <w:left w:w="108" w:type="dxa"/>
            <w:bottom w:w="0" w:type="dxa"/>
            <w:right w:w="108" w:type="dxa"/>
          </w:tblCellMar>
        </w:tblPrEx>
        <w:trPr>
          <w:trHeight w:val="855" w:hRule="atLeast"/>
          <w:jc w:val="center"/>
        </w:trPr>
        <w:tc>
          <w:tcPr>
            <w:tcW w:w="1712" w:type="dxa"/>
            <w:tcBorders>
              <w:top w:val="single" w:color="000000" w:sz="8" w:space="0"/>
              <w:left w:val="single" w:color="000000" w:sz="8" w:space="0"/>
              <w:bottom w:val="single" w:color="000000" w:sz="4" w:space="0"/>
              <w:right w:val="single" w:color="000000" w:sz="4" w:space="0"/>
            </w:tcBorders>
            <w:vAlign w:val="center"/>
          </w:tcPr>
          <w:p w14:paraId="4157EEE8">
            <w:pPr>
              <w:spacing w:line="360" w:lineRule="exact"/>
              <w:jc w:val="center"/>
              <w:rPr>
                <w:rFonts w:hint="eastAsia" w:ascii="宋体" w:hAnsi="宋体"/>
                <w:color w:val="000000"/>
                <w:sz w:val="24"/>
              </w:rPr>
            </w:pPr>
            <w:r>
              <w:rPr>
                <w:rFonts w:ascii="宋体" w:hAnsi="宋体"/>
                <w:color w:val="000000"/>
                <w:sz w:val="24"/>
              </w:rPr>
              <w:t>项目名称</w:t>
            </w:r>
          </w:p>
        </w:tc>
        <w:tc>
          <w:tcPr>
            <w:tcW w:w="2719" w:type="dxa"/>
            <w:tcBorders>
              <w:top w:val="single" w:color="000000" w:sz="8" w:space="0"/>
              <w:left w:val="nil"/>
              <w:bottom w:val="single" w:color="000000" w:sz="4" w:space="0"/>
              <w:right w:val="single" w:color="000000" w:sz="4" w:space="0"/>
            </w:tcBorders>
            <w:vAlign w:val="center"/>
          </w:tcPr>
          <w:p w14:paraId="65750DAD">
            <w:pPr>
              <w:spacing w:line="360" w:lineRule="exact"/>
              <w:jc w:val="center"/>
              <w:rPr>
                <w:rFonts w:hint="eastAsia" w:ascii="宋体" w:hAnsi="宋体"/>
                <w:color w:val="000000"/>
                <w:sz w:val="24"/>
              </w:rPr>
            </w:pPr>
          </w:p>
        </w:tc>
        <w:tc>
          <w:tcPr>
            <w:tcW w:w="1750" w:type="dxa"/>
            <w:tcBorders>
              <w:top w:val="single" w:color="000000" w:sz="8" w:space="0"/>
              <w:left w:val="nil"/>
              <w:bottom w:val="single" w:color="000000" w:sz="4" w:space="0"/>
              <w:right w:val="single" w:color="000000" w:sz="4" w:space="0"/>
            </w:tcBorders>
            <w:vAlign w:val="center"/>
          </w:tcPr>
          <w:p w14:paraId="569A860E">
            <w:pPr>
              <w:spacing w:line="360" w:lineRule="exact"/>
              <w:jc w:val="center"/>
              <w:rPr>
                <w:rFonts w:hint="eastAsia" w:ascii="宋体" w:hAnsi="宋体"/>
                <w:color w:val="000000"/>
                <w:sz w:val="24"/>
              </w:rPr>
            </w:pPr>
            <w:r>
              <w:rPr>
                <w:rFonts w:ascii="宋体" w:hAnsi="宋体"/>
                <w:color w:val="000000"/>
                <w:sz w:val="24"/>
              </w:rPr>
              <w:t>项目地点</w:t>
            </w:r>
          </w:p>
        </w:tc>
        <w:tc>
          <w:tcPr>
            <w:tcW w:w="3569" w:type="dxa"/>
            <w:tcBorders>
              <w:top w:val="single" w:color="000000" w:sz="8" w:space="0"/>
              <w:left w:val="nil"/>
              <w:bottom w:val="single" w:color="000000" w:sz="4" w:space="0"/>
              <w:right w:val="single" w:color="000000" w:sz="8" w:space="0"/>
            </w:tcBorders>
            <w:vAlign w:val="center"/>
          </w:tcPr>
          <w:p w14:paraId="0115A99F">
            <w:pPr>
              <w:spacing w:line="360" w:lineRule="exact"/>
              <w:jc w:val="center"/>
              <w:rPr>
                <w:rFonts w:hint="eastAsia" w:ascii="宋体" w:hAnsi="宋体"/>
                <w:color w:val="000000"/>
                <w:sz w:val="24"/>
              </w:rPr>
            </w:pPr>
          </w:p>
        </w:tc>
      </w:tr>
      <w:tr w14:paraId="0ED45055">
        <w:tblPrEx>
          <w:tblCellMar>
            <w:top w:w="0" w:type="dxa"/>
            <w:left w:w="108" w:type="dxa"/>
            <w:bottom w:w="0" w:type="dxa"/>
            <w:right w:w="108" w:type="dxa"/>
          </w:tblCellMar>
        </w:tblPrEx>
        <w:trPr>
          <w:trHeight w:val="855" w:hRule="atLeast"/>
          <w:jc w:val="center"/>
        </w:trPr>
        <w:tc>
          <w:tcPr>
            <w:tcW w:w="1712" w:type="dxa"/>
            <w:tcBorders>
              <w:top w:val="nil"/>
              <w:left w:val="single" w:color="000000" w:sz="8" w:space="0"/>
              <w:bottom w:val="single" w:color="000000" w:sz="4" w:space="0"/>
              <w:right w:val="single" w:color="000000" w:sz="4" w:space="0"/>
            </w:tcBorders>
            <w:vAlign w:val="center"/>
          </w:tcPr>
          <w:p w14:paraId="5159DB46">
            <w:pPr>
              <w:spacing w:line="360" w:lineRule="exact"/>
              <w:jc w:val="center"/>
              <w:rPr>
                <w:rFonts w:hint="eastAsia" w:ascii="宋体" w:hAnsi="宋体"/>
                <w:color w:val="000000"/>
                <w:sz w:val="24"/>
              </w:rPr>
            </w:pPr>
            <w:r>
              <w:rPr>
                <w:rFonts w:ascii="宋体" w:hAnsi="宋体"/>
                <w:color w:val="000000"/>
                <w:sz w:val="24"/>
              </w:rPr>
              <w:t>预算金额</w:t>
            </w:r>
          </w:p>
        </w:tc>
        <w:tc>
          <w:tcPr>
            <w:tcW w:w="2719" w:type="dxa"/>
            <w:tcBorders>
              <w:top w:val="single" w:color="000000" w:sz="4" w:space="0"/>
              <w:left w:val="nil"/>
              <w:bottom w:val="single" w:color="000000" w:sz="4" w:space="0"/>
              <w:right w:val="single" w:color="000000" w:sz="4" w:space="0"/>
            </w:tcBorders>
            <w:vAlign w:val="center"/>
          </w:tcPr>
          <w:p w14:paraId="7F3DEB36">
            <w:pPr>
              <w:spacing w:line="360" w:lineRule="exact"/>
              <w:jc w:val="center"/>
              <w:rPr>
                <w:rFonts w:hint="eastAsia" w:ascii="宋体" w:hAnsi="宋体"/>
                <w:color w:val="000000"/>
                <w:sz w:val="24"/>
              </w:rPr>
            </w:pPr>
          </w:p>
        </w:tc>
        <w:tc>
          <w:tcPr>
            <w:tcW w:w="1750" w:type="dxa"/>
            <w:tcBorders>
              <w:top w:val="nil"/>
              <w:left w:val="nil"/>
              <w:bottom w:val="nil"/>
              <w:right w:val="nil"/>
            </w:tcBorders>
            <w:vAlign w:val="center"/>
          </w:tcPr>
          <w:p w14:paraId="05756E35">
            <w:pPr>
              <w:spacing w:line="360" w:lineRule="exact"/>
              <w:jc w:val="center"/>
              <w:rPr>
                <w:rFonts w:hint="eastAsia" w:ascii="宋体" w:hAnsi="宋体"/>
                <w:color w:val="000000"/>
                <w:sz w:val="24"/>
              </w:rPr>
            </w:pPr>
            <w:r>
              <w:rPr>
                <w:rFonts w:ascii="宋体" w:hAnsi="宋体"/>
                <w:color w:val="000000"/>
                <w:sz w:val="24"/>
              </w:rPr>
              <w:t>承接单位</w:t>
            </w:r>
          </w:p>
        </w:tc>
        <w:tc>
          <w:tcPr>
            <w:tcW w:w="3569" w:type="dxa"/>
            <w:tcBorders>
              <w:top w:val="nil"/>
              <w:left w:val="single" w:color="000000" w:sz="4" w:space="0"/>
              <w:bottom w:val="single" w:color="000000" w:sz="4" w:space="0"/>
              <w:right w:val="single" w:color="000000" w:sz="8" w:space="0"/>
            </w:tcBorders>
            <w:vAlign w:val="center"/>
          </w:tcPr>
          <w:p w14:paraId="051196D6">
            <w:pPr>
              <w:spacing w:line="360" w:lineRule="exact"/>
              <w:jc w:val="left"/>
              <w:rPr>
                <w:rFonts w:hint="eastAsia" w:ascii="宋体" w:hAnsi="宋体"/>
                <w:color w:val="000000"/>
                <w:sz w:val="24"/>
              </w:rPr>
            </w:pPr>
          </w:p>
        </w:tc>
      </w:tr>
      <w:tr w14:paraId="62A584C5">
        <w:tblPrEx>
          <w:tblCellMar>
            <w:top w:w="0" w:type="dxa"/>
            <w:left w:w="108" w:type="dxa"/>
            <w:bottom w:w="0" w:type="dxa"/>
            <w:right w:w="108" w:type="dxa"/>
          </w:tblCellMar>
        </w:tblPrEx>
        <w:trPr>
          <w:trHeight w:val="855" w:hRule="atLeast"/>
          <w:jc w:val="center"/>
        </w:trPr>
        <w:tc>
          <w:tcPr>
            <w:tcW w:w="1712" w:type="dxa"/>
            <w:tcBorders>
              <w:top w:val="nil"/>
              <w:left w:val="single" w:color="000000" w:sz="8" w:space="0"/>
              <w:bottom w:val="single" w:color="000000" w:sz="4" w:space="0"/>
              <w:right w:val="single" w:color="000000" w:sz="4" w:space="0"/>
            </w:tcBorders>
            <w:vAlign w:val="center"/>
          </w:tcPr>
          <w:p w14:paraId="021A9663">
            <w:pPr>
              <w:spacing w:line="360" w:lineRule="exact"/>
              <w:jc w:val="center"/>
              <w:rPr>
                <w:rFonts w:hint="eastAsia" w:ascii="宋体" w:hAnsi="宋体"/>
                <w:color w:val="000000"/>
                <w:sz w:val="24"/>
              </w:rPr>
            </w:pPr>
            <w:r>
              <w:rPr>
                <w:rFonts w:ascii="宋体" w:hAnsi="宋体"/>
                <w:color w:val="000000"/>
                <w:sz w:val="24"/>
              </w:rPr>
              <w:t>合同时间</w:t>
            </w:r>
          </w:p>
        </w:tc>
        <w:tc>
          <w:tcPr>
            <w:tcW w:w="2719" w:type="dxa"/>
            <w:tcBorders>
              <w:top w:val="single" w:color="000000" w:sz="4" w:space="0"/>
              <w:left w:val="nil"/>
              <w:bottom w:val="single" w:color="000000" w:sz="4" w:space="0"/>
              <w:right w:val="single" w:color="000000" w:sz="4" w:space="0"/>
            </w:tcBorders>
            <w:vAlign w:val="center"/>
          </w:tcPr>
          <w:p w14:paraId="51080EB5">
            <w:pPr>
              <w:spacing w:line="360" w:lineRule="exact"/>
              <w:jc w:val="center"/>
              <w:rPr>
                <w:rFonts w:hint="eastAsia" w:ascii="宋体" w:hAnsi="宋体"/>
                <w:color w:val="000000"/>
                <w:sz w:val="24"/>
              </w:rPr>
            </w:pPr>
          </w:p>
        </w:tc>
        <w:tc>
          <w:tcPr>
            <w:tcW w:w="1750" w:type="dxa"/>
            <w:tcBorders>
              <w:top w:val="single" w:color="000000" w:sz="4" w:space="0"/>
              <w:left w:val="nil"/>
              <w:bottom w:val="single" w:color="000000" w:sz="4" w:space="0"/>
              <w:right w:val="single" w:color="000000" w:sz="4" w:space="0"/>
            </w:tcBorders>
            <w:vAlign w:val="center"/>
          </w:tcPr>
          <w:p w14:paraId="3D291F2E">
            <w:pPr>
              <w:spacing w:line="360" w:lineRule="exact"/>
              <w:jc w:val="center"/>
              <w:rPr>
                <w:rFonts w:hint="eastAsia" w:ascii="宋体" w:hAnsi="宋体"/>
                <w:color w:val="000000"/>
                <w:sz w:val="24"/>
              </w:rPr>
            </w:pPr>
            <w:r>
              <w:rPr>
                <w:rFonts w:ascii="宋体" w:hAnsi="宋体"/>
                <w:color w:val="000000"/>
                <w:sz w:val="24"/>
              </w:rPr>
              <w:t>项目开始时间</w:t>
            </w:r>
          </w:p>
        </w:tc>
        <w:tc>
          <w:tcPr>
            <w:tcW w:w="3569" w:type="dxa"/>
            <w:tcBorders>
              <w:top w:val="nil"/>
              <w:left w:val="nil"/>
              <w:bottom w:val="single" w:color="000000" w:sz="4" w:space="0"/>
              <w:right w:val="single" w:color="000000" w:sz="8" w:space="0"/>
            </w:tcBorders>
            <w:vAlign w:val="center"/>
          </w:tcPr>
          <w:p w14:paraId="6D9E07FE">
            <w:pPr>
              <w:spacing w:line="360" w:lineRule="exact"/>
              <w:jc w:val="center"/>
              <w:rPr>
                <w:rFonts w:hint="eastAsia" w:ascii="宋体" w:hAnsi="宋体"/>
                <w:color w:val="000000"/>
                <w:sz w:val="24"/>
              </w:rPr>
            </w:pPr>
          </w:p>
        </w:tc>
      </w:tr>
      <w:tr w14:paraId="482FC498">
        <w:tblPrEx>
          <w:tblCellMar>
            <w:top w:w="0" w:type="dxa"/>
            <w:left w:w="108" w:type="dxa"/>
            <w:bottom w:w="0" w:type="dxa"/>
            <w:right w:w="108" w:type="dxa"/>
          </w:tblCellMar>
        </w:tblPrEx>
        <w:trPr>
          <w:trHeight w:val="855" w:hRule="atLeast"/>
          <w:jc w:val="center"/>
        </w:trPr>
        <w:tc>
          <w:tcPr>
            <w:tcW w:w="1712" w:type="dxa"/>
            <w:tcBorders>
              <w:top w:val="nil"/>
              <w:left w:val="single" w:color="000000" w:sz="8" w:space="0"/>
              <w:bottom w:val="single" w:color="000000" w:sz="4" w:space="0"/>
              <w:right w:val="single" w:color="000000" w:sz="4" w:space="0"/>
            </w:tcBorders>
            <w:vAlign w:val="center"/>
          </w:tcPr>
          <w:p w14:paraId="02E3702F">
            <w:pPr>
              <w:spacing w:line="360" w:lineRule="exact"/>
              <w:jc w:val="center"/>
              <w:rPr>
                <w:rFonts w:hint="eastAsia" w:ascii="宋体" w:hAnsi="宋体"/>
                <w:color w:val="000000"/>
                <w:sz w:val="24"/>
              </w:rPr>
            </w:pPr>
            <w:r>
              <w:rPr>
                <w:rFonts w:ascii="宋体" w:hAnsi="宋体"/>
                <w:color w:val="000000"/>
                <w:sz w:val="24"/>
              </w:rPr>
              <w:t>项目结束时间</w:t>
            </w:r>
          </w:p>
        </w:tc>
        <w:tc>
          <w:tcPr>
            <w:tcW w:w="2719" w:type="dxa"/>
            <w:tcBorders>
              <w:top w:val="single" w:color="000000" w:sz="4" w:space="0"/>
              <w:left w:val="nil"/>
              <w:bottom w:val="single" w:color="000000" w:sz="4" w:space="0"/>
              <w:right w:val="single" w:color="000000" w:sz="4" w:space="0"/>
            </w:tcBorders>
            <w:vAlign w:val="center"/>
          </w:tcPr>
          <w:p w14:paraId="6A535CCA">
            <w:pPr>
              <w:spacing w:line="360" w:lineRule="exact"/>
              <w:jc w:val="center"/>
              <w:rPr>
                <w:rFonts w:hint="eastAsia" w:ascii="宋体" w:hAnsi="宋体"/>
                <w:color w:val="000000"/>
                <w:sz w:val="24"/>
              </w:rPr>
            </w:pPr>
          </w:p>
        </w:tc>
        <w:tc>
          <w:tcPr>
            <w:tcW w:w="1750" w:type="dxa"/>
            <w:tcBorders>
              <w:top w:val="nil"/>
              <w:left w:val="nil"/>
              <w:bottom w:val="single" w:color="000000" w:sz="4" w:space="0"/>
              <w:right w:val="single" w:color="000000" w:sz="4" w:space="0"/>
            </w:tcBorders>
            <w:vAlign w:val="center"/>
          </w:tcPr>
          <w:p w14:paraId="1B1BA78D">
            <w:pPr>
              <w:spacing w:line="360" w:lineRule="exact"/>
              <w:jc w:val="center"/>
              <w:rPr>
                <w:rFonts w:hint="eastAsia" w:ascii="宋体" w:hAnsi="宋体"/>
                <w:color w:val="000000"/>
                <w:sz w:val="24"/>
              </w:rPr>
            </w:pPr>
            <w:r>
              <w:rPr>
                <w:rFonts w:ascii="宋体" w:hAnsi="宋体"/>
                <w:color w:val="000000"/>
                <w:sz w:val="24"/>
              </w:rPr>
              <w:t>项目联系人</w:t>
            </w:r>
          </w:p>
        </w:tc>
        <w:tc>
          <w:tcPr>
            <w:tcW w:w="3569" w:type="dxa"/>
            <w:tcBorders>
              <w:top w:val="nil"/>
              <w:left w:val="nil"/>
              <w:bottom w:val="single" w:color="000000" w:sz="4" w:space="0"/>
              <w:right w:val="single" w:color="000000" w:sz="8" w:space="0"/>
            </w:tcBorders>
            <w:vAlign w:val="center"/>
          </w:tcPr>
          <w:p w14:paraId="0EF78180">
            <w:pPr>
              <w:spacing w:line="360" w:lineRule="exact"/>
              <w:jc w:val="center"/>
              <w:rPr>
                <w:rFonts w:hint="eastAsia" w:ascii="宋体" w:hAnsi="宋体"/>
                <w:color w:val="000000"/>
                <w:sz w:val="24"/>
              </w:rPr>
            </w:pPr>
          </w:p>
        </w:tc>
      </w:tr>
      <w:tr w14:paraId="0284E78E">
        <w:tblPrEx>
          <w:tblCellMar>
            <w:top w:w="0" w:type="dxa"/>
            <w:left w:w="108" w:type="dxa"/>
            <w:bottom w:w="0" w:type="dxa"/>
            <w:right w:w="108" w:type="dxa"/>
          </w:tblCellMar>
        </w:tblPrEx>
        <w:trPr>
          <w:trHeight w:val="1861" w:hRule="atLeast"/>
          <w:jc w:val="center"/>
        </w:trPr>
        <w:tc>
          <w:tcPr>
            <w:tcW w:w="9750" w:type="dxa"/>
            <w:gridSpan w:val="4"/>
            <w:tcBorders>
              <w:top w:val="single" w:color="000000" w:sz="4" w:space="0"/>
              <w:left w:val="single" w:color="000000" w:sz="8" w:space="0"/>
              <w:bottom w:val="single" w:color="000000" w:sz="4" w:space="0"/>
              <w:right w:val="single" w:color="000000" w:sz="8" w:space="0"/>
            </w:tcBorders>
          </w:tcPr>
          <w:p w14:paraId="6B95E4CA">
            <w:pPr>
              <w:jc w:val="center"/>
              <w:rPr>
                <w:rFonts w:hint="eastAsia" w:ascii="宋体" w:hAnsi="宋体"/>
                <w:b/>
                <w:bCs/>
                <w:color w:val="000000"/>
                <w:sz w:val="24"/>
              </w:rPr>
            </w:pPr>
            <w:r>
              <w:rPr>
                <w:rFonts w:ascii="宋体" w:hAnsi="宋体"/>
                <w:b/>
                <w:bCs/>
                <w:color w:val="000000"/>
                <w:sz w:val="24"/>
              </w:rPr>
              <w:t>验收情况和验收意见</w:t>
            </w:r>
          </w:p>
          <w:p w14:paraId="707716F6">
            <w:pPr>
              <w:rPr>
                <w:rFonts w:hint="eastAsia" w:ascii="宋体" w:hAnsi="宋体"/>
                <w:color w:val="000000"/>
                <w:sz w:val="24"/>
              </w:rPr>
            </w:pPr>
            <w:r>
              <w:rPr>
                <w:rFonts w:ascii="宋体" w:hAnsi="宋体"/>
                <w:color w:val="000000"/>
                <w:sz w:val="24"/>
              </w:rPr>
              <w:t>（可另附）</w:t>
            </w:r>
          </w:p>
          <w:p w14:paraId="23B8C5B1">
            <w:pPr>
              <w:ind w:firstLine="480"/>
              <w:rPr>
                <w:rFonts w:hint="eastAsia" w:ascii="宋体" w:hAnsi="宋体"/>
                <w:color w:val="000000"/>
                <w:sz w:val="24"/>
              </w:rPr>
            </w:pPr>
          </w:p>
        </w:tc>
      </w:tr>
      <w:tr w14:paraId="7569723A">
        <w:tblPrEx>
          <w:tblCellMar>
            <w:top w:w="0" w:type="dxa"/>
            <w:left w:w="108" w:type="dxa"/>
            <w:bottom w:w="0" w:type="dxa"/>
            <w:right w:w="108" w:type="dxa"/>
          </w:tblCellMar>
        </w:tblPrEx>
        <w:trPr>
          <w:trHeight w:val="567" w:hRule="atLeast"/>
          <w:jc w:val="center"/>
        </w:trPr>
        <w:tc>
          <w:tcPr>
            <w:tcW w:w="9750" w:type="dxa"/>
            <w:gridSpan w:val="4"/>
            <w:tcBorders>
              <w:top w:val="single" w:color="000000" w:sz="4" w:space="0"/>
              <w:left w:val="single" w:color="000000" w:sz="8" w:space="0"/>
              <w:bottom w:val="single" w:color="000000" w:sz="4" w:space="0"/>
              <w:right w:val="single" w:color="000000" w:sz="8" w:space="0"/>
            </w:tcBorders>
          </w:tcPr>
          <w:p w14:paraId="3FB3D44E">
            <w:pPr>
              <w:jc w:val="left"/>
              <w:rPr>
                <w:rFonts w:hint="eastAsia" w:ascii="宋体" w:hAnsi="宋体"/>
                <w:sz w:val="24"/>
              </w:rPr>
            </w:pPr>
            <w:r>
              <w:rPr>
                <w:rFonts w:ascii="宋体" w:hAnsi="宋体"/>
                <w:sz w:val="24"/>
              </w:rPr>
              <w:t>验收小组（签</w:t>
            </w:r>
            <w:r>
              <w:rPr>
                <w:rFonts w:hint="eastAsia" w:ascii="宋体" w:hAnsi="宋体"/>
                <w:sz w:val="24"/>
              </w:rPr>
              <w:t>名</w:t>
            </w:r>
            <w:r>
              <w:rPr>
                <w:rFonts w:ascii="宋体" w:hAnsi="宋体"/>
                <w:sz w:val="24"/>
              </w:rPr>
              <w:t>）：</w:t>
            </w:r>
          </w:p>
          <w:p w14:paraId="70E48422">
            <w:pPr>
              <w:jc w:val="left"/>
              <w:rPr>
                <w:rFonts w:hint="eastAsia" w:ascii="宋体" w:hAnsi="宋体"/>
                <w:color w:val="000000"/>
                <w:sz w:val="24"/>
              </w:rPr>
            </w:pPr>
          </w:p>
          <w:p w14:paraId="09AE0E5B">
            <w:pPr>
              <w:jc w:val="left"/>
              <w:rPr>
                <w:rFonts w:hint="eastAsia" w:ascii="宋体" w:hAnsi="宋体"/>
                <w:color w:val="000000"/>
                <w:sz w:val="24"/>
              </w:rPr>
            </w:pPr>
            <w:r>
              <w:rPr>
                <w:rFonts w:ascii="宋体" w:hAnsi="宋体"/>
                <w:color w:val="000000"/>
                <w:sz w:val="24"/>
              </w:rPr>
              <w:t>　　　　　　　                              年    月    日</w:t>
            </w:r>
          </w:p>
        </w:tc>
      </w:tr>
      <w:tr w14:paraId="67FDCD5E">
        <w:tblPrEx>
          <w:tblCellMar>
            <w:top w:w="0" w:type="dxa"/>
            <w:left w:w="108" w:type="dxa"/>
            <w:bottom w:w="0" w:type="dxa"/>
            <w:right w:w="108" w:type="dxa"/>
          </w:tblCellMar>
        </w:tblPrEx>
        <w:trPr>
          <w:trHeight w:val="567" w:hRule="atLeast"/>
          <w:jc w:val="center"/>
        </w:trPr>
        <w:tc>
          <w:tcPr>
            <w:tcW w:w="9750" w:type="dxa"/>
            <w:gridSpan w:val="4"/>
            <w:tcBorders>
              <w:top w:val="single" w:color="000000" w:sz="4" w:space="0"/>
              <w:left w:val="single" w:color="000000" w:sz="8" w:space="0"/>
              <w:bottom w:val="single" w:color="000000" w:sz="4" w:space="0"/>
              <w:right w:val="single" w:color="000000" w:sz="8" w:space="0"/>
            </w:tcBorders>
          </w:tcPr>
          <w:p w14:paraId="69500B9C">
            <w:pPr>
              <w:jc w:val="left"/>
              <w:rPr>
                <w:rFonts w:hint="eastAsia" w:ascii="宋体" w:hAnsi="宋体"/>
                <w:color w:val="000000"/>
                <w:sz w:val="24"/>
              </w:rPr>
            </w:pPr>
            <w:r>
              <w:rPr>
                <w:rFonts w:ascii="宋体" w:hAnsi="宋体"/>
                <w:color w:val="000000"/>
                <w:sz w:val="24"/>
              </w:rPr>
              <w:t>供应商确认意见（签章）：</w:t>
            </w:r>
          </w:p>
          <w:p w14:paraId="3EDA5948">
            <w:pPr>
              <w:jc w:val="left"/>
              <w:rPr>
                <w:rFonts w:hint="eastAsia" w:ascii="宋体" w:hAnsi="宋体"/>
                <w:color w:val="000000"/>
                <w:sz w:val="24"/>
              </w:rPr>
            </w:pPr>
          </w:p>
          <w:p w14:paraId="599FF16D">
            <w:pPr>
              <w:jc w:val="left"/>
              <w:rPr>
                <w:rFonts w:hint="eastAsia" w:ascii="宋体" w:hAnsi="宋体"/>
                <w:color w:val="000000"/>
                <w:sz w:val="24"/>
              </w:rPr>
            </w:pPr>
            <w:r>
              <w:rPr>
                <w:rFonts w:ascii="宋体" w:hAnsi="宋体"/>
                <w:color w:val="000000"/>
                <w:sz w:val="24"/>
              </w:rPr>
              <w:t>　　　　　　　                              年    月    日</w:t>
            </w:r>
          </w:p>
        </w:tc>
      </w:tr>
      <w:tr w14:paraId="3D4A57AE">
        <w:tblPrEx>
          <w:tblCellMar>
            <w:top w:w="0" w:type="dxa"/>
            <w:left w:w="108" w:type="dxa"/>
            <w:bottom w:w="0" w:type="dxa"/>
            <w:right w:w="108" w:type="dxa"/>
          </w:tblCellMar>
        </w:tblPrEx>
        <w:trPr>
          <w:trHeight w:val="567" w:hRule="atLeast"/>
          <w:jc w:val="center"/>
        </w:trPr>
        <w:tc>
          <w:tcPr>
            <w:tcW w:w="9750" w:type="dxa"/>
            <w:gridSpan w:val="4"/>
            <w:tcBorders>
              <w:top w:val="single" w:color="000000" w:sz="4" w:space="0"/>
              <w:left w:val="single" w:color="000000" w:sz="8" w:space="0"/>
              <w:bottom w:val="single" w:color="000000" w:sz="4" w:space="0"/>
              <w:right w:val="single" w:color="000000" w:sz="8" w:space="0"/>
            </w:tcBorders>
          </w:tcPr>
          <w:p w14:paraId="0EBC8923">
            <w:pPr>
              <w:jc w:val="left"/>
              <w:rPr>
                <w:rFonts w:hint="eastAsia" w:ascii="宋体" w:hAnsi="宋体"/>
                <w:color w:val="000000"/>
                <w:sz w:val="24"/>
              </w:rPr>
            </w:pPr>
            <w:r>
              <w:rPr>
                <w:rFonts w:ascii="宋体" w:hAnsi="宋体"/>
                <w:color w:val="000000"/>
                <w:sz w:val="24"/>
              </w:rPr>
              <w:t>采购人确认意见（签章）：</w:t>
            </w:r>
          </w:p>
          <w:p w14:paraId="71E5AC19">
            <w:pPr>
              <w:jc w:val="left"/>
              <w:rPr>
                <w:rFonts w:hint="eastAsia" w:ascii="宋体" w:hAnsi="宋体"/>
                <w:color w:val="000000"/>
                <w:sz w:val="24"/>
              </w:rPr>
            </w:pPr>
          </w:p>
          <w:p w14:paraId="1308379E">
            <w:pPr>
              <w:jc w:val="left"/>
              <w:rPr>
                <w:rFonts w:hint="eastAsia" w:ascii="宋体" w:hAnsi="宋体"/>
                <w:color w:val="000000"/>
                <w:sz w:val="24"/>
              </w:rPr>
            </w:pPr>
            <w:r>
              <w:rPr>
                <w:rFonts w:ascii="宋体" w:hAnsi="宋体"/>
                <w:color w:val="000000"/>
                <w:sz w:val="24"/>
              </w:rPr>
              <w:t>　　　　　                              年    月    日</w:t>
            </w:r>
          </w:p>
        </w:tc>
      </w:tr>
    </w:tbl>
    <w:p w14:paraId="68127949">
      <w:pPr>
        <w:pStyle w:val="123"/>
        <w:spacing w:before="120" w:after="120" w:line="520" w:lineRule="exact"/>
        <w:ind w:firstLine="420"/>
        <w:rPr>
          <w:rFonts w:hint="eastAsia" w:ascii="Calibri" w:hAnsi="宋体"/>
          <w:sz w:val="21"/>
          <w:szCs w:val="21"/>
        </w:rPr>
      </w:pPr>
    </w:p>
    <w:p w14:paraId="27C3E5E0">
      <w:pPr>
        <w:pStyle w:val="158"/>
      </w:pPr>
      <w:bookmarkStart w:id="91" w:name="_Toc498782306"/>
      <w:bookmarkStart w:id="92" w:name="_Toc9724"/>
      <w:bookmarkStart w:id="93" w:name="_Toc397928626"/>
    </w:p>
    <w:p w14:paraId="21567B9F">
      <w:pPr>
        <w:pStyle w:val="54"/>
        <w:spacing w:before="0" w:after="0" w:line="360" w:lineRule="auto"/>
      </w:pPr>
      <w:r>
        <w:rPr/>
        <w:br w:type="page" w:clear="all"/>
      </w:r>
      <w:r>
        <w:rPr>
          <w:rFonts w:hint="eastAsia"/>
        </w:rPr>
        <w:t>第五章 采购需求</w:t>
      </w:r>
      <w:bookmarkEnd w:id="91"/>
      <w:bookmarkEnd w:id="92"/>
      <w:bookmarkEnd w:id="93"/>
      <w:bookmarkStart w:id="94" w:name="_Toc397928630"/>
      <w:bookmarkStart w:id="95" w:name="_Toc498782316"/>
      <w:bookmarkStart w:id="96" w:name="_Toc7525"/>
    </w:p>
    <w:p w14:paraId="353969B0">
      <w:pPr>
        <w:keepNext/>
        <w:keepLines/>
        <w:adjustRightInd w:val="0"/>
        <w:snapToGrid w:val="0"/>
        <w:spacing w:line="360" w:lineRule="auto"/>
        <w:outlineLvl w:val="1"/>
        <w:rPr>
          <w:rFonts w:hint="eastAsia" w:ascii="宋体" w:hAnsi="宋体" w:cs="宋体"/>
          <w:b/>
          <w:bCs/>
          <w:kern w:val="2"/>
          <w:sz w:val="24"/>
        </w:rPr>
      </w:pPr>
      <w:bookmarkStart w:id="97" w:name="_Hlk167271258"/>
      <w:r>
        <w:rPr>
          <w:rFonts w:ascii="宋体" w:hAnsi="宋体" w:cs="宋体"/>
          <w:b/>
          <w:bCs/>
          <w:kern w:val="2"/>
          <w:sz w:val="24"/>
        </w:rPr>
        <w:t>1</w:t>
      </w:r>
      <w:r>
        <w:rPr>
          <w:rFonts w:hint="eastAsia" w:ascii="宋体" w:hAnsi="宋体" w:cs="宋体"/>
          <w:b/>
          <w:bCs/>
          <w:kern w:val="2"/>
          <w:sz w:val="24"/>
        </w:rPr>
        <w:t>、</w:t>
      </w:r>
      <w:r>
        <w:rPr>
          <w:rFonts w:ascii="宋体" w:hAnsi="宋体" w:cs="宋体"/>
          <w:b/>
          <w:bCs/>
          <w:kern w:val="2"/>
          <w:sz w:val="24"/>
        </w:rPr>
        <w:t>项目概况</w:t>
      </w:r>
    </w:p>
    <w:p w14:paraId="4271158B">
      <w:pPr>
        <w:adjustRightInd w:val="0"/>
        <w:snapToGrid w:val="0"/>
        <w:spacing w:line="360" w:lineRule="auto"/>
        <w:ind w:firstLine="480" w:firstLineChars="200"/>
        <w:rPr>
          <w:rFonts w:hint="eastAsia" w:ascii="宋体" w:hAnsi="宋体" w:cstheme="minorBidi"/>
          <w:color w:val="000000"/>
          <w:kern w:val="2"/>
          <w:sz w:val="24"/>
          <w:szCs w:val="22"/>
        </w:rPr>
      </w:pPr>
      <w:r>
        <w:rPr>
          <w:rFonts w:asciiTheme="minorHAnsi" w:hAnsiTheme="minorHAnsi" w:cstheme="minorBidi"/>
          <w:kern w:val="2"/>
          <w:sz w:val="24"/>
          <w:szCs w:val="22"/>
        </w:rPr>
        <w:t>为保证</w:t>
      </w:r>
      <w:r>
        <w:rPr>
          <w:rFonts w:hint="eastAsia" w:asciiTheme="minorHAnsi" w:hAnsiTheme="minorHAnsi" w:cstheme="minorBidi"/>
          <w:kern w:val="2"/>
          <w:sz w:val="24"/>
          <w:szCs w:val="22"/>
        </w:rPr>
        <w:t>江苏大丰港经济开发区园区环境</w:t>
      </w:r>
      <w:r>
        <w:rPr>
          <w:rFonts w:asciiTheme="minorHAnsi" w:hAnsiTheme="minorHAnsi" w:cstheme="minorBidi"/>
          <w:kern w:val="2"/>
          <w:sz w:val="24"/>
          <w:szCs w:val="22"/>
        </w:rPr>
        <w:t>空气</w:t>
      </w:r>
      <w:r>
        <w:rPr>
          <w:rFonts w:hint="eastAsia" w:asciiTheme="minorHAnsi" w:hAnsiTheme="minorHAnsi" w:cstheme="minorBidi"/>
          <w:kern w:val="2"/>
          <w:sz w:val="24"/>
          <w:szCs w:val="22"/>
        </w:rPr>
        <w:t>和水质</w:t>
      </w:r>
      <w:r>
        <w:rPr>
          <w:rFonts w:asciiTheme="minorHAnsi" w:hAnsiTheme="minorHAnsi" w:cstheme="minorBidi"/>
          <w:kern w:val="2"/>
          <w:sz w:val="24"/>
          <w:szCs w:val="22"/>
        </w:rPr>
        <w:t>自动监测系统高质量的运行，确保自动监测仪器的维护、管理工作高效规范，按照《HJ817-2018 环境空气颗粒物（PM</w:t>
      </w:r>
      <w:r>
        <w:rPr>
          <w:rFonts w:asciiTheme="minorHAnsi" w:hAnsiTheme="minorHAnsi" w:cstheme="minorBidi"/>
          <w:kern w:val="2"/>
          <w:sz w:val="24"/>
          <w:szCs w:val="22"/>
          <w:vertAlign w:val="subscript"/>
        </w:rPr>
        <w:t>10</w:t>
      </w:r>
      <w:r>
        <w:rPr>
          <w:rFonts w:asciiTheme="minorHAnsi" w:hAnsiTheme="minorHAnsi" w:cstheme="minorBidi"/>
          <w:kern w:val="2"/>
          <w:sz w:val="24"/>
          <w:szCs w:val="22"/>
        </w:rPr>
        <w:t xml:space="preserve"> 和PM</w:t>
      </w:r>
      <w:r>
        <w:rPr>
          <w:rFonts w:asciiTheme="minorHAnsi" w:hAnsiTheme="minorHAnsi" w:cstheme="minorBidi"/>
          <w:kern w:val="2"/>
          <w:sz w:val="24"/>
          <w:szCs w:val="22"/>
          <w:vertAlign w:val="subscript"/>
        </w:rPr>
        <w:t>2.5</w:t>
      </w:r>
      <w:r>
        <w:rPr>
          <w:rFonts w:asciiTheme="minorHAnsi" w:hAnsiTheme="minorHAnsi" w:cstheme="minorBidi"/>
          <w:kern w:val="2"/>
          <w:sz w:val="24"/>
          <w:szCs w:val="22"/>
        </w:rPr>
        <w:t>） 连续自动监测系统运行和质控技术规范》、《HJ818-2018 环境空气气态污染物（SO</w:t>
      </w:r>
      <w:r>
        <w:rPr>
          <w:rFonts w:asciiTheme="minorHAnsi" w:hAnsiTheme="minorHAnsi" w:cstheme="minorBidi"/>
          <w:kern w:val="2"/>
          <w:sz w:val="24"/>
          <w:szCs w:val="22"/>
          <w:vertAlign w:val="subscript"/>
        </w:rPr>
        <w:t>2</w:t>
      </w:r>
      <w:r>
        <w:rPr>
          <w:rFonts w:asciiTheme="minorHAnsi" w:hAnsiTheme="minorHAnsi" w:cstheme="minorBidi"/>
          <w:kern w:val="2"/>
          <w:sz w:val="24"/>
          <w:szCs w:val="22"/>
        </w:rPr>
        <w:t>、NO</w:t>
      </w:r>
      <w:r>
        <w:rPr>
          <w:rFonts w:asciiTheme="minorHAnsi" w:hAnsiTheme="minorHAnsi" w:cstheme="minorBidi"/>
          <w:kern w:val="2"/>
          <w:sz w:val="24"/>
          <w:szCs w:val="22"/>
          <w:vertAlign w:val="subscript"/>
        </w:rPr>
        <w:t>2</w:t>
      </w:r>
      <w:r>
        <w:rPr>
          <w:rFonts w:asciiTheme="minorHAnsi" w:hAnsiTheme="minorHAnsi" w:cstheme="minorBidi"/>
          <w:kern w:val="2"/>
          <w:sz w:val="24"/>
          <w:szCs w:val="22"/>
        </w:rPr>
        <w:t>、O</w:t>
      </w:r>
      <w:r>
        <w:rPr>
          <w:rFonts w:asciiTheme="minorHAnsi" w:hAnsiTheme="minorHAnsi" w:cstheme="minorBidi"/>
          <w:kern w:val="2"/>
          <w:sz w:val="24"/>
          <w:szCs w:val="22"/>
          <w:vertAlign w:val="subscript"/>
        </w:rPr>
        <w:t>3</w:t>
      </w:r>
      <w:r>
        <w:rPr>
          <w:rFonts w:asciiTheme="minorHAnsi" w:hAnsiTheme="minorHAnsi" w:cstheme="minorBidi"/>
          <w:kern w:val="2"/>
          <w:sz w:val="24"/>
          <w:szCs w:val="22"/>
        </w:rPr>
        <w:t>、CO）连续自动监测系统运行和质控技术规范》</w:t>
      </w:r>
      <w:r>
        <w:rPr>
          <w:rFonts w:hint="eastAsia" w:asciiTheme="minorHAnsi" w:hAnsiTheme="minorHAnsi" w:cstheme="minorBidi"/>
          <w:kern w:val="2"/>
          <w:sz w:val="24"/>
          <w:szCs w:val="22"/>
        </w:rPr>
        <w:t>、</w:t>
      </w:r>
      <w:r>
        <w:rPr>
          <w:rFonts w:hint="eastAsia" w:ascii="宋体" w:hAnsi="宋体" w:cstheme="minorBidi"/>
          <w:kern w:val="2"/>
          <w:sz w:val="24"/>
          <w:szCs w:val="22"/>
          <w:shd w:val="clear" w:color="auto" w:fill="FFFFFF"/>
        </w:rPr>
        <w:t>《国家环境空气监测网环境空气挥发性有机物连续自动监测质量控制技术规定(试行)》、</w:t>
      </w:r>
      <w:r>
        <w:rPr>
          <w:rFonts w:asciiTheme="minorHAnsi" w:hAnsiTheme="minorHAnsi" w:cstheme="minorBidi"/>
          <w:kern w:val="2"/>
          <w:sz w:val="24"/>
          <w:szCs w:val="22"/>
        </w:rPr>
        <w:t>《江苏省环境水质（地表水）自动监测预警系统运行管理办法（试行）》</w:t>
      </w:r>
      <w:r>
        <w:rPr>
          <w:rFonts w:hint="eastAsia" w:asciiTheme="minorHAnsi" w:hAnsiTheme="minorHAnsi" w:cstheme="minorBidi"/>
          <w:kern w:val="2"/>
          <w:sz w:val="24"/>
          <w:szCs w:val="22"/>
        </w:rPr>
        <w:t>、</w:t>
      </w:r>
      <w:r>
        <w:rPr>
          <w:rFonts w:asciiTheme="minorHAnsi" w:hAnsiTheme="minorHAnsi" w:cstheme="minorBidi"/>
          <w:kern w:val="2"/>
          <w:sz w:val="24"/>
          <w:szCs w:val="22"/>
        </w:rPr>
        <w:t>《江苏省水质自动监测质量管理暂行规定》</w:t>
      </w:r>
      <w:r>
        <w:rPr>
          <w:rFonts w:hint="eastAsia" w:ascii="宋体" w:hAnsi="宋体" w:cstheme="minorBidi"/>
          <w:kern w:val="2"/>
          <w:sz w:val="24"/>
          <w:szCs w:val="22"/>
          <w:lang w:val="zh-CN"/>
        </w:rPr>
        <w:t>及《环境监测数据弄虚作假行为判定及处理办法》</w:t>
      </w:r>
      <w:r>
        <w:rPr>
          <w:rFonts w:hint="eastAsia" w:ascii="宋体" w:hAnsi="宋体" w:cstheme="minorBidi"/>
          <w:color w:val="000000"/>
          <w:kern w:val="2"/>
          <w:sz w:val="24"/>
          <w:szCs w:val="22"/>
        </w:rPr>
        <w:t>的有关要求，完成对园区环境空气、地表水自动监测子站监测仪器、气象仪器、质控设备、数据采集与传输设备、辅助设备、防雷等基础设施的日常维护、质量控制、故障维修、年度检修、应急、站房管理与维护、数据审核等工作。</w:t>
      </w:r>
    </w:p>
    <w:p w14:paraId="3F70E88F">
      <w:pPr>
        <w:adjustRightInd w:val="0"/>
        <w:snapToGrid w:val="0"/>
        <w:spacing w:line="360" w:lineRule="auto"/>
        <w:ind w:firstLine="482" w:firstLineChars="200"/>
        <w:rPr>
          <w:rFonts w:hint="eastAsia" w:asciiTheme="minorHAnsi" w:hAnsiTheme="minorHAnsi" w:cstheme="minorBidi"/>
          <w:b/>
          <w:bCs/>
          <w:kern w:val="2"/>
          <w:sz w:val="24"/>
          <w:szCs w:val="22"/>
        </w:rPr>
      </w:pPr>
      <w:bookmarkStart w:id="98" w:name="OLE_LINK9"/>
      <w:r>
        <w:rPr>
          <w:rFonts w:hint="eastAsia" w:ascii="宋体" w:hAnsi="宋体" w:cstheme="minorBidi"/>
          <w:b/>
          <w:bCs/>
          <w:kern w:val="2"/>
          <w:sz w:val="24"/>
          <w:szCs w:val="22"/>
        </w:rPr>
        <w:t>★</w:t>
      </w:r>
      <w:bookmarkEnd w:id="98"/>
      <w:r>
        <w:rPr>
          <w:rFonts w:asciiTheme="minorHAnsi" w:hAnsiTheme="minorHAnsi" w:cstheme="minorBidi"/>
          <w:b/>
          <w:bCs/>
          <w:kern w:val="2"/>
          <w:sz w:val="24"/>
          <w:szCs w:val="22"/>
        </w:rPr>
        <w:t>本项目不接受因</w:t>
      </w:r>
      <w:r>
        <w:rPr>
          <w:rFonts w:hint="eastAsia" w:asciiTheme="minorHAnsi" w:hAnsiTheme="minorHAnsi" w:cstheme="minorBidi"/>
          <w:b/>
          <w:bCs/>
          <w:kern w:val="2"/>
          <w:sz w:val="24"/>
          <w:szCs w:val="22"/>
        </w:rPr>
        <w:t>环境</w:t>
      </w:r>
      <w:r>
        <w:rPr>
          <w:rFonts w:asciiTheme="minorHAnsi" w:hAnsiTheme="minorHAnsi" w:cstheme="minorBidi"/>
          <w:b/>
          <w:bCs/>
          <w:kern w:val="2"/>
          <w:sz w:val="24"/>
          <w:szCs w:val="22"/>
        </w:rPr>
        <w:t>监测子站</w:t>
      </w:r>
      <w:r>
        <w:rPr>
          <w:rFonts w:hint="eastAsia" w:asciiTheme="minorHAnsi" w:hAnsiTheme="minorHAnsi" w:cstheme="minorBidi"/>
          <w:b/>
          <w:bCs/>
          <w:kern w:val="2"/>
          <w:sz w:val="24"/>
          <w:szCs w:val="22"/>
        </w:rPr>
        <w:t>运维</w:t>
      </w:r>
      <w:r>
        <w:rPr>
          <w:rFonts w:asciiTheme="minorHAnsi" w:hAnsiTheme="minorHAnsi" w:cstheme="minorBidi"/>
          <w:b/>
          <w:bCs/>
          <w:kern w:val="2"/>
          <w:sz w:val="24"/>
          <w:szCs w:val="22"/>
        </w:rPr>
        <w:t>工作受到环保主管部门通报批评或处罚的供应商参与</w:t>
      </w:r>
      <w:r>
        <w:rPr>
          <w:rFonts w:hint="eastAsia" w:asciiTheme="minorHAnsi" w:hAnsiTheme="minorHAnsi" w:cstheme="minorBidi"/>
          <w:b/>
          <w:bCs/>
          <w:kern w:val="2"/>
          <w:sz w:val="24"/>
          <w:szCs w:val="22"/>
        </w:rPr>
        <w:t>投标</w:t>
      </w:r>
      <w:r>
        <w:rPr>
          <w:rFonts w:asciiTheme="minorHAnsi" w:hAnsiTheme="minorHAnsi" w:cstheme="minorBidi"/>
          <w:b/>
          <w:bCs/>
          <w:kern w:val="2"/>
          <w:sz w:val="24"/>
          <w:szCs w:val="22"/>
        </w:rPr>
        <w:t>，</w:t>
      </w:r>
      <w:r>
        <w:rPr>
          <w:rFonts w:hint="eastAsia" w:asciiTheme="minorHAnsi" w:hAnsiTheme="minorHAnsi" w:cstheme="minorBidi"/>
          <w:b/>
          <w:bCs/>
          <w:kern w:val="2"/>
          <w:sz w:val="24"/>
          <w:szCs w:val="22"/>
        </w:rPr>
        <w:t>投标</w:t>
      </w:r>
      <w:r>
        <w:rPr>
          <w:rFonts w:asciiTheme="minorHAnsi" w:hAnsiTheme="minorHAnsi" w:cstheme="minorBidi"/>
          <w:b/>
          <w:bCs/>
          <w:kern w:val="2"/>
          <w:sz w:val="24"/>
          <w:szCs w:val="22"/>
        </w:rPr>
        <w:t>文件中提供承诺函（加盖公章，格式自拟）。</w:t>
      </w:r>
    </w:p>
    <w:p w14:paraId="48C2C742">
      <w:pPr>
        <w:keepNext/>
        <w:keepLines/>
        <w:adjustRightInd w:val="0"/>
        <w:snapToGrid w:val="0"/>
        <w:spacing w:line="360" w:lineRule="auto"/>
        <w:outlineLvl w:val="1"/>
        <w:rPr>
          <w:rFonts w:hint="eastAsia" w:ascii="宋体" w:hAnsi="宋体" w:cs="宋体"/>
          <w:b/>
          <w:bCs/>
          <w:kern w:val="2"/>
          <w:sz w:val="24"/>
        </w:rPr>
      </w:pPr>
      <w:r>
        <w:rPr>
          <w:rFonts w:ascii="宋体" w:hAnsi="宋体" w:cs="宋体"/>
          <w:b/>
          <w:bCs/>
          <w:kern w:val="2"/>
          <w:sz w:val="24"/>
        </w:rPr>
        <w:t>2</w:t>
      </w:r>
      <w:r>
        <w:rPr>
          <w:rFonts w:hint="eastAsia" w:ascii="宋体" w:hAnsi="宋体" w:cs="宋体"/>
          <w:b/>
          <w:bCs/>
          <w:kern w:val="2"/>
          <w:sz w:val="24"/>
        </w:rPr>
        <w:t>、运维服务内容</w:t>
      </w:r>
    </w:p>
    <w:p w14:paraId="03E15C44">
      <w:pPr>
        <w:keepNext/>
        <w:keepLines/>
        <w:adjustRightInd w:val="0"/>
        <w:snapToGrid w:val="0"/>
        <w:spacing w:line="360" w:lineRule="auto"/>
        <w:outlineLvl w:val="2"/>
        <w:rPr>
          <w:rFonts w:hint="eastAsia" w:ascii="宋体" w:hAnsi="宋体" w:cs="宋体"/>
          <w:b/>
          <w:bCs/>
          <w:kern w:val="2"/>
          <w:sz w:val="24"/>
        </w:rPr>
      </w:pPr>
      <w:r>
        <w:rPr>
          <w:rFonts w:ascii="宋体" w:hAnsi="宋体" w:cs="宋体"/>
          <w:b/>
          <w:bCs/>
          <w:kern w:val="2"/>
          <w:sz w:val="24"/>
        </w:rPr>
        <w:t>2.1</w:t>
      </w:r>
      <w:r>
        <w:rPr>
          <w:rFonts w:hint="eastAsia" w:ascii="宋体" w:hAnsi="宋体" w:cs="宋体"/>
          <w:b/>
          <w:bCs/>
          <w:kern w:val="2"/>
          <w:sz w:val="24"/>
        </w:rPr>
        <w:t>运维设备清单</w:t>
      </w:r>
    </w:p>
    <w:p w14:paraId="5B60562C">
      <w:pPr>
        <w:adjustRightInd w:val="0"/>
        <w:snapToGrid w:val="0"/>
        <w:spacing w:line="360" w:lineRule="auto"/>
        <w:ind w:firstLine="480" w:firstLineChars="200"/>
        <w:rPr>
          <w:rFonts w:hint="eastAsia" w:ascii="宋体" w:hAnsi="宋体" w:cs="仿宋"/>
          <w:kern w:val="2"/>
          <w:sz w:val="24"/>
          <w:szCs w:val="21"/>
        </w:rPr>
      </w:pPr>
      <w:r>
        <w:rPr>
          <w:rFonts w:hint="eastAsia" w:ascii="宋体" w:hAnsi="宋体" w:cs="仿宋"/>
          <w:kern w:val="2"/>
          <w:sz w:val="24"/>
          <w:szCs w:val="21"/>
        </w:rPr>
        <w:t>园区现有3套园区边界站，3套超级气站，8套恶臭监测站，53套微型空气站和4套水站。</w:t>
      </w:r>
    </w:p>
    <w:p w14:paraId="46094C4F">
      <w:pPr>
        <w:keepNext/>
        <w:keepLines/>
        <w:adjustRightInd w:val="0"/>
        <w:snapToGrid w:val="0"/>
        <w:spacing w:line="500" w:lineRule="exact"/>
        <w:outlineLvl w:val="2"/>
        <w:rPr>
          <w:rFonts w:hint="eastAsia" w:ascii="宋体" w:hAnsi="宋体" w:cs="宋体"/>
          <w:b/>
          <w:bCs/>
          <w:kern w:val="2"/>
          <w:szCs w:val="21"/>
        </w:rPr>
      </w:pPr>
      <w:r>
        <w:rPr>
          <w:rFonts w:hint="eastAsia" w:ascii="宋体" w:hAnsi="宋体" w:cs="宋体"/>
          <w:b/>
          <w:bCs/>
          <w:kern w:val="2"/>
          <w:szCs w:val="21"/>
        </w:rPr>
        <w:t>2.2质控要求</w:t>
      </w:r>
    </w:p>
    <w:p w14:paraId="320CFCE2">
      <w:pPr>
        <w:adjustRightInd w:val="0"/>
        <w:snapToGrid w:val="0"/>
        <w:spacing w:line="500" w:lineRule="exact"/>
        <w:ind w:firstLine="482"/>
        <w:rPr>
          <w:rFonts w:hint="eastAsia" w:ascii="宋体" w:hAnsi="宋体" w:cs="宋体"/>
          <w:color w:val="FF0000"/>
          <w:kern w:val="2"/>
          <w:szCs w:val="21"/>
        </w:rPr>
      </w:pPr>
      <w:r>
        <w:rPr>
          <w:rFonts w:hint="eastAsia" w:ascii="宋体" w:hAnsi="宋体" w:cs="宋体"/>
          <w:kern w:val="2"/>
          <w:szCs w:val="21"/>
        </w:rPr>
        <w:t>2.2.1供</w:t>
      </w:r>
      <w:r>
        <w:rPr>
          <w:rFonts w:hint="eastAsia" w:ascii="宋体" w:hAnsi="宋体" w:cs="宋体"/>
          <w:color w:val="FF0000"/>
          <w:kern w:val="2"/>
          <w:szCs w:val="21"/>
        </w:rPr>
        <w:t>应商需建设质控体系，运维人员开展运维工作时须配备专用工具（包括便携式脑、万用表、远程教据查询系统等）和通讯调试工具（包括各种硬件接口线、改线工具、接口调试软件及常用零部件等）及检测设备，投标时提供承诺书，格式自拟。</w:t>
      </w:r>
    </w:p>
    <w:p w14:paraId="362A585F">
      <w:pPr>
        <w:spacing w:line="500" w:lineRule="exact"/>
        <w:ind w:firstLine="482"/>
      </w:pPr>
      <w:r>
        <w:rPr>
          <w:rFonts w:hint="eastAsia"/>
        </w:rPr>
        <w:t>2.2.2拟派本项目技术人员、车辆最低配置要求：</w:t>
      </w:r>
    </w:p>
    <w:tbl>
      <w:tblPr>
        <w:tblStyle w:val="36"/>
        <w:tblW w:w="90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17"/>
        <w:gridCol w:w="1266"/>
        <w:gridCol w:w="5855"/>
      </w:tblGrid>
      <w:tr w14:paraId="6AE61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jc w:val="center"/>
        </w:trPr>
        <w:tc>
          <w:tcPr>
            <w:tcW w:w="1917" w:type="dxa"/>
            <w:vAlign w:val="center"/>
          </w:tcPr>
          <w:p w14:paraId="10A1EABF">
            <w:pPr>
              <w:spacing w:line="360" w:lineRule="auto"/>
              <w:jc w:val="center"/>
              <w:rPr>
                <w:rFonts w:hint="eastAsia" w:ascii="宋体" w:hAnsi="宋体"/>
              </w:rPr>
            </w:pPr>
            <w:r>
              <w:rPr>
                <w:rFonts w:hint="eastAsia" w:ascii="宋体" w:hAnsi="宋体"/>
              </w:rPr>
              <w:t>拟任岗位</w:t>
            </w:r>
          </w:p>
        </w:tc>
        <w:tc>
          <w:tcPr>
            <w:tcW w:w="1266" w:type="dxa"/>
            <w:vAlign w:val="center"/>
          </w:tcPr>
          <w:p w14:paraId="2EB76CEA">
            <w:pPr>
              <w:spacing w:line="360" w:lineRule="auto"/>
              <w:jc w:val="center"/>
              <w:rPr>
                <w:rFonts w:hint="eastAsia" w:ascii="宋体" w:hAnsi="宋体"/>
              </w:rPr>
            </w:pPr>
            <w:r>
              <w:rPr>
                <w:rFonts w:hint="eastAsia" w:ascii="宋体" w:hAnsi="宋体"/>
              </w:rPr>
              <w:t>数量</w:t>
            </w:r>
          </w:p>
        </w:tc>
        <w:tc>
          <w:tcPr>
            <w:tcW w:w="5855" w:type="dxa"/>
            <w:vAlign w:val="center"/>
          </w:tcPr>
          <w:p w14:paraId="4DDA2A71">
            <w:pPr>
              <w:spacing w:line="360" w:lineRule="auto"/>
              <w:ind w:firstLine="480"/>
              <w:jc w:val="center"/>
              <w:rPr>
                <w:rFonts w:hint="eastAsia" w:ascii="宋体" w:hAnsi="宋体"/>
              </w:rPr>
            </w:pPr>
            <w:r>
              <w:rPr>
                <w:rFonts w:hint="eastAsia" w:ascii="宋体" w:hAnsi="宋体"/>
              </w:rPr>
              <w:t>要求</w:t>
            </w:r>
          </w:p>
        </w:tc>
      </w:tr>
      <w:tr w14:paraId="4EE06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5" w:hRule="atLeast"/>
          <w:jc w:val="center"/>
        </w:trPr>
        <w:tc>
          <w:tcPr>
            <w:tcW w:w="1917" w:type="dxa"/>
            <w:vAlign w:val="center"/>
          </w:tcPr>
          <w:p w14:paraId="18F38F93">
            <w:pPr>
              <w:spacing w:line="360" w:lineRule="auto"/>
              <w:jc w:val="center"/>
              <w:rPr>
                <w:rFonts w:hint="eastAsia" w:ascii="宋体" w:hAnsi="宋体"/>
                <w:szCs w:val="21"/>
              </w:rPr>
            </w:pPr>
            <w:r>
              <w:rPr>
                <w:rFonts w:hint="eastAsia" w:ascii="宋体" w:hAnsi="宋体"/>
                <w:szCs w:val="21"/>
              </w:rPr>
              <w:t>项目负责人</w:t>
            </w:r>
          </w:p>
        </w:tc>
        <w:tc>
          <w:tcPr>
            <w:tcW w:w="1266" w:type="dxa"/>
            <w:vAlign w:val="center"/>
          </w:tcPr>
          <w:p w14:paraId="52D7B692">
            <w:pPr>
              <w:spacing w:line="360" w:lineRule="auto"/>
              <w:jc w:val="center"/>
              <w:rPr>
                <w:rFonts w:hint="eastAsia" w:ascii="宋体" w:hAnsi="宋体"/>
                <w:szCs w:val="21"/>
              </w:rPr>
            </w:pPr>
            <w:r>
              <w:rPr>
                <w:rFonts w:hint="eastAsia" w:ascii="宋体" w:hAnsi="宋体"/>
                <w:szCs w:val="21"/>
              </w:rPr>
              <w:t>1人</w:t>
            </w:r>
          </w:p>
        </w:tc>
        <w:tc>
          <w:tcPr>
            <w:tcW w:w="5855" w:type="dxa"/>
            <w:vAlign w:val="center"/>
          </w:tcPr>
          <w:p w14:paraId="3883D369">
            <w:pPr>
              <w:spacing w:line="360" w:lineRule="auto"/>
              <w:rPr>
                <w:color w:val="000000"/>
                <w:szCs w:val="21"/>
              </w:rPr>
            </w:pPr>
            <w:r>
              <w:rPr>
                <w:color w:val="000000"/>
                <w:szCs w:val="21"/>
              </w:rPr>
              <w:t>负责项目整体进度的把控及人员安排</w:t>
            </w:r>
          </w:p>
          <w:p w14:paraId="34522ADA">
            <w:pPr>
              <w:spacing w:line="360" w:lineRule="auto"/>
              <w:rPr>
                <w:rFonts w:hint="eastAsia" w:ascii="宋体" w:hAnsi="宋体"/>
                <w:szCs w:val="21"/>
              </w:rPr>
            </w:pPr>
            <w:bookmarkStart w:id="99" w:name="OLE_LINK6"/>
            <w:r>
              <w:rPr>
                <w:rFonts w:hint="eastAsia" w:ascii="宋体" w:hAnsi="宋体" w:cs="宋体"/>
                <w:bCs/>
                <w:szCs w:val="21"/>
              </w:rPr>
              <w:t>应持有省级及以上生态环境主管部门或其管理的行业协（学）会颁发的运维上岗证或培训证书</w:t>
            </w:r>
            <w:bookmarkEnd w:id="99"/>
          </w:p>
        </w:tc>
      </w:tr>
      <w:tr w14:paraId="6AAF7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5" w:hRule="atLeast"/>
          <w:jc w:val="center"/>
        </w:trPr>
        <w:tc>
          <w:tcPr>
            <w:tcW w:w="1917" w:type="dxa"/>
            <w:vAlign w:val="center"/>
          </w:tcPr>
          <w:p w14:paraId="10FD7B75">
            <w:pPr>
              <w:spacing w:line="360" w:lineRule="auto"/>
              <w:jc w:val="center"/>
              <w:rPr>
                <w:rFonts w:hint="eastAsia" w:ascii="宋体" w:hAnsi="宋体"/>
                <w:szCs w:val="21"/>
              </w:rPr>
            </w:pPr>
            <w:r>
              <w:rPr>
                <w:rFonts w:hint="eastAsia" w:ascii="宋体" w:hAnsi="宋体"/>
                <w:szCs w:val="21"/>
              </w:rPr>
              <w:t>气站运维人员</w:t>
            </w:r>
          </w:p>
        </w:tc>
        <w:tc>
          <w:tcPr>
            <w:tcW w:w="1266" w:type="dxa"/>
            <w:vAlign w:val="center"/>
          </w:tcPr>
          <w:p w14:paraId="6775E522">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3人</w:t>
            </w:r>
          </w:p>
        </w:tc>
        <w:tc>
          <w:tcPr>
            <w:tcW w:w="5855" w:type="dxa"/>
            <w:vAlign w:val="center"/>
          </w:tcPr>
          <w:p w14:paraId="30E43AF2">
            <w:pPr>
              <w:spacing w:line="360" w:lineRule="auto"/>
              <w:rPr>
                <w:rFonts w:hint="eastAsia" w:ascii="宋体" w:hAnsi="宋体"/>
                <w:szCs w:val="21"/>
              </w:rPr>
            </w:pPr>
            <w:bookmarkStart w:id="100" w:name="OLE_LINK8"/>
            <w:r>
              <w:rPr>
                <w:color w:val="000000"/>
                <w:szCs w:val="21"/>
              </w:rPr>
              <w:t>从事</w:t>
            </w:r>
            <w:r>
              <w:rPr>
                <w:rFonts w:hint="eastAsia"/>
                <w:color w:val="000000"/>
                <w:szCs w:val="21"/>
              </w:rPr>
              <w:t>环境空气</w:t>
            </w:r>
            <w:r>
              <w:rPr>
                <w:color w:val="000000"/>
                <w:szCs w:val="21"/>
              </w:rPr>
              <w:t>自动监测系统的日常运行和维护</w:t>
            </w:r>
            <w:r>
              <w:rPr>
                <w:rFonts w:hint="eastAsia"/>
                <w:color w:val="000000"/>
                <w:szCs w:val="21"/>
              </w:rPr>
              <w:t>，</w:t>
            </w:r>
            <w:r>
              <w:rPr>
                <w:rFonts w:hint="eastAsia" w:ascii="宋体" w:hAnsi="宋体" w:cs="宋体"/>
                <w:bCs/>
                <w:szCs w:val="21"/>
              </w:rPr>
              <w:t>应持有省级及以上生态环境主管部门或其管理的行业协（学）会颁发的运维上岗证或培训证书</w:t>
            </w:r>
            <w:bookmarkEnd w:id="100"/>
          </w:p>
        </w:tc>
      </w:tr>
      <w:tr w14:paraId="276C5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5" w:hRule="atLeast"/>
          <w:jc w:val="center"/>
        </w:trPr>
        <w:tc>
          <w:tcPr>
            <w:tcW w:w="1917" w:type="dxa"/>
            <w:vAlign w:val="center"/>
          </w:tcPr>
          <w:p w14:paraId="690283D5">
            <w:pPr>
              <w:spacing w:line="360" w:lineRule="auto"/>
              <w:jc w:val="center"/>
              <w:rPr>
                <w:rFonts w:hint="eastAsia" w:ascii="宋体" w:hAnsi="宋体"/>
                <w:szCs w:val="21"/>
              </w:rPr>
            </w:pPr>
            <w:r>
              <w:rPr>
                <w:rFonts w:hint="eastAsia" w:ascii="宋体" w:hAnsi="宋体"/>
                <w:szCs w:val="21"/>
              </w:rPr>
              <w:t>水站运维人员</w:t>
            </w:r>
          </w:p>
        </w:tc>
        <w:tc>
          <w:tcPr>
            <w:tcW w:w="1266" w:type="dxa"/>
            <w:vAlign w:val="center"/>
          </w:tcPr>
          <w:p w14:paraId="208870AD">
            <w:pPr>
              <w:spacing w:line="360" w:lineRule="auto"/>
              <w:ind w:firstLine="174" w:firstLineChars="83"/>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1人</w:t>
            </w:r>
          </w:p>
        </w:tc>
        <w:tc>
          <w:tcPr>
            <w:tcW w:w="5855" w:type="dxa"/>
            <w:vAlign w:val="center"/>
          </w:tcPr>
          <w:p w14:paraId="2D575EB6">
            <w:pPr>
              <w:spacing w:line="360" w:lineRule="auto"/>
              <w:rPr>
                <w:color w:val="000000"/>
                <w:szCs w:val="21"/>
              </w:rPr>
            </w:pPr>
            <w:r>
              <w:rPr>
                <w:color w:val="000000"/>
                <w:szCs w:val="21"/>
              </w:rPr>
              <w:t>从事</w:t>
            </w:r>
            <w:r>
              <w:rPr>
                <w:rFonts w:hint="eastAsia"/>
                <w:color w:val="000000"/>
                <w:szCs w:val="21"/>
              </w:rPr>
              <w:t>环境水质</w:t>
            </w:r>
            <w:r>
              <w:rPr>
                <w:color w:val="000000"/>
                <w:szCs w:val="21"/>
              </w:rPr>
              <w:t>自动监测系统的日常运行和维护</w:t>
            </w:r>
            <w:r>
              <w:rPr>
                <w:rFonts w:hint="eastAsia"/>
                <w:color w:val="000000"/>
                <w:szCs w:val="21"/>
              </w:rPr>
              <w:t>，</w:t>
            </w:r>
            <w:r>
              <w:rPr>
                <w:rFonts w:hint="eastAsia" w:ascii="宋体" w:hAnsi="宋体" w:cs="宋体"/>
                <w:bCs/>
                <w:szCs w:val="21"/>
              </w:rPr>
              <w:t>应持有省级及以上生态环境主管部门或其管理的行业协（学）会颁发的运维上岗证或培训证书</w:t>
            </w:r>
          </w:p>
        </w:tc>
      </w:tr>
      <w:tr w14:paraId="455CB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5" w:hRule="atLeast"/>
          <w:jc w:val="center"/>
        </w:trPr>
        <w:tc>
          <w:tcPr>
            <w:tcW w:w="1917" w:type="dxa"/>
            <w:vAlign w:val="center"/>
          </w:tcPr>
          <w:p w14:paraId="0147CC28">
            <w:pPr>
              <w:spacing w:line="360" w:lineRule="auto"/>
              <w:jc w:val="center"/>
              <w:rPr>
                <w:rFonts w:hint="eastAsia" w:ascii="宋体" w:hAnsi="宋体"/>
                <w:szCs w:val="21"/>
              </w:rPr>
            </w:pPr>
            <w:r>
              <w:rPr>
                <w:rFonts w:hint="eastAsia" w:ascii="宋体" w:hAnsi="宋体"/>
                <w:szCs w:val="21"/>
              </w:rPr>
              <w:t>质控人员</w:t>
            </w:r>
          </w:p>
        </w:tc>
        <w:tc>
          <w:tcPr>
            <w:tcW w:w="1266" w:type="dxa"/>
            <w:vAlign w:val="center"/>
          </w:tcPr>
          <w:p w14:paraId="3A6FCE4F">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1人</w:t>
            </w:r>
          </w:p>
        </w:tc>
        <w:tc>
          <w:tcPr>
            <w:tcW w:w="5855" w:type="dxa"/>
            <w:vAlign w:val="center"/>
          </w:tcPr>
          <w:p w14:paraId="6E4A73E1">
            <w:pPr>
              <w:spacing w:line="360" w:lineRule="auto"/>
              <w:rPr>
                <w:rFonts w:hint="eastAsia" w:ascii="宋体" w:hAnsi="宋体"/>
                <w:color w:val="000000"/>
                <w:szCs w:val="21"/>
              </w:rPr>
            </w:pPr>
            <w:r>
              <w:rPr>
                <w:rFonts w:hint="eastAsia"/>
                <w:color w:val="000000"/>
                <w:szCs w:val="21"/>
              </w:rPr>
              <w:t>负责本项目的质控工作，保证项目的运维服务质量，</w:t>
            </w:r>
            <w:r>
              <w:rPr>
                <w:rFonts w:ascii="宋体" w:hAnsi="宋体"/>
                <w:color w:val="000000"/>
                <w:szCs w:val="21"/>
              </w:rPr>
              <w:t>规范设备运维，保障设备在重污染天气应急状态下稳定运行、数据连续可用</w:t>
            </w:r>
          </w:p>
          <w:p w14:paraId="394C7979">
            <w:pPr>
              <w:spacing w:line="360" w:lineRule="auto"/>
              <w:rPr>
                <w:rFonts w:hint="eastAsia" w:ascii="宋体" w:hAnsi="宋体"/>
                <w:szCs w:val="21"/>
              </w:rPr>
            </w:pPr>
            <w:r>
              <w:rPr>
                <w:rFonts w:hint="eastAsia" w:ascii="宋体" w:hAnsi="宋体" w:cs="宋体"/>
                <w:bCs/>
                <w:szCs w:val="21"/>
              </w:rPr>
              <w:t>应持有省级及以上生态环境主管部门或其管理的行业协（学）会颁发的运维上岗证或培训证书</w:t>
            </w:r>
          </w:p>
        </w:tc>
      </w:tr>
      <w:tr w14:paraId="76B28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1" w:hRule="atLeast"/>
          <w:jc w:val="center"/>
        </w:trPr>
        <w:tc>
          <w:tcPr>
            <w:tcW w:w="1917" w:type="dxa"/>
            <w:vAlign w:val="center"/>
          </w:tcPr>
          <w:p w14:paraId="1044F34A">
            <w:pPr>
              <w:spacing w:line="360" w:lineRule="auto"/>
              <w:jc w:val="center"/>
              <w:rPr>
                <w:rFonts w:hint="eastAsia" w:ascii="宋体" w:hAnsi="宋体"/>
                <w:szCs w:val="21"/>
              </w:rPr>
            </w:pPr>
            <w:r>
              <w:rPr>
                <w:rFonts w:hint="eastAsia" w:ascii="宋体" w:hAnsi="宋体"/>
                <w:szCs w:val="21"/>
              </w:rPr>
              <w:t>数据审核人员</w:t>
            </w:r>
          </w:p>
        </w:tc>
        <w:tc>
          <w:tcPr>
            <w:tcW w:w="1266" w:type="dxa"/>
            <w:vAlign w:val="center"/>
          </w:tcPr>
          <w:p w14:paraId="40361EEC">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1人</w:t>
            </w:r>
          </w:p>
        </w:tc>
        <w:tc>
          <w:tcPr>
            <w:tcW w:w="5855" w:type="dxa"/>
            <w:vAlign w:val="center"/>
          </w:tcPr>
          <w:p w14:paraId="774D10AF">
            <w:pPr>
              <w:spacing w:line="360" w:lineRule="auto"/>
              <w:rPr>
                <w:rFonts w:hint="eastAsia" w:ascii="宋体" w:hAnsi="宋体"/>
                <w:color w:val="000000"/>
                <w:szCs w:val="21"/>
              </w:rPr>
            </w:pPr>
            <w:r>
              <w:rPr>
                <w:color w:val="000000"/>
                <w:szCs w:val="21"/>
              </w:rPr>
              <w:t>负责监测数据的审核工作</w:t>
            </w:r>
            <w:r>
              <w:rPr>
                <w:rFonts w:hint="eastAsia"/>
                <w:color w:val="000000"/>
                <w:szCs w:val="21"/>
              </w:rPr>
              <w:t>，</w:t>
            </w:r>
            <w:r>
              <w:rPr>
                <w:rFonts w:ascii="宋体" w:hAnsi="宋体"/>
                <w:color w:val="000000"/>
                <w:szCs w:val="21"/>
              </w:rPr>
              <w:t>识别</w:t>
            </w:r>
            <w:r>
              <w:rPr>
                <w:rFonts w:hint="eastAsia" w:ascii="宋体" w:hAnsi="宋体"/>
                <w:color w:val="000000"/>
                <w:szCs w:val="21"/>
              </w:rPr>
              <w:t>在重污染天气下</w:t>
            </w:r>
            <w:r>
              <w:rPr>
                <w:rFonts w:ascii="宋体" w:hAnsi="宋体"/>
                <w:color w:val="000000"/>
                <w:szCs w:val="21"/>
              </w:rPr>
              <w:t>数据异常波动</w:t>
            </w:r>
          </w:p>
          <w:p w14:paraId="6285F851">
            <w:pPr>
              <w:spacing w:line="360" w:lineRule="auto"/>
              <w:rPr>
                <w:rFonts w:hint="eastAsia" w:ascii="宋体" w:hAnsi="宋体"/>
                <w:szCs w:val="21"/>
              </w:rPr>
            </w:pPr>
            <w:r>
              <w:rPr>
                <w:rFonts w:hint="eastAsia" w:ascii="宋体" w:hAnsi="宋体" w:cs="宋体"/>
                <w:bCs/>
                <w:szCs w:val="21"/>
              </w:rPr>
              <w:t>应持有省级及以上生态环境主管部门或其管理的行业协（学）会颁发的运维上岗证或培训证书</w:t>
            </w:r>
          </w:p>
        </w:tc>
      </w:tr>
      <w:tr w14:paraId="6BF8D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3" w:hRule="atLeast"/>
          <w:jc w:val="center"/>
        </w:trPr>
        <w:tc>
          <w:tcPr>
            <w:tcW w:w="1917" w:type="dxa"/>
            <w:vAlign w:val="center"/>
          </w:tcPr>
          <w:p w14:paraId="398BB906">
            <w:pPr>
              <w:spacing w:line="360" w:lineRule="auto"/>
              <w:jc w:val="center"/>
              <w:rPr>
                <w:rFonts w:hint="eastAsia" w:ascii="宋体" w:hAnsi="宋体"/>
                <w:szCs w:val="21"/>
              </w:rPr>
            </w:pPr>
            <w:r>
              <w:rPr>
                <w:rFonts w:hint="eastAsia" w:ascii="宋体" w:hAnsi="宋体"/>
                <w:szCs w:val="21"/>
              </w:rPr>
              <w:t>技术支持人员</w:t>
            </w:r>
          </w:p>
        </w:tc>
        <w:tc>
          <w:tcPr>
            <w:tcW w:w="1266" w:type="dxa"/>
            <w:vAlign w:val="center"/>
          </w:tcPr>
          <w:p w14:paraId="4045F6AB">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1人</w:t>
            </w:r>
          </w:p>
        </w:tc>
        <w:tc>
          <w:tcPr>
            <w:tcW w:w="5855" w:type="dxa"/>
          </w:tcPr>
          <w:p w14:paraId="5714CFA4">
            <w:pPr>
              <w:spacing w:line="360" w:lineRule="auto"/>
              <w:rPr>
                <w:rFonts w:hint="eastAsia" w:ascii="宋体" w:hAnsi="宋体"/>
                <w:szCs w:val="21"/>
              </w:rPr>
            </w:pPr>
            <w:r>
              <w:rPr>
                <w:rFonts w:hint="eastAsia" w:ascii="宋体" w:hAnsi="宋体"/>
                <w:szCs w:val="21"/>
              </w:rPr>
              <w:t>负责</w:t>
            </w:r>
            <w:r>
              <w:rPr>
                <w:rFonts w:ascii="宋体" w:hAnsi="宋体"/>
                <w:szCs w:val="21"/>
              </w:rPr>
              <w:t>环境空气自动监测设备的故障应急处置</w:t>
            </w:r>
            <w:r>
              <w:rPr>
                <w:rFonts w:hint="eastAsia" w:ascii="宋体" w:hAnsi="宋体"/>
                <w:szCs w:val="21"/>
              </w:rPr>
              <w:t>、</w:t>
            </w:r>
            <w:r>
              <w:rPr>
                <w:rFonts w:ascii="宋体" w:hAnsi="宋体"/>
                <w:szCs w:val="21"/>
              </w:rPr>
              <w:t>监测系统的稳定运行保障</w:t>
            </w:r>
            <w:r>
              <w:rPr>
                <w:rFonts w:hint="eastAsia" w:ascii="宋体" w:hAnsi="宋体"/>
                <w:szCs w:val="21"/>
              </w:rPr>
              <w:t>、</w:t>
            </w:r>
            <w:r>
              <w:rPr>
                <w:rFonts w:ascii="宋体" w:hAnsi="宋体"/>
                <w:szCs w:val="21"/>
              </w:rPr>
              <w:t>以及应对各类突发环境事件的技术支撑等，要求具备扎实的自动监测设备操作能力、精准的数据处理能力、高效的应急处置能力和高度的责任意识。</w:t>
            </w:r>
          </w:p>
          <w:p w14:paraId="546EB865">
            <w:pPr>
              <w:spacing w:line="360" w:lineRule="auto"/>
              <w:rPr>
                <w:rFonts w:hint="eastAsia" w:ascii="宋体" w:hAnsi="宋体"/>
                <w:szCs w:val="21"/>
              </w:rPr>
            </w:pPr>
            <w:r>
              <w:rPr>
                <w:rFonts w:hint="eastAsia" w:ascii="宋体" w:hAnsi="宋体" w:cs="宋体"/>
                <w:bCs/>
                <w:szCs w:val="21"/>
              </w:rPr>
              <w:t>应持有省级及以上生态环境主管部门或其管理的行业协（学）会颁发的运维上岗证或培训证书</w:t>
            </w:r>
          </w:p>
        </w:tc>
      </w:tr>
      <w:tr w14:paraId="169C8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917" w:type="dxa"/>
            <w:vAlign w:val="center"/>
          </w:tcPr>
          <w:p w14:paraId="453F3693">
            <w:pPr>
              <w:spacing w:line="360" w:lineRule="auto"/>
              <w:jc w:val="center"/>
              <w:rPr>
                <w:rFonts w:hint="eastAsia" w:ascii="宋体" w:hAnsi="宋体"/>
                <w:szCs w:val="21"/>
              </w:rPr>
            </w:pPr>
            <w:r>
              <w:rPr>
                <w:rFonts w:hint="eastAsia" w:ascii="宋体" w:hAnsi="宋体"/>
                <w:szCs w:val="21"/>
              </w:rPr>
              <w:t>车辆</w:t>
            </w:r>
          </w:p>
        </w:tc>
        <w:tc>
          <w:tcPr>
            <w:tcW w:w="1266" w:type="dxa"/>
            <w:vAlign w:val="center"/>
          </w:tcPr>
          <w:p w14:paraId="251D8922">
            <w:pPr>
              <w:spacing w:line="360" w:lineRule="auto"/>
              <w:ind w:firstLine="174" w:firstLineChars="83"/>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5辆</w:t>
            </w:r>
          </w:p>
        </w:tc>
        <w:tc>
          <w:tcPr>
            <w:tcW w:w="5855" w:type="dxa"/>
          </w:tcPr>
          <w:p w14:paraId="7922AE1F">
            <w:pPr>
              <w:spacing w:line="360" w:lineRule="auto"/>
              <w:rPr>
                <w:rFonts w:hint="eastAsia" w:ascii="宋体" w:hAnsi="宋体"/>
                <w:szCs w:val="21"/>
              </w:rPr>
            </w:pPr>
            <w:r>
              <w:rPr>
                <w:rFonts w:ascii="宋体" w:hAnsi="宋体" w:cs="宋体"/>
                <w:kern w:val="2"/>
                <w:szCs w:val="21"/>
              </w:rPr>
              <w:t>在</w:t>
            </w:r>
            <w:r>
              <w:rPr>
                <w:rFonts w:hint="eastAsia" w:ascii="宋体" w:hAnsi="宋体" w:cs="宋体"/>
                <w:kern w:val="2"/>
                <w:szCs w:val="21"/>
              </w:rPr>
              <w:t>运维</w:t>
            </w:r>
            <w:r>
              <w:rPr>
                <w:rFonts w:ascii="宋体" w:hAnsi="宋体" w:cs="宋体"/>
                <w:kern w:val="2"/>
                <w:szCs w:val="21"/>
              </w:rPr>
              <w:t>服务期间，自备</w:t>
            </w:r>
            <w:r>
              <w:rPr>
                <w:rFonts w:hint="eastAsia" w:ascii="宋体" w:hAnsi="宋体" w:cs="宋体"/>
                <w:kern w:val="2"/>
                <w:szCs w:val="21"/>
              </w:rPr>
              <w:t>5辆</w:t>
            </w:r>
            <w:r>
              <w:rPr>
                <w:rFonts w:ascii="宋体" w:hAnsi="宋体" w:cs="宋体"/>
                <w:kern w:val="2"/>
                <w:szCs w:val="21"/>
              </w:rPr>
              <w:t>5人座轿车</w:t>
            </w:r>
            <w:r>
              <w:rPr>
                <w:rFonts w:hint="eastAsia" w:ascii="宋体" w:hAnsi="宋体" w:cs="宋体"/>
                <w:kern w:val="2"/>
                <w:szCs w:val="21"/>
              </w:rPr>
              <w:t>。</w:t>
            </w:r>
            <w:r>
              <w:rPr>
                <w:rFonts w:hint="eastAsia" w:ascii="宋体" w:hAnsi="宋体" w:cs="宋体"/>
                <w:bCs/>
                <w:color w:val="000000"/>
                <w:kern w:val="2"/>
                <w:szCs w:val="21"/>
              </w:rPr>
              <w:t>车况完好，车险齐全，自初始登记之日起车龄不超过五年</w:t>
            </w:r>
          </w:p>
        </w:tc>
      </w:tr>
    </w:tbl>
    <w:p w14:paraId="177D92D1">
      <w:pPr>
        <w:snapToGrid w:val="0"/>
        <w:spacing w:before="190" w:after="190" w:line="500" w:lineRule="exact"/>
        <w:ind w:firstLine="482" w:firstLineChars="200"/>
        <w:rPr>
          <w:rFonts w:hint="eastAsia" w:ascii="宋体" w:hAnsi="宋体" w:cs="宋体"/>
          <w:b/>
          <w:bCs/>
          <w:color w:val="FF0000"/>
          <w:sz w:val="24"/>
          <w:highlight w:val="yellow"/>
        </w:rPr>
      </w:pPr>
      <w:bookmarkStart w:id="101" w:name="OLE_LINK15"/>
      <w:r>
        <w:rPr>
          <w:rFonts w:hint="eastAsia" w:ascii="宋体" w:hAnsi="宋体" w:cs="宋体"/>
          <w:b/>
          <w:bCs/>
          <w:color w:val="FF0000"/>
          <w:sz w:val="24"/>
          <w:highlight w:val="yellow"/>
        </w:rPr>
        <w:t>注：</w:t>
      </w:r>
      <w:r>
        <w:rPr>
          <w:rFonts w:hint="eastAsia" w:ascii="宋体" w:hAnsi="宋体" w:cs="宋体"/>
          <w:b/>
          <w:color w:val="FF0000"/>
          <w:sz w:val="24"/>
          <w:szCs w:val="21"/>
          <w:highlight w:val="yellow"/>
        </w:rPr>
        <w:t>★</w:t>
      </w:r>
      <w:r>
        <w:rPr>
          <w:rFonts w:hint="eastAsia" w:ascii="宋体" w:hAnsi="宋体" w:cs="宋体"/>
          <w:b/>
          <w:bCs/>
          <w:color w:val="FF0000"/>
          <w:sz w:val="24"/>
          <w:highlight w:val="yellow"/>
        </w:rPr>
        <w:t>上述人员和车辆配备为本项目服务的最基本要求（所有拟派人员不得相互兼职），投标人在投标时须进行书面承诺（格式自拟），承诺在中标后签订合同前按上述最基本要求配备到位，未提供书面承诺书的，审查不通过。</w:t>
      </w:r>
    </w:p>
    <w:bookmarkEnd w:id="101"/>
    <w:p w14:paraId="6157D4BD">
      <w:pPr>
        <w:adjustRightInd w:val="0"/>
        <w:snapToGrid w:val="0"/>
        <w:spacing w:line="500" w:lineRule="exact"/>
        <w:ind w:firstLine="480"/>
        <w:rPr>
          <w:rFonts w:hint="eastAsia" w:ascii="宋体" w:hAnsi="宋体" w:cs="宋体"/>
          <w:color w:val="FF0000"/>
          <w:kern w:val="2"/>
          <w:szCs w:val="21"/>
          <w:highlight w:val="yellow"/>
        </w:rPr>
      </w:pPr>
      <w:r>
        <w:rPr>
          <w:rFonts w:hint="eastAsia" w:ascii="宋体" w:hAnsi="宋体" w:cs="宋体"/>
          <w:color w:val="FF0000"/>
          <w:kern w:val="2"/>
          <w:szCs w:val="21"/>
          <w:highlight w:val="yellow"/>
        </w:rPr>
        <w:t>2.2.3供应商运维人员配备运维质控所必备的手机、平板等移动设备以安装相应的质控管理软件，投标时提供承诺函，格式自拟。</w:t>
      </w:r>
    </w:p>
    <w:p w14:paraId="6C2C7AC9">
      <w:pPr>
        <w:adjustRightInd w:val="0"/>
        <w:snapToGrid w:val="0"/>
        <w:spacing w:line="500" w:lineRule="exact"/>
        <w:ind w:firstLine="480"/>
        <w:rPr>
          <w:rFonts w:hint="eastAsia" w:ascii="宋体" w:hAnsi="宋体" w:cs="宋体"/>
          <w:color w:val="FF0000"/>
          <w:kern w:val="2"/>
          <w:szCs w:val="21"/>
          <w:highlight w:val="yellow"/>
        </w:rPr>
      </w:pPr>
      <w:r>
        <w:rPr>
          <w:rFonts w:hint="eastAsia" w:ascii="宋体" w:hAnsi="宋体" w:cs="宋体"/>
          <w:color w:val="FF0000"/>
          <w:kern w:val="2"/>
          <w:szCs w:val="21"/>
          <w:highlight w:val="yellow"/>
        </w:rPr>
        <w:t>2.2.4供应商需建立备品备件库，确保常规易耗品的供应，投标时提供承诺函，格式自拟。</w:t>
      </w:r>
    </w:p>
    <w:p w14:paraId="66C27B91">
      <w:pPr>
        <w:adjustRightInd w:val="0"/>
        <w:snapToGrid w:val="0"/>
        <w:spacing w:line="500" w:lineRule="exact"/>
        <w:ind w:firstLine="480"/>
        <w:rPr>
          <w:rFonts w:hint="eastAsia" w:ascii="宋体" w:hAnsi="宋体" w:cs="宋体"/>
          <w:color w:val="FF0000"/>
          <w:kern w:val="2"/>
          <w:szCs w:val="21"/>
          <w:highlight w:val="yellow"/>
        </w:rPr>
      </w:pPr>
      <w:r>
        <w:rPr>
          <w:rFonts w:hint="eastAsia" w:ascii="宋体" w:hAnsi="宋体" w:cs="宋体"/>
          <w:color w:val="FF0000"/>
          <w:kern w:val="2"/>
          <w:szCs w:val="21"/>
          <w:highlight w:val="yellow"/>
        </w:rPr>
        <w:t>2.2.5供应商需建立专门的质量保证和质量控制实验室，用于对所运维仪器进行标定、校准、量值传递和审核，对检修后的仪器设备进行校准和主要技术指标的运行测试，以及其他有关质量控制措施的制定和落实，投标时提供承诺函，格式自拟。</w:t>
      </w:r>
    </w:p>
    <w:bookmarkEnd w:id="97"/>
    <w:p w14:paraId="3CFC2303">
      <w:pPr>
        <w:widowControl/>
        <w:spacing w:line="480" w:lineRule="exact"/>
        <w:ind w:firstLine="420"/>
        <w:jc w:val="left"/>
        <w:rPr>
          <w:rFonts w:hint="eastAsia" w:ascii="宋体" w:hAnsi="宋体"/>
          <w:szCs w:val="21"/>
          <w:highlight w:val="yellow"/>
        </w:rPr>
      </w:pPr>
      <w:r>
        <w:rPr>
          <w:rFonts w:hint="eastAsia" w:ascii="宋体" w:hAnsi="宋体"/>
          <w:szCs w:val="21"/>
          <w:highlight w:val="yellow"/>
        </w:rPr>
        <w:t>2.2.3供应商运维人员配备运维质控所必备的手机、平板等移动设备以安装相应的质控管理软件，投标时提供承诺函，格式白拟。</w:t>
      </w:r>
    </w:p>
    <w:p w14:paraId="12527770">
      <w:pPr>
        <w:widowControl/>
        <w:spacing w:line="480" w:lineRule="exact"/>
        <w:ind w:firstLine="420"/>
        <w:jc w:val="left"/>
        <w:rPr>
          <w:rFonts w:hint="eastAsia" w:ascii="宋体" w:hAnsi="宋体"/>
          <w:szCs w:val="21"/>
          <w:highlight w:val="yellow"/>
        </w:rPr>
      </w:pPr>
      <w:r>
        <w:rPr>
          <w:rFonts w:hint="eastAsia" w:ascii="宋体" w:hAnsi="宋体"/>
          <w:szCs w:val="21"/>
          <w:highlight w:val="yellow"/>
        </w:rPr>
        <w:t>2.2.4供应商需建立备品备件库，确保常规易耗品的供应，投标时提供承诺函，格式自拟。</w:t>
      </w:r>
    </w:p>
    <w:p w14:paraId="7893BEF5">
      <w:pPr>
        <w:widowControl/>
        <w:spacing w:line="480" w:lineRule="exact"/>
        <w:ind w:firstLine="420"/>
        <w:jc w:val="left"/>
        <w:rPr>
          <w:rFonts w:hint="eastAsia" w:ascii="宋体" w:hAnsi="宋体"/>
          <w:szCs w:val="21"/>
          <w:highlight w:val="yellow"/>
        </w:rPr>
      </w:pPr>
      <w:r>
        <w:rPr>
          <w:rFonts w:hint="eastAsia" w:ascii="宋体" w:hAnsi="宋体"/>
          <w:szCs w:val="21"/>
          <w:highlight w:val="yellow"/>
        </w:rPr>
        <w:t>2.2.5供应商需建立专门的质量保证和质量控制实验室，用于对所运维仪器进行标定、校准、量值传递和审核，对检修后的仪器设备进行校准和主要技术指标的运行测试，以及其他有关质量控制措施的制定和落实，投标时提供承诺函，格式自拟。</w:t>
      </w:r>
    </w:p>
    <w:p w14:paraId="2996583C">
      <w:pPr>
        <w:widowControl/>
        <w:spacing w:line="480" w:lineRule="exact"/>
        <w:ind w:firstLine="420"/>
        <w:jc w:val="left"/>
        <w:rPr>
          <w:rFonts w:hint="eastAsia" w:ascii="宋体" w:hAnsi="宋体"/>
          <w:szCs w:val="21"/>
        </w:rPr>
      </w:pPr>
      <w:bookmarkStart w:id="102" w:name="OLE_LINK17"/>
      <w:r>
        <w:rPr>
          <w:rFonts w:hint="eastAsia" w:ascii="宋体" w:hAnsi="宋体" w:cs="宋体"/>
          <w:b/>
          <w:bCs/>
          <w:color w:val="FF0000"/>
          <w:sz w:val="24"/>
          <w:highlight w:val="yellow"/>
        </w:rPr>
        <w:t>未按上述采购需求提供书面承诺函的，审查不通过。</w:t>
      </w:r>
    </w:p>
    <w:bookmarkEnd w:id="102"/>
    <w:p w14:paraId="0AA1A1A9">
      <w:pPr>
        <w:widowControl/>
        <w:spacing w:line="480" w:lineRule="exact"/>
        <w:ind w:firstLine="420"/>
        <w:jc w:val="left"/>
        <w:rPr>
          <w:rFonts w:hint="eastAsia" w:ascii="宋体" w:hAnsi="宋体"/>
          <w:szCs w:val="21"/>
        </w:rPr>
      </w:pPr>
      <w:r>
        <w:rPr>
          <w:rFonts w:hint="eastAsia" w:ascii="宋体" w:hAnsi="宋体"/>
          <w:szCs w:val="21"/>
        </w:rPr>
        <w:t>2.3运维工作内容</w:t>
      </w:r>
    </w:p>
    <w:p w14:paraId="17D83B9F">
      <w:pPr>
        <w:widowControl/>
        <w:spacing w:line="480" w:lineRule="exact"/>
        <w:ind w:firstLine="420"/>
        <w:jc w:val="left"/>
        <w:rPr>
          <w:rFonts w:hint="eastAsia" w:ascii="宋体" w:hAnsi="宋体"/>
          <w:szCs w:val="21"/>
        </w:rPr>
      </w:pPr>
      <w:r>
        <w:rPr>
          <w:rFonts w:hint="eastAsia" w:ascii="宋体" w:hAnsi="宋体"/>
          <w:szCs w:val="21"/>
        </w:rPr>
        <w:t>2.3.1环境空气质量自动监测——标准空气站</w:t>
      </w:r>
    </w:p>
    <w:p w14:paraId="3DA1C934">
      <w:pPr>
        <w:widowControl/>
        <w:spacing w:line="480" w:lineRule="exact"/>
        <w:ind w:firstLine="420"/>
        <w:jc w:val="left"/>
        <w:rPr>
          <w:rFonts w:hint="eastAsia" w:ascii="宋体" w:hAnsi="宋体"/>
          <w:szCs w:val="21"/>
        </w:rPr>
      </w:pPr>
      <w:r>
        <w:rPr>
          <w:rFonts w:hint="eastAsia" w:ascii="宋体" w:hAnsi="宋体"/>
          <w:szCs w:val="21"/>
        </w:rPr>
        <w:t>总体要求</w:t>
      </w:r>
    </w:p>
    <w:p w14:paraId="5159EB98">
      <w:pPr>
        <w:widowControl/>
        <w:spacing w:line="480" w:lineRule="exact"/>
        <w:ind w:firstLine="420"/>
        <w:jc w:val="left"/>
        <w:rPr>
          <w:rFonts w:hint="eastAsia" w:ascii="宋体" w:hAnsi="宋体"/>
          <w:szCs w:val="21"/>
        </w:rPr>
      </w:pPr>
      <w:r>
        <w:rPr>
          <w:rFonts w:hint="eastAsia" w:ascii="宋体" w:hAnsi="宋体"/>
          <w:szCs w:val="21"/>
        </w:rPr>
        <w:t>在委托运行管理及维修期间本着负责的精神，依照规范，科学管理，使各系统及仪表运行达到国家及行业颁布的技术标准和考核指标要求，既要及时维修故障，更要防范和减少故障，使各设备真正发挥其效能和作用，确保监测数据及时、科学和准确。</w:t>
      </w:r>
    </w:p>
    <w:p w14:paraId="1EEB9893">
      <w:pPr>
        <w:widowControl/>
        <w:spacing w:line="480" w:lineRule="exact"/>
        <w:ind w:firstLine="420"/>
        <w:jc w:val="left"/>
        <w:rPr>
          <w:rFonts w:hint="eastAsia" w:ascii="宋体" w:hAnsi="宋体"/>
          <w:szCs w:val="21"/>
        </w:rPr>
      </w:pPr>
      <w:r>
        <w:rPr>
          <w:rFonts w:hint="eastAsia" w:ascii="宋体" w:hAnsi="宋体"/>
          <w:szCs w:val="21"/>
        </w:rPr>
        <w:t>运维工作一般要求</w:t>
      </w:r>
    </w:p>
    <w:p w14:paraId="4CC5B162">
      <w:pPr>
        <w:widowControl/>
        <w:spacing w:line="480" w:lineRule="exact"/>
        <w:ind w:firstLine="420"/>
        <w:jc w:val="left"/>
        <w:rPr>
          <w:rFonts w:hint="eastAsia" w:ascii="宋体" w:hAnsi="宋体"/>
          <w:szCs w:val="21"/>
        </w:rPr>
      </w:pPr>
      <w:r>
        <w:rPr>
          <w:rFonts w:hint="eastAsia" w:ascii="宋体" w:hAnsi="宋体"/>
          <w:szCs w:val="21"/>
        </w:rPr>
        <w:t>（1）定期检查消防和安全设施。</w:t>
      </w:r>
    </w:p>
    <w:p w14:paraId="16149B73">
      <w:pPr>
        <w:widowControl/>
        <w:spacing w:line="480" w:lineRule="exact"/>
        <w:ind w:firstLine="420"/>
        <w:jc w:val="left"/>
        <w:rPr>
          <w:rFonts w:hint="eastAsia" w:ascii="宋体" w:hAnsi="宋体"/>
          <w:szCs w:val="21"/>
        </w:rPr>
      </w:pPr>
      <w:r>
        <w:rPr>
          <w:rFonts w:hint="eastAsia" w:ascii="宋体" w:hAnsi="宋体"/>
          <w:szCs w:val="21"/>
        </w:rPr>
        <w:t>（2）每次维护后做好系统运行维护记录。</w:t>
      </w:r>
    </w:p>
    <w:p w14:paraId="454F37CF">
      <w:pPr>
        <w:widowControl/>
        <w:spacing w:line="480" w:lineRule="exact"/>
        <w:ind w:firstLine="420"/>
        <w:jc w:val="left"/>
        <w:rPr>
          <w:rFonts w:hint="eastAsia" w:ascii="宋体" w:hAnsi="宋体"/>
          <w:szCs w:val="21"/>
        </w:rPr>
      </w:pPr>
      <w:r>
        <w:rPr>
          <w:rFonts w:hint="eastAsia" w:ascii="宋体" w:hAnsi="宋体"/>
          <w:szCs w:val="21"/>
        </w:rPr>
        <w:t>（3）进行维护时，规范操作，注意安全，防止意外发生。</w:t>
      </w:r>
    </w:p>
    <w:p w14:paraId="23F2BB8E">
      <w:pPr>
        <w:widowControl/>
        <w:spacing w:line="480" w:lineRule="exact"/>
        <w:ind w:firstLine="420"/>
        <w:jc w:val="left"/>
        <w:rPr>
          <w:rFonts w:hint="eastAsia" w:ascii="宋体" w:hAnsi="宋体"/>
          <w:szCs w:val="21"/>
        </w:rPr>
      </w:pPr>
      <w:r>
        <w:rPr>
          <w:rFonts w:hint="eastAsia" w:ascii="宋体" w:hAnsi="宋体"/>
          <w:szCs w:val="21"/>
        </w:rPr>
        <w:t xml:space="preserve">日常巡检及维护 </w:t>
      </w:r>
    </w:p>
    <w:p w14:paraId="368A7375">
      <w:pPr>
        <w:widowControl/>
        <w:spacing w:line="480" w:lineRule="exact"/>
        <w:ind w:firstLine="420"/>
        <w:jc w:val="left"/>
        <w:rPr>
          <w:rFonts w:hint="eastAsia" w:ascii="宋体" w:hAnsi="宋体"/>
          <w:szCs w:val="21"/>
        </w:rPr>
      </w:pPr>
      <w:r>
        <w:rPr>
          <w:rFonts w:hint="eastAsia" w:ascii="宋体" w:hAnsi="宋体"/>
          <w:szCs w:val="21"/>
        </w:rPr>
        <w:t>（1）保持站房内部环境清洁，布置整齐，各仪器设备干净清洁，设备标识清楚。</w:t>
      </w:r>
    </w:p>
    <w:p w14:paraId="6C819B54">
      <w:pPr>
        <w:widowControl/>
        <w:spacing w:line="480" w:lineRule="exact"/>
        <w:ind w:firstLine="420"/>
        <w:jc w:val="left"/>
        <w:rPr>
          <w:rFonts w:hint="eastAsia" w:ascii="宋体" w:hAnsi="宋体"/>
          <w:szCs w:val="21"/>
        </w:rPr>
      </w:pPr>
      <w:bookmarkStart w:id="103" w:name="（2）检查供电、电话通讯的情况，保证系统的正常运行。"/>
      <w:bookmarkEnd w:id="103"/>
      <w:r>
        <w:rPr>
          <w:rFonts w:hint="eastAsia" w:ascii="宋体" w:hAnsi="宋体"/>
          <w:szCs w:val="21"/>
        </w:rPr>
        <w:t xml:space="preserve">（2）保证空调正常工作，仪器运行温度保持在25℃左右，湿度保持在80%RH以下，空调的过滤网每月至少清洗1次，在冬、夏季节应注意站房室内外温差，及时调节站房内控制温度或对采样总管采取适当的控制措施，防止出现冷凝现象。 </w:t>
      </w:r>
    </w:p>
    <w:p w14:paraId="374327CD">
      <w:pPr>
        <w:widowControl/>
        <w:spacing w:line="480" w:lineRule="exact"/>
        <w:ind w:firstLine="420"/>
        <w:jc w:val="left"/>
        <w:rPr>
          <w:rFonts w:hint="eastAsia" w:ascii="宋体" w:hAnsi="宋体"/>
          <w:szCs w:val="21"/>
        </w:rPr>
      </w:pPr>
      <w:r>
        <w:rPr>
          <w:rFonts w:hint="eastAsia" w:ascii="宋体" w:hAnsi="宋体"/>
          <w:szCs w:val="21"/>
        </w:rPr>
        <w:t>（3）定期检查消防和安全设施。</w:t>
      </w:r>
    </w:p>
    <w:p w14:paraId="30480F85">
      <w:pPr>
        <w:widowControl/>
        <w:spacing w:line="480" w:lineRule="exact"/>
        <w:ind w:firstLine="420"/>
        <w:jc w:val="left"/>
        <w:rPr>
          <w:rFonts w:hint="eastAsia" w:ascii="宋体" w:hAnsi="宋体"/>
          <w:szCs w:val="21"/>
        </w:rPr>
      </w:pPr>
      <w:r>
        <w:rPr>
          <w:rFonts w:hint="eastAsia" w:ascii="宋体" w:hAnsi="宋体"/>
          <w:szCs w:val="21"/>
        </w:rPr>
        <w:t>（4）每次维护后做好系统运行维护记录。</w:t>
      </w:r>
    </w:p>
    <w:p w14:paraId="245136C8">
      <w:pPr>
        <w:widowControl/>
        <w:spacing w:line="480" w:lineRule="exact"/>
        <w:ind w:firstLine="420"/>
        <w:jc w:val="left"/>
        <w:rPr>
          <w:rFonts w:hint="eastAsia" w:ascii="宋体" w:hAnsi="宋体"/>
          <w:szCs w:val="21"/>
        </w:rPr>
      </w:pPr>
      <w:r>
        <w:rPr>
          <w:rFonts w:hint="eastAsia" w:ascii="宋体" w:hAnsi="宋体"/>
          <w:szCs w:val="21"/>
        </w:rPr>
        <w:t>每周工作</w:t>
      </w:r>
    </w:p>
    <w:p w14:paraId="453E3662">
      <w:pPr>
        <w:widowControl/>
        <w:spacing w:line="480" w:lineRule="exact"/>
        <w:ind w:firstLine="420"/>
        <w:jc w:val="left"/>
        <w:rPr>
          <w:rFonts w:hint="eastAsia" w:ascii="宋体" w:hAnsi="宋体"/>
          <w:szCs w:val="21"/>
        </w:rPr>
      </w:pPr>
      <w:r>
        <w:rPr>
          <w:rFonts w:hint="eastAsia" w:ascii="宋体" w:hAnsi="宋体"/>
          <w:szCs w:val="21"/>
        </w:rPr>
        <w:t>（1）查看空气站设备是否齐备，无丢失和损坏；检查接地线路是否可靠，排风排气装置工作是否正常，标准气钢瓶阀门是否漏气，标准气的消耗情况。</w:t>
      </w:r>
    </w:p>
    <w:p w14:paraId="517B1A54">
      <w:pPr>
        <w:widowControl/>
        <w:spacing w:line="480" w:lineRule="exact"/>
        <w:ind w:firstLine="420"/>
        <w:jc w:val="left"/>
        <w:rPr>
          <w:rFonts w:hint="eastAsia" w:ascii="宋体" w:hAnsi="宋体"/>
          <w:szCs w:val="21"/>
        </w:rPr>
      </w:pPr>
      <w:r>
        <w:rPr>
          <w:rFonts w:hint="eastAsia" w:ascii="宋体" w:hAnsi="宋体"/>
          <w:szCs w:val="21"/>
        </w:rPr>
        <w:t>（2）检查采样和排气管路是否有漏气或堵塞现象，各分析仪器采样流量是否正常。</w:t>
      </w:r>
    </w:p>
    <w:p w14:paraId="348EE3AB">
      <w:pPr>
        <w:widowControl/>
        <w:spacing w:line="480" w:lineRule="exact"/>
        <w:ind w:firstLine="420"/>
        <w:jc w:val="left"/>
        <w:rPr>
          <w:rFonts w:hint="eastAsia" w:ascii="宋体" w:hAnsi="宋体"/>
          <w:szCs w:val="21"/>
        </w:rPr>
      </w:pPr>
      <w:r>
        <w:rPr>
          <w:rFonts w:hint="eastAsia" w:ascii="宋体" w:hAnsi="宋体"/>
          <w:szCs w:val="21"/>
        </w:rPr>
        <w:t>（3）检查各分析仪器的运行状况和工作参数，判断是否正常，如有异常情况及时处理，保证仪器运行正常。</w:t>
      </w:r>
    </w:p>
    <w:p w14:paraId="019217BF">
      <w:pPr>
        <w:widowControl/>
        <w:spacing w:line="480" w:lineRule="exact"/>
        <w:ind w:firstLine="420"/>
        <w:jc w:val="left"/>
        <w:rPr>
          <w:rFonts w:hint="eastAsia" w:ascii="宋体" w:hAnsi="宋体"/>
          <w:szCs w:val="21"/>
        </w:rPr>
      </w:pPr>
      <w:r>
        <w:rPr>
          <w:rFonts w:hint="eastAsia" w:ascii="宋体" w:hAnsi="宋体"/>
          <w:szCs w:val="21"/>
        </w:rPr>
        <w:t>（4）对二氧化硫、一氧化碳、臭氧、氮氧化物分析仪进行零点、跨度检查，如果漂移超过国家相关规范要求，需要进行校准，进行1次自动和手工较零。对监测仪器的跨度进行单点标定每周至少一次。</w:t>
      </w:r>
    </w:p>
    <w:p w14:paraId="5F924CA1">
      <w:pPr>
        <w:widowControl/>
        <w:spacing w:line="480" w:lineRule="exact"/>
        <w:ind w:firstLine="420"/>
        <w:jc w:val="left"/>
        <w:rPr>
          <w:rFonts w:hint="eastAsia" w:ascii="宋体" w:hAnsi="宋体"/>
          <w:szCs w:val="21"/>
        </w:rPr>
      </w:pPr>
      <w:r>
        <w:rPr>
          <w:rFonts w:hint="eastAsia" w:ascii="宋体" w:hAnsi="宋体"/>
          <w:szCs w:val="21"/>
        </w:rPr>
        <w:t>（5）检查外部环境是否正常，有没有对测定结果或运行环境存在明显影响的污染源。</w:t>
      </w:r>
    </w:p>
    <w:p w14:paraId="0A039F1B">
      <w:pPr>
        <w:widowControl/>
        <w:spacing w:line="480" w:lineRule="exact"/>
        <w:ind w:firstLine="420"/>
        <w:jc w:val="left"/>
        <w:rPr>
          <w:rFonts w:hint="eastAsia" w:ascii="宋体" w:hAnsi="宋体"/>
          <w:szCs w:val="21"/>
        </w:rPr>
      </w:pPr>
      <w:r>
        <w:rPr>
          <w:rFonts w:hint="eastAsia" w:ascii="宋体" w:hAnsi="宋体"/>
          <w:szCs w:val="21"/>
        </w:rPr>
        <w:t>（6）检查电路系统和通讯系统，保证系统供电正常，电压稳定；检查空气站的通讯系统，保证空气站与远程监控中心的连接正常，数据传输正常。</w:t>
      </w:r>
    </w:p>
    <w:p w14:paraId="1B952989">
      <w:pPr>
        <w:widowControl/>
        <w:spacing w:line="480" w:lineRule="exact"/>
        <w:ind w:firstLine="420"/>
        <w:jc w:val="left"/>
        <w:rPr>
          <w:rFonts w:hint="eastAsia" w:ascii="宋体" w:hAnsi="宋体"/>
          <w:szCs w:val="21"/>
        </w:rPr>
      </w:pPr>
      <w:r>
        <w:rPr>
          <w:rFonts w:hint="eastAsia" w:ascii="宋体" w:hAnsi="宋体"/>
          <w:szCs w:val="21"/>
        </w:rPr>
        <w:t>（7）检查监测仪器的采样入口与采样支路管线结合部之间安装的过滤膜的污染情况，每周更换滤膜，每周检查监测仪器散热风扇污染情况，及时清洗。</w:t>
      </w:r>
    </w:p>
    <w:p w14:paraId="7DA83207">
      <w:pPr>
        <w:widowControl/>
        <w:spacing w:line="480" w:lineRule="exact"/>
        <w:ind w:firstLine="420"/>
        <w:jc w:val="left"/>
        <w:rPr>
          <w:rFonts w:hint="eastAsia" w:ascii="宋体" w:hAnsi="宋体"/>
          <w:szCs w:val="21"/>
        </w:rPr>
      </w:pPr>
      <w:r>
        <w:rPr>
          <w:rFonts w:hint="eastAsia" w:ascii="宋体" w:hAnsi="宋体"/>
          <w:szCs w:val="21"/>
        </w:rPr>
        <w:t>（8）检查站房内温度（250C±30C)、湿度（≤80%）在冬、夏季节应注意空气站房室内外温差，若温差较大，应及时改变站房温度或对采样总管采取适当的控制措施，防止冷凝现象。</w:t>
      </w:r>
    </w:p>
    <w:p w14:paraId="5BEF64E1">
      <w:pPr>
        <w:widowControl/>
        <w:spacing w:line="480" w:lineRule="exact"/>
        <w:ind w:firstLine="420"/>
        <w:jc w:val="left"/>
        <w:rPr>
          <w:rFonts w:hint="eastAsia" w:ascii="宋体" w:hAnsi="宋体"/>
          <w:szCs w:val="21"/>
        </w:rPr>
      </w:pPr>
      <w:r>
        <w:rPr>
          <w:rFonts w:hint="eastAsia" w:ascii="宋体" w:hAnsi="宋体"/>
          <w:szCs w:val="21"/>
        </w:rPr>
        <w:t>（9）应及时清除空气站房周围的杂草和积水，当周围树木生长超过规范规定的控制限时，应及时剪除对采样或监测光束有影响的树枝。</w:t>
      </w:r>
    </w:p>
    <w:p w14:paraId="4B5CFBE5">
      <w:pPr>
        <w:widowControl/>
        <w:spacing w:line="480" w:lineRule="exact"/>
        <w:ind w:firstLine="420"/>
        <w:jc w:val="left"/>
        <w:rPr>
          <w:rFonts w:hint="eastAsia" w:ascii="宋体" w:hAnsi="宋体"/>
          <w:szCs w:val="21"/>
        </w:rPr>
      </w:pPr>
      <w:r>
        <w:rPr>
          <w:rFonts w:hint="eastAsia" w:ascii="宋体" w:hAnsi="宋体"/>
          <w:szCs w:val="21"/>
        </w:rPr>
        <w:t>（10）应经常检查避雷设施是否可靠，空气站房屋是否有漏雨现象，气象杆和天线是否被刮坏，站房外围的其它设施是否有损坏或被水淹，如遇到以上问题应及时处理，保证系统能安全运行。</w:t>
      </w:r>
    </w:p>
    <w:p w14:paraId="6C67BF18">
      <w:pPr>
        <w:widowControl/>
        <w:spacing w:line="480" w:lineRule="exact"/>
        <w:ind w:firstLine="420"/>
        <w:jc w:val="left"/>
        <w:rPr>
          <w:rFonts w:hint="eastAsia" w:ascii="宋体" w:hAnsi="宋体"/>
          <w:szCs w:val="21"/>
        </w:rPr>
      </w:pPr>
      <w:r>
        <w:rPr>
          <w:rFonts w:hint="eastAsia" w:ascii="宋体" w:hAnsi="宋体"/>
          <w:szCs w:val="21"/>
        </w:rPr>
        <w:t>（11）检查站房的安全设施，做好防火防盗工作。</w:t>
      </w:r>
    </w:p>
    <w:p w14:paraId="40950F6B">
      <w:pPr>
        <w:widowControl/>
        <w:spacing w:line="480" w:lineRule="exact"/>
        <w:ind w:firstLine="420"/>
        <w:jc w:val="left"/>
        <w:rPr>
          <w:rFonts w:hint="eastAsia" w:ascii="宋体" w:hAnsi="宋体"/>
          <w:szCs w:val="21"/>
        </w:rPr>
      </w:pPr>
      <w:r>
        <w:rPr>
          <w:rFonts w:hint="eastAsia" w:ascii="宋体" w:hAnsi="宋体"/>
          <w:szCs w:val="21"/>
        </w:rPr>
        <w:t>（12）每周对气象仪器的运行情况进行检查。</w:t>
      </w:r>
    </w:p>
    <w:p w14:paraId="278A745B">
      <w:pPr>
        <w:widowControl/>
        <w:spacing w:line="480" w:lineRule="exact"/>
        <w:ind w:firstLine="420"/>
        <w:jc w:val="left"/>
        <w:rPr>
          <w:rFonts w:hint="eastAsia" w:ascii="宋体" w:hAnsi="宋体"/>
          <w:szCs w:val="21"/>
        </w:rPr>
      </w:pPr>
      <w:r>
        <w:rPr>
          <w:rFonts w:hint="eastAsia" w:ascii="宋体" w:hAnsi="宋体"/>
          <w:szCs w:val="21"/>
        </w:rPr>
        <w:t>（13）每周对颗粒物的采样纸带或滤膜进行检查，如纸带即将用尽或滤膜负载超过50%，及时进行更换。</w:t>
      </w:r>
    </w:p>
    <w:p w14:paraId="5E63A3B9">
      <w:pPr>
        <w:widowControl/>
        <w:spacing w:line="480" w:lineRule="exact"/>
        <w:ind w:firstLine="420"/>
        <w:jc w:val="left"/>
        <w:rPr>
          <w:rFonts w:hint="eastAsia" w:ascii="宋体" w:hAnsi="宋体"/>
          <w:szCs w:val="21"/>
        </w:rPr>
      </w:pPr>
      <w:r>
        <w:rPr>
          <w:rFonts w:hint="eastAsia" w:ascii="宋体" w:hAnsi="宋体"/>
          <w:szCs w:val="21"/>
        </w:rPr>
        <w:t>（14）每周对站房内外环境卫生进行检查，及时保洁。</w:t>
      </w:r>
    </w:p>
    <w:p w14:paraId="5B69B8E9">
      <w:pPr>
        <w:widowControl/>
        <w:spacing w:line="480" w:lineRule="exact"/>
        <w:ind w:firstLine="420"/>
        <w:jc w:val="left"/>
        <w:rPr>
          <w:rFonts w:hint="eastAsia" w:ascii="宋体" w:hAnsi="宋体"/>
          <w:szCs w:val="21"/>
        </w:rPr>
      </w:pPr>
      <w:r>
        <w:rPr>
          <w:rFonts w:hint="eastAsia" w:ascii="宋体" w:hAnsi="宋体"/>
          <w:szCs w:val="21"/>
        </w:rPr>
        <w:t xml:space="preserve">（15）按照系统说明书或作业指导书要求定期更换吸附管或捕集柱、阀膜、色谱柱等重要耗材。 </w:t>
      </w:r>
    </w:p>
    <w:p w14:paraId="73B8AA8C">
      <w:pPr>
        <w:widowControl/>
        <w:spacing w:line="480" w:lineRule="exact"/>
        <w:ind w:firstLine="420"/>
        <w:jc w:val="left"/>
        <w:rPr>
          <w:rFonts w:hint="eastAsia" w:ascii="宋体" w:hAnsi="宋体"/>
          <w:szCs w:val="21"/>
        </w:rPr>
      </w:pPr>
      <w:r>
        <w:rPr>
          <w:rFonts w:hint="eastAsia" w:ascii="宋体" w:hAnsi="宋体"/>
          <w:szCs w:val="21"/>
        </w:rPr>
        <w:t xml:space="preserve">（16）按照系统说明书或作业指导书要求做好周期性维护，及时清洁气动阀阀芯、散热风扇等重要部件，对检测器进行清理维护、维修、调谐后，应重新建立标准曲线。 </w:t>
      </w:r>
    </w:p>
    <w:p w14:paraId="126BE56A">
      <w:pPr>
        <w:widowControl/>
        <w:spacing w:line="480" w:lineRule="exact"/>
        <w:ind w:firstLine="420"/>
        <w:jc w:val="left"/>
        <w:rPr>
          <w:rFonts w:hint="eastAsia" w:ascii="宋体" w:hAnsi="宋体"/>
          <w:szCs w:val="21"/>
        </w:rPr>
      </w:pPr>
      <w:r>
        <w:rPr>
          <w:rFonts w:hint="eastAsia" w:ascii="宋体" w:hAnsi="宋体"/>
          <w:szCs w:val="21"/>
        </w:rPr>
        <w:t>（17）如运行维护涉及对气路上的关键硬件部分进行拆卸、打开，维护操作完成后，应按照系统说明书、作业指导书等要求对系统进行验漏。</w:t>
      </w:r>
    </w:p>
    <w:p w14:paraId="1B5C8EA7">
      <w:pPr>
        <w:widowControl/>
        <w:spacing w:line="480" w:lineRule="exact"/>
        <w:ind w:firstLine="420"/>
        <w:jc w:val="left"/>
        <w:rPr>
          <w:rFonts w:hint="eastAsia" w:ascii="宋体" w:hAnsi="宋体"/>
          <w:szCs w:val="21"/>
        </w:rPr>
      </w:pPr>
      <w:r>
        <w:rPr>
          <w:rFonts w:hint="eastAsia" w:ascii="宋体" w:hAnsi="宋体"/>
          <w:szCs w:val="21"/>
        </w:rPr>
        <w:t xml:space="preserve">每月工作 </w:t>
      </w:r>
    </w:p>
    <w:p w14:paraId="5578701B">
      <w:pPr>
        <w:widowControl/>
        <w:spacing w:line="480" w:lineRule="exact"/>
        <w:ind w:firstLine="420"/>
        <w:jc w:val="left"/>
        <w:rPr>
          <w:rFonts w:hint="eastAsia" w:ascii="宋体" w:hAnsi="宋体"/>
          <w:szCs w:val="21"/>
        </w:rPr>
      </w:pPr>
      <w:r>
        <w:rPr>
          <w:rFonts w:hint="eastAsia" w:ascii="宋体" w:hAnsi="宋体"/>
          <w:szCs w:val="21"/>
        </w:rPr>
        <w:t xml:space="preserve">（1）每月更换尘过滤膜2-3次，清洗防尘罩1-2次，及时更换干燥剂。 </w:t>
      </w:r>
    </w:p>
    <w:p w14:paraId="04FCF9E8">
      <w:pPr>
        <w:widowControl/>
        <w:spacing w:line="480" w:lineRule="exact"/>
        <w:ind w:firstLine="420"/>
        <w:jc w:val="left"/>
        <w:rPr>
          <w:rFonts w:hint="eastAsia" w:ascii="宋体" w:hAnsi="宋体"/>
          <w:szCs w:val="21"/>
        </w:rPr>
      </w:pPr>
      <w:r>
        <w:rPr>
          <w:rFonts w:hint="eastAsia" w:ascii="宋体" w:hAnsi="宋体"/>
          <w:szCs w:val="21"/>
        </w:rPr>
        <w:t xml:space="preserve">（2）光电法监测仪器每月进行一次精密度测试。测尘仪每月进行流量校准。 </w:t>
      </w:r>
    </w:p>
    <w:p w14:paraId="0F7F0C6C">
      <w:pPr>
        <w:widowControl/>
        <w:spacing w:line="480" w:lineRule="exact"/>
        <w:ind w:firstLine="420"/>
        <w:jc w:val="left"/>
        <w:rPr>
          <w:rFonts w:hint="eastAsia" w:ascii="宋体" w:hAnsi="宋体"/>
          <w:szCs w:val="21"/>
        </w:rPr>
      </w:pPr>
      <w:r>
        <w:rPr>
          <w:rFonts w:hint="eastAsia" w:ascii="宋体" w:hAnsi="宋体"/>
          <w:szCs w:val="21"/>
        </w:rPr>
        <w:t xml:space="preserve">（3）清洗PM10及PM2.5切割器，检查β法颗粒物分析仪仪器喷嘴、压环等部件。 </w:t>
      </w:r>
    </w:p>
    <w:p w14:paraId="7A3F3F0B">
      <w:pPr>
        <w:widowControl/>
        <w:spacing w:line="480" w:lineRule="exact"/>
        <w:ind w:firstLine="420"/>
        <w:jc w:val="left"/>
        <w:rPr>
          <w:rFonts w:hint="eastAsia" w:ascii="宋体" w:hAnsi="宋体"/>
          <w:szCs w:val="21"/>
        </w:rPr>
      </w:pPr>
      <w:r>
        <w:rPr>
          <w:rFonts w:hint="eastAsia" w:ascii="宋体" w:hAnsi="宋体"/>
          <w:szCs w:val="21"/>
        </w:rPr>
        <w:t xml:space="preserve">（4）检查PM10及PM2.5监测仪、气态分析仪、动态气体校准仪流量，超过国家相关规范要求，及时进行校准。 </w:t>
      </w:r>
    </w:p>
    <w:p w14:paraId="40D56E60">
      <w:pPr>
        <w:widowControl/>
        <w:spacing w:line="480" w:lineRule="exact"/>
        <w:ind w:firstLine="420"/>
        <w:jc w:val="left"/>
        <w:rPr>
          <w:rFonts w:hint="eastAsia" w:ascii="宋体" w:hAnsi="宋体"/>
          <w:szCs w:val="21"/>
        </w:rPr>
      </w:pPr>
      <w:r>
        <w:rPr>
          <w:rFonts w:hint="eastAsia" w:ascii="宋体" w:hAnsi="宋体"/>
          <w:szCs w:val="21"/>
        </w:rPr>
        <w:t xml:space="preserve">（5）对仪器显示数据和数据采集仪之间的一致性进行检查。 </w:t>
      </w:r>
    </w:p>
    <w:p w14:paraId="21A107E8">
      <w:pPr>
        <w:widowControl/>
        <w:spacing w:line="480" w:lineRule="exact"/>
        <w:ind w:firstLine="420"/>
        <w:jc w:val="left"/>
        <w:rPr>
          <w:rFonts w:hint="eastAsia" w:ascii="宋体" w:hAnsi="宋体"/>
          <w:szCs w:val="21"/>
        </w:rPr>
      </w:pPr>
      <w:r>
        <w:rPr>
          <w:rFonts w:hint="eastAsia" w:ascii="宋体" w:hAnsi="宋体"/>
          <w:szCs w:val="21"/>
        </w:rPr>
        <w:t>（6）每月进行一次采样流量检查。</w:t>
      </w:r>
    </w:p>
    <w:p w14:paraId="09E53255">
      <w:pPr>
        <w:widowControl/>
        <w:spacing w:line="480" w:lineRule="exact"/>
        <w:ind w:firstLine="420"/>
        <w:jc w:val="left"/>
        <w:rPr>
          <w:rFonts w:hint="eastAsia" w:ascii="宋体" w:hAnsi="宋体"/>
          <w:szCs w:val="21"/>
        </w:rPr>
      </w:pPr>
      <w:r>
        <w:rPr>
          <w:rFonts w:hint="eastAsia" w:ascii="宋体" w:hAnsi="宋体"/>
          <w:szCs w:val="21"/>
        </w:rPr>
        <w:t>每半年工作</w:t>
      </w:r>
    </w:p>
    <w:p w14:paraId="41F67D8B">
      <w:pPr>
        <w:widowControl/>
        <w:spacing w:line="480" w:lineRule="exact"/>
        <w:ind w:firstLine="420"/>
        <w:jc w:val="left"/>
        <w:rPr>
          <w:rFonts w:hint="eastAsia" w:ascii="宋体" w:hAnsi="宋体"/>
          <w:szCs w:val="21"/>
        </w:rPr>
      </w:pPr>
      <w:r>
        <w:rPr>
          <w:rFonts w:hint="eastAsia" w:ascii="宋体" w:hAnsi="宋体"/>
          <w:szCs w:val="21"/>
        </w:rPr>
        <w:t>（1）清洗采样总管。清洗或更换采样支管。</w:t>
      </w:r>
    </w:p>
    <w:p w14:paraId="78437431">
      <w:pPr>
        <w:widowControl/>
        <w:spacing w:line="480" w:lineRule="exact"/>
        <w:ind w:firstLine="420"/>
        <w:jc w:val="left"/>
        <w:rPr>
          <w:rFonts w:hint="eastAsia" w:ascii="宋体" w:hAnsi="宋体"/>
          <w:szCs w:val="21"/>
        </w:rPr>
      </w:pPr>
      <w:r>
        <w:rPr>
          <w:rFonts w:hint="eastAsia" w:ascii="宋体" w:hAnsi="宋体"/>
          <w:szCs w:val="21"/>
        </w:rPr>
        <w:t>（2）更换零气源活性炭。更换NOX仪辅助进气口活性炭和氧化剂。更换NOX仪泵前吸臭氧活性炭。</w:t>
      </w:r>
    </w:p>
    <w:p w14:paraId="7F02425B">
      <w:pPr>
        <w:widowControl/>
        <w:spacing w:line="480" w:lineRule="exact"/>
        <w:ind w:firstLine="420"/>
        <w:jc w:val="left"/>
        <w:rPr>
          <w:rFonts w:hint="eastAsia" w:ascii="宋体" w:hAnsi="宋体"/>
          <w:szCs w:val="21"/>
        </w:rPr>
      </w:pPr>
      <w:r>
        <w:rPr>
          <w:rFonts w:hint="eastAsia" w:ascii="宋体" w:hAnsi="宋体"/>
          <w:szCs w:val="21"/>
        </w:rPr>
        <w:t>（3）检查颗粒物PM2.5、颗粒物PM10分析仪相对湿度、温度传感器和动态加热装置是否正常工作。</w:t>
      </w:r>
    </w:p>
    <w:p w14:paraId="1286CBB9">
      <w:pPr>
        <w:widowControl/>
        <w:spacing w:line="480" w:lineRule="exact"/>
        <w:ind w:firstLine="420"/>
        <w:jc w:val="left"/>
        <w:rPr>
          <w:rFonts w:hint="eastAsia" w:ascii="宋体" w:hAnsi="宋体"/>
          <w:szCs w:val="21"/>
        </w:rPr>
      </w:pPr>
      <w:r>
        <w:rPr>
          <w:rFonts w:hint="eastAsia" w:ascii="宋体" w:hAnsi="宋体"/>
          <w:szCs w:val="21"/>
        </w:rPr>
        <w:t>（4）对气态污染物监测仪进行多点校准，绘制校准曲线，检验相关系数、斜率和截距。</w:t>
      </w:r>
    </w:p>
    <w:p w14:paraId="74A31404">
      <w:pPr>
        <w:widowControl/>
        <w:spacing w:line="480" w:lineRule="exact"/>
        <w:ind w:firstLine="420"/>
        <w:jc w:val="left"/>
        <w:rPr>
          <w:rFonts w:hint="eastAsia" w:ascii="宋体" w:hAnsi="宋体"/>
          <w:szCs w:val="21"/>
        </w:rPr>
      </w:pPr>
      <w:r>
        <w:rPr>
          <w:rFonts w:hint="eastAsia" w:ascii="宋体" w:hAnsi="宋体"/>
          <w:szCs w:val="21"/>
        </w:rPr>
        <w:t>（5）动态气体校准仪流量进行20点检查，必要时校准。</w:t>
      </w:r>
    </w:p>
    <w:p w14:paraId="7BC6D92B">
      <w:pPr>
        <w:widowControl/>
        <w:spacing w:line="480" w:lineRule="exact"/>
        <w:ind w:firstLine="420"/>
        <w:jc w:val="left"/>
        <w:rPr>
          <w:rFonts w:hint="eastAsia" w:ascii="宋体" w:hAnsi="宋体"/>
          <w:szCs w:val="21"/>
        </w:rPr>
      </w:pPr>
      <w:r>
        <w:rPr>
          <w:rFonts w:hint="eastAsia" w:ascii="宋体" w:hAnsi="宋体"/>
          <w:szCs w:val="21"/>
        </w:rPr>
        <w:t>（6）采用臭氧传递标准对空气站臭氧工作标准进行标准传递。</w:t>
      </w:r>
    </w:p>
    <w:p w14:paraId="1B7AD62E">
      <w:pPr>
        <w:widowControl/>
        <w:spacing w:line="480" w:lineRule="exact"/>
        <w:ind w:firstLine="420"/>
        <w:jc w:val="left"/>
        <w:rPr>
          <w:rFonts w:hint="eastAsia" w:ascii="宋体" w:hAnsi="宋体"/>
          <w:szCs w:val="21"/>
        </w:rPr>
      </w:pPr>
      <w:r>
        <w:rPr>
          <w:rFonts w:hint="eastAsia" w:ascii="宋体" w:hAnsi="宋体"/>
          <w:szCs w:val="21"/>
        </w:rPr>
        <w:t>（7）更换零气源净化剂和氧化剂，对零气性能进行检查。</w:t>
      </w:r>
    </w:p>
    <w:p w14:paraId="22FF796B">
      <w:pPr>
        <w:widowControl/>
        <w:spacing w:line="480" w:lineRule="exact"/>
        <w:ind w:firstLine="420"/>
        <w:jc w:val="left"/>
        <w:rPr>
          <w:rFonts w:hint="eastAsia" w:ascii="宋体" w:hAnsi="宋体"/>
          <w:szCs w:val="21"/>
        </w:rPr>
      </w:pPr>
      <w:r>
        <w:rPr>
          <w:rFonts w:hint="eastAsia" w:ascii="宋体" w:hAnsi="宋体"/>
          <w:szCs w:val="21"/>
        </w:rPr>
        <w:t>（8）对氮氧化物分析仪钼炉转化率进行检查。</w:t>
      </w:r>
    </w:p>
    <w:p w14:paraId="193C660D">
      <w:pPr>
        <w:widowControl/>
        <w:spacing w:line="480" w:lineRule="exact"/>
        <w:ind w:firstLine="420"/>
        <w:jc w:val="left"/>
        <w:rPr>
          <w:rFonts w:hint="eastAsia" w:ascii="宋体" w:hAnsi="宋体"/>
          <w:szCs w:val="21"/>
        </w:rPr>
      </w:pPr>
      <w:r>
        <w:rPr>
          <w:rFonts w:hint="eastAsia" w:ascii="宋体" w:hAnsi="宋体"/>
          <w:szCs w:val="21"/>
        </w:rPr>
        <w:t>每年工作</w:t>
      </w:r>
    </w:p>
    <w:p w14:paraId="5EC7C9EA">
      <w:pPr>
        <w:widowControl/>
        <w:spacing w:line="480" w:lineRule="exact"/>
        <w:ind w:firstLine="420"/>
        <w:jc w:val="left"/>
        <w:rPr>
          <w:rFonts w:hint="eastAsia" w:ascii="宋体" w:hAnsi="宋体"/>
          <w:szCs w:val="21"/>
        </w:rPr>
      </w:pPr>
      <w:r>
        <w:rPr>
          <w:rFonts w:hint="eastAsia" w:ascii="宋体" w:hAnsi="宋体"/>
          <w:szCs w:val="21"/>
        </w:rPr>
        <w:t xml:space="preserve">（1）对所有的仪器进行预防性维护，按说明书的要求更换备件，更换所有泵组件。 </w:t>
      </w:r>
    </w:p>
    <w:p w14:paraId="73E715AC">
      <w:pPr>
        <w:widowControl/>
        <w:spacing w:line="480" w:lineRule="exact"/>
        <w:ind w:firstLine="420"/>
        <w:jc w:val="left"/>
        <w:rPr>
          <w:rFonts w:hint="eastAsia" w:ascii="宋体" w:hAnsi="宋体"/>
          <w:szCs w:val="21"/>
        </w:rPr>
      </w:pPr>
      <w:r>
        <w:rPr>
          <w:rFonts w:hint="eastAsia" w:ascii="宋体" w:hAnsi="宋体"/>
          <w:szCs w:val="21"/>
        </w:rPr>
        <w:t xml:space="preserve">（2）零气发生器活性炭每年至少更换一次，动态校准器每年进行一次流量校准。 </w:t>
      </w:r>
    </w:p>
    <w:p w14:paraId="6DBE134C">
      <w:pPr>
        <w:widowControl/>
        <w:spacing w:line="480" w:lineRule="exact"/>
        <w:ind w:firstLine="420"/>
        <w:jc w:val="left"/>
        <w:rPr>
          <w:rFonts w:hint="eastAsia" w:ascii="宋体" w:hAnsi="宋体"/>
          <w:szCs w:val="21"/>
        </w:rPr>
      </w:pPr>
      <w:r>
        <w:rPr>
          <w:rFonts w:hint="eastAsia" w:ascii="宋体" w:hAnsi="宋体"/>
          <w:szCs w:val="21"/>
        </w:rPr>
        <w:t xml:space="preserve">（3）每台仪器每年送质量控制室进行线性校准一次。 </w:t>
      </w:r>
    </w:p>
    <w:p w14:paraId="65E4A01C">
      <w:pPr>
        <w:widowControl/>
        <w:spacing w:line="480" w:lineRule="exact"/>
        <w:ind w:firstLine="420"/>
        <w:jc w:val="left"/>
        <w:rPr>
          <w:rFonts w:hint="eastAsia" w:ascii="宋体" w:hAnsi="宋体"/>
          <w:szCs w:val="21"/>
        </w:rPr>
      </w:pPr>
      <w:r>
        <w:rPr>
          <w:rFonts w:hint="eastAsia" w:ascii="宋体" w:hAnsi="宋体"/>
          <w:szCs w:val="21"/>
        </w:rPr>
        <w:t xml:space="preserve">（4）所有进行的操作和质量保证工作，应记录在子站运行记录上。 </w:t>
      </w:r>
    </w:p>
    <w:p w14:paraId="5A2FBAE9">
      <w:pPr>
        <w:widowControl/>
        <w:spacing w:line="480" w:lineRule="exact"/>
        <w:ind w:firstLine="420"/>
        <w:jc w:val="left"/>
        <w:rPr>
          <w:rFonts w:hint="eastAsia" w:ascii="宋体" w:hAnsi="宋体"/>
          <w:szCs w:val="21"/>
        </w:rPr>
      </w:pPr>
      <w:r>
        <w:rPr>
          <w:rFonts w:hint="eastAsia" w:ascii="宋体" w:hAnsi="宋体"/>
          <w:szCs w:val="21"/>
        </w:rPr>
        <w:t xml:space="preserve">建立维护档案 </w:t>
      </w:r>
    </w:p>
    <w:p w14:paraId="59EB1BD7">
      <w:pPr>
        <w:widowControl/>
        <w:spacing w:line="480" w:lineRule="exact"/>
        <w:ind w:firstLine="420"/>
        <w:jc w:val="left"/>
        <w:rPr>
          <w:rFonts w:hint="eastAsia" w:ascii="宋体" w:hAnsi="宋体"/>
          <w:szCs w:val="21"/>
        </w:rPr>
      </w:pPr>
      <w:r>
        <w:rPr>
          <w:rFonts w:hint="eastAsia" w:ascii="宋体" w:hAnsi="宋体"/>
          <w:szCs w:val="21"/>
        </w:rPr>
        <w:t xml:space="preserve">将子站的运行过程和运行事件进行详细记录，并进行归档管理。日常运维中使用的相关记录表格，应当使用统一样式表格。日常运维中使用运行管理相关记录至少应包括： </w:t>
      </w:r>
    </w:p>
    <w:p w14:paraId="065DB004">
      <w:pPr>
        <w:widowControl/>
        <w:spacing w:line="480" w:lineRule="exact"/>
        <w:ind w:firstLine="420"/>
        <w:jc w:val="left"/>
        <w:rPr>
          <w:rFonts w:hint="eastAsia" w:ascii="宋体" w:hAnsi="宋体"/>
          <w:szCs w:val="21"/>
        </w:rPr>
      </w:pPr>
      <w:r>
        <w:rPr>
          <w:rFonts w:hint="eastAsia" w:ascii="宋体" w:hAnsi="宋体"/>
          <w:szCs w:val="21"/>
        </w:rPr>
        <w:t xml:space="preserve">监测站运行维护记录表； </w:t>
      </w:r>
    </w:p>
    <w:p w14:paraId="5C7CF0B3">
      <w:pPr>
        <w:widowControl/>
        <w:spacing w:line="480" w:lineRule="exact"/>
        <w:ind w:firstLine="420"/>
        <w:jc w:val="left"/>
        <w:rPr>
          <w:rFonts w:hint="eastAsia" w:ascii="宋体" w:hAnsi="宋体"/>
          <w:szCs w:val="21"/>
        </w:rPr>
      </w:pPr>
      <w:r>
        <w:rPr>
          <w:rFonts w:hint="eastAsia" w:ascii="宋体" w:hAnsi="宋体"/>
          <w:szCs w:val="21"/>
        </w:rPr>
        <w:t xml:space="preserve">颗粒监测仪校准检查记录； </w:t>
      </w:r>
    </w:p>
    <w:p w14:paraId="5A8B75FD">
      <w:pPr>
        <w:widowControl/>
        <w:spacing w:line="480" w:lineRule="exact"/>
        <w:ind w:firstLine="420"/>
        <w:jc w:val="left"/>
        <w:rPr>
          <w:rFonts w:hint="eastAsia" w:ascii="宋体" w:hAnsi="宋体"/>
          <w:szCs w:val="21"/>
        </w:rPr>
      </w:pPr>
      <w:r>
        <w:rPr>
          <w:rFonts w:hint="eastAsia" w:ascii="宋体" w:hAnsi="宋体"/>
          <w:szCs w:val="21"/>
        </w:rPr>
        <w:t xml:space="preserve">监测站主要消耗材料使用登记表； </w:t>
      </w:r>
    </w:p>
    <w:p w14:paraId="659840E4">
      <w:pPr>
        <w:widowControl/>
        <w:spacing w:line="480" w:lineRule="exact"/>
        <w:ind w:firstLine="420"/>
        <w:jc w:val="left"/>
        <w:rPr>
          <w:rFonts w:hint="eastAsia" w:ascii="宋体" w:hAnsi="宋体"/>
          <w:szCs w:val="21"/>
        </w:rPr>
      </w:pPr>
      <w:r>
        <w:rPr>
          <w:rFonts w:hint="eastAsia" w:ascii="宋体" w:hAnsi="宋体"/>
          <w:szCs w:val="21"/>
        </w:rPr>
        <w:t xml:space="preserve">空气自动监测系统仪器设备维修记录表； </w:t>
      </w:r>
    </w:p>
    <w:p w14:paraId="5BDCEC3E">
      <w:pPr>
        <w:widowControl/>
        <w:spacing w:line="480" w:lineRule="exact"/>
        <w:ind w:firstLine="420"/>
        <w:jc w:val="left"/>
        <w:rPr>
          <w:rFonts w:hint="eastAsia" w:ascii="宋体" w:hAnsi="宋体"/>
          <w:szCs w:val="21"/>
        </w:rPr>
      </w:pPr>
      <w:r>
        <w:rPr>
          <w:rFonts w:hint="eastAsia" w:ascii="宋体" w:hAnsi="宋体"/>
          <w:szCs w:val="21"/>
        </w:rPr>
        <w:t xml:space="preserve">空气自动监测系统备品备件管理记录表； </w:t>
      </w:r>
    </w:p>
    <w:p w14:paraId="1F825438">
      <w:pPr>
        <w:widowControl/>
        <w:spacing w:line="480" w:lineRule="exact"/>
        <w:ind w:firstLine="420"/>
        <w:jc w:val="left"/>
        <w:rPr>
          <w:rFonts w:hint="eastAsia" w:ascii="宋体" w:hAnsi="宋体"/>
          <w:szCs w:val="21"/>
        </w:rPr>
      </w:pPr>
      <w:r>
        <w:rPr>
          <w:rFonts w:hint="eastAsia" w:ascii="宋体" w:hAnsi="宋体"/>
          <w:szCs w:val="21"/>
        </w:rPr>
        <w:t xml:space="preserve">空气自动监测系统仪器资料保管清单。 </w:t>
      </w:r>
    </w:p>
    <w:p w14:paraId="0340848D">
      <w:pPr>
        <w:widowControl/>
        <w:spacing w:line="480" w:lineRule="exact"/>
        <w:ind w:firstLine="420"/>
        <w:jc w:val="left"/>
        <w:rPr>
          <w:rFonts w:hint="eastAsia" w:ascii="宋体" w:hAnsi="宋体"/>
          <w:szCs w:val="21"/>
        </w:rPr>
      </w:pPr>
      <w:r>
        <w:rPr>
          <w:rFonts w:hint="eastAsia" w:ascii="宋体" w:hAnsi="宋体"/>
          <w:szCs w:val="21"/>
        </w:rPr>
        <w:t>2.3.2环境空气质量自动监测——超级站</w:t>
      </w:r>
    </w:p>
    <w:p w14:paraId="71D1D548">
      <w:pPr>
        <w:widowControl/>
        <w:spacing w:line="480" w:lineRule="exact"/>
        <w:ind w:firstLine="420"/>
        <w:jc w:val="left"/>
        <w:rPr>
          <w:rFonts w:hint="eastAsia" w:ascii="宋体" w:hAnsi="宋体"/>
          <w:szCs w:val="21"/>
        </w:rPr>
      </w:pPr>
      <w:r>
        <w:rPr>
          <w:rFonts w:hint="eastAsia" w:ascii="宋体" w:hAnsi="宋体"/>
          <w:szCs w:val="21"/>
        </w:rPr>
        <w:t>每天工作</w:t>
      </w:r>
    </w:p>
    <w:p w14:paraId="3EC8AE07">
      <w:pPr>
        <w:widowControl/>
        <w:spacing w:line="480" w:lineRule="exact"/>
        <w:ind w:firstLine="420"/>
        <w:jc w:val="left"/>
        <w:rPr>
          <w:rFonts w:hint="eastAsia" w:ascii="宋体" w:hAnsi="宋体"/>
          <w:szCs w:val="21"/>
        </w:rPr>
      </w:pPr>
      <w:r>
        <w:rPr>
          <w:rFonts w:hint="eastAsia" w:ascii="宋体" w:hAnsi="宋体"/>
          <w:szCs w:val="21"/>
        </w:rPr>
        <w:t>远程连接到仪器现场端进行检查，包括：</w:t>
      </w:r>
    </w:p>
    <w:p w14:paraId="3DE7C58D">
      <w:pPr>
        <w:widowControl/>
        <w:spacing w:line="480" w:lineRule="exact"/>
        <w:ind w:firstLine="420"/>
        <w:jc w:val="left"/>
        <w:rPr>
          <w:rFonts w:hint="eastAsia" w:ascii="宋体" w:hAnsi="宋体"/>
          <w:szCs w:val="21"/>
        </w:rPr>
      </w:pPr>
      <w:r>
        <w:rPr>
          <w:rFonts w:hint="eastAsia" w:ascii="宋体" w:hAnsi="宋体"/>
          <w:szCs w:val="21"/>
        </w:rPr>
        <w:t>（1）系统状态检查</w:t>
      </w:r>
    </w:p>
    <w:p w14:paraId="409E82A1">
      <w:pPr>
        <w:widowControl/>
        <w:spacing w:line="480" w:lineRule="exact"/>
        <w:ind w:firstLine="420"/>
        <w:jc w:val="left"/>
        <w:rPr>
          <w:rFonts w:hint="eastAsia" w:ascii="宋体" w:hAnsi="宋体"/>
          <w:szCs w:val="21"/>
        </w:rPr>
      </w:pPr>
      <w:r>
        <w:rPr>
          <w:rFonts w:hint="eastAsia" w:ascii="宋体" w:hAnsi="宋体"/>
          <w:szCs w:val="21"/>
        </w:rPr>
        <w:t>检查系统是否有报警等异常提示，以及富集/解析模块、分析模块的温度、气压、时间、流量、电压等重要参数是否正常。系统状态检查可通过远程或者现场检查的方式完成。</w:t>
      </w:r>
    </w:p>
    <w:p w14:paraId="4A708043">
      <w:pPr>
        <w:widowControl/>
        <w:spacing w:line="480" w:lineRule="exact"/>
        <w:ind w:firstLine="420"/>
        <w:jc w:val="left"/>
        <w:rPr>
          <w:rFonts w:hint="eastAsia" w:ascii="宋体" w:hAnsi="宋体"/>
          <w:szCs w:val="21"/>
        </w:rPr>
      </w:pPr>
      <w:r>
        <w:rPr>
          <w:rFonts w:hint="eastAsia" w:ascii="宋体" w:hAnsi="宋体"/>
          <w:szCs w:val="21"/>
        </w:rPr>
        <w:t>（2）基线检查</w:t>
      </w:r>
    </w:p>
    <w:p w14:paraId="425C3D3A">
      <w:pPr>
        <w:widowControl/>
        <w:spacing w:line="480" w:lineRule="exact"/>
        <w:ind w:firstLine="420"/>
        <w:jc w:val="left"/>
        <w:rPr>
          <w:rFonts w:hint="eastAsia" w:ascii="宋体" w:hAnsi="宋体"/>
          <w:szCs w:val="21"/>
        </w:rPr>
      </w:pPr>
      <w:r>
        <w:rPr>
          <w:rFonts w:hint="eastAsia" w:ascii="宋体" w:hAnsi="宋体"/>
          <w:szCs w:val="21"/>
        </w:rPr>
        <w:t>按照厂家说明书或作业指导书要求检查图谱基线（质谱应使用TIC图）是否存在异常漂移和波动，特别是水分对基线的影响。如存在异常漂移和波动，应及时标识或剔除异常数据或对受影响的化合物进行重积分。</w:t>
      </w:r>
    </w:p>
    <w:p w14:paraId="7FA42478">
      <w:pPr>
        <w:widowControl/>
        <w:spacing w:line="480" w:lineRule="exact"/>
        <w:ind w:firstLine="420"/>
        <w:jc w:val="left"/>
        <w:rPr>
          <w:rFonts w:hint="eastAsia" w:ascii="宋体" w:hAnsi="宋体"/>
          <w:szCs w:val="21"/>
        </w:rPr>
      </w:pPr>
      <w:r>
        <w:rPr>
          <w:rFonts w:hint="eastAsia" w:ascii="宋体" w:hAnsi="宋体"/>
          <w:szCs w:val="21"/>
        </w:rPr>
        <w:t>（3）保留时间漂移</w:t>
      </w:r>
    </w:p>
    <w:p w14:paraId="3950B40C">
      <w:pPr>
        <w:widowControl/>
        <w:spacing w:line="480" w:lineRule="exact"/>
        <w:ind w:firstLine="420"/>
        <w:jc w:val="left"/>
        <w:rPr>
          <w:rFonts w:hint="eastAsia" w:ascii="宋体" w:hAnsi="宋体"/>
          <w:szCs w:val="21"/>
        </w:rPr>
      </w:pPr>
      <w:r>
        <w:rPr>
          <w:rFonts w:hint="eastAsia" w:ascii="宋体" w:hAnsi="宋体"/>
          <w:szCs w:val="21"/>
        </w:rPr>
        <w:t>根据保留时间前、中、后各段经常检出且浓度较高的特征VOCs组分检查保留时间漂移是否超出0.5min，如超出要求应重新设置保留时间积分窗。重点关注漂移是否影响监测组分的自动积分，如有影响，应进行重积分。</w:t>
      </w:r>
    </w:p>
    <w:p w14:paraId="2D9BA62A">
      <w:pPr>
        <w:widowControl/>
        <w:spacing w:line="480" w:lineRule="exact"/>
        <w:ind w:firstLine="420"/>
        <w:jc w:val="left"/>
        <w:rPr>
          <w:rFonts w:hint="eastAsia" w:ascii="宋体" w:hAnsi="宋体"/>
          <w:szCs w:val="21"/>
        </w:rPr>
      </w:pPr>
      <w:r>
        <w:rPr>
          <w:rFonts w:hint="eastAsia" w:ascii="宋体" w:hAnsi="宋体"/>
          <w:szCs w:val="21"/>
        </w:rPr>
        <w:t>（4）质谱检测器内标响应检查</w:t>
      </w:r>
    </w:p>
    <w:p w14:paraId="03F5B413">
      <w:pPr>
        <w:widowControl/>
        <w:spacing w:line="480" w:lineRule="exact"/>
        <w:ind w:firstLine="420"/>
        <w:jc w:val="left"/>
        <w:rPr>
          <w:rFonts w:hint="eastAsia" w:ascii="宋体" w:hAnsi="宋体"/>
          <w:szCs w:val="21"/>
        </w:rPr>
      </w:pPr>
      <w:r>
        <w:rPr>
          <w:rFonts w:hint="eastAsia" w:ascii="宋体" w:hAnsi="宋体"/>
          <w:szCs w:val="21"/>
        </w:rPr>
        <w:t>对质谱内标化合物特征离子丰度进行检查，质谱内标定量离子峰面积变化应在校准曲线绘制时离子峰面积的50%~150%范围内。如系统具备氟利昂11、12、113等天然源组分的检测能力，可将其作为天然内标系统定量稳定性，具体检查方法与合格标准应根据系统作业指导书执行。</w:t>
      </w:r>
    </w:p>
    <w:p w14:paraId="7637A061">
      <w:pPr>
        <w:widowControl/>
        <w:spacing w:line="480" w:lineRule="exact"/>
        <w:ind w:firstLine="420"/>
        <w:jc w:val="left"/>
        <w:rPr>
          <w:rFonts w:hint="eastAsia" w:ascii="宋体" w:hAnsi="宋体"/>
          <w:szCs w:val="21"/>
        </w:rPr>
      </w:pPr>
      <w:r>
        <w:rPr>
          <w:rFonts w:hint="eastAsia" w:ascii="宋体" w:hAnsi="宋体"/>
          <w:szCs w:val="21"/>
        </w:rPr>
        <w:t>（5）数据标识与重积分</w:t>
      </w:r>
    </w:p>
    <w:p w14:paraId="28DAC49A">
      <w:pPr>
        <w:widowControl/>
        <w:spacing w:line="480" w:lineRule="exact"/>
        <w:ind w:firstLine="420"/>
        <w:jc w:val="left"/>
        <w:rPr>
          <w:rFonts w:hint="eastAsia" w:ascii="宋体" w:hAnsi="宋体"/>
          <w:szCs w:val="21"/>
        </w:rPr>
      </w:pPr>
      <w:r>
        <w:rPr>
          <w:rFonts w:hint="eastAsia" w:ascii="宋体" w:hAnsi="宋体"/>
          <w:szCs w:val="21"/>
        </w:rPr>
        <w:t>日审核结束后，应对异常数据进行无效标识或剔除，并对需要进行重积分的谱图和色谱峰进行重积分。</w:t>
      </w:r>
    </w:p>
    <w:p w14:paraId="73FBD066">
      <w:pPr>
        <w:widowControl/>
        <w:spacing w:line="480" w:lineRule="exact"/>
        <w:ind w:firstLine="420"/>
        <w:jc w:val="left"/>
        <w:rPr>
          <w:rFonts w:hint="eastAsia" w:ascii="宋体" w:hAnsi="宋体"/>
          <w:szCs w:val="21"/>
        </w:rPr>
      </w:pPr>
      <w:r>
        <w:rPr>
          <w:rFonts w:hint="eastAsia" w:ascii="宋体" w:hAnsi="宋体"/>
          <w:szCs w:val="21"/>
        </w:rPr>
        <w:t>关键物种检出率：常检出物种（乙烷、丙烷、正丁烷、乙烯、丙烯、乙炔、苯、甲苯、间对二甲苯）应100%检出。</w:t>
      </w:r>
    </w:p>
    <w:p w14:paraId="059B66F3">
      <w:pPr>
        <w:widowControl/>
        <w:spacing w:line="480" w:lineRule="exact"/>
        <w:ind w:firstLine="420"/>
        <w:jc w:val="left"/>
        <w:rPr>
          <w:rFonts w:hint="eastAsia" w:ascii="宋体" w:hAnsi="宋体"/>
          <w:szCs w:val="21"/>
        </w:rPr>
      </w:pPr>
      <w:r>
        <w:rPr>
          <w:rFonts w:hint="eastAsia" w:ascii="宋体" w:hAnsi="宋体"/>
          <w:szCs w:val="21"/>
        </w:rPr>
        <w:t>物种比值：甲苯/苯＞1，乙烷/乙烯＞1，丙烷/丙烯＞1。</w:t>
      </w:r>
    </w:p>
    <w:p w14:paraId="63AFC240">
      <w:pPr>
        <w:widowControl/>
        <w:spacing w:line="480" w:lineRule="exact"/>
        <w:ind w:firstLine="420"/>
        <w:jc w:val="left"/>
        <w:rPr>
          <w:rFonts w:hint="eastAsia" w:ascii="宋体" w:hAnsi="宋体"/>
          <w:szCs w:val="21"/>
        </w:rPr>
      </w:pPr>
      <w:r>
        <w:rPr>
          <w:rFonts w:hint="eastAsia" w:ascii="宋体" w:hAnsi="宋体"/>
          <w:szCs w:val="21"/>
        </w:rPr>
        <w:t>物种相关性：观察同源组分相关性（如正丁烷、异丁烷），偏差较大需进行仪器核查。</w:t>
      </w:r>
    </w:p>
    <w:p w14:paraId="30D3BA9F">
      <w:pPr>
        <w:widowControl/>
        <w:spacing w:line="480" w:lineRule="exact"/>
        <w:ind w:firstLine="420"/>
        <w:jc w:val="left"/>
        <w:rPr>
          <w:rFonts w:hint="eastAsia" w:ascii="宋体" w:hAnsi="宋体"/>
          <w:szCs w:val="21"/>
        </w:rPr>
      </w:pPr>
      <w:r>
        <w:rPr>
          <w:rFonts w:hint="eastAsia" w:ascii="宋体" w:hAnsi="宋体"/>
          <w:szCs w:val="21"/>
        </w:rPr>
        <w:t>（6）根据项目具体要求开展维护工作。</w:t>
      </w:r>
    </w:p>
    <w:p w14:paraId="30B7035F">
      <w:pPr>
        <w:widowControl/>
        <w:spacing w:line="480" w:lineRule="exact"/>
        <w:ind w:firstLine="420"/>
        <w:jc w:val="left"/>
        <w:rPr>
          <w:rFonts w:hint="eastAsia" w:ascii="宋体" w:hAnsi="宋体"/>
          <w:szCs w:val="21"/>
        </w:rPr>
      </w:pPr>
      <w:r>
        <w:rPr>
          <w:rFonts w:hint="eastAsia" w:ascii="宋体" w:hAnsi="宋体"/>
          <w:szCs w:val="21"/>
        </w:rPr>
        <w:t>每日工作</w:t>
      </w:r>
    </w:p>
    <w:p w14:paraId="5425E6E7">
      <w:pPr>
        <w:widowControl/>
        <w:spacing w:line="480" w:lineRule="exact"/>
        <w:ind w:firstLine="420"/>
        <w:jc w:val="left"/>
        <w:rPr>
          <w:rFonts w:hint="eastAsia" w:ascii="宋体" w:hAnsi="宋体"/>
          <w:szCs w:val="21"/>
        </w:rPr>
      </w:pPr>
      <w:r>
        <w:rPr>
          <w:rFonts w:hint="eastAsia" w:ascii="宋体" w:hAnsi="宋体"/>
          <w:szCs w:val="21"/>
        </w:rPr>
        <w:t>0时核查中间点浓度（2ppb），当日12点前完成数据审核。</w:t>
      </w:r>
    </w:p>
    <w:p w14:paraId="4326B4A5">
      <w:pPr>
        <w:widowControl/>
        <w:spacing w:line="480" w:lineRule="exact"/>
        <w:ind w:firstLine="420"/>
        <w:jc w:val="left"/>
        <w:rPr>
          <w:rFonts w:hint="eastAsia" w:ascii="宋体" w:hAnsi="宋体"/>
          <w:szCs w:val="21"/>
        </w:rPr>
      </w:pPr>
      <w:r>
        <w:rPr>
          <w:rFonts w:hint="eastAsia" w:ascii="宋体" w:hAnsi="宋体"/>
          <w:szCs w:val="21"/>
        </w:rPr>
        <w:t>每周工作</w:t>
      </w:r>
    </w:p>
    <w:p w14:paraId="568F5C85">
      <w:pPr>
        <w:widowControl/>
        <w:spacing w:line="480" w:lineRule="exact"/>
        <w:ind w:firstLine="420"/>
        <w:jc w:val="left"/>
        <w:rPr>
          <w:rFonts w:hint="eastAsia" w:ascii="宋体" w:hAnsi="宋体"/>
          <w:szCs w:val="21"/>
        </w:rPr>
      </w:pPr>
      <w:r>
        <w:rPr>
          <w:rFonts w:hint="eastAsia" w:ascii="宋体" w:hAnsi="宋体"/>
          <w:szCs w:val="21"/>
        </w:rPr>
        <w:t>现场巡检并根据要求做好现场检查工作，并做好相关记录，具体内容包括：</w:t>
      </w:r>
    </w:p>
    <w:p w14:paraId="67D18E51">
      <w:pPr>
        <w:widowControl/>
        <w:spacing w:line="480" w:lineRule="exact"/>
        <w:ind w:firstLine="420"/>
        <w:jc w:val="left"/>
        <w:rPr>
          <w:rFonts w:hint="eastAsia" w:ascii="宋体" w:hAnsi="宋体"/>
          <w:szCs w:val="21"/>
        </w:rPr>
      </w:pPr>
      <w:r>
        <w:rPr>
          <w:rFonts w:hint="eastAsia" w:ascii="宋体" w:hAnsi="宋体"/>
          <w:szCs w:val="21"/>
        </w:rPr>
        <w:t>（1）查看仪器及配套设备是否齐备，无丢失和损坏；钢瓶阀门是否漏气，记录钢瓶压力。</w:t>
      </w:r>
    </w:p>
    <w:p w14:paraId="645F9B15">
      <w:pPr>
        <w:widowControl/>
        <w:spacing w:line="480" w:lineRule="exact"/>
        <w:ind w:firstLine="420"/>
        <w:jc w:val="left"/>
        <w:rPr>
          <w:rFonts w:hint="eastAsia" w:ascii="宋体" w:hAnsi="宋体"/>
          <w:szCs w:val="21"/>
        </w:rPr>
      </w:pPr>
      <w:r>
        <w:rPr>
          <w:rFonts w:hint="eastAsia" w:ascii="宋体" w:hAnsi="宋体"/>
          <w:szCs w:val="21"/>
        </w:rPr>
        <w:t>（2）检查冷阱制冷状态，按要求进行预防性维护。</w:t>
      </w:r>
    </w:p>
    <w:p w14:paraId="3AEDC2D6">
      <w:pPr>
        <w:widowControl/>
        <w:spacing w:line="480" w:lineRule="exact"/>
        <w:ind w:firstLine="420"/>
        <w:jc w:val="left"/>
        <w:rPr>
          <w:rFonts w:hint="eastAsia" w:ascii="宋体" w:hAnsi="宋体"/>
          <w:szCs w:val="21"/>
        </w:rPr>
      </w:pPr>
      <w:r>
        <w:rPr>
          <w:rFonts w:hint="eastAsia" w:ascii="宋体" w:hAnsi="宋体"/>
          <w:szCs w:val="21"/>
        </w:rPr>
        <w:t>（3）根据每日的外标情况进行判断，如果30%所测量因子浓度偏差达到30%，应当月进行多点工作曲线的标定。</w:t>
      </w:r>
    </w:p>
    <w:p w14:paraId="350B8266">
      <w:pPr>
        <w:widowControl/>
        <w:spacing w:line="480" w:lineRule="exact"/>
        <w:ind w:firstLine="420"/>
        <w:jc w:val="left"/>
        <w:rPr>
          <w:rFonts w:hint="eastAsia" w:ascii="宋体" w:hAnsi="宋体"/>
          <w:szCs w:val="21"/>
        </w:rPr>
      </w:pPr>
      <w:r>
        <w:rPr>
          <w:rFonts w:hint="eastAsia" w:ascii="宋体" w:hAnsi="宋体"/>
          <w:szCs w:val="21"/>
        </w:rPr>
        <w:t>（4）富集模块硬件检查</w:t>
      </w:r>
    </w:p>
    <w:p w14:paraId="630C14AA">
      <w:pPr>
        <w:widowControl/>
        <w:spacing w:line="480" w:lineRule="exact"/>
        <w:ind w:firstLine="420"/>
        <w:jc w:val="left"/>
        <w:rPr>
          <w:rFonts w:hint="eastAsia" w:ascii="宋体" w:hAnsi="宋体"/>
          <w:szCs w:val="21"/>
        </w:rPr>
      </w:pPr>
      <w:r>
        <w:rPr>
          <w:rFonts w:hint="eastAsia" w:ascii="宋体" w:hAnsi="宋体"/>
          <w:szCs w:val="21"/>
        </w:rPr>
        <w:t>检查采样管路是否存在冷凝水(特别是夏季室内外温差较大情况)，更换采样滤膜(孔径应≤5um)，检查采样管状况。如采样管经常存在冷凝水，应适当对采样管进行加热，推荐加热温度设置为30~50℃℃且不低于室外环境空气温度。</w:t>
      </w:r>
    </w:p>
    <w:p w14:paraId="1806E6B3">
      <w:pPr>
        <w:widowControl/>
        <w:spacing w:line="480" w:lineRule="exact"/>
        <w:ind w:firstLine="420"/>
        <w:jc w:val="left"/>
        <w:rPr>
          <w:rFonts w:hint="eastAsia" w:ascii="宋体" w:hAnsi="宋体"/>
          <w:szCs w:val="21"/>
        </w:rPr>
      </w:pPr>
      <w:r>
        <w:rPr>
          <w:rFonts w:hint="eastAsia" w:ascii="宋体" w:hAnsi="宋体"/>
          <w:szCs w:val="21"/>
        </w:rPr>
        <w:t>（5）色谱与检测器硬件检查</w:t>
      </w:r>
    </w:p>
    <w:p w14:paraId="4C297EE4">
      <w:pPr>
        <w:widowControl/>
        <w:spacing w:line="480" w:lineRule="exact"/>
        <w:ind w:firstLine="420"/>
        <w:jc w:val="left"/>
        <w:rPr>
          <w:rFonts w:hint="eastAsia" w:ascii="宋体" w:hAnsi="宋体"/>
          <w:szCs w:val="21"/>
        </w:rPr>
      </w:pPr>
      <w:r>
        <w:rPr>
          <w:rFonts w:hint="eastAsia" w:ascii="宋体" w:hAnsi="宋体"/>
          <w:szCs w:val="21"/>
        </w:rPr>
        <w:t>检查载气净化装置(含除烃、除氧、除水装置等)并及时更换。检查氢气发生器运行情况(如水量等)和H2除水情况(检查干燥管)。</w:t>
      </w:r>
    </w:p>
    <w:p w14:paraId="3FB70E77">
      <w:pPr>
        <w:widowControl/>
        <w:spacing w:line="480" w:lineRule="exact"/>
        <w:ind w:firstLine="420"/>
        <w:jc w:val="left"/>
        <w:rPr>
          <w:rFonts w:hint="eastAsia" w:ascii="宋体" w:hAnsi="宋体"/>
          <w:szCs w:val="21"/>
        </w:rPr>
      </w:pPr>
      <w:r>
        <w:rPr>
          <w:rFonts w:hint="eastAsia" w:ascii="宋体" w:hAnsi="宋体"/>
          <w:szCs w:val="21"/>
        </w:rPr>
        <w:t>每季度工作</w:t>
      </w:r>
    </w:p>
    <w:p w14:paraId="22DE0FCC">
      <w:pPr>
        <w:widowControl/>
        <w:spacing w:line="480" w:lineRule="exact"/>
        <w:ind w:firstLine="420"/>
        <w:jc w:val="left"/>
        <w:rPr>
          <w:rFonts w:hint="eastAsia" w:ascii="宋体" w:hAnsi="宋体"/>
          <w:szCs w:val="21"/>
        </w:rPr>
      </w:pPr>
      <w:r>
        <w:rPr>
          <w:rFonts w:hint="eastAsia" w:ascii="宋体" w:hAnsi="宋体"/>
          <w:szCs w:val="21"/>
        </w:rPr>
        <w:t>（1）每季度应当进行GCMS调谐，并留存调谐报告。</w:t>
      </w:r>
    </w:p>
    <w:p w14:paraId="2C774758">
      <w:pPr>
        <w:widowControl/>
        <w:spacing w:line="480" w:lineRule="exact"/>
        <w:ind w:firstLine="420"/>
        <w:jc w:val="left"/>
        <w:rPr>
          <w:rFonts w:hint="eastAsia" w:ascii="宋体" w:hAnsi="宋体"/>
          <w:szCs w:val="21"/>
        </w:rPr>
      </w:pPr>
      <w:r>
        <w:rPr>
          <w:rFonts w:hint="eastAsia" w:ascii="宋体" w:hAnsi="宋体"/>
          <w:szCs w:val="21"/>
        </w:rPr>
        <w:t>（2）每季度内至少进行一次多点线性检查，多点线性检查和要求：至少6点不同浓度（参考浓度，含零点，0.4ppb、0.8ppb、1.2ppb、2ppb、4ppb）的标气开展对仪器的线性测试，以确定VOCs各组分定量的准确性，VOCs因子至少80%物种标准曲线的相关系数应满足r≥0.99且2ppb浓度偏差应小于30%。</w:t>
      </w:r>
    </w:p>
    <w:p w14:paraId="79968753">
      <w:pPr>
        <w:widowControl/>
        <w:spacing w:line="480" w:lineRule="exact"/>
        <w:ind w:firstLine="420"/>
        <w:jc w:val="left"/>
        <w:rPr>
          <w:rFonts w:hint="eastAsia" w:ascii="宋体" w:hAnsi="宋体"/>
          <w:szCs w:val="21"/>
        </w:rPr>
      </w:pPr>
      <w:r>
        <w:rPr>
          <w:rFonts w:hint="eastAsia" w:ascii="宋体" w:hAnsi="宋体"/>
          <w:szCs w:val="21"/>
        </w:rPr>
        <w:t>（3）冷凝器的清洁工作，并作好维护记录。</w:t>
      </w:r>
    </w:p>
    <w:p w14:paraId="2E29EC48">
      <w:pPr>
        <w:widowControl/>
        <w:spacing w:line="480" w:lineRule="exact"/>
        <w:ind w:firstLine="420"/>
        <w:jc w:val="left"/>
        <w:rPr>
          <w:rFonts w:hint="eastAsia" w:ascii="宋体" w:hAnsi="宋体"/>
          <w:szCs w:val="21"/>
        </w:rPr>
      </w:pPr>
      <w:r>
        <w:rPr>
          <w:rFonts w:hint="eastAsia" w:ascii="宋体" w:hAnsi="宋体"/>
          <w:szCs w:val="21"/>
        </w:rPr>
        <w:t>每年工作</w:t>
      </w:r>
    </w:p>
    <w:p w14:paraId="73E4F189">
      <w:pPr>
        <w:widowControl/>
        <w:spacing w:line="480" w:lineRule="exact"/>
        <w:ind w:firstLine="420"/>
        <w:jc w:val="left"/>
        <w:rPr>
          <w:rFonts w:hint="eastAsia" w:ascii="宋体" w:hAnsi="宋体"/>
          <w:szCs w:val="21"/>
        </w:rPr>
      </w:pPr>
      <w:r>
        <w:rPr>
          <w:rFonts w:hint="eastAsia" w:ascii="宋体" w:hAnsi="宋体"/>
          <w:szCs w:val="21"/>
        </w:rPr>
        <w:t>仪器预防性维修维护和仪器性能指标的更新或测试，具体包括：</w:t>
      </w:r>
    </w:p>
    <w:p w14:paraId="378E70AC">
      <w:pPr>
        <w:widowControl/>
        <w:spacing w:line="480" w:lineRule="exact"/>
        <w:ind w:firstLine="420"/>
        <w:jc w:val="left"/>
        <w:rPr>
          <w:rFonts w:hint="eastAsia" w:ascii="宋体" w:hAnsi="宋体"/>
          <w:szCs w:val="21"/>
        </w:rPr>
      </w:pPr>
      <w:r>
        <w:rPr>
          <w:rFonts w:hint="eastAsia" w:ascii="宋体" w:hAnsi="宋体"/>
          <w:szCs w:val="21"/>
        </w:rPr>
        <w:t>（1）按照仪器说明书要求，开展仪器的关键部件的更换或清洗，并对仪器内部管路进行清洁或更换，使得仪器性能处于一个良好的水平。</w:t>
      </w:r>
    </w:p>
    <w:p w14:paraId="289B4A4A">
      <w:pPr>
        <w:widowControl/>
        <w:spacing w:line="480" w:lineRule="exact"/>
        <w:ind w:firstLine="420"/>
        <w:jc w:val="left"/>
        <w:rPr>
          <w:rFonts w:hint="eastAsia" w:ascii="宋体" w:hAnsi="宋体"/>
          <w:szCs w:val="21"/>
        </w:rPr>
      </w:pPr>
      <w:r>
        <w:rPr>
          <w:rFonts w:hint="eastAsia" w:ascii="宋体" w:hAnsi="宋体"/>
          <w:szCs w:val="21"/>
        </w:rPr>
        <w:t>（2）开展预防性维护后或者仪器维修后，需更对仪器的检出限（连续通标准曲线最低浓度点7次开展测定）、校准曲线、准确度和精密度等指标进行重新测定，检出限应满足90%目标化合物≤0.1ppb，准确度和精密度检查，90%目标化合物的准确度≤20%，精密度应≤10%。</w:t>
      </w:r>
    </w:p>
    <w:p w14:paraId="513C5351">
      <w:pPr>
        <w:widowControl/>
        <w:spacing w:line="480" w:lineRule="exact"/>
        <w:ind w:firstLine="420"/>
        <w:jc w:val="left"/>
        <w:rPr>
          <w:rFonts w:hint="eastAsia" w:ascii="宋体" w:hAnsi="宋体"/>
          <w:szCs w:val="21"/>
        </w:rPr>
      </w:pPr>
      <w:r>
        <w:rPr>
          <w:rFonts w:hint="eastAsia" w:ascii="宋体" w:hAnsi="宋体"/>
          <w:szCs w:val="21"/>
        </w:rPr>
        <w:t>（3）每年至少进行一次离子源清洗工作。</w:t>
      </w:r>
    </w:p>
    <w:p w14:paraId="31BEDDD1">
      <w:pPr>
        <w:widowControl/>
        <w:spacing w:line="480" w:lineRule="exact"/>
        <w:ind w:firstLine="420"/>
        <w:jc w:val="left"/>
        <w:rPr>
          <w:rFonts w:hint="eastAsia" w:ascii="宋体" w:hAnsi="宋体"/>
          <w:szCs w:val="21"/>
        </w:rPr>
      </w:pPr>
      <w:r>
        <w:rPr>
          <w:rFonts w:hint="eastAsia" w:ascii="宋体" w:hAnsi="宋体"/>
          <w:szCs w:val="21"/>
        </w:rPr>
        <w:t>其他维护内容</w:t>
      </w:r>
    </w:p>
    <w:p w14:paraId="26DBFCFE">
      <w:pPr>
        <w:widowControl/>
        <w:spacing w:line="480" w:lineRule="exact"/>
        <w:ind w:firstLine="420"/>
        <w:jc w:val="left"/>
        <w:rPr>
          <w:rFonts w:hint="eastAsia" w:ascii="宋体" w:hAnsi="宋体"/>
          <w:szCs w:val="21"/>
        </w:rPr>
      </w:pPr>
      <w:r>
        <w:rPr>
          <w:rFonts w:hint="eastAsia" w:ascii="宋体" w:hAnsi="宋体"/>
          <w:szCs w:val="21"/>
        </w:rPr>
        <w:t>按照系统说明书或作业指导书要求定期更换吸附管或捕集柱、阀膜、色谱柱、质谱离子源等重要耗材。按照系统说明书或作业指导书要求做好周期性维护，及时清洁气动阀阀芯、散热风扇、火焰离子化检测器、质谱离子源等重要部件，并定期对质谱进行调谐，对检测器进行清理维护、维修、调谐后，应重新建立标准曲线。</w:t>
      </w:r>
    </w:p>
    <w:p w14:paraId="6BA01CD3">
      <w:pPr>
        <w:widowControl/>
        <w:spacing w:line="480" w:lineRule="exact"/>
        <w:ind w:firstLine="420"/>
        <w:jc w:val="left"/>
        <w:rPr>
          <w:rFonts w:hint="eastAsia" w:ascii="宋体" w:hAnsi="宋体"/>
          <w:szCs w:val="21"/>
        </w:rPr>
      </w:pPr>
      <w:r>
        <w:rPr>
          <w:rFonts w:hint="eastAsia" w:ascii="宋体" w:hAnsi="宋体"/>
          <w:szCs w:val="21"/>
        </w:rPr>
        <w:t>2.3.3环境空气质量自动监测——恶臭监测站</w:t>
      </w:r>
    </w:p>
    <w:p w14:paraId="3B722203">
      <w:pPr>
        <w:widowControl/>
        <w:spacing w:line="480" w:lineRule="exact"/>
        <w:ind w:firstLine="420"/>
        <w:jc w:val="left"/>
        <w:rPr>
          <w:rFonts w:hint="eastAsia" w:ascii="宋体" w:hAnsi="宋体"/>
          <w:szCs w:val="21"/>
        </w:rPr>
      </w:pPr>
      <w:r>
        <w:rPr>
          <w:rFonts w:hint="eastAsia" w:ascii="宋体" w:hAnsi="宋体"/>
          <w:szCs w:val="21"/>
        </w:rPr>
        <w:t>（1）运行维护操作包括基于运行维护管理平台的周监控、月巡检，每季度抽取不少于5%站点的现场检查，以及设备年度维护等。</w:t>
      </w:r>
    </w:p>
    <w:p w14:paraId="62B86E5F">
      <w:pPr>
        <w:widowControl/>
        <w:spacing w:line="480" w:lineRule="exact"/>
        <w:ind w:firstLine="420"/>
        <w:jc w:val="left"/>
        <w:rPr>
          <w:rFonts w:hint="eastAsia" w:ascii="宋体" w:hAnsi="宋体"/>
          <w:szCs w:val="21"/>
        </w:rPr>
      </w:pPr>
      <w:r>
        <w:rPr>
          <w:rFonts w:hint="eastAsia" w:ascii="宋体" w:hAnsi="宋体"/>
          <w:szCs w:val="21"/>
        </w:rPr>
        <w:t>（2）周监控：每周在运行维护管理平台检查设备在线率、报警情况等。</w:t>
      </w:r>
    </w:p>
    <w:p w14:paraId="55AEA868">
      <w:pPr>
        <w:widowControl/>
        <w:spacing w:line="480" w:lineRule="exact"/>
        <w:ind w:firstLine="420"/>
        <w:jc w:val="left"/>
        <w:rPr>
          <w:rFonts w:hint="eastAsia" w:ascii="宋体" w:hAnsi="宋体"/>
          <w:szCs w:val="21"/>
        </w:rPr>
      </w:pPr>
      <w:r>
        <w:rPr>
          <w:rFonts w:hint="eastAsia" w:ascii="宋体" w:hAnsi="宋体"/>
          <w:szCs w:val="21"/>
        </w:rPr>
        <w:t>（3）月巡检：每月在运行维护管理平台巡检网络设备运行状况不少于一次，具体内容包括设备运行状态、异常率、运行负荷、质控合格情况等。</w:t>
      </w:r>
    </w:p>
    <w:p w14:paraId="5CCC5565">
      <w:pPr>
        <w:widowControl/>
        <w:spacing w:line="480" w:lineRule="exact"/>
        <w:ind w:firstLine="420"/>
        <w:jc w:val="left"/>
        <w:rPr>
          <w:rFonts w:hint="eastAsia" w:ascii="宋体" w:hAnsi="宋体"/>
          <w:szCs w:val="21"/>
        </w:rPr>
      </w:pPr>
      <w:r>
        <w:rPr>
          <w:rFonts w:hint="eastAsia" w:ascii="宋体" w:hAnsi="宋体"/>
          <w:szCs w:val="21"/>
        </w:rPr>
        <w:t>（4）季检查：每季度抽取不少于5%站点进行现场检查，检查内容包括质量浓度准确性、平行性、设备安装状况、周边环境、设备运行状况等。</w:t>
      </w:r>
    </w:p>
    <w:p w14:paraId="6A234181">
      <w:pPr>
        <w:widowControl/>
        <w:spacing w:line="480" w:lineRule="exact"/>
        <w:ind w:firstLine="420"/>
        <w:jc w:val="left"/>
        <w:rPr>
          <w:rFonts w:hint="eastAsia" w:ascii="宋体" w:hAnsi="宋体"/>
          <w:szCs w:val="21"/>
        </w:rPr>
      </w:pPr>
      <w:r>
        <w:rPr>
          <w:rFonts w:hint="eastAsia" w:ascii="宋体" w:hAnsi="宋体"/>
          <w:szCs w:val="21"/>
        </w:rPr>
        <w:t>（5）年度更换：进行气路清理、粒径与数浓度、温度、湿度、流量检查等工作。</w:t>
      </w:r>
    </w:p>
    <w:p w14:paraId="59695AC6">
      <w:pPr>
        <w:widowControl/>
        <w:spacing w:line="480" w:lineRule="exact"/>
        <w:ind w:firstLine="420"/>
        <w:jc w:val="left"/>
        <w:rPr>
          <w:rFonts w:hint="eastAsia" w:ascii="宋体" w:hAnsi="宋体"/>
          <w:szCs w:val="21"/>
        </w:rPr>
      </w:pPr>
      <w:r>
        <w:rPr>
          <w:rFonts w:hint="eastAsia" w:ascii="宋体" w:hAnsi="宋体"/>
          <w:szCs w:val="21"/>
        </w:rPr>
        <w:t>2.3.4环境空气质量自动监测——微型站</w:t>
      </w:r>
    </w:p>
    <w:p w14:paraId="52EE3F78">
      <w:pPr>
        <w:widowControl/>
        <w:spacing w:line="480" w:lineRule="exact"/>
        <w:ind w:firstLine="420"/>
        <w:jc w:val="left"/>
        <w:rPr>
          <w:rFonts w:hint="eastAsia" w:ascii="宋体" w:hAnsi="宋体"/>
          <w:szCs w:val="21"/>
        </w:rPr>
      </w:pPr>
      <w:r>
        <w:rPr>
          <w:rFonts w:hint="eastAsia" w:ascii="宋体" w:hAnsi="宋体"/>
          <w:szCs w:val="21"/>
        </w:rPr>
        <w:t>（1）运行维护操作包括基于运行维护管理平台的周监控、月巡检，每季度抽取不少于5%站点的现场检查，以及设备年度维护等。</w:t>
      </w:r>
    </w:p>
    <w:p w14:paraId="104AEDBD">
      <w:pPr>
        <w:widowControl/>
        <w:spacing w:line="480" w:lineRule="exact"/>
        <w:ind w:firstLine="420"/>
        <w:jc w:val="left"/>
        <w:rPr>
          <w:rFonts w:hint="eastAsia" w:ascii="宋体" w:hAnsi="宋体"/>
          <w:szCs w:val="21"/>
        </w:rPr>
      </w:pPr>
      <w:r>
        <w:rPr>
          <w:rFonts w:hint="eastAsia" w:ascii="宋体" w:hAnsi="宋体"/>
          <w:szCs w:val="21"/>
        </w:rPr>
        <w:t>（2）周监控：每周在运行维护管理平台检查设备在线率、报警情况等。</w:t>
      </w:r>
    </w:p>
    <w:p w14:paraId="524B6E07">
      <w:pPr>
        <w:widowControl/>
        <w:spacing w:line="480" w:lineRule="exact"/>
        <w:ind w:firstLine="420"/>
        <w:jc w:val="left"/>
        <w:rPr>
          <w:rFonts w:hint="eastAsia" w:ascii="宋体" w:hAnsi="宋体"/>
          <w:szCs w:val="21"/>
        </w:rPr>
      </w:pPr>
      <w:r>
        <w:rPr>
          <w:rFonts w:hint="eastAsia" w:ascii="宋体" w:hAnsi="宋体"/>
          <w:szCs w:val="21"/>
        </w:rPr>
        <w:t>（3）月巡检：每月在运行维护管理平台巡检网络设备运行状况不少于一次，具体内容包括设备运行状态、异常率、运行负荷、质控合格情况等。</w:t>
      </w:r>
    </w:p>
    <w:p w14:paraId="27D569A2">
      <w:pPr>
        <w:widowControl/>
        <w:spacing w:line="480" w:lineRule="exact"/>
        <w:ind w:firstLine="420"/>
        <w:jc w:val="left"/>
        <w:rPr>
          <w:rFonts w:hint="eastAsia" w:ascii="宋体" w:hAnsi="宋体"/>
          <w:szCs w:val="21"/>
        </w:rPr>
      </w:pPr>
      <w:r>
        <w:rPr>
          <w:rFonts w:hint="eastAsia" w:ascii="宋体" w:hAnsi="宋体"/>
          <w:szCs w:val="21"/>
        </w:rPr>
        <w:t>（4）季检查：每季度抽取不少于5%站点进行现场检查，检查内容包括质量浓度准确性、平行性、设备安装状况、周边环境、设备运行状况等。</w:t>
      </w:r>
    </w:p>
    <w:p w14:paraId="38B6064C">
      <w:pPr>
        <w:widowControl/>
        <w:spacing w:line="480" w:lineRule="exact"/>
        <w:ind w:firstLine="420"/>
        <w:jc w:val="left"/>
        <w:rPr>
          <w:rFonts w:hint="eastAsia" w:ascii="宋体" w:hAnsi="宋体"/>
          <w:szCs w:val="21"/>
        </w:rPr>
      </w:pPr>
      <w:r>
        <w:rPr>
          <w:rFonts w:hint="eastAsia" w:ascii="宋体" w:hAnsi="宋体"/>
          <w:szCs w:val="21"/>
        </w:rPr>
        <w:t>（5）年度更换：进行气路清理、粒径与数浓度、温度、湿度、流量检查等工作。</w:t>
      </w:r>
    </w:p>
    <w:p w14:paraId="6ACF3CD6">
      <w:pPr>
        <w:widowControl/>
        <w:spacing w:line="480" w:lineRule="exact"/>
        <w:ind w:firstLine="420"/>
        <w:jc w:val="left"/>
        <w:rPr>
          <w:rFonts w:hint="eastAsia" w:ascii="宋体" w:hAnsi="宋体"/>
          <w:szCs w:val="21"/>
        </w:rPr>
      </w:pPr>
      <w:r>
        <w:rPr>
          <w:rFonts w:hint="eastAsia" w:ascii="宋体" w:hAnsi="宋体"/>
          <w:szCs w:val="21"/>
        </w:rPr>
        <w:t>2.3.5水质自动监测站</w:t>
      </w:r>
    </w:p>
    <w:p w14:paraId="5AECEA3D">
      <w:pPr>
        <w:widowControl/>
        <w:spacing w:line="480" w:lineRule="exact"/>
        <w:ind w:firstLine="420"/>
        <w:jc w:val="left"/>
        <w:rPr>
          <w:rFonts w:hint="eastAsia" w:ascii="宋体" w:hAnsi="宋体"/>
          <w:szCs w:val="21"/>
        </w:rPr>
      </w:pPr>
      <w:r>
        <w:rPr>
          <w:rFonts w:hint="eastAsia" w:ascii="宋体" w:hAnsi="宋体"/>
          <w:szCs w:val="21"/>
        </w:rPr>
        <w:t>总体维护要求</w:t>
      </w:r>
    </w:p>
    <w:p w14:paraId="0EAB8236">
      <w:pPr>
        <w:widowControl/>
        <w:spacing w:line="480" w:lineRule="exact"/>
        <w:ind w:firstLine="420"/>
        <w:jc w:val="left"/>
        <w:rPr>
          <w:rFonts w:hint="eastAsia" w:ascii="宋体" w:hAnsi="宋体"/>
          <w:szCs w:val="21"/>
        </w:rPr>
      </w:pPr>
      <w:r>
        <w:rPr>
          <w:rFonts w:hint="eastAsia" w:ascii="宋体" w:hAnsi="宋体"/>
          <w:szCs w:val="21"/>
        </w:rPr>
        <w:t>（1）每天对水质自动站整个系统进行维护检查，通过宏观检查各仪器运行的状况。每周在现场观察系统运行一个完整的周期，检查整个系统运行状况。通过每日监控、每周巡查，确保仪器设备和系统处于正常的运行状况。</w:t>
      </w:r>
    </w:p>
    <w:p w14:paraId="43C96E1A">
      <w:pPr>
        <w:widowControl/>
        <w:spacing w:line="480" w:lineRule="exact"/>
        <w:ind w:firstLine="420"/>
        <w:jc w:val="left"/>
        <w:rPr>
          <w:rFonts w:hint="eastAsia" w:ascii="宋体" w:hAnsi="宋体"/>
          <w:szCs w:val="21"/>
        </w:rPr>
      </w:pPr>
      <w:r>
        <w:rPr>
          <w:rFonts w:hint="eastAsia" w:ascii="宋体" w:hAnsi="宋体"/>
          <w:szCs w:val="21"/>
        </w:rPr>
        <w:t>（2）每日检查数据是否及时上传并正常发布，发现数据断网及时恢复。每天通过管理平台完成对前一日各监测点位原始小时值的审核，并向用户提交小时值审核结果、日均值审核结果；数据审核报送工作完全按照省生态环境厅统一时限考核要求完成，对于未能按时在规定时间内完成审核的数据，按省生态环境厅统一要求，以正式文件形式向委托单位报送书面审核结果及未能按时完成审核的原因。同时每月1日16 时前将上月所有审核结果报送至用户。</w:t>
      </w:r>
    </w:p>
    <w:p w14:paraId="438477CE">
      <w:pPr>
        <w:widowControl/>
        <w:spacing w:line="480" w:lineRule="exact"/>
        <w:ind w:firstLine="420"/>
        <w:jc w:val="left"/>
        <w:rPr>
          <w:rFonts w:hint="eastAsia" w:ascii="宋体" w:hAnsi="宋体"/>
          <w:szCs w:val="21"/>
        </w:rPr>
      </w:pPr>
      <w:r>
        <w:rPr>
          <w:rFonts w:hint="eastAsia" w:ascii="宋体" w:hAnsi="宋体"/>
          <w:szCs w:val="21"/>
        </w:rPr>
        <w:t>运行维护内容及要求</w:t>
      </w:r>
    </w:p>
    <w:p w14:paraId="72363404">
      <w:pPr>
        <w:widowControl/>
        <w:spacing w:line="480" w:lineRule="exact"/>
        <w:ind w:firstLine="420"/>
        <w:jc w:val="left"/>
        <w:rPr>
          <w:rFonts w:hint="eastAsia" w:ascii="宋体" w:hAnsi="宋体"/>
          <w:szCs w:val="21"/>
        </w:rPr>
      </w:pPr>
      <w:r>
        <w:rPr>
          <w:rFonts w:hint="eastAsia" w:ascii="宋体" w:hAnsi="宋体"/>
          <w:szCs w:val="21"/>
        </w:rPr>
        <w:t>每周工作内容</w:t>
      </w:r>
    </w:p>
    <w:p w14:paraId="6C8A3D8A">
      <w:pPr>
        <w:widowControl/>
        <w:spacing w:line="480" w:lineRule="exact"/>
        <w:ind w:firstLine="420"/>
        <w:jc w:val="left"/>
        <w:rPr>
          <w:rFonts w:hint="eastAsia" w:ascii="宋体" w:hAnsi="宋体"/>
          <w:szCs w:val="21"/>
        </w:rPr>
      </w:pPr>
      <w:r>
        <w:rPr>
          <w:rFonts w:hint="eastAsia" w:ascii="宋体" w:hAnsi="宋体"/>
          <w:szCs w:val="21"/>
        </w:rPr>
        <w:t>（1）检查水质自动监测站电路系统是否正常，接地线路是否可靠，检查采样和排液管路是否有漏液或堵塞现象，排水排气装置工作是否正常。</w:t>
      </w:r>
    </w:p>
    <w:p w14:paraId="4A64F4EF">
      <w:pPr>
        <w:widowControl/>
        <w:spacing w:line="480" w:lineRule="exact"/>
        <w:ind w:firstLine="420"/>
        <w:jc w:val="left"/>
        <w:rPr>
          <w:rFonts w:hint="eastAsia" w:ascii="宋体" w:hAnsi="宋体"/>
          <w:szCs w:val="21"/>
        </w:rPr>
      </w:pPr>
      <w:r>
        <w:rPr>
          <w:rFonts w:hint="eastAsia" w:ascii="宋体" w:hAnsi="宋体"/>
          <w:szCs w:val="21"/>
        </w:rPr>
        <w:t>（2）检查采配水单元是否正常，如采水浮筒固定情况，自吸泵运行情况等；定期清洗采配水系统，包括采水头、吊桶、泵体、沉砂池、过滤头、水样杯、阀门、管路等，对于无法清洗干净的须及时更换。</w:t>
      </w:r>
    </w:p>
    <w:p w14:paraId="67CF7035">
      <w:pPr>
        <w:widowControl/>
        <w:spacing w:line="480" w:lineRule="exact"/>
        <w:ind w:firstLine="420"/>
        <w:jc w:val="left"/>
        <w:rPr>
          <w:rFonts w:hint="eastAsia" w:ascii="宋体" w:hAnsi="宋体"/>
          <w:szCs w:val="21"/>
        </w:rPr>
      </w:pPr>
      <w:r>
        <w:rPr>
          <w:rFonts w:hint="eastAsia" w:ascii="宋体" w:hAnsi="宋体"/>
          <w:szCs w:val="21"/>
        </w:rPr>
        <w:t>（3）检查工控机运行状态，检查上传至平台数据和现场数据的一致性，检查仪器与系统的通讯线路是否正常。</w:t>
      </w:r>
    </w:p>
    <w:p w14:paraId="47C02BE8">
      <w:pPr>
        <w:widowControl/>
        <w:spacing w:line="480" w:lineRule="exact"/>
        <w:ind w:firstLine="420"/>
        <w:jc w:val="left"/>
        <w:rPr>
          <w:rFonts w:hint="eastAsia" w:ascii="宋体" w:hAnsi="宋体"/>
          <w:szCs w:val="21"/>
        </w:rPr>
      </w:pPr>
      <w:r>
        <w:rPr>
          <w:rFonts w:hint="eastAsia" w:ascii="宋体" w:hAnsi="宋体"/>
          <w:szCs w:val="21"/>
        </w:rPr>
        <w:t>（4）查看水质自动分析仪器及辅助设备的运行状态和主要技术参数，判断运行是否正常。检查有无漏液，进样管路、试剂管路中是否有气泡存在，如有及时将气泡排出。</w:t>
      </w:r>
    </w:p>
    <w:p w14:paraId="0913AF30">
      <w:pPr>
        <w:widowControl/>
        <w:spacing w:line="480" w:lineRule="exact"/>
        <w:ind w:firstLine="420"/>
        <w:jc w:val="left"/>
        <w:rPr>
          <w:rFonts w:hint="eastAsia" w:ascii="宋体" w:hAnsi="宋体"/>
          <w:szCs w:val="21"/>
        </w:rPr>
      </w:pPr>
      <w:r>
        <w:rPr>
          <w:rFonts w:hint="eastAsia" w:ascii="宋体" w:hAnsi="宋体"/>
          <w:szCs w:val="21"/>
        </w:rPr>
        <w:t>（5）检查空调及保温措施，检查水泵及空压机固定情况，避免仪器振动。检查不间断电源（UPS）除藻装置、纯水机等外部保障设施运行状态，并及时更换耗材。</w:t>
      </w:r>
    </w:p>
    <w:p w14:paraId="3D0F8F0D">
      <w:pPr>
        <w:widowControl/>
        <w:spacing w:line="480" w:lineRule="exact"/>
        <w:ind w:firstLine="420"/>
        <w:jc w:val="left"/>
        <w:rPr>
          <w:rFonts w:hint="eastAsia" w:ascii="宋体" w:hAnsi="宋体"/>
          <w:szCs w:val="21"/>
        </w:rPr>
      </w:pPr>
      <w:r>
        <w:rPr>
          <w:rFonts w:hint="eastAsia" w:ascii="宋体" w:hAnsi="宋体"/>
          <w:szCs w:val="21"/>
        </w:rPr>
        <w:t>（6）检查试剂使用状况，定期添加、更换试剂。</w:t>
      </w:r>
    </w:p>
    <w:p w14:paraId="2CCCEB07">
      <w:pPr>
        <w:widowControl/>
        <w:spacing w:line="480" w:lineRule="exact"/>
        <w:ind w:firstLine="420"/>
        <w:jc w:val="left"/>
        <w:rPr>
          <w:rFonts w:hint="eastAsia" w:ascii="宋体" w:hAnsi="宋体"/>
          <w:szCs w:val="21"/>
        </w:rPr>
      </w:pPr>
      <w:r>
        <w:rPr>
          <w:rFonts w:hint="eastAsia" w:ascii="宋体" w:hAnsi="宋体"/>
          <w:szCs w:val="21"/>
        </w:rPr>
        <w:t>（7）检查防雷设施是否可靠，站房是否有漏水现象，站房外围的其他设施是否有损坏，如遇到以上问题及时处理，保证水质自动监测站系统安全运行。在封冻期来临前做好采水管路和站房保温等维护工作。</w:t>
      </w:r>
    </w:p>
    <w:p w14:paraId="0C44DAC3">
      <w:pPr>
        <w:widowControl/>
        <w:spacing w:line="480" w:lineRule="exact"/>
        <w:ind w:firstLine="420"/>
        <w:jc w:val="left"/>
        <w:rPr>
          <w:rFonts w:hint="eastAsia" w:ascii="宋体" w:hAnsi="宋体"/>
          <w:szCs w:val="21"/>
        </w:rPr>
      </w:pPr>
      <w:r>
        <w:rPr>
          <w:rFonts w:hint="eastAsia" w:ascii="宋体" w:hAnsi="宋体"/>
          <w:szCs w:val="21"/>
        </w:rPr>
        <w:t>（8）做好废液收集并按相关规定做好处置工作。</w:t>
      </w:r>
    </w:p>
    <w:p w14:paraId="2E0E0ED7">
      <w:pPr>
        <w:widowControl/>
        <w:spacing w:line="480" w:lineRule="exact"/>
        <w:ind w:firstLine="420"/>
        <w:jc w:val="left"/>
        <w:rPr>
          <w:rFonts w:hint="eastAsia" w:ascii="宋体" w:hAnsi="宋体"/>
          <w:szCs w:val="21"/>
        </w:rPr>
      </w:pPr>
      <w:r>
        <w:rPr>
          <w:rFonts w:hint="eastAsia" w:ascii="宋体" w:hAnsi="宋体"/>
          <w:szCs w:val="21"/>
        </w:rPr>
        <w:t>（9）保持水质自动监测站站房及各仪器干净整洁，及时关闭门窗，避免日光直射各类分析仪器。</w:t>
      </w:r>
    </w:p>
    <w:p w14:paraId="7F5F1A8A">
      <w:pPr>
        <w:widowControl/>
        <w:spacing w:line="480" w:lineRule="exact"/>
        <w:ind w:firstLine="420"/>
        <w:jc w:val="left"/>
        <w:rPr>
          <w:rFonts w:hint="eastAsia" w:ascii="宋体" w:hAnsi="宋体"/>
          <w:szCs w:val="21"/>
        </w:rPr>
      </w:pPr>
      <w:r>
        <w:rPr>
          <w:rFonts w:hint="eastAsia" w:ascii="宋体" w:hAnsi="宋体"/>
          <w:szCs w:val="21"/>
        </w:rPr>
        <w:t>每月工作内容</w:t>
      </w:r>
    </w:p>
    <w:p w14:paraId="5B31D155">
      <w:pPr>
        <w:widowControl/>
        <w:spacing w:line="480" w:lineRule="exact"/>
        <w:ind w:firstLine="420"/>
        <w:jc w:val="left"/>
        <w:rPr>
          <w:rFonts w:hint="eastAsia" w:ascii="宋体" w:hAnsi="宋体"/>
          <w:szCs w:val="21"/>
        </w:rPr>
      </w:pPr>
      <w:r>
        <w:rPr>
          <w:rFonts w:hint="eastAsia" w:ascii="宋体" w:hAnsi="宋体"/>
          <w:szCs w:val="21"/>
        </w:rPr>
        <w:t>（1）站房:保证站房空调及取暖设施运行正常，定期对空调进行全面的清洗。</w:t>
      </w:r>
    </w:p>
    <w:p w14:paraId="5306EAD1">
      <w:pPr>
        <w:widowControl/>
        <w:spacing w:line="480" w:lineRule="exact"/>
        <w:ind w:firstLine="420"/>
        <w:jc w:val="left"/>
        <w:rPr>
          <w:rFonts w:hint="eastAsia" w:ascii="宋体" w:hAnsi="宋体"/>
          <w:szCs w:val="21"/>
        </w:rPr>
      </w:pPr>
      <w:r>
        <w:rPr>
          <w:rFonts w:hint="eastAsia" w:ascii="宋体" w:hAnsi="宋体"/>
          <w:szCs w:val="21"/>
        </w:rPr>
        <w:t>（2）分析单元:应依据断面水质状况、水质自动监测站环境条件和分析仪器的要求，制定易耗品（如泵管、滤膜、活性碳及干燥剂等）的更换周期，做到定期更换；对使用期限有规定的备品备件，必须严格按使用规定期限予以更换。水质自动监测站仪器所用试剂的更换周期应根据试剂稳定性和保质期确定，室内温度较高时应缩短更换周期，试剂的更换周期不得超过30天。根据水质自动监测站运行的环境状况，在规定的时间对仪器设备进行预防性检修。每月至少进行一次多点线性核查，在自动分析仪器当前量程范围内均匀选择5个浓度标准溶液（须包括空白）。</w:t>
      </w:r>
    </w:p>
    <w:p w14:paraId="13262B40">
      <w:pPr>
        <w:widowControl/>
        <w:spacing w:line="480" w:lineRule="exact"/>
        <w:ind w:firstLine="420"/>
        <w:jc w:val="left"/>
        <w:rPr>
          <w:rFonts w:hint="eastAsia" w:ascii="宋体" w:hAnsi="宋体"/>
          <w:szCs w:val="21"/>
        </w:rPr>
      </w:pPr>
      <w:r>
        <w:rPr>
          <w:rFonts w:hint="eastAsia" w:ascii="宋体" w:hAnsi="宋体"/>
          <w:szCs w:val="21"/>
        </w:rPr>
        <w:t>（3）采配水单元：定期检查采水、配水单元是否正常运行，清洗采水头。对于潜水泵，应定期清洗泵体、载体。取水管路应检查是否出现弯折现象，是否畅通，并清理采水头周边杂物，泥沙含量大或藻类密集的断面应视情况进行人工清洗。每月至少清洗一次采配水单元的取水管路、五参数池、沉淀池、过滤芯、配水管路和采样杯等部件。</w:t>
      </w:r>
    </w:p>
    <w:p w14:paraId="45A36E89">
      <w:pPr>
        <w:widowControl/>
        <w:spacing w:line="480" w:lineRule="exact"/>
        <w:ind w:firstLine="420"/>
        <w:jc w:val="left"/>
        <w:rPr>
          <w:rFonts w:hint="eastAsia" w:ascii="宋体" w:hAnsi="宋体"/>
          <w:szCs w:val="21"/>
        </w:rPr>
      </w:pPr>
      <w:r>
        <w:rPr>
          <w:rFonts w:hint="eastAsia" w:ascii="宋体" w:hAnsi="宋体"/>
          <w:szCs w:val="21"/>
        </w:rPr>
        <w:t>（4）控制单元及通讯单元：定期对工控机进行断电重启，查看工控机是否可以自动启动，并运行操作系统、加载现场监控软件，查看串口通讯是否正常。定期对网络通讯设备进行断电重启，查看启动后是否通讯正常。每月检查开机过程中硬件自检过程是否有异常数据传输和报警。每月对工控机进行杀毒，防止病毒损坏软件。</w:t>
      </w:r>
    </w:p>
    <w:p w14:paraId="07B7D365">
      <w:pPr>
        <w:widowControl/>
        <w:spacing w:line="480" w:lineRule="exact"/>
        <w:ind w:firstLine="420"/>
        <w:jc w:val="left"/>
        <w:rPr>
          <w:rFonts w:hint="eastAsia" w:ascii="宋体" w:hAnsi="宋体"/>
          <w:szCs w:val="21"/>
        </w:rPr>
      </w:pPr>
      <w:r>
        <w:rPr>
          <w:rFonts w:hint="eastAsia" w:ascii="宋体" w:hAnsi="宋体"/>
          <w:szCs w:val="21"/>
        </w:rPr>
        <w:t>（5）辅助设备：定期检查稳压电源及UPS的输出是否符合技术要求，突发异常情况须及时排查处理。每月至少检查一次空气压缩机气泵和清水增压泵的工作状况，并对空气过滤器放水。定期更换纯水机滤芯。定期检查摄像头是否破损，视频设备功能是否正常，包括摄像、视频存储、云台控制等。</w:t>
      </w:r>
    </w:p>
    <w:p w14:paraId="3EFAD70F">
      <w:pPr>
        <w:widowControl/>
        <w:spacing w:line="480" w:lineRule="exact"/>
        <w:ind w:firstLine="420"/>
        <w:jc w:val="left"/>
        <w:rPr>
          <w:rFonts w:hint="eastAsia" w:ascii="宋体" w:hAnsi="宋体"/>
          <w:szCs w:val="21"/>
        </w:rPr>
      </w:pPr>
      <w:r>
        <w:rPr>
          <w:rFonts w:hint="eastAsia" w:ascii="宋体" w:hAnsi="宋体"/>
          <w:szCs w:val="21"/>
        </w:rPr>
        <w:t>（6）其它：每月对水质自动监测站监测数据进行一次备份，备份数据单独存储；每月对备用仪器进行一次校准和标样核查。</w:t>
      </w:r>
    </w:p>
    <w:p w14:paraId="60F63617">
      <w:pPr>
        <w:widowControl/>
        <w:spacing w:line="480" w:lineRule="exact"/>
        <w:ind w:firstLine="420"/>
        <w:jc w:val="left"/>
        <w:rPr>
          <w:rFonts w:hint="eastAsia" w:ascii="宋体" w:hAnsi="宋体"/>
          <w:szCs w:val="21"/>
        </w:rPr>
      </w:pPr>
      <w:r>
        <w:rPr>
          <w:rFonts w:hint="eastAsia" w:ascii="宋体" w:hAnsi="宋体"/>
          <w:szCs w:val="21"/>
        </w:rPr>
        <w:t>2.4考核要求</w:t>
      </w:r>
    </w:p>
    <w:p w14:paraId="1D994AF2">
      <w:pPr>
        <w:widowControl/>
        <w:spacing w:line="480" w:lineRule="exact"/>
        <w:ind w:firstLine="420"/>
        <w:jc w:val="left"/>
        <w:rPr>
          <w:rFonts w:hint="eastAsia" w:ascii="宋体" w:hAnsi="宋体"/>
          <w:szCs w:val="21"/>
        </w:rPr>
      </w:pPr>
      <w:r>
        <w:rPr>
          <w:rFonts w:hint="eastAsia" w:ascii="宋体" w:hAnsi="宋体"/>
          <w:szCs w:val="21"/>
        </w:rPr>
        <w:t>2.4.1每周提供1份运维服务周报。</w:t>
      </w:r>
    </w:p>
    <w:p w14:paraId="2A334CD4">
      <w:pPr>
        <w:widowControl/>
        <w:spacing w:line="480" w:lineRule="exact"/>
        <w:ind w:firstLine="420"/>
        <w:jc w:val="left"/>
        <w:rPr>
          <w:rFonts w:hint="eastAsia" w:ascii="宋体" w:hAnsi="宋体"/>
          <w:szCs w:val="21"/>
        </w:rPr>
      </w:pPr>
      <w:r>
        <w:rPr>
          <w:rFonts w:hint="eastAsia" w:ascii="宋体" w:hAnsi="宋体"/>
          <w:szCs w:val="21"/>
        </w:rPr>
        <w:t>2.4.2 供应商应承担监测数据的保密责任，未经采购人同意，不得利用本项目的数据、档案或有关资料对外开展技术交流、业务联系、数据交换等。</w:t>
      </w:r>
    </w:p>
    <w:p w14:paraId="43E945B1">
      <w:pPr>
        <w:widowControl/>
        <w:spacing w:line="480" w:lineRule="exact"/>
        <w:ind w:firstLine="420"/>
        <w:jc w:val="left"/>
        <w:rPr>
          <w:rFonts w:hint="eastAsia" w:ascii="宋体" w:hAnsi="宋体"/>
          <w:szCs w:val="21"/>
        </w:rPr>
      </w:pPr>
      <w:r>
        <w:rPr>
          <w:rFonts w:hint="eastAsia" w:ascii="宋体" w:hAnsi="宋体"/>
          <w:szCs w:val="21"/>
        </w:rPr>
        <w:t>2.5</w:t>
      </w:r>
      <w:r>
        <w:rPr>
          <w:rFonts w:hint="eastAsia" w:ascii="宋体" w:hAnsi="宋体" w:cs="宋体"/>
          <w:szCs w:val="21"/>
          <w:shd w:val="clear" w:color="auto" w:fill="FFFFFF"/>
        </w:rPr>
        <w:t>合同履行期限</w:t>
      </w:r>
      <w:r>
        <w:rPr>
          <w:rFonts w:hint="eastAsia" w:ascii="宋体" w:hAnsi="宋体"/>
          <w:szCs w:val="21"/>
        </w:rPr>
        <w:t xml:space="preserve"> </w:t>
      </w:r>
    </w:p>
    <w:p w14:paraId="0CCA0EA8">
      <w:pPr>
        <w:widowControl/>
        <w:spacing w:line="480" w:lineRule="exact"/>
        <w:ind w:firstLine="420"/>
        <w:jc w:val="left"/>
        <w:rPr>
          <w:rFonts w:hint="eastAsia" w:ascii="Times New Roman" w:hAnsi="宋体" w:eastAsia="宋体" w:cs="Times New Roman"/>
          <w:sz w:val="18"/>
          <w:szCs w:val="18"/>
          <w:highlight w:val="yellow"/>
        </w:rPr>
      </w:pPr>
      <w:r>
        <w:rPr>
          <w:rFonts w:hint="eastAsia" w:ascii="宋体" w:hAnsi="宋体" w:eastAsia="宋体" w:cs="Times New Roman"/>
          <w:szCs w:val="21"/>
          <w:highlight w:val="yellow"/>
        </w:rPr>
        <w:t>两年，自签订合同之日起算。</w:t>
      </w:r>
      <w:r>
        <w:rPr>
          <w:rFonts w:hint="eastAsia" w:ascii="宋体" w:hAnsi="宋体" w:eastAsia="宋体" w:cs="宋体"/>
          <w:szCs w:val="21"/>
          <w:highlight w:val="yellow"/>
        </w:rPr>
        <w:t>其中试用期3个月，如试用期不符合甲方要求的，甲方有权解除合同，不予支付任何费用</w:t>
      </w:r>
      <w:r>
        <w:rPr>
          <w:rFonts w:hint="eastAsia" w:ascii="宋体" w:hAnsi="宋体" w:eastAsia="宋体" w:cs="Times New Roman"/>
          <w:szCs w:val="21"/>
          <w:highlight w:val="yellow"/>
        </w:rPr>
        <w:t>。服务期满一年后，招标人对中标人的上年度服务质量根据本项目招标文件、考核要求、合同及国家、省、市现行相关的法律法规进行考核，如达不到考核标准，招标人有权终止合同，中标人须无条件接受，并在收到书面终止服务通知后10个工作日内无条件撤离，如不能按期撤离，则按违约金500元/天由招标人在合同价款中扣除。</w:t>
      </w:r>
    </w:p>
    <w:p w14:paraId="4D43B580">
      <w:pPr>
        <w:adjustRightInd w:val="0"/>
        <w:snapToGrid w:val="0"/>
        <w:spacing w:line="500" w:lineRule="exact"/>
        <w:rPr>
          <w:rFonts w:hint="eastAsia" w:ascii="宋体" w:hAnsi="宋体" w:cs="宋体"/>
          <w:b/>
          <w:bCs/>
          <w:color w:val="000000"/>
          <w:szCs w:val="21"/>
        </w:rPr>
      </w:pPr>
      <w:r>
        <w:rPr>
          <w:rFonts w:hint="eastAsia" w:ascii="宋体" w:hAnsi="宋体" w:cs="宋体"/>
          <w:b/>
          <w:bCs/>
          <w:color w:val="000000"/>
          <w:szCs w:val="21"/>
        </w:rPr>
        <w:t>3、服务保障和承诺要求</w:t>
      </w:r>
    </w:p>
    <w:p w14:paraId="3996BBDA">
      <w:pPr>
        <w:ind w:firstLine="480"/>
        <w:rPr>
          <w:rFonts w:hint="eastAsia" w:ascii="宋体" w:hAnsi="宋体" w:cs="宋体"/>
          <w:color w:val="000000"/>
          <w:szCs w:val="21"/>
        </w:rPr>
      </w:pPr>
      <w:r>
        <w:rPr>
          <w:rFonts w:hint="eastAsia" w:ascii="宋体" w:hAnsi="宋体" w:cs="宋体"/>
          <w:color w:val="000000"/>
          <w:szCs w:val="21"/>
        </w:rPr>
        <w:t>1. 各投标人必须严格按照本次招标要求进行合理报价，如后期出现服务重大失误或严重违约情形视同虚假承诺谋取中标成交，将被列入不良行为记录名单。</w:t>
      </w:r>
    </w:p>
    <w:p w14:paraId="66B1778E">
      <w:pPr>
        <w:ind w:firstLine="480"/>
        <w:rPr>
          <w:rFonts w:hint="eastAsia" w:ascii="宋体" w:hAnsi="宋体" w:cs="宋体"/>
          <w:color w:val="000000"/>
          <w:szCs w:val="21"/>
        </w:rPr>
      </w:pPr>
      <w:r>
        <w:rPr>
          <w:rFonts w:hint="eastAsia" w:ascii="宋体" w:hAnsi="宋体" w:cs="宋体"/>
          <w:color w:val="000000"/>
          <w:szCs w:val="21"/>
        </w:rPr>
        <w:t>2. 项目服务期间，中标方所有工作人员的人身安全以及中标方在服务期间产生的各类安全责任事故均由中标方自行承担。</w:t>
      </w:r>
    </w:p>
    <w:p w14:paraId="414468DD">
      <w:pPr>
        <w:ind w:firstLine="480"/>
        <w:rPr>
          <w:rFonts w:hint="eastAsia" w:ascii="宋体" w:hAnsi="宋体" w:cs="宋体"/>
          <w:bCs/>
          <w:color w:val="000000"/>
          <w:szCs w:val="21"/>
        </w:rPr>
      </w:pPr>
      <w:r>
        <w:rPr>
          <w:rFonts w:hint="eastAsia" w:ascii="宋体" w:hAnsi="宋体" w:cs="宋体"/>
          <w:bCs/>
          <w:color w:val="000000"/>
          <w:szCs w:val="21"/>
        </w:rPr>
        <w:t>3.</w:t>
      </w:r>
      <w:r>
        <w:rPr>
          <w:rFonts w:hint="eastAsia" w:ascii="宋体" w:hAnsi="宋体" w:cs="宋体"/>
          <w:color w:val="000000"/>
          <w:szCs w:val="21"/>
        </w:rPr>
        <w:t>中标方</w:t>
      </w:r>
      <w:r>
        <w:rPr>
          <w:rFonts w:hint="eastAsia" w:ascii="宋体" w:hAnsi="宋体" w:cs="宋体"/>
          <w:bCs/>
          <w:color w:val="000000"/>
          <w:szCs w:val="21"/>
        </w:rPr>
        <w:t>应独立完成委托事项，</w:t>
      </w:r>
      <w:r>
        <w:rPr>
          <w:rFonts w:hint="eastAsia" w:ascii="宋体" w:hAnsi="宋体" w:cs="宋体"/>
          <w:color w:val="000000"/>
          <w:szCs w:val="21"/>
        </w:rPr>
        <w:t>保证不转包、不分包，保证项目人员及时进场。</w:t>
      </w:r>
    </w:p>
    <w:p w14:paraId="7877BDCC">
      <w:pPr>
        <w:ind w:firstLine="480"/>
        <w:rPr>
          <w:rFonts w:hint="eastAsia" w:ascii="宋体" w:hAnsi="宋体" w:cs="宋体"/>
          <w:bCs/>
          <w:color w:val="000000"/>
          <w:szCs w:val="21"/>
        </w:rPr>
      </w:pPr>
      <w:r>
        <w:rPr>
          <w:rFonts w:hint="eastAsia" w:ascii="宋体" w:hAnsi="宋体" w:cs="宋体"/>
          <w:bCs/>
          <w:color w:val="000000"/>
          <w:szCs w:val="21"/>
        </w:rPr>
        <w:t>4.签订合同前，采购方有权对中标候选人进行现场调研，如发现中标候选人提供虚假证明材料，中标候选人自行承担相应法律责任。</w:t>
      </w:r>
    </w:p>
    <w:p w14:paraId="68BC9B85">
      <w:pPr>
        <w:ind w:firstLine="480"/>
        <w:rPr>
          <w:rFonts w:hint="eastAsia" w:ascii="宋体" w:hAnsi="宋体" w:cs="宋体"/>
          <w:b/>
          <w:color w:val="000000"/>
          <w:szCs w:val="21"/>
        </w:rPr>
      </w:pPr>
      <w:r>
        <w:rPr>
          <w:rFonts w:hint="eastAsia" w:ascii="宋体" w:hAnsi="宋体" w:cs="宋体"/>
          <w:b/>
          <w:color w:val="000000"/>
          <w:szCs w:val="21"/>
        </w:rPr>
        <w:t>4、考核要求</w:t>
      </w:r>
    </w:p>
    <w:p w14:paraId="0EDB1F99">
      <w:pPr>
        <w:spacing w:line="520" w:lineRule="exact"/>
        <w:ind w:firstLine="420" w:firstLineChars="200"/>
        <w:rPr>
          <w:rFonts w:hint="eastAsia" w:ascii="宋体" w:hAnsi="宋体" w:eastAsia="宋体" w:cs="宋体"/>
          <w:kern w:val="2"/>
          <w:szCs w:val="21"/>
        </w:rPr>
      </w:pPr>
      <w:r>
        <w:rPr>
          <w:rFonts w:hint="eastAsia" w:ascii="宋体" w:hAnsi="宋体" w:eastAsia="宋体" w:cs="宋体"/>
          <w:kern w:val="2"/>
          <w:szCs w:val="21"/>
        </w:rPr>
        <w:t>甲方对乙方采取随时检查与季度考核相结合的方式，以打分形式考核。考核分数与年度费用结算挂钩，考核分数高于等于95分时不扣除任何费用，考核分数在90分（含）至94分（含）时每扣1分减季度服务费（按年度服务费平均计算）的1‰，考核分数在70分（含）至89分（含）时每扣1分减季度服务费的2‰，考核分数低于70分的认定为不合格当季服务费不予结算，连续2次、累计3次考核分数低于70分则采购方有权解除合同。具体考核内容详见下表：</w:t>
      </w:r>
    </w:p>
    <w:p w14:paraId="24B9414F">
      <w:pPr>
        <w:spacing w:line="520" w:lineRule="exact"/>
        <w:ind w:firstLine="420" w:firstLineChars="200"/>
        <w:rPr>
          <w:rFonts w:hint="eastAsia" w:ascii="宋体" w:hAnsi="宋体" w:eastAsia="宋体" w:cs="宋体"/>
          <w:kern w:val="2"/>
          <w:szCs w:val="21"/>
        </w:rPr>
      </w:pPr>
      <w:r>
        <w:rPr>
          <w:rFonts w:hint="eastAsia" w:ascii="宋体" w:hAnsi="宋体" w:eastAsia="宋体" w:cs="宋体"/>
          <w:kern w:val="2"/>
          <w:szCs w:val="21"/>
        </w:rPr>
        <w:br w:type="page"/>
      </w:r>
    </w:p>
    <w:tbl>
      <w:tblPr>
        <w:tblStyle w:val="35"/>
        <w:tblpPr w:leftFromText="180" w:rightFromText="180" w:vertAnchor="text" w:tblpXSpec="center" w:tblpY="1"/>
        <w:tblOverlap w:val="never"/>
        <w:tblW w:w="9885" w:type="dxa"/>
        <w:tblInd w:w="0" w:type="dxa"/>
        <w:tblLayout w:type="fixed"/>
        <w:tblCellMar>
          <w:top w:w="0" w:type="dxa"/>
          <w:left w:w="108" w:type="dxa"/>
          <w:bottom w:w="0" w:type="dxa"/>
          <w:right w:w="108" w:type="dxa"/>
        </w:tblCellMar>
      </w:tblPr>
      <w:tblGrid>
        <w:gridCol w:w="1759"/>
        <w:gridCol w:w="2688"/>
        <w:gridCol w:w="720"/>
        <w:gridCol w:w="3146"/>
        <w:gridCol w:w="1572"/>
      </w:tblGrid>
      <w:tr w14:paraId="199627B6">
        <w:tblPrEx>
          <w:tblCellMar>
            <w:top w:w="0" w:type="dxa"/>
            <w:left w:w="108" w:type="dxa"/>
            <w:bottom w:w="0" w:type="dxa"/>
            <w:right w:w="108" w:type="dxa"/>
          </w:tblCellMar>
        </w:tblPrEx>
        <w:trPr>
          <w:trHeight w:val="744" w:hRule="atLeast"/>
        </w:trPr>
        <w:tc>
          <w:tcPr>
            <w:tcW w:w="9885" w:type="dxa"/>
            <w:gridSpan w:val="5"/>
            <w:tcBorders>
              <w:top w:val="nil"/>
              <w:left w:val="nil"/>
              <w:bottom w:val="nil"/>
              <w:right w:val="nil"/>
            </w:tcBorders>
            <w:vAlign w:val="center"/>
          </w:tcPr>
          <w:p w14:paraId="02548AB9">
            <w:pPr>
              <w:widowControl/>
              <w:spacing w:line="240" w:lineRule="auto"/>
              <w:jc w:val="center"/>
              <w:textAlignment w:val="center"/>
              <w:rPr>
                <w:rFonts w:hint="eastAsia" w:ascii="宋体" w:hAnsi="宋体" w:cs="宋体"/>
                <w:b/>
                <w:bCs/>
                <w:color w:val="000000"/>
                <w:kern w:val="2"/>
                <w:szCs w:val="21"/>
              </w:rPr>
            </w:pPr>
            <w:r>
              <w:rPr>
                <w:rFonts w:hint="eastAsia" w:ascii="宋体" w:hAnsi="宋体" w:cs="宋体"/>
                <w:b/>
                <w:bCs/>
                <w:color w:val="000000"/>
                <w:sz w:val="24"/>
                <w:lang w:bidi="ar"/>
              </w:rPr>
              <w:t>考核细则表</w:t>
            </w:r>
          </w:p>
        </w:tc>
      </w:tr>
      <w:tr w14:paraId="5129FCA2">
        <w:tblPrEx>
          <w:tblCellMar>
            <w:top w:w="0" w:type="dxa"/>
            <w:left w:w="108" w:type="dxa"/>
            <w:bottom w:w="0" w:type="dxa"/>
            <w:right w:w="108" w:type="dxa"/>
          </w:tblCellMar>
        </w:tblPrEx>
        <w:trPr>
          <w:trHeight w:val="492" w:hRule="atLeast"/>
        </w:trPr>
        <w:tc>
          <w:tcPr>
            <w:tcW w:w="1759" w:type="dxa"/>
            <w:tcBorders>
              <w:top w:val="nil"/>
              <w:left w:val="nil"/>
              <w:bottom w:val="nil"/>
              <w:right w:val="nil"/>
            </w:tcBorders>
            <w:vAlign w:val="center"/>
          </w:tcPr>
          <w:p w14:paraId="617FFBF3">
            <w:pPr>
              <w:spacing w:line="240" w:lineRule="auto"/>
              <w:jc w:val="center"/>
              <w:rPr>
                <w:rFonts w:hint="eastAsia" w:ascii="宋体" w:hAnsi="宋体" w:cs="宋体"/>
                <w:b/>
                <w:bCs/>
                <w:color w:val="000000"/>
                <w:kern w:val="2"/>
                <w:szCs w:val="21"/>
              </w:rPr>
            </w:pPr>
          </w:p>
        </w:tc>
        <w:tc>
          <w:tcPr>
            <w:tcW w:w="8126" w:type="dxa"/>
            <w:gridSpan w:val="4"/>
            <w:tcBorders>
              <w:top w:val="nil"/>
              <w:left w:val="nil"/>
              <w:bottom w:val="nil"/>
              <w:right w:val="nil"/>
            </w:tcBorders>
            <w:vAlign w:val="center"/>
          </w:tcPr>
          <w:p w14:paraId="7C31CFF4">
            <w:pPr>
              <w:widowControl/>
              <w:spacing w:line="240" w:lineRule="auto"/>
              <w:jc w:val="center"/>
              <w:textAlignment w:val="center"/>
              <w:rPr>
                <w:rFonts w:hint="eastAsia" w:ascii="宋体" w:hAnsi="宋体" w:cs="宋体"/>
                <w:b/>
                <w:bCs/>
                <w:color w:val="000000"/>
                <w:kern w:val="2"/>
                <w:szCs w:val="21"/>
              </w:rPr>
            </w:pPr>
            <w:r>
              <w:rPr>
                <w:rFonts w:hint="eastAsia" w:ascii="宋体" w:hAnsi="宋体" w:cs="宋体"/>
                <w:b/>
                <w:bCs/>
                <w:color w:val="000000"/>
                <w:szCs w:val="21"/>
                <w:lang w:bidi="ar"/>
              </w:rPr>
              <w:t xml:space="preserve">                            考核时间：      年   月   日</w:t>
            </w:r>
          </w:p>
        </w:tc>
      </w:tr>
      <w:tr w14:paraId="4927756D">
        <w:tblPrEx>
          <w:tblCellMar>
            <w:top w:w="0" w:type="dxa"/>
            <w:left w:w="108" w:type="dxa"/>
            <w:bottom w:w="0" w:type="dxa"/>
            <w:right w:w="108" w:type="dxa"/>
          </w:tblCellMar>
        </w:tblPrEx>
        <w:trPr>
          <w:trHeight w:val="792" w:hRule="atLeast"/>
        </w:trPr>
        <w:tc>
          <w:tcPr>
            <w:tcW w:w="1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86441">
            <w:pPr>
              <w:widowControl/>
              <w:spacing w:line="240" w:lineRule="auto"/>
              <w:jc w:val="center"/>
              <w:textAlignment w:val="center"/>
              <w:rPr>
                <w:rFonts w:hint="eastAsia" w:ascii="宋体" w:hAnsi="宋体" w:cs="宋体"/>
                <w:b/>
                <w:bCs/>
                <w:color w:val="000000"/>
                <w:kern w:val="2"/>
                <w:szCs w:val="21"/>
              </w:rPr>
            </w:pPr>
            <w:r>
              <w:rPr>
                <w:rFonts w:hint="eastAsia" w:ascii="宋体" w:hAnsi="宋体" w:cs="宋体"/>
                <w:b/>
                <w:bCs/>
                <w:color w:val="000000"/>
                <w:szCs w:val="21"/>
                <w:lang w:bidi="ar"/>
              </w:rPr>
              <w:t>考核项目</w:t>
            </w:r>
          </w:p>
        </w:tc>
        <w:tc>
          <w:tcPr>
            <w:tcW w:w="2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EB4EA">
            <w:pPr>
              <w:widowControl/>
              <w:spacing w:line="240" w:lineRule="auto"/>
              <w:jc w:val="center"/>
              <w:textAlignment w:val="center"/>
              <w:rPr>
                <w:rFonts w:hint="eastAsia" w:ascii="宋体" w:hAnsi="宋体" w:cs="宋体"/>
                <w:b/>
                <w:bCs/>
                <w:color w:val="000000"/>
                <w:kern w:val="2"/>
                <w:szCs w:val="21"/>
              </w:rPr>
            </w:pPr>
            <w:r>
              <w:rPr>
                <w:rFonts w:hint="eastAsia" w:ascii="宋体" w:hAnsi="宋体" w:cs="宋体"/>
                <w:b/>
                <w:bCs/>
                <w:color w:val="000000"/>
                <w:szCs w:val="21"/>
                <w:lang w:bidi="ar"/>
              </w:rPr>
              <w:t>考核要求</w:t>
            </w:r>
          </w:p>
        </w:tc>
        <w:tc>
          <w:tcPr>
            <w:tcW w:w="720" w:type="dxa"/>
            <w:tcBorders>
              <w:top w:val="single" w:color="000000" w:sz="4" w:space="0"/>
              <w:left w:val="single" w:color="000000" w:sz="4" w:space="0"/>
              <w:bottom w:val="single" w:color="000000" w:sz="4" w:space="0"/>
              <w:right w:val="nil"/>
            </w:tcBorders>
            <w:shd w:val="clear" w:color="auto" w:fill="FFFFFF"/>
            <w:vAlign w:val="center"/>
          </w:tcPr>
          <w:p w14:paraId="70DDE397">
            <w:pPr>
              <w:widowControl/>
              <w:spacing w:line="240" w:lineRule="auto"/>
              <w:jc w:val="center"/>
              <w:textAlignment w:val="center"/>
              <w:rPr>
                <w:rFonts w:hint="eastAsia" w:ascii="宋体" w:hAnsi="宋体" w:cs="宋体"/>
                <w:b/>
                <w:bCs/>
                <w:color w:val="000000"/>
                <w:kern w:val="2"/>
                <w:szCs w:val="21"/>
              </w:rPr>
            </w:pPr>
            <w:r>
              <w:rPr>
                <w:rFonts w:hint="eastAsia" w:ascii="宋体" w:hAnsi="宋体" w:cs="宋体"/>
                <w:b/>
                <w:bCs/>
                <w:color w:val="000000"/>
                <w:szCs w:val="21"/>
                <w:lang w:bidi="ar"/>
              </w:rPr>
              <w:t>分值</w:t>
            </w:r>
          </w:p>
        </w:tc>
        <w:tc>
          <w:tcPr>
            <w:tcW w:w="3146" w:type="dxa"/>
            <w:tcBorders>
              <w:top w:val="single" w:color="000000" w:sz="4" w:space="0"/>
              <w:left w:val="single" w:color="000000" w:sz="4" w:space="0"/>
              <w:bottom w:val="single" w:color="000000" w:sz="4" w:space="0"/>
              <w:right w:val="nil"/>
            </w:tcBorders>
            <w:shd w:val="clear" w:color="auto" w:fill="FFFFFF"/>
            <w:vAlign w:val="center"/>
          </w:tcPr>
          <w:p w14:paraId="6229C995">
            <w:pPr>
              <w:widowControl/>
              <w:spacing w:line="240" w:lineRule="auto"/>
              <w:jc w:val="center"/>
              <w:textAlignment w:val="center"/>
              <w:rPr>
                <w:rFonts w:hint="eastAsia" w:ascii="宋体" w:hAnsi="宋体" w:cs="宋体"/>
                <w:b/>
                <w:bCs/>
                <w:color w:val="000000"/>
                <w:kern w:val="2"/>
                <w:szCs w:val="21"/>
              </w:rPr>
            </w:pPr>
            <w:r>
              <w:rPr>
                <w:rFonts w:hint="eastAsia" w:ascii="宋体" w:hAnsi="宋体" w:cs="宋体"/>
                <w:b/>
                <w:bCs/>
                <w:color w:val="000000"/>
                <w:szCs w:val="21"/>
                <w:lang w:bidi="ar"/>
              </w:rPr>
              <w:t>考核细则</w:t>
            </w:r>
          </w:p>
        </w:tc>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DE0E5">
            <w:pPr>
              <w:widowControl/>
              <w:spacing w:line="240" w:lineRule="auto"/>
              <w:jc w:val="center"/>
              <w:textAlignment w:val="center"/>
              <w:rPr>
                <w:rFonts w:hint="eastAsia" w:ascii="宋体" w:hAnsi="宋体" w:cs="宋体"/>
                <w:b/>
                <w:bCs/>
                <w:color w:val="000000"/>
                <w:kern w:val="2"/>
                <w:szCs w:val="21"/>
              </w:rPr>
            </w:pPr>
            <w:r>
              <w:rPr>
                <w:rFonts w:hint="eastAsia" w:ascii="宋体" w:hAnsi="宋体" w:cs="宋体"/>
                <w:b/>
                <w:bCs/>
                <w:color w:val="000000"/>
                <w:szCs w:val="21"/>
                <w:lang w:bidi="ar"/>
              </w:rPr>
              <w:t>考核结果</w:t>
            </w:r>
          </w:p>
        </w:tc>
      </w:tr>
      <w:tr w14:paraId="13E97C5F">
        <w:tblPrEx>
          <w:tblCellMar>
            <w:top w:w="0" w:type="dxa"/>
            <w:left w:w="108" w:type="dxa"/>
            <w:bottom w:w="0" w:type="dxa"/>
            <w:right w:w="108" w:type="dxa"/>
          </w:tblCellMar>
        </w:tblPrEx>
        <w:trPr>
          <w:trHeight w:val="624" w:hRule="atLeast"/>
        </w:trPr>
        <w:tc>
          <w:tcPr>
            <w:tcW w:w="1759" w:type="dxa"/>
            <w:tcBorders>
              <w:top w:val="single" w:color="000000" w:sz="4" w:space="0"/>
              <w:left w:val="single" w:color="000000" w:sz="4" w:space="0"/>
              <w:bottom w:val="nil"/>
              <w:right w:val="single" w:color="000000" w:sz="4" w:space="0"/>
            </w:tcBorders>
            <w:shd w:val="clear" w:color="auto" w:fill="FFFFFF"/>
            <w:vAlign w:val="center"/>
          </w:tcPr>
          <w:p w14:paraId="2C6F79C8">
            <w:pPr>
              <w:widowControl/>
              <w:spacing w:line="240" w:lineRule="auto"/>
              <w:jc w:val="center"/>
              <w:textAlignment w:val="center"/>
              <w:rPr>
                <w:rFonts w:hint="eastAsia" w:ascii="宋体" w:hAnsi="宋体" w:cs="宋体"/>
                <w:color w:val="000000"/>
                <w:kern w:val="2"/>
                <w:sz w:val="21"/>
                <w:szCs w:val="21"/>
              </w:rPr>
            </w:pPr>
            <w:r>
              <w:rPr>
                <w:rFonts w:hint="eastAsia" w:ascii="宋体" w:hAnsi="宋体" w:cs="宋体"/>
                <w:color w:val="000000"/>
                <w:kern w:val="2"/>
                <w:sz w:val="21"/>
                <w:szCs w:val="21"/>
              </w:rPr>
              <w:t>人员配备</w:t>
            </w:r>
          </w:p>
        </w:tc>
        <w:tc>
          <w:tcPr>
            <w:tcW w:w="2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B30B5">
            <w:pPr>
              <w:widowControl/>
              <w:spacing w:line="240" w:lineRule="auto"/>
              <w:jc w:val="left"/>
              <w:textAlignment w:val="center"/>
              <w:rPr>
                <w:rFonts w:hint="eastAsia" w:ascii="宋体" w:hAnsi="宋体" w:cs="宋体"/>
                <w:color w:val="000000"/>
                <w:kern w:val="2"/>
                <w:sz w:val="21"/>
                <w:szCs w:val="21"/>
              </w:rPr>
            </w:pPr>
            <w:r>
              <w:rPr>
                <w:rFonts w:hint="eastAsia" w:ascii="宋体" w:hAnsi="宋体" w:cs="宋体"/>
                <w:color w:val="000000"/>
                <w:sz w:val="21"/>
                <w:szCs w:val="21"/>
                <w:lang w:bidi="ar"/>
              </w:rPr>
              <w:t>运维人员需要具有上岗证书</w:t>
            </w:r>
          </w:p>
        </w:tc>
        <w:tc>
          <w:tcPr>
            <w:tcW w:w="720" w:type="dxa"/>
            <w:tcBorders>
              <w:top w:val="single" w:color="000000" w:sz="4" w:space="0"/>
              <w:left w:val="single" w:color="000000" w:sz="4" w:space="0"/>
              <w:bottom w:val="single" w:color="000000" w:sz="4" w:space="0"/>
              <w:right w:val="nil"/>
            </w:tcBorders>
            <w:shd w:val="clear" w:color="auto" w:fill="FFFFFF"/>
            <w:vAlign w:val="center"/>
          </w:tcPr>
          <w:p w14:paraId="6CF33E0F">
            <w:pPr>
              <w:widowControl/>
              <w:spacing w:line="240" w:lineRule="auto"/>
              <w:jc w:val="center"/>
              <w:textAlignment w:val="center"/>
              <w:rPr>
                <w:rFonts w:hint="eastAsia" w:ascii="宋体" w:hAnsi="宋体" w:cs="宋体"/>
                <w:color w:val="000000"/>
                <w:kern w:val="2"/>
                <w:sz w:val="21"/>
                <w:szCs w:val="21"/>
              </w:rPr>
            </w:pPr>
            <w:r>
              <w:rPr>
                <w:rFonts w:hint="eastAsia" w:ascii="宋体" w:hAnsi="宋体" w:cs="宋体"/>
                <w:color w:val="000000"/>
                <w:sz w:val="21"/>
                <w:szCs w:val="21"/>
                <w:lang w:bidi="ar"/>
              </w:rPr>
              <w:t>20</w:t>
            </w:r>
          </w:p>
        </w:tc>
        <w:tc>
          <w:tcPr>
            <w:tcW w:w="3146" w:type="dxa"/>
            <w:tcBorders>
              <w:top w:val="single" w:color="000000" w:sz="4" w:space="0"/>
              <w:left w:val="single" w:color="000000" w:sz="4" w:space="0"/>
              <w:bottom w:val="single" w:color="000000" w:sz="4" w:space="0"/>
              <w:right w:val="nil"/>
            </w:tcBorders>
            <w:shd w:val="clear" w:color="auto" w:fill="FFFFFF"/>
            <w:vAlign w:val="center"/>
          </w:tcPr>
          <w:p w14:paraId="7BE45F6E">
            <w:pPr>
              <w:widowControl/>
              <w:spacing w:line="240" w:lineRule="auto"/>
              <w:jc w:val="left"/>
              <w:textAlignment w:val="center"/>
              <w:rPr>
                <w:rFonts w:hint="eastAsia" w:ascii="宋体" w:hAnsi="宋体" w:cs="宋体"/>
                <w:color w:val="000000"/>
                <w:sz w:val="21"/>
                <w:szCs w:val="21"/>
                <w:lang w:bidi="ar"/>
              </w:rPr>
            </w:pPr>
            <w:r>
              <w:rPr>
                <w:rFonts w:hint="eastAsia" w:ascii="宋体" w:hAnsi="宋体" w:cs="宋体"/>
                <w:color w:val="000000"/>
                <w:sz w:val="21"/>
                <w:szCs w:val="21"/>
                <w:lang w:bidi="ar"/>
              </w:rPr>
              <w:t>缺少上岗证书不得分</w:t>
            </w:r>
          </w:p>
        </w:tc>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C0906">
            <w:pPr>
              <w:widowControl/>
              <w:spacing w:line="240" w:lineRule="auto"/>
              <w:jc w:val="center"/>
              <w:textAlignment w:val="center"/>
              <w:rPr>
                <w:rFonts w:hint="eastAsia" w:ascii="宋体" w:hAnsi="宋体" w:cs="宋体"/>
                <w:b/>
                <w:bCs/>
                <w:color w:val="000000"/>
                <w:kern w:val="2"/>
                <w:szCs w:val="21"/>
              </w:rPr>
            </w:pPr>
          </w:p>
        </w:tc>
      </w:tr>
      <w:tr w14:paraId="2CB2BC0F">
        <w:tblPrEx>
          <w:tblCellMar>
            <w:top w:w="0" w:type="dxa"/>
            <w:left w:w="108" w:type="dxa"/>
            <w:bottom w:w="0" w:type="dxa"/>
            <w:right w:w="108" w:type="dxa"/>
          </w:tblCellMar>
        </w:tblPrEx>
        <w:trPr>
          <w:trHeight w:val="624" w:hRule="atLeast"/>
        </w:trPr>
        <w:tc>
          <w:tcPr>
            <w:tcW w:w="1759" w:type="dxa"/>
            <w:tcBorders>
              <w:top w:val="single" w:color="000000" w:sz="4" w:space="0"/>
              <w:left w:val="single" w:color="000000" w:sz="4" w:space="0"/>
              <w:bottom w:val="nil"/>
              <w:right w:val="single" w:color="000000" w:sz="4" w:space="0"/>
            </w:tcBorders>
            <w:shd w:val="clear" w:color="auto" w:fill="FFFFFF"/>
            <w:vAlign w:val="center"/>
          </w:tcPr>
          <w:p w14:paraId="460FBA40">
            <w:pPr>
              <w:widowControl/>
              <w:spacing w:line="240" w:lineRule="auto"/>
              <w:jc w:val="center"/>
              <w:textAlignment w:val="center"/>
              <w:rPr>
                <w:rFonts w:hint="eastAsia" w:ascii="宋体" w:hAnsi="宋体" w:cs="宋体"/>
                <w:color w:val="000000"/>
                <w:kern w:val="2"/>
                <w:sz w:val="21"/>
                <w:szCs w:val="21"/>
              </w:rPr>
            </w:pPr>
            <w:r>
              <w:rPr>
                <w:rFonts w:hint="eastAsia" w:ascii="宋体" w:hAnsi="宋体" w:cs="宋体"/>
                <w:color w:val="000000"/>
                <w:kern w:val="2"/>
                <w:sz w:val="21"/>
                <w:szCs w:val="21"/>
              </w:rPr>
              <w:t>运维记录</w:t>
            </w:r>
          </w:p>
        </w:tc>
        <w:tc>
          <w:tcPr>
            <w:tcW w:w="2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05DC6">
            <w:pPr>
              <w:widowControl/>
              <w:spacing w:line="240" w:lineRule="auto"/>
              <w:jc w:val="left"/>
              <w:textAlignment w:val="center"/>
              <w:rPr>
                <w:rFonts w:hint="eastAsia" w:ascii="宋体" w:hAnsi="宋体" w:cs="宋体"/>
                <w:color w:val="000000"/>
                <w:kern w:val="2"/>
                <w:sz w:val="21"/>
                <w:szCs w:val="21"/>
              </w:rPr>
            </w:pPr>
            <w:r>
              <w:rPr>
                <w:rFonts w:hint="eastAsia" w:ascii="宋体" w:hAnsi="宋体" w:cs="宋体"/>
                <w:color w:val="000000"/>
                <w:kern w:val="2"/>
                <w:sz w:val="21"/>
                <w:szCs w:val="21"/>
              </w:rPr>
              <w:t>运维记录（周巡检、月度质控、季度质控）填写完整</w:t>
            </w:r>
          </w:p>
        </w:tc>
        <w:tc>
          <w:tcPr>
            <w:tcW w:w="720" w:type="dxa"/>
            <w:tcBorders>
              <w:top w:val="single" w:color="000000" w:sz="4" w:space="0"/>
              <w:left w:val="single" w:color="000000" w:sz="4" w:space="0"/>
              <w:bottom w:val="single" w:color="000000" w:sz="4" w:space="0"/>
              <w:right w:val="nil"/>
            </w:tcBorders>
            <w:shd w:val="clear" w:color="auto" w:fill="FFFFFF"/>
            <w:vAlign w:val="center"/>
          </w:tcPr>
          <w:p w14:paraId="1746161C">
            <w:pPr>
              <w:widowControl/>
              <w:spacing w:line="240" w:lineRule="auto"/>
              <w:jc w:val="center"/>
              <w:textAlignment w:val="center"/>
              <w:rPr>
                <w:rFonts w:hint="eastAsia" w:ascii="宋体" w:hAnsi="宋体" w:cs="宋体"/>
                <w:color w:val="000000"/>
                <w:kern w:val="2"/>
                <w:sz w:val="21"/>
                <w:szCs w:val="21"/>
              </w:rPr>
            </w:pPr>
            <w:r>
              <w:rPr>
                <w:rFonts w:hint="eastAsia" w:ascii="宋体" w:hAnsi="宋体" w:cs="宋体"/>
                <w:color w:val="000000"/>
                <w:kern w:val="2"/>
                <w:sz w:val="21"/>
                <w:szCs w:val="21"/>
              </w:rPr>
              <w:t>20</w:t>
            </w:r>
          </w:p>
        </w:tc>
        <w:tc>
          <w:tcPr>
            <w:tcW w:w="3146" w:type="dxa"/>
            <w:tcBorders>
              <w:top w:val="single" w:color="000000" w:sz="4" w:space="0"/>
              <w:left w:val="single" w:color="000000" w:sz="4" w:space="0"/>
              <w:bottom w:val="single" w:color="000000" w:sz="4" w:space="0"/>
              <w:right w:val="nil"/>
            </w:tcBorders>
            <w:shd w:val="clear" w:color="auto" w:fill="FFFFFF"/>
            <w:vAlign w:val="center"/>
          </w:tcPr>
          <w:p w14:paraId="1DB74E09">
            <w:pPr>
              <w:widowControl/>
              <w:spacing w:line="240" w:lineRule="auto"/>
              <w:jc w:val="left"/>
              <w:textAlignment w:val="center"/>
              <w:rPr>
                <w:rFonts w:hint="eastAsia" w:ascii="宋体" w:hAnsi="宋体" w:cs="宋体"/>
                <w:color w:val="000000"/>
                <w:kern w:val="2"/>
                <w:sz w:val="21"/>
                <w:szCs w:val="21"/>
              </w:rPr>
            </w:pPr>
            <w:r>
              <w:rPr>
                <w:rFonts w:hint="eastAsia" w:ascii="宋体" w:hAnsi="宋体" w:cs="宋体"/>
                <w:color w:val="000000"/>
                <w:sz w:val="21"/>
                <w:szCs w:val="21"/>
                <w:lang w:bidi="ar"/>
              </w:rPr>
              <w:t>缺1项扣5分。</w:t>
            </w:r>
          </w:p>
        </w:tc>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EBA3D">
            <w:pPr>
              <w:spacing w:line="240" w:lineRule="auto"/>
              <w:jc w:val="center"/>
              <w:rPr>
                <w:rFonts w:hint="eastAsia" w:ascii="宋体" w:hAnsi="宋体" w:cs="宋体"/>
                <w:b/>
                <w:bCs/>
                <w:color w:val="000000"/>
                <w:kern w:val="2"/>
                <w:szCs w:val="21"/>
              </w:rPr>
            </w:pPr>
          </w:p>
        </w:tc>
      </w:tr>
      <w:tr w14:paraId="5BE7A790">
        <w:tblPrEx>
          <w:tblCellMar>
            <w:top w:w="0" w:type="dxa"/>
            <w:left w:w="108" w:type="dxa"/>
            <w:bottom w:w="0" w:type="dxa"/>
            <w:right w:w="108" w:type="dxa"/>
          </w:tblCellMar>
        </w:tblPrEx>
        <w:trPr>
          <w:trHeight w:val="951" w:hRule="atLeast"/>
        </w:trPr>
        <w:tc>
          <w:tcPr>
            <w:tcW w:w="1759" w:type="dxa"/>
            <w:tcBorders>
              <w:top w:val="single" w:color="000000" w:sz="4" w:space="0"/>
              <w:left w:val="single" w:color="000000" w:sz="4" w:space="0"/>
              <w:bottom w:val="nil"/>
              <w:right w:val="single" w:color="000000" w:sz="4" w:space="0"/>
            </w:tcBorders>
            <w:shd w:val="clear" w:color="auto" w:fill="FFFFFF"/>
            <w:vAlign w:val="center"/>
          </w:tcPr>
          <w:p w14:paraId="36EAE4EB">
            <w:pPr>
              <w:widowControl/>
              <w:spacing w:line="240" w:lineRule="auto"/>
              <w:jc w:val="center"/>
              <w:textAlignment w:val="center"/>
              <w:rPr>
                <w:rFonts w:hint="eastAsia" w:ascii="宋体" w:hAnsi="宋体" w:cs="宋体"/>
                <w:color w:val="000000"/>
                <w:kern w:val="2"/>
                <w:sz w:val="21"/>
                <w:szCs w:val="21"/>
              </w:rPr>
            </w:pPr>
            <w:r>
              <w:rPr>
                <w:rFonts w:hint="eastAsia" w:ascii="宋体" w:hAnsi="宋体" w:cs="宋体"/>
                <w:color w:val="000000"/>
                <w:kern w:val="2"/>
                <w:sz w:val="21"/>
                <w:szCs w:val="21"/>
              </w:rPr>
              <w:t>月报</w:t>
            </w:r>
          </w:p>
        </w:tc>
        <w:tc>
          <w:tcPr>
            <w:tcW w:w="2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73350">
            <w:pPr>
              <w:widowControl/>
              <w:spacing w:line="240" w:lineRule="auto"/>
              <w:jc w:val="left"/>
              <w:textAlignment w:val="center"/>
              <w:rPr>
                <w:rFonts w:hint="eastAsia" w:ascii="宋体" w:hAnsi="宋体" w:cs="宋体"/>
                <w:color w:val="000000"/>
                <w:kern w:val="2"/>
                <w:sz w:val="21"/>
                <w:szCs w:val="21"/>
              </w:rPr>
            </w:pPr>
            <w:r>
              <w:rPr>
                <w:rFonts w:hint="eastAsia" w:ascii="宋体" w:hAnsi="宋体" w:cs="宋体"/>
                <w:color w:val="000000"/>
                <w:kern w:val="2"/>
                <w:sz w:val="21"/>
                <w:szCs w:val="21"/>
              </w:rPr>
              <w:t>每月提供一份上月月报（空气和水质）</w:t>
            </w:r>
          </w:p>
        </w:tc>
        <w:tc>
          <w:tcPr>
            <w:tcW w:w="720" w:type="dxa"/>
            <w:tcBorders>
              <w:top w:val="single" w:color="000000" w:sz="4" w:space="0"/>
              <w:left w:val="single" w:color="000000" w:sz="4" w:space="0"/>
              <w:bottom w:val="single" w:color="000000" w:sz="4" w:space="0"/>
              <w:right w:val="nil"/>
            </w:tcBorders>
            <w:shd w:val="clear" w:color="auto" w:fill="FFFFFF"/>
            <w:vAlign w:val="center"/>
          </w:tcPr>
          <w:p w14:paraId="0257EA6D">
            <w:pPr>
              <w:widowControl/>
              <w:spacing w:line="240" w:lineRule="auto"/>
              <w:jc w:val="center"/>
              <w:textAlignment w:val="center"/>
              <w:rPr>
                <w:rFonts w:hint="eastAsia" w:ascii="宋体" w:hAnsi="宋体" w:cs="宋体"/>
                <w:color w:val="000000"/>
                <w:kern w:val="2"/>
                <w:sz w:val="21"/>
                <w:szCs w:val="21"/>
              </w:rPr>
            </w:pPr>
            <w:r>
              <w:rPr>
                <w:rFonts w:hint="eastAsia" w:ascii="宋体" w:hAnsi="宋体" w:cs="宋体"/>
                <w:color w:val="000000"/>
                <w:kern w:val="2"/>
                <w:sz w:val="21"/>
                <w:szCs w:val="21"/>
              </w:rPr>
              <w:t>20</w:t>
            </w:r>
          </w:p>
        </w:tc>
        <w:tc>
          <w:tcPr>
            <w:tcW w:w="3146" w:type="dxa"/>
            <w:tcBorders>
              <w:top w:val="single" w:color="000000" w:sz="4" w:space="0"/>
              <w:left w:val="single" w:color="000000" w:sz="4" w:space="0"/>
              <w:bottom w:val="single" w:color="000000" w:sz="4" w:space="0"/>
              <w:right w:val="nil"/>
            </w:tcBorders>
            <w:shd w:val="clear" w:color="auto" w:fill="FFFFFF"/>
            <w:vAlign w:val="center"/>
          </w:tcPr>
          <w:p w14:paraId="77E27565">
            <w:pPr>
              <w:widowControl/>
              <w:spacing w:line="240" w:lineRule="auto"/>
              <w:jc w:val="left"/>
              <w:textAlignment w:val="center"/>
              <w:rPr>
                <w:rFonts w:hint="eastAsia" w:ascii="宋体" w:hAnsi="宋体" w:cs="宋体"/>
                <w:color w:val="000000"/>
                <w:kern w:val="2"/>
                <w:sz w:val="21"/>
                <w:szCs w:val="21"/>
              </w:rPr>
            </w:pPr>
            <w:r>
              <w:rPr>
                <w:rFonts w:hint="eastAsia" w:ascii="宋体" w:hAnsi="宋体" w:cs="宋体"/>
                <w:color w:val="000000"/>
                <w:kern w:val="2"/>
                <w:sz w:val="21"/>
                <w:szCs w:val="21"/>
              </w:rPr>
              <w:t>缺少扣20分。</w:t>
            </w:r>
          </w:p>
        </w:tc>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C9749">
            <w:pPr>
              <w:spacing w:line="240" w:lineRule="auto"/>
              <w:jc w:val="center"/>
              <w:rPr>
                <w:rFonts w:hint="eastAsia" w:ascii="宋体" w:hAnsi="宋体" w:cs="宋体"/>
                <w:color w:val="000000"/>
                <w:kern w:val="2"/>
                <w:szCs w:val="21"/>
              </w:rPr>
            </w:pPr>
          </w:p>
        </w:tc>
      </w:tr>
      <w:tr w14:paraId="14B162D9">
        <w:tblPrEx>
          <w:tblCellMar>
            <w:top w:w="0" w:type="dxa"/>
            <w:left w:w="108" w:type="dxa"/>
            <w:bottom w:w="0" w:type="dxa"/>
            <w:right w:w="108" w:type="dxa"/>
          </w:tblCellMar>
        </w:tblPrEx>
        <w:trPr>
          <w:trHeight w:val="918" w:hRule="atLeast"/>
        </w:trPr>
        <w:tc>
          <w:tcPr>
            <w:tcW w:w="17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B99CC95">
            <w:pPr>
              <w:widowControl/>
              <w:spacing w:line="240" w:lineRule="auto"/>
              <w:jc w:val="center"/>
              <w:textAlignment w:val="center"/>
              <w:rPr>
                <w:rFonts w:hint="eastAsia" w:ascii="宋体" w:hAnsi="宋体" w:cs="宋体"/>
                <w:color w:val="000000"/>
                <w:kern w:val="2"/>
                <w:sz w:val="21"/>
                <w:szCs w:val="21"/>
              </w:rPr>
            </w:pPr>
            <w:r>
              <w:rPr>
                <w:rFonts w:hint="eastAsia" w:ascii="宋体" w:hAnsi="宋体" w:cs="宋体"/>
                <w:color w:val="000000"/>
                <w:kern w:val="2"/>
                <w:sz w:val="21"/>
                <w:szCs w:val="21"/>
              </w:rPr>
              <w:t>运维成果</w:t>
            </w:r>
          </w:p>
        </w:tc>
        <w:tc>
          <w:tcPr>
            <w:tcW w:w="2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73C15">
            <w:pPr>
              <w:widowControl/>
              <w:spacing w:line="240" w:lineRule="auto"/>
              <w:jc w:val="left"/>
              <w:textAlignment w:val="center"/>
              <w:rPr>
                <w:rFonts w:hint="eastAsia" w:ascii="宋体" w:hAnsi="宋体" w:cs="宋体"/>
                <w:color w:val="000000"/>
                <w:sz w:val="21"/>
                <w:szCs w:val="21"/>
                <w:lang w:bidi="ar"/>
              </w:rPr>
            </w:pPr>
            <w:r>
              <w:rPr>
                <w:rFonts w:hint="eastAsia" w:ascii="宋体" w:hAnsi="宋体" w:cs="宋体"/>
                <w:color w:val="000000"/>
                <w:sz w:val="21"/>
                <w:szCs w:val="21"/>
                <w:lang w:bidi="ar"/>
              </w:rPr>
              <w:t>空气站点监测数据捕获率高于90%、数据有效率高于90%(含)</w:t>
            </w:r>
          </w:p>
        </w:tc>
        <w:tc>
          <w:tcPr>
            <w:tcW w:w="720" w:type="dxa"/>
            <w:tcBorders>
              <w:top w:val="single" w:color="000000" w:sz="4" w:space="0"/>
              <w:left w:val="single" w:color="000000" w:sz="4" w:space="0"/>
              <w:bottom w:val="single" w:color="000000" w:sz="4" w:space="0"/>
              <w:right w:val="nil"/>
            </w:tcBorders>
            <w:shd w:val="clear" w:color="auto" w:fill="FFFFFF"/>
            <w:vAlign w:val="center"/>
          </w:tcPr>
          <w:p w14:paraId="40B7B2BA">
            <w:pPr>
              <w:widowControl/>
              <w:spacing w:line="240" w:lineRule="auto"/>
              <w:jc w:val="center"/>
              <w:textAlignment w:val="center"/>
              <w:rPr>
                <w:rFonts w:hint="eastAsia" w:ascii="宋体" w:hAnsi="宋体" w:cs="宋体"/>
                <w:color w:val="000000"/>
                <w:sz w:val="21"/>
                <w:szCs w:val="21"/>
                <w:lang w:bidi="ar"/>
              </w:rPr>
            </w:pPr>
            <w:r>
              <w:rPr>
                <w:rFonts w:hint="eastAsia" w:ascii="宋体" w:hAnsi="宋体" w:cs="宋体"/>
                <w:color w:val="000000"/>
                <w:sz w:val="21"/>
                <w:szCs w:val="21"/>
                <w:lang w:bidi="ar"/>
              </w:rPr>
              <w:t>20</w:t>
            </w:r>
          </w:p>
        </w:tc>
        <w:tc>
          <w:tcPr>
            <w:tcW w:w="3146" w:type="dxa"/>
            <w:tcBorders>
              <w:top w:val="single" w:color="000000" w:sz="4" w:space="0"/>
              <w:left w:val="single" w:color="000000" w:sz="4" w:space="0"/>
              <w:bottom w:val="single" w:color="000000" w:sz="4" w:space="0"/>
              <w:right w:val="nil"/>
            </w:tcBorders>
            <w:shd w:val="clear" w:color="auto" w:fill="FFFFFF"/>
            <w:vAlign w:val="center"/>
          </w:tcPr>
          <w:p w14:paraId="2D2EC5B9">
            <w:pPr>
              <w:widowControl/>
              <w:spacing w:line="240" w:lineRule="auto"/>
              <w:jc w:val="left"/>
              <w:textAlignment w:val="center"/>
              <w:rPr>
                <w:rFonts w:hint="eastAsia" w:ascii="宋体" w:hAnsi="宋体" w:cs="宋体"/>
                <w:color w:val="000000"/>
                <w:sz w:val="21"/>
                <w:szCs w:val="21"/>
                <w:lang w:bidi="ar"/>
              </w:rPr>
            </w:pPr>
            <w:r>
              <w:rPr>
                <w:rFonts w:hint="eastAsia" w:ascii="宋体" w:hAnsi="宋体" w:cs="宋体"/>
                <w:color w:val="000000"/>
                <w:sz w:val="21"/>
                <w:szCs w:val="21"/>
                <w:lang w:bidi="ar"/>
              </w:rPr>
              <w:t>考核周期内监测数据两率90%(含)以上得满分；</w:t>
            </w:r>
          </w:p>
          <w:p w14:paraId="004CC0C9">
            <w:pPr>
              <w:widowControl/>
              <w:spacing w:line="240" w:lineRule="auto"/>
              <w:jc w:val="left"/>
              <w:textAlignment w:val="center"/>
              <w:rPr>
                <w:rFonts w:hint="eastAsia" w:ascii="宋体" w:hAnsi="宋体" w:cs="宋体"/>
                <w:color w:val="000000"/>
                <w:sz w:val="21"/>
                <w:szCs w:val="21"/>
                <w:lang w:bidi="ar"/>
              </w:rPr>
            </w:pPr>
            <w:r>
              <w:rPr>
                <w:rFonts w:hint="eastAsia" w:ascii="宋体" w:hAnsi="宋体" w:cs="宋体"/>
                <w:color w:val="000000"/>
                <w:sz w:val="21"/>
                <w:szCs w:val="21"/>
                <w:lang w:bidi="ar"/>
              </w:rPr>
              <w:t>考核周期内监测数据有效率在80%(含)-90%(不含)，扣除5分；</w:t>
            </w:r>
          </w:p>
          <w:p w14:paraId="6BAED366">
            <w:pPr>
              <w:widowControl/>
              <w:spacing w:line="240" w:lineRule="auto"/>
              <w:jc w:val="left"/>
              <w:textAlignment w:val="center"/>
              <w:rPr>
                <w:rFonts w:hint="eastAsia" w:ascii="宋体" w:hAnsi="宋体" w:cs="宋体"/>
                <w:color w:val="000000"/>
                <w:sz w:val="21"/>
                <w:szCs w:val="21"/>
                <w:lang w:bidi="ar"/>
              </w:rPr>
            </w:pPr>
            <w:r>
              <w:rPr>
                <w:rFonts w:hint="eastAsia" w:ascii="宋体" w:hAnsi="宋体" w:cs="宋体"/>
                <w:color w:val="000000"/>
                <w:sz w:val="21"/>
                <w:szCs w:val="21"/>
                <w:lang w:bidi="ar"/>
              </w:rPr>
              <w:t>考核周期内监测数据有效率在70%(含)-80%(不含)，扣除10分；</w:t>
            </w:r>
          </w:p>
          <w:p w14:paraId="08C3A17E">
            <w:pPr>
              <w:widowControl/>
              <w:spacing w:line="240" w:lineRule="auto"/>
              <w:jc w:val="left"/>
              <w:textAlignment w:val="center"/>
              <w:rPr>
                <w:rFonts w:hint="eastAsia" w:ascii="宋体" w:hAnsi="宋体" w:cs="宋体"/>
                <w:color w:val="000000"/>
                <w:sz w:val="21"/>
                <w:szCs w:val="21"/>
                <w:lang w:bidi="ar"/>
              </w:rPr>
            </w:pPr>
            <w:r>
              <w:rPr>
                <w:rFonts w:hint="eastAsia" w:ascii="宋体" w:hAnsi="宋体" w:cs="宋体"/>
                <w:color w:val="000000"/>
                <w:sz w:val="21"/>
                <w:szCs w:val="21"/>
                <w:lang w:bidi="ar"/>
              </w:rPr>
              <w:t>考核周期内监测数据有效率低于70%，扣除20分；</w:t>
            </w:r>
          </w:p>
        </w:tc>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BB284">
            <w:pPr>
              <w:spacing w:line="240" w:lineRule="auto"/>
              <w:jc w:val="center"/>
              <w:rPr>
                <w:rFonts w:hint="eastAsia" w:ascii="宋体" w:hAnsi="宋体" w:cs="宋体"/>
                <w:color w:val="000000"/>
                <w:kern w:val="2"/>
                <w:szCs w:val="21"/>
              </w:rPr>
            </w:pPr>
          </w:p>
        </w:tc>
      </w:tr>
      <w:tr w14:paraId="4AD68D14">
        <w:tblPrEx>
          <w:tblCellMar>
            <w:top w:w="0" w:type="dxa"/>
            <w:left w:w="108" w:type="dxa"/>
            <w:bottom w:w="0" w:type="dxa"/>
            <w:right w:w="108" w:type="dxa"/>
          </w:tblCellMar>
        </w:tblPrEx>
        <w:trPr>
          <w:trHeight w:val="784" w:hRule="atLeast"/>
        </w:trPr>
        <w:tc>
          <w:tcPr>
            <w:tcW w:w="17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8BD299">
            <w:pPr>
              <w:spacing w:line="240" w:lineRule="auto"/>
              <w:jc w:val="left"/>
              <w:rPr>
                <w:rFonts w:hint="eastAsia" w:ascii="宋体" w:hAnsi="宋体" w:cs="宋体"/>
                <w:color w:val="000000"/>
                <w:kern w:val="2"/>
                <w:sz w:val="21"/>
                <w:szCs w:val="21"/>
              </w:rPr>
            </w:pPr>
          </w:p>
        </w:tc>
        <w:tc>
          <w:tcPr>
            <w:tcW w:w="2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9C174">
            <w:pPr>
              <w:widowControl/>
              <w:spacing w:line="240" w:lineRule="auto"/>
              <w:jc w:val="left"/>
              <w:textAlignment w:val="center"/>
              <w:rPr>
                <w:rFonts w:hint="eastAsia" w:ascii="宋体" w:hAnsi="宋体" w:cs="宋体"/>
                <w:color w:val="000000"/>
                <w:sz w:val="21"/>
                <w:szCs w:val="21"/>
                <w:lang w:bidi="ar"/>
              </w:rPr>
            </w:pPr>
            <w:r>
              <w:rPr>
                <w:rFonts w:hint="eastAsia" w:ascii="宋体" w:hAnsi="宋体" w:cs="宋体"/>
                <w:color w:val="000000"/>
                <w:sz w:val="21"/>
                <w:szCs w:val="21"/>
                <w:lang w:bidi="ar"/>
              </w:rPr>
              <w:t>水质运维监测数据捕获率高于90%、数据有效率高于90%(含)</w:t>
            </w:r>
          </w:p>
        </w:tc>
        <w:tc>
          <w:tcPr>
            <w:tcW w:w="720" w:type="dxa"/>
            <w:tcBorders>
              <w:top w:val="single" w:color="000000" w:sz="4" w:space="0"/>
              <w:left w:val="single" w:color="000000" w:sz="4" w:space="0"/>
              <w:bottom w:val="single" w:color="000000" w:sz="4" w:space="0"/>
              <w:right w:val="nil"/>
            </w:tcBorders>
            <w:shd w:val="clear" w:color="auto" w:fill="FFFFFF"/>
            <w:vAlign w:val="center"/>
          </w:tcPr>
          <w:p w14:paraId="3691924C">
            <w:pPr>
              <w:widowControl/>
              <w:spacing w:line="240" w:lineRule="auto"/>
              <w:jc w:val="center"/>
              <w:textAlignment w:val="center"/>
              <w:rPr>
                <w:rFonts w:hint="eastAsia" w:ascii="宋体" w:hAnsi="宋体" w:cs="宋体"/>
                <w:color w:val="000000"/>
                <w:sz w:val="21"/>
                <w:szCs w:val="21"/>
                <w:lang w:bidi="ar"/>
              </w:rPr>
            </w:pPr>
            <w:r>
              <w:rPr>
                <w:rFonts w:hint="eastAsia" w:ascii="宋体" w:hAnsi="宋体" w:cs="宋体"/>
                <w:color w:val="000000"/>
                <w:sz w:val="21"/>
                <w:szCs w:val="21"/>
                <w:lang w:bidi="ar"/>
              </w:rPr>
              <w:t>20</w:t>
            </w:r>
          </w:p>
        </w:tc>
        <w:tc>
          <w:tcPr>
            <w:tcW w:w="3146" w:type="dxa"/>
            <w:tcBorders>
              <w:top w:val="single" w:color="000000" w:sz="4" w:space="0"/>
              <w:left w:val="single" w:color="000000" w:sz="4" w:space="0"/>
              <w:bottom w:val="single" w:color="000000" w:sz="4" w:space="0"/>
              <w:right w:val="nil"/>
            </w:tcBorders>
            <w:shd w:val="clear" w:color="auto" w:fill="FFFFFF"/>
            <w:vAlign w:val="center"/>
          </w:tcPr>
          <w:p w14:paraId="186DA41E">
            <w:pPr>
              <w:widowControl/>
              <w:spacing w:line="240" w:lineRule="auto"/>
              <w:jc w:val="left"/>
              <w:textAlignment w:val="center"/>
              <w:rPr>
                <w:rFonts w:hint="eastAsia" w:ascii="宋体" w:hAnsi="宋体" w:cs="宋体"/>
                <w:color w:val="000000"/>
                <w:sz w:val="21"/>
                <w:szCs w:val="21"/>
                <w:lang w:bidi="ar"/>
              </w:rPr>
            </w:pPr>
            <w:r>
              <w:rPr>
                <w:rFonts w:hint="eastAsia" w:ascii="宋体" w:hAnsi="宋体" w:cs="宋体"/>
                <w:color w:val="000000"/>
                <w:sz w:val="21"/>
                <w:szCs w:val="21"/>
                <w:lang w:bidi="ar"/>
              </w:rPr>
              <w:t>考核周期内监测数据两率90%(含)以上得满分；</w:t>
            </w:r>
          </w:p>
          <w:p w14:paraId="06AFCF9E">
            <w:pPr>
              <w:widowControl/>
              <w:spacing w:line="240" w:lineRule="auto"/>
              <w:jc w:val="left"/>
              <w:textAlignment w:val="center"/>
              <w:rPr>
                <w:rFonts w:hint="eastAsia" w:ascii="宋体" w:hAnsi="宋体" w:cs="宋体"/>
                <w:color w:val="000000"/>
                <w:sz w:val="21"/>
                <w:szCs w:val="21"/>
                <w:lang w:bidi="ar"/>
              </w:rPr>
            </w:pPr>
            <w:r>
              <w:rPr>
                <w:rFonts w:hint="eastAsia" w:ascii="宋体" w:hAnsi="宋体" w:cs="宋体"/>
                <w:color w:val="000000"/>
                <w:sz w:val="21"/>
                <w:szCs w:val="21"/>
                <w:lang w:bidi="ar"/>
              </w:rPr>
              <w:t>考核周期内监测数据有效率在80%(含)-90%(不含)，扣除5分；</w:t>
            </w:r>
          </w:p>
          <w:p w14:paraId="7D72E569">
            <w:pPr>
              <w:widowControl/>
              <w:spacing w:line="240" w:lineRule="auto"/>
              <w:jc w:val="left"/>
              <w:textAlignment w:val="center"/>
              <w:rPr>
                <w:rFonts w:hint="eastAsia" w:ascii="宋体" w:hAnsi="宋体" w:cs="宋体"/>
                <w:color w:val="000000"/>
                <w:sz w:val="21"/>
                <w:szCs w:val="21"/>
                <w:lang w:bidi="ar"/>
              </w:rPr>
            </w:pPr>
            <w:r>
              <w:rPr>
                <w:rFonts w:hint="eastAsia" w:ascii="宋体" w:hAnsi="宋体" w:cs="宋体"/>
                <w:color w:val="000000"/>
                <w:sz w:val="21"/>
                <w:szCs w:val="21"/>
                <w:lang w:bidi="ar"/>
              </w:rPr>
              <w:t>考核周期内监测数据有效率在70%(含)-80%(不含)，扣除10分；</w:t>
            </w:r>
          </w:p>
          <w:p w14:paraId="6DF12ED8">
            <w:pPr>
              <w:widowControl/>
              <w:spacing w:line="240" w:lineRule="auto"/>
              <w:jc w:val="left"/>
              <w:textAlignment w:val="center"/>
              <w:rPr>
                <w:rFonts w:hint="eastAsia" w:ascii="宋体" w:hAnsi="宋体" w:cs="宋体"/>
                <w:color w:val="000000"/>
                <w:sz w:val="21"/>
                <w:szCs w:val="21"/>
                <w:lang w:bidi="ar"/>
              </w:rPr>
            </w:pPr>
            <w:r>
              <w:rPr>
                <w:rFonts w:hint="eastAsia" w:ascii="宋体" w:hAnsi="宋体" w:cs="宋体"/>
                <w:color w:val="000000"/>
                <w:sz w:val="21"/>
                <w:szCs w:val="21"/>
                <w:lang w:bidi="ar"/>
              </w:rPr>
              <w:t>考核周期内监测数据有效率低于70%，扣除20分；</w:t>
            </w:r>
          </w:p>
        </w:tc>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24927">
            <w:pPr>
              <w:spacing w:line="240" w:lineRule="auto"/>
              <w:jc w:val="center"/>
              <w:rPr>
                <w:rFonts w:hint="eastAsia" w:ascii="宋体" w:hAnsi="宋体" w:cs="宋体"/>
                <w:color w:val="000000"/>
                <w:kern w:val="2"/>
                <w:szCs w:val="21"/>
              </w:rPr>
            </w:pPr>
          </w:p>
        </w:tc>
      </w:tr>
      <w:tr w14:paraId="2A02D89B">
        <w:tblPrEx>
          <w:tblCellMar>
            <w:top w:w="0" w:type="dxa"/>
            <w:left w:w="108" w:type="dxa"/>
            <w:bottom w:w="0" w:type="dxa"/>
            <w:right w:w="108" w:type="dxa"/>
          </w:tblCellMar>
        </w:tblPrEx>
        <w:trPr>
          <w:trHeight w:val="734" w:hRule="atLeast"/>
        </w:trPr>
        <w:tc>
          <w:tcPr>
            <w:tcW w:w="444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7DD6E0">
            <w:pPr>
              <w:widowControl/>
              <w:spacing w:line="240" w:lineRule="auto"/>
              <w:jc w:val="left"/>
              <w:textAlignment w:val="center"/>
              <w:rPr>
                <w:rFonts w:hint="eastAsia" w:ascii="宋体" w:hAnsi="宋体" w:cs="宋体"/>
                <w:color w:val="000000"/>
                <w:kern w:val="2"/>
                <w:szCs w:val="21"/>
              </w:rPr>
            </w:pPr>
            <w:r>
              <w:rPr>
                <w:rFonts w:hint="eastAsia" w:ascii="宋体" w:hAnsi="宋体" w:cs="宋体"/>
                <w:color w:val="000000"/>
                <w:szCs w:val="21"/>
                <w:lang w:bidi="ar"/>
              </w:rPr>
              <w:t>合计</w:t>
            </w:r>
          </w:p>
        </w:tc>
        <w:tc>
          <w:tcPr>
            <w:tcW w:w="720" w:type="dxa"/>
            <w:tcBorders>
              <w:top w:val="single" w:color="000000" w:sz="4" w:space="0"/>
              <w:left w:val="nil"/>
              <w:bottom w:val="single" w:color="000000" w:sz="4" w:space="0"/>
              <w:right w:val="single" w:color="000000" w:sz="4" w:space="0"/>
            </w:tcBorders>
            <w:shd w:val="clear" w:color="auto" w:fill="FFFFFF"/>
            <w:vAlign w:val="center"/>
          </w:tcPr>
          <w:p w14:paraId="143A00DA">
            <w:pPr>
              <w:widowControl/>
              <w:spacing w:line="240" w:lineRule="auto"/>
              <w:jc w:val="center"/>
              <w:textAlignment w:val="center"/>
              <w:rPr>
                <w:rFonts w:hint="eastAsia" w:ascii="宋体" w:hAnsi="宋体" w:cs="宋体"/>
                <w:color w:val="000000"/>
                <w:kern w:val="2"/>
                <w:szCs w:val="21"/>
              </w:rPr>
            </w:pPr>
            <w:r>
              <w:rPr>
                <w:rFonts w:hint="eastAsia" w:ascii="宋体" w:hAnsi="宋体" w:cs="宋体"/>
                <w:color w:val="000000"/>
                <w:szCs w:val="21"/>
                <w:lang w:bidi="ar"/>
              </w:rPr>
              <w:t>100</w:t>
            </w:r>
          </w:p>
        </w:tc>
        <w:tc>
          <w:tcPr>
            <w:tcW w:w="31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18A48">
            <w:pPr>
              <w:spacing w:line="240" w:lineRule="auto"/>
              <w:jc w:val="left"/>
              <w:rPr>
                <w:rFonts w:hint="eastAsia" w:ascii="宋体" w:hAnsi="宋体" w:cs="宋体"/>
                <w:color w:val="000000"/>
                <w:kern w:val="2"/>
                <w:szCs w:val="21"/>
              </w:rPr>
            </w:pPr>
          </w:p>
        </w:tc>
        <w:tc>
          <w:tcPr>
            <w:tcW w:w="15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CDD82">
            <w:pPr>
              <w:spacing w:line="240" w:lineRule="auto"/>
              <w:rPr>
                <w:rFonts w:hint="eastAsia" w:ascii="宋体" w:hAnsi="宋体" w:cs="宋体"/>
                <w:color w:val="000000"/>
                <w:kern w:val="2"/>
                <w:szCs w:val="21"/>
              </w:rPr>
            </w:pPr>
          </w:p>
        </w:tc>
      </w:tr>
      <w:tr w14:paraId="6B84DE39">
        <w:tblPrEx>
          <w:tblCellMar>
            <w:top w:w="0" w:type="dxa"/>
            <w:left w:w="108" w:type="dxa"/>
            <w:bottom w:w="0" w:type="dxa"/>
            <w:right w:w="108" w:type="dxa"/>
          </w:tblCellMar>
        </w:tblPrEx>
        <w:trPr>
          <w:trHeight w:val="285" w:hRule="atLeast"/>
        </w:trPr>
        <w:tc>
          <w:tcPr>
            <w:tcW w:w="1759" w:type="dxa"/>
            <w:tcBorders>
              <w:top w:val="nil"/>
              <w:left w:val="nil"/>
              <w:bottom w:val="nil"/>
              <w:right w:val="nil"/>
            </w:tcBorders>
            <w:noWrap/>
            <w:vAlign w:val="center"/>
          </w:tcPr>
          <w:p w14:paraId="72D548DC">
            <w:pPr>
              <w:spacing w:line="240" w:lineRule="auto"/>
              <w:rPr>
                <w:rFonts w:hint="eastAsia" w:ascii="宋体" w:hAnsi="宋体" w:cs="宋体"/>
                <w:color w:val="000000"/>
                <w:kern w:val="2"/>
                <w:sz w:val="24"/>
                <w:szCs w:val="21"/>
              </w:rPr>
            </w:pPr>
          </w:p>
        </w:tc>
        <w:tc>
          <w:tcPr>
            <w:tcW w:w="2688" w:type="dxa"/>
            <w:tcBorders>
              <w:top w:val="nil"/>
              <w:left w:val="nil"/>
              <w:bottom w:val="nil"/>
              <w:right w:val="nil"/>
            </w:tcBorders>
            <w:noWrap/>
            <w:vAlign w:val="center"/>
          </w:tcPr>
          <w:p w14:paraId="0B5EFF92">
            <w:pPr>
              <w:spacing w:line="240" w:lineRule="auto"/>
              <w:rPr>
                <w:rFonts w:hint="eastAsia" w:ascii="宋体" w:hAnsi="宋体" w:cs="宋体"/>
                <w:color w:val="000000"/>
                <w:kern w:val="2"/>
                <w:sz w:val="24"/>
                <w:szCs w:val="21"/>
              </w:rPr>
            </w:pPr>
          </w:p>
        </w:tc>
        <w:tc>
          <w:tcPr>
            <w:tcW w:w="720" w:type="dxa"/>
            <w:tcBorders>
              <w:top w:val="nil"/>
              <w:left w:val="nil"/>
              <w:bottom w:val="nil"/>
              <w:right w:val="nil"/>
            </w:tcBorders>
            <w:noWrap/>
            <w:vAlign w:val="center"/>
          </w:tcPr>
          <w:p w14:paraId="0EB9C72A">
            <w:pPr>
              <w:spacing w:line="240" w:lineRule="auto"/>
              <w:rPr>
                <w:rFonts w:hint="eastAsia" w:ascii="宋体" w:hAnsi="宋体" w:cs="宋体"/>
                <w:color w:val="000000"/>
                <w:kern w:val="2"/>
                <w:sz w:val="24"/>
                <w:szCs w:val="21"/>
              </w:rPr>
            </w:pPr>
          </w:p>
        </w:tc>
        <w:tc>
          <w:tcPr>
            <w:tcW w:w="3146" w:type="dxa"/>
            <w:tcBorders>
              <w:top w:val="nil"/>
              <w:left w:val="nil"/>
              <w:bottom w:val="nil"/>
              <w:right w:val="nil"/>
            </w:tcBorders>
            <w:noWrap/>
            <w:vAlign w:val="center"/>
          </w:tcPr>
          <w:p w14:paraId="3EC22FFD">
            <w:pPr>
              <w:spacing w:line="240" w:lineRule="auto"/>
              <w:rPr>
                <w:rFonts w:hint="eastAsia" w:ascii="宋体" w:hAnsi="宋体" w:cs="宋体"/>
                <w:color w:val="000000"/>
                <w:kern w:val="2"/>
                <w:sz w:val="24"/>
                <w:szCs w:val="21"/>
              </w:rPr>
            </w:pPr>
          </w:p>
        </w:tc>
        <w:tc>
          <w:tcPr>
            <w:tcW w:w="1572" w:type="dxa"/>
            <w:tcBorders>
              <w:top w:val="nil"/>
              <w:left w:val="nil"/>
              <w:bottom w:val="nil"/>
              <w:right w:val="nil"/>
            </w:tcBorders>
            <w:noWrap/>
            <w:vAlign w:val="center"/>
          </w:tcPr>
          <w:p w14:paraId="3982B6A6">
            <w:pPr>
              <w:spacing w:line="240" w:lineRule="auto"/>
              <w:rPr>
                <w:rFonts w:hint="eastAsia" w:ascii="宋体" w:hAnsi="宋体" w:cs="宋体"/>
                <w:color w:val="000000"/>
                <w:kern w:val="2"/>
                <w:sz w:val="24"/>
                <w:szCs w:val="21"/>
              </w:rPr>
            </w:pPr>
          </w:p>
        </w:tc>
      </w:tr>
      <w:tr w14:paraId="2B99E6BE">
        <w:tblPrEx>
          <w:tblCellMar>
            <w:top w:w="0" w:type="dxa"/>
            <w:left w:w="108" w:type="dxa"/>
            <w:bottom w:w="0" w:type="dxa"/>
            <w:right w:w="108" w:type="dxa"/>
          </w:tblCellMar>
        </w:tblPrEx>
        <w:trPr>
          <w:trHeight w:val="372" w:hRule="atLeast"/>
        </w:trPr>
        <w:tc>
          <w:tcPr>
            <w:tcW w:w="1759" w:type="dxa"/>
            <w:tcBorders>
              <w:top w:val="nil"/>
              <w:left w:val="nil"/>
              <w:bottom w:val="nil"/>
              <w:right w:val="nil"/>
            </w:tcBorders>
            <w:noWrap/>
            <w:vAlign w:val="center"/>
          </w:tcPr>
          <w:p w14:paraId="20C3A9D3">
            <w:pPr>
              <w:widowControl/>
              <w:spacing w:line="240" w:lineRule="auto"/>
              <w:jc w:val="left"/>
              <w:textAlignment w:val="center"/>
              <w:rPr>
                <w:rFonts w:hint="eastAsia" w:ascii="宋体" w:hAnsi="宋体" w:cs="宋体"/>
                <w:color w:val="000000"/>
                <w:kern w:val="2"/>
                <w:sz w:val="20"/>
                <w:szCs w:val="20"/>
              </w:rPr>
            </w:pPr>
            <w:r>
              <w:rPr>
                <w:rFonts w:hint="eastAsia" w:ascii="宋体" w:hAnsi="宋体" w:cs="宋体"/>
                <w:color w:val="000000"/>
                <w:sz w:val="20"/>
                <w:szCs w:val="20"/>
                <w:lang w:bidi="ar"/>
              </w:rPr>
              <w:t>考核人（签</w:t>
            </w:r>
            <w:r>
              <w:rPr>
                <w:rFonts w:hint="eastAsia" w:ascii="宋体" w:hAnsi="宋体" w:cs="宋体"/>
                <w:color w:val="000000"/>
                <w:sz w:val="20"/>
                <w:szCs w:val="20"/>
                <w:lang w:val="en-US" w:eastAsia="zh-CN" w:bidi="ar"/>
              </w:rPr>
              <w:t>名</w:t>
            </w:r>
            <w:r>
              <w:rPr>
                <w:rFonts w:hint="eastAsia" w:ascii="宋体" w:hAnsi="宋体" w:cs="宋体"/>
                <w:color w:val="000000"/>
                <w:sz w:val="20"/>
                <w:szCs w:val="20"/>
                <w:lang w:bidi="ar"/>
              </w:rPr>
              <w:t>）：</w:t>
            </w:r>
          </w:p>
        </w:tc>
        <w:tc>
          <w:tcPr>
            <w:tcW w:w="2688" w:type="dxa"/>
            <w:tcBorders>
              <w:top w:val="nil"/>
              <w:left w:val="nil"/>
              <w:bottom w:val="nil"/>
              <w:right w:val="nil"/>
            </w:tcBorders>
            <w:noWrap/>
            <w:vAlign w:val="center"/>
          </w:tcPr>
          <w:p w14:paraId="2160BED6">
            <w:pPr>
              <w:spacing w:line="240" w:lineRule="auto"/>
              <w:rPr>
                <w:rFonts w:hint="eastAsia" w:ascii="宋体" w:hAnsi="宋体" w:cs="宋体"/>
                <w:color w:val="000000"/>
                <w:kern w:val="2"/>
                <w:sz w:val="20"/>
                <w:szCs w:val="20"/>
              </w:rPr>
            </w:pPr>
          </w:p>
        </w:tc>
        <w:tc>
          <w:tcPr>
            <w:tcW w:w="720" w:type="dxa"/>
            <w:tcBorders>
              <w:top w:val="nil"/>
              <w:left w:val="nil"/>
              <w:bottom w:val="nil"/>
              <w:right w:val="nil"/>
            </w:tcBorders>
            <w:noWrap/>
            <w:vAlign w:val="center"/>
          </w:tcPr>
          <w:p w14:paraId="6D217BE4">
            <w:pPr>
              <w:spacing w:line="240" w:lineRule="auto"/>
              <w:rPr>
                <w:rFonts w:hint="eastAsia" w:ascii="宋体" w:hAnsi="宋体" w:cs="宋体"/>
                <w:color w:val="000000"/>
                <w:kern w:val="2"/>
                <w:sz w:val="20"/>
                <w:szCs w:val="20"/>
              </w:rPr>
            </w:pPr>
          </w:p>
        </w:tc>
        <w:tc>
          <w:tcPr>
            <w:tcW w:w="3146" w:type="dxa"/>
            <w:tcBorders>
              <w:top w:val="nil"/>
              <w:left w:val="nil"/>
              <w:bottom w:val="nil"/>
              <w:right w:val="nil"/>
            </w:tcBorders>
            <w:shd w:val="clear" w:color="auto" w:fill="FFFFFF"/>
            <w:vAlign w:val="center"/>
          </w:tcPr>
          <w:p w14:paraId="68FA1AE2">
            <w:pPr>
              <w:widowControl/>
              <w:spacing w:line="240" w:lineRule="auto"/>
              <w:jc w:val="center"/>
              <w:textAlignment w:val="center"/>
              <w:rPr>
                <w:rFonts w:hint="eastAsia" w:ascii="宋体" w:hAnsi="宋体" w:cs="宋体"/>
                <w:color w:val="000000"/>
                <w:kern w:val="2"/>
                <w:sz w:val="20"/>
                <w:szCs w:val="20"/>
              </w:rPr>
            </w:pPr>
            <w:r>
              <w:rPr>
                <w:rFonts w:hint="eastAsia" w:ascii="宋体" w:hAnsi="宋体" w:cs="宋体"/>
                <w:color w:val="000000"/>
                <w:sz w:val="20"/>
                <w:szCs w:val="20"/>
                <w:lang w:bidi="ar"/>
              </w:rPr>
              <w:t>被考核人（签</w:t>
            </w:r>
            <w:r>
              <w:rPr>
                <w:rFonts w:hint="eastAsia" w:ascii="宋体" w:hAnsi="宋体" w:cs="宋体"/>
                <w:color w:val="000000"/>
                <w:sz w:val="20"/>
                <w:szCs w:val="20"/>
                <w:lang w:val="en-US" w:eastAsia="zh-CN" w:bidi="ar"/>
              </w:rPr>
              <w:t>名</w:t>
            </w:r>
            <w:r>
              <w:rPr>
                <w:rFonts w:hint="eastAsia" w:ascii="宋体" w:hAnsi="宋体" w:cs="宋体"/>
                <w:color w:val="000000"/>
                <w:sz w:val="20"/>
                <w:szCs w:val="20"/>
                <w:lang w:bidi="ar"/>
              </w:rPr>
              <w:t>）：</w:t>
            </w:r>
          </w:p>
        </w:tc>
        <w:tc>
          <w:tcPr>
            <w:tcW w:w="1572" w:type="dxa"/>
            <w:tcBorders>
              <w:top w:val="nil"/>
              <w:left w:val="nil"/>
              <w:bottom w:val="nil"/>
              <w:right w:val="nil"/>
            </w:tcBorders>
            <w:noWrap/>
            <w:vAlign w:val="center"/>
          </w:tcPr>
          <w:p w14:paraId="3858DC07">
            <w:pPr>
              <w:spacing w:line="240" w:lineRule="auto"/>
              <w:rPr>
                <w:rFonts w:hint="eastAsia" w:ascii="宋体" w:hAnsi="宋体" w:cs="宋体"/>
                <w:color w:val="000000"/>
                <w:kern w:val="2"/>
                <w:sz w:val="20"/>
                <w:szCs w:val="20"/>
              </w:rPr>
            </w:pPr>
          </w:p>
        </w:tc>
      </w:tr>
    </w:tbl>
    <w:p w14:paraId="73472CAF">
      <w:pPr>
        <w:rPr>
          <w:color w:val="000000"/>
        </w:rPr>
      </w:pPr>
      <w:r>
        <w:rPr>
          <w:rFonts w:hint="eastAsia"/>
          <w:color w:val="000000"/>
        </w:rPr>
        <w:br w:type="page"/>
      </w:r>
    </w:p>
    <w:p w14:paraId="32C225D0">
      <w:pPr>
        <w:pStyle w:val="54"/>
        <w:spacing w:line="500" w:lineRule="atLeast"/>
        <w:rPr>
          <w:color w:val="000000"/>
        </w:rPr>
      </w:pPr>
      <w:r>
        <w:rPr>
          <w:rFonts w:hint="eastAsia"/>
          <w:color w:val="000000"/>
        </w:rPr>
        <w:t>第六章 投标文件格式</w:t>
      </w:r>
      <w:bookmarkEnd w:id="94"/>
      <w:bookmarkEnd w:id="95"/>
      <w:bookmarkEnd w:id="96"/>
    </w:p>
    <w:p w14:paraId="5D315E6C">
      <w:pPr>
        <w:spacing w:line="360" w:lineRule="auto"/>
        <w:jc w:val="left"/>
        <w:rPr>
          <w:rFonts w:hint="eastAsia" w:ascii="宋体" w:hAnsi="宋体"/>
          <w:b/>
          <w:sz w:val="32"/>
        </w:rPr>
      </w:pPr>
      <w:bookmarkStart w:id="104" w:name="_Toc445475396"/>
      <w:bookmarkStart w:id="105" w:name="_Toc397928631"/>
      <w:bookmarkStart w:id="106" w:name="_Toc462334558"/>
      <w:r>
        <w:rPr>
          <w:rStyle w:val="55"/>
          <w:rFonts w:hint="eastAsia" w:ascii="宋体" w:hAnsi="宋体"/>
        </w:rPr>
        <w:t>封面</w:t>
      </w:r>
      <w:bookmarkEnd w:id="104"/>
      <w:bookmarkEnd w:id="105"/>
      <w:bookmarkEnd w:id="106"/>
    </w:p>
    <w:p w14:paraId="4A004879">
      <w:pPr>
        <w:spacing w:line="360" w:lineRule="auto"/>
        <w:jc w:val="center"/>
        <w:rPr>
          <w:rFonts w:ascii="黑体" w:eastAsia="黑体"/>
          <w:b/>
          <w:sz w:val="32"/>
        </w:rPr>
      </w:pPr>
    </w:p>
    <w:p w14:paraId="07E931BD">
      <w:pPr>
        <w:jc w:val="center"/>
        <w:rPr>
          <w:rFonts w:hint="eastAsia" w:ascii="宋体" w:hAnsi="宋体"/>
          <w:sz w:val="44"/>
          <w:szCs w:val="44"/>
        </w:rPr>
      </w:pPr>
      <w:r>
        <w:rPr>
          <w:rFonts w:hint="eastAsia" w:ascii="宋体" w:hAnsi="宋体"/>
          <w:sz w:val="44"/>
          <w:szCs w:val="44"/>
        </w:rPr>
        <w:t xml:space="preserve"> </w:t>
      </w:r>
    </w:p>
    <w:p w14:paraId="1825C2BB">
      <w:pPr>
        <w:jc w:val="center"/>
        <w:rPr>
          <w:rFonts w:hint="eastAsia" w:ascii="宋体" w:hAnsi="宋体"/>
          <w:sz w:val="44"/>
          <w:szCs w:val="44"/>
        </w:rPr>
      </w:pPr>
      <w:r>
        <w:rPr>
          <w:rFonts w:hint="eastAsia" w:ascii="宋体" w:hAnsi="宋体"/>
          <w:sz w:val="44"/>
          <w:szCs w:val="44"/>
          <w:u w:val="single"/>
        </w:rPr>
        <w:t xml:space="preserve"> （项目名称）    </w:t>
      </w:r>
      <w:r>
        <w:rPr>
          <w:rFonts w:hint="eastAsia" w:ascii="宋体" w:hAnsi="宋体"/>
          <w:sz w:val="44"/>
          <w:szCs w:val="44"/>
        </w:rPr>
        <w:t>招标</w:t>
      </w:r>
    </w:p>
    <w:p w14:paraId="7BAC33B5">
      <w:pPr>
        <w:spacing w:line="360" w:lineRule="auto"/>
        <w:jc w:val="center"/>
        <w:rPr>
          <w:rFonts w:hint="eastAsia" w:ascii="宋体" w:hAnsi="宋体"/>
          <w:sz w:val="28"/>
          <w:szCs w:val="28"/>
        </w:rPr>
      </w:pPr>
    </w:p>
    <w:p w14:paraId="1848944D">
      <w:pPr>
        <w:spacing w:line="360" w:lineRule="auto"/>
        <w:jc w:val="center"/>
        <w:rPr>
          <w:rFonts w:hint="eastAsia" w:ascii="宋体" w:hAnsi="宋体"/>
          <w:sz w:val="28"/>
          <w:szCs w:val="28"/>
        </w:rPr>
      </w:pPr>
    </w:p>
    <w:p w14:paraId="336E1707">
      <w:pPr>
        <w:spacing w:line="360" w:lineRule="auto"/>
        <w:jc w:val="center"/>
        <w:rPr>
          <w:rFonts w:hint="eastAsia" w:ascii="宋体" w:hAnsi="宋体"/>
          <w:sz w:val="72"/>
          <w:szCs w:val="72"/>
        </w:rPr>
      </w:pPr>
    </w:p>
    <w:p w14:paraId="21764535">
      <w:pPr>
        <w:spacing w:line="360" w:lineRule="auto"/>
        <w:jc w:val="center"/>
        <w:rPr>
          <w:rFonts w:hint="eastAsia" w:ascii="黑体" w:hAnsi="黑体" w:eastAsia="黑体"/>
          <w:sz w:val="96"/>
          <w:szCs w:val="96"/>
        </w:rPr>
      </w:pPr>
      <w:r>
        <w:rPr>
          <w:rFonts w:hint="eastAsia" w:ascii="黑体" w:hAnsi="黑体" w:eastAsia="黑体"/>
          <w:sz w:val="96"/>
          <w:szCs w:val="96"/>
        </w:rPr>
        <w:t>投 标 文 件</w:t>
      </w:r>
    </w:p>
    <w:p w14:paraId="5149B7AD">
      <w:pPr>
        <w:spacing w:line="360" w:lineRule="auto"/>
        <w:jc w:val="center"/>
        <w:rPr>
          <w:rFonts w:hint="eastAsia" w:ascii="宋体" w:hAnsi="宋体"/>
          <w:sz w:val="28"/>
          <w:szCs w:val="28"/>
        </w:rPr>
      </w:pPr>
    </w:p>
    <w:p w14:paraId="1418553F">
      <w:pPr>
        <w:spacing w:line="360" w:lineRule="auto"/>
        <w:jc w:val="center"/>
        <w:rPr>
          <w:rFonts w:hint="eastAsia" w:ascii="宋体" w:hAnsi="宋体"/>
          <w:sz w:val="28"/>
          <w:szCs w:val="28"/>
        </w:rPr>
      </w:pPr>
      <w:r>
        <w:rPr>
          <w:rFonts w:hint="eastAsia" w:ascii="宋体" w:hAnsi="宋体"/>
          <w:sz w:val="28"/>
          <w:szCs w:val="28"/>
        </w:rPr>
        <w:t xml:space="preserve">招标编号： </w:t>
      </w:r>
    </w:p>
    <w:p w14:paraId="048B0CDC">
      <w:pPr>
        <w:spacing w:line="360" w:lineRule="auto"/>
        <w:jc w:val="center"/>
        <w:rPr>
          <w:rFonts w:hint="eastAsia" w:ascii="宋体" w:hAnsi="宋体"/>
          <w:sz w:val="28"/>
          <w:szCs w:val="28"/>
        </w:rPr>
      </w:pPr>
    </w:p>
    <w:p w14:paraId="65790586">
      <w:pPr>
        <w:spacing w:line="360" w:lineRule="auto"/>
        <w:jc w:val="center"/>
        <w:rPr>
          <w:rFonts w:hint="eastAsia" w:ascii="宋体" w:hAnsi="宋体"/>
          <w:sz w:val="28"/>
          <w:szCs w:val="28"/>
        </w:rPr>
      </w:pPr>
    </w:p>
    <w:p w14:paraId="6ED5C8F5">
      <w:pPr>
        <w:spacing w:line="360" w:lineRule="auto"/>
        <w:jc w:val="center"/>
        <w:rPr>
          <w:rFonts w:hint="eastAsia" w:ascii="宋体" w:hAnsi="宋体"/>
          <w:sz w:val="28"/>
          <w:szCs w:val="28"/>
        </w:rPr>
      </w:pPr>
    </w:p>
    <w:p w14:paraId="1A8B52B2">
      <w:pPr>
        <w:spacing w:line="360" w:lineRule="auto"/>
        <w:jc w:val="center"/>
        <w:rPr>
          <w:rFonts w:hint="eastAsia" w:ascii="宋体" w:hAnsi="宋体"/>
          <w:sz w:val="28"/>
          <w:szCs w:val="28"/>
        </w:rPr>
      </w:pPr>
    </w:p>
    <w:p w14:paraId="6DF03B85">
      <w:pPr>
        <w:spacing w:line="360" w:lineRule="auto"/>
        <w:jc w:val="center"/>
        <w:rPr>
          <w:rFonts w:hint="eastAsia" w:ascii="宋体" w:hAnsi="宋体"/>
          <w:sz w:val="28"/>
          <w:szCs w:val="28"/>
        </w:rPr>
      </w:pPr>
    </w:p>
    <w:p w14:paraId="34285ABF">
      <w:pPr>
        <w:spacing w:line="360" w:lineRule="auto"/>
        <w:ind w:firstLine="708"/>
        <w:jc w:val="left"/>
        <w:rPr>
          <w:rFonts w:hint="eastAsia" w:ascii="宋体" w:hAnsi="宋体"/>
          <w:sz w:val="28"/>
          <w:szCs w:val="28"/>
          <w:u w:val="single"/>
        </w:rPr>
      </w:pPr>
      <w:r>
        <w:rPr>
          <w:rFonts w:hint="eastAsia" w:ascii="宋体" w:hAnsi="宋体"/>
          <w:sz w:val="28"/>
          <w:szCs w:val="28"/>
        </w:rPr>
        <w:t>投标人（盖章）：</w:t>
      </w:r>
      <w:r>
        <w:rPr>
          <w:rFonts w:hint="eastAsia" w:ascii="宋体" w:hAnsi="宋体"/>
          <w:sz w:val="28"/>
          <w:szCs w:val="28"/>
          <w:u w:val="single"/>
        </w:rPr>
        <w:t xml:space="preserve">                                </w:t>
      </w:r>
    </w:p>
    <w:p w14:paraId="0B2E2DED">
      <w:pPr>
        <w:spacing w:line="360" w:lineRule="auto"/>
        <w:ind w:firstLine="700"/>
        <w:jc w:val="left"/>
        <w:rPr>
          <w:rFonts w:hint="eastAsia" w:ascii="宋体" w:hAnsi="宋体"/>
          <w:sz w:val="28"/>
          <w:szCs w:val="28"/>
        </w:rPr>
      </w:pPr>
      <w:r>
        <w:rPr>
          <w:rFonts w:hint="eastAsia" w:ascii="宋体" w:hAnsi="宋体"/>
          <w:sz w:val="28"/>
          <w:szCs w:val="28"/>
        </w:rPr>
        <w:t>日期：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05A49D17">
      <w:pPr>
        <w:spacing w:line="360" w:lineRule="auto"/>
        <w:ind w:firstLine="700"/>
        <w:jc w:val="left"/>
        <w:rPr>
          <w:rFonts w:hint="eastAsia" w:ascii="宋体" w:hAnsi="宋体"/>
          <w:sz w:val="28"/>
          <w:szCs w:val="28"/>
        </w:rPr>
      </w:pPr>
    </w:p>
    <w:p w14:paraId="172B337B">
      <w:pPr>
        <w:spacing w:line="360" w:lineRule="auto"/>
        <w:ind w:firstLine="803"/>
        <w:jc w:val="center"/>
        <w:rPr>
          <w:rFonts w:ascii="黑体" w:eastAsia="黑体"/>
          <w:b/>
          <w:sz w:val="32"/>
        </w:rPr>
      </w:pPr>
      <w:bookmarkStart w:id="107" w:name="_Toc397928632"/>
      <w:bookmarkStart w:id="108" w:name="_Toc387526438"/>
      <w:bookmarkStart w:id="109" w:name="_Toc387526346"/>
      <w:bookmarkStart w:id="110" w:name="_Toc387526242"/>
      <w:bookmarkStart w:id="111" w:name="_Toc5230"/>
    </w:p>
    <w:p w14:paraId="6F62AB08">
      <w:pPr>
        <w:spacing w:line="360" w:lineRule="auto"/>
        <w:ind w:firstLine="803"/>
        <w:jc w:val="center"/>
      </w:pPr>
      <w:r>
        <w:rPr>
          <w:rFonts w:hint="eastAsia" w:ascii="黑体" w:eastAsia="黑体"/>
          <w:b/>
          <w:sz w:val="32"/>
        </w:rPr>
        <w:t>目     录</w:t>
      </w:r>
    </w:p>
    <w:p w14:paraId="37483856">
      <w:pPr>
        <w:spacing w:line="360" w:lineRule="auto"/>
        <w:ind w:firstLine="1785"/>
        <w:jc w:val="left"/>
      </w:pPr>
    </w:p>
    <w:p w14:paraId="68A5FA68">
      <w:pPr>
        <w:spacing w:line="360" w:lineRule="auto"/>
        <w:ind w:firstLine="1785"/>
        <w:jc w:val="left"/>
      </w:pPr>
      <w:r>
        <w:rPr>
          <w:rFonts w:hint="eastAsia"/>
        </w:rPr>
        <w:t>由投标人根据招标文件自行编制。</w:t>
      </w:r>
    </w:p>
    <w:p w14:paraId="42844657">
      <w:pPr>
        <w:spacing w:line="360" w:lineRule="auto"/>
        <w:ind w:firstLine="1785"/>
        <w:jc w:val="left"/>
      </w:pPr>
    </w:p>
    <w:p w14:paraId="678B5A49">
      <w:pPr>
        <w:spacing w:line="360" w:lineRule="auto"/>
        <w:ind w:firstLine="1785"/>
        <w:jc w:val="left"/>
      </w:pPr>
    </w:p>
    <w:p w14:paraId="681384D3">
      <w:pPr>
        <w:spacing w:line="360" w:lineRule="auto"/>
        <w:ind w:firstLine="1785"/>
        <w:jc w:val="left"/>
      </w:pPr>
    </w:p>
    <w:p w14:paraId="4FDB787B">
      <w:pPr>
        <w:spacing w:line="360" w:lineRule="auto"/>
        <w:ind w:firstLine="1785"/>
        <w:jc w:val="left"/>
      </w:pPr>
    </w:p>
    <w:p w14:paraId="31A9DAC1">
      <w:pPr>
        <w:spacing w:line="360" w:lineRule="auto"/>
        <w:ind w:firstLine="1785"/>
        <w:jc w:val="left"/>
      </w:pPr>
    </w:p>
    <w:p w14:paraId="5C39F04F">
      <w:pPr>
        <w:spacing w:line="360" w:lineRule="auto"/>
        <w:ind w:firstLine="1785"/>
        <w:jc w:val="left"/>
      </w:pPr>
    </w:p>
    <w:p w14:paraId="35C4EA81">
      <w:pPr>
        <w:spacing w:line="360" w:lineRule="auto"/>
        <w:ind w:firstLine="1785"/>
        <w:jc w:val="left"/>
      </w:pPr>
    </w:p>
    <w:p w14:paraId="5E652E9A">
      <w:pPr>
        <w:spacing w:line="360" w:lineRule="auto"/>
        <w:ind w:firstLine="1785"/>
        <w:jc w:val="left"/>
      </w:pPr>
    </w:p>
    <w:p w14:paraId="6AB9BEAE">
      <w:pPr>
        <w:spacing w:line="360" w:lineRule="auto"/>
        <w:ind w:firstLine="1785"/>
        <w:jc w:val="left"/>
      </w:pPr>
    </w:p>
    <w:p w14:paraId="72D51943">
      <w:pPr>
        <w:spacing w:line="360" w:lineRule="auto"/>
        <w:ind w:firstLine="1785"/>
        <w:jc w:val="left"/>
      </w:pPr>
    </w:p>
    <w:p w14:paraId="7437096F">
      <w:pPr>
        <w:spacing w:line="360" w:lineRule="auto"/>
        <w:ind w:firstLine="1785"/>
        <w:jc w:val="left"/>
      </w:pPr>
    </w:p>
    <w:p w14:paraId="7E71EF51">
      <w:pPr>
        <w:spacing w:line="360" w:lineRule="auto"/>
        <w:ind w:firstLine="1785"/>
        <w:jc w:val="left"/>
      </w:pPr>
    </w:p>
    <w:p w14:paraId="73F6EA56">
      <w:pPr>
        <w:spacing w:line="360" w:lineRule="auto"/>
        <w:ind w:firstLine="1785"/>
        <w:jc w:val="left"/>
      </w:pPr>
    </w:p>
    <w:p w14:paraId="6288E571">
      <w:pPr>
        <w:spacing w:line="360" w:lineRule="auto"/>
        <w:ind w:firstLine="1785"/>
        <w:jc w:val="left"/>
      </w:pPr>
    </w:p>
    <w:p w14:paraId="38D71829">
      <w:pPr>
        <w:spacing w:line="360" w:lineRule="auto"/>
        <w:ind w:firstLine="1785"/>
        <w:jc w:val="left"/>
      </w:pPr>
    </w:p>
    <w:p w14:paraId="2EC6BD41">
      <w:pPr>
        <w:spacing w:line="360" w:lineRule="auto"/>
        <w:ind w:firstLine="1785"/>
        <w:jc w:val="left"/>
      </w:pPr>
    </w:p>
    <w:p w14:paraId="195730B8">
      <w:pPr>
        <w:spacing w:line="360" w:lineRule="auto"/>
        <w:ind w:firstLine="1785"/>
        <w:jc w:val="left"/>
      </w:pPr>
    </w:p>
    <w:p w14:paraId="40F4CEF9">
      <w:pPr>
        <w:spacing w:line="360" w:lineRule="auto"/>
        <w:ind w:firstLine="1785"/>
        <w:jc w:val="left"/>
      </w:pPr>
    </w:p>
    <w:p w14:paraId="0AB4EEEB">
      <w:pPr>
        <w:spacing w:line="360" w:lineRule="auto"/>
        <w:ind w:firstLine="1785"/>
        <w:jc w:val="left"/>
      </w:pPr>
    </w:p>
    <w:p w14:paraId="5A3E5349">
      <w:pPr>
        <w:spacing w:line="360" w:lineRule="auto"/>
        <w:ind w:firstLine="1785"/>
        <w:jc w:val="left"/>
      </w:pPr>
    </w:p>
    <w:p w14:paraId="240DEDEA">
      <w:pPr>
        <w:spacing w:line="360" w:lineRule="auto"/>
        <w:ind w:firstLine="1785"/>
        <w:jc w:val="left"/>
      </w:pPr>
    </w:p>
    <w:p w14:paraId="456CEE0B">
      <w:pPr>
        <w:spacing w:line="360" w:lineRule="auto"/>
        <w:ind w:firstLine="1785"/>
        <w:jc w:val="left"/>
      </w:pPr>
    </w:p>
    <w:p w14:paraId="7EF4F322">
      <w:pPr>
        <w:spacing w:line="360" w:lineRule="auto"/>
        <w:ind w:firstLine="1785"/>
        <w:jc w:val="left"/>
      </w:pPr>
    </w:p>
    <w:p w14:paraId="16206913">
      <w:pPr>
        <w:spacing w:line="360" w:lineRule="auto"/>
        <w:ind w:firstLine="1785"/>
        <w:jc w:val="left"/>
      </w:pPr>
      <w:r>
        <w:t xml:space="preserve"> </w:t>
      </w:r>
    </w:p>
    <w:bookmarkEnd w:id="107"/>
    <w:bookmarkEnd w:id="108"/>
    <w:bookmarkEnd w:id="109"/>
    <w:bookmarkEnd w:id="110"/>
    <w:bookmarkEnd w:id="111"/>
    <w:p w14:paraId="746BABFB">
      <w:pPr>
        <w:pStyle w:val="123"/>
        <w:spacing w:before="120" w:after="120" w:line="460" w:lineRule="exact"/>
        <w:jc w:val="left"/>
        <w:rPr>
          <w:rFonts w:hint="eastAsia" w:hAnsi="宋体" w:cs="Angsana New"/>
          <w:lang w:bidi="th-TH"/>
        </w:rPr>
      </w:pPr>
    </w:p>
    <w:p w14:paraId="61B1B138">
      <w:pPr>
        <w:pStyle w:val="123"/>
        <w:spacing w:before="120" w:after="120" w:line="460" w:lineRule="exact"/>
        <w:jc w:val="left"/>
        <w:rPr>
          <w:rFonts w:hint="eastAsia" w:hAnsi="宋体" w:cs="Angsana New"/>
          <w:lang w:bidi="th-TH"/>
        </w:rPr>
      </w:pPr>
    </w:p>
    <w:p w14:paraId="78E8A70E">
      <w:pPr>
        <w:pStyle w:val="123"/>
        <w:spacing w:before="120" w:after="120" w:line="460" w:lineRule="exact"/>
        <w:jc w:val="left"/>
        <w:rPr>
          <w:rFonts w:hint="eastAsia" w:hAnsi="宋体" w:cs="Angsana New"/>
          <w:lang w:bidi="th-TH"/>
        </w:rPr>
      </w:pPr>
    </w:p>
    <w:p w14:paraId="105DABA4">
      <w:pPr>
        <w:pStyle w:val="123"/>
        <w:spacing w:before="120" w:after="120" w:line="460" w:lineRule="exact"/>
        <w:jc w:val="left"/>
        <w:rPr>
          <w:rFonts w:hint="eastAsia" w:hAnsi="宋体" w:cs="Angsana New"/>
          <w:lang w:bidi="th-TH"/>
        </w:rPr>
      </w:pPr>
    </w:p>
    <w:p w14:paraId="748E6740">
      <w:pPr>
        <w:rPr>
          <w:sz w:val="24"/>
        </w:rPr>
      </w:pPr>
      <w:r>
        <w:rPr>
          <w:rFonts w:hint="eastAsia"/>
          <w:sz w:val="24"/>
        </w:rPr>
        <w:br w:type="page"/>
      </w:r>
    </w:p>
    <w:p w14:paraId="161BF6B1">
      <w:pPr>
        <w:pStyle w:val="123"/>
        <w:spacing w:before="120" w:after="120" w:line="460" w:lineRule="exact"/>
        <w:jc w:val="left"/>
        <w:rPr>
          <w:rFonts w:hint="eastAsia" w:hAnsi="宋体" w:cs="Angsana New"/>
          <w:sz w:val="24"/>
          <w:szCs w:val="24"/>
          <w:lang w:bidi="th-TH"/>
        </w:rPr>
      </w:pPr>
      <w:r>
        <w:rPr>
          <w:rFonts w:hint="eastAsia"/>
          <w:sz w:val="24"/>
          <w:szCs w:val="24"/>
        </w:rPr>
        <w:t>格式一：</w:t>
      </w:r>
    </w:p>
    <w:p w14:paraId="49D3A244">
      <w:pPr>
        <w:pStyle w:val="123"/>
        <w:spacing w:before="120" w:after="120" w:line="460" w:lineRule="exact"/>
        <w:jc w:val="center"/>
        <w:rPr>
          <w:rFonts w:hint="eastAsia" w:hAnsi="宋体"/>
          <w:b/>
          <w:szCs w:val="28"/>
        </w:rPr>
      </w:pPr>
    </w:p>
    <w:p w14:paraId="5704ECDC">
      <w:pPr>
        <w:pStyle w:val="123"/>
        <w:spacing w:before="120" w:after="120" w:line="460" w:lineRule="exact"/>
        <w:jc w:val="center"/>
        <w:rPr>
          <w:rFonts w:hint="eastAsia" w:hAnsi="宋体" w:cs="Angsana New"/>
          <w:lang w:bidi="th-TH"/>
        </w:rPr>
      </w:pPr>
      <w:r>
        <w:rPr>
          <w:rFonts w:hint="eastAsia" w:hAnsi="宋体"/>
          <w:b/>
          <w:szCs w:val="28"/>
        </w:rPr>
        <w:t>投标人的法定代表人身份证明书</w:t>
      </w:r>
    </w:p>
    <w:p w14:paraId="72FF8BCF">
      <w:pPr>
        <w:pStyle w:val="123"/>
        <w:spacing w:before="120" w:after="120" w:line="460" w:lineRule="exact"/>
        <w:jc w:val="left"/>
        <w:rPr>
          <w:rFonts w:hint="eastAsia" w:hAnsi="宋体" w:cs="Angsana New"/>
          <w:sz w:val="21"/>
          <w:szCs w:val="21"/>
          <w:u w:val="single"/>
          <w:lang w:bidi="th-TH"/>
        </w:rPr>
      </w:pPr>
      <w:r>
        <w:rPr>
          <w:rFonts w:hint="eastAsia" w:hAnsi="宋体" w:cs="Angsana New"/>
          <w:sz w:val="21"/>
          <w:szCs w:val="21"/>
          <w:lang w:bidi="th-TH"/>
        </w:rPr>
        <w:t>单位名称：</w:t>
      </w:r>
      <w:r>
        <w:rPr>
          <w:rFonts w:hint="eastAsia" w:hAnsi="宋体" w:cs="Angsana New"/>
          <w:sz w:val="21"/>
          <w:szCs w:val="21"/>
          <w:u w:val="single"/>
          <w:lang w:bidi="th-TH"/>
        </w:rPr>
        <w:t xml:space="preserve">                                  </w:t>
      </w:r>
    </w:p>
    <w:p w14:paraId="50A386E0">
      <w:pPr>
        <w:pStyle w:val="123"/>
        <w:spacing w:before="120" w:after="120" w:line="460" w:lineRule="exact"/>
        <w:jc w:val="left"/>
        <w:rPr>
          <w:rFonts w:hint="eastAsia" w:hAnsi="宋体" w:cs="Angsana New"/>
          <w:sz w:val="21"/>
          <w:szCs w:val="21"/>
          <w:u w:val="single"/>
          <w:lang w:bidi="th-TH"/>
        </w:rPr>
      </w:pPr>
      <w:r>
        <w:rPr>
          <w:rFonts w:hint="eastAsia" w:hAnsi="宋体" w:cs="Angsana New"/>
          <w:sz w:val="21"/>
          <w:szCs w:val="21"/>
          <w:lang w:bidi="th-TH"/>
        </w:rPr>
        <w:t>单位性质：</w:t>
      </w:r>
      <w:r>
        <w:rPr>
          <w:rFonts w:hint="eastAsia" w:hAnsi="宋体" w:cs="Angsana New"/>
          <w:sz w:val="21"/>
          <w:szCs w:val="21"/>
          <w:u w:val="single"/>
          <w:lang w:bidi="th-TH"/>
        </w:rPr>
        <w:t xml:space="preserve">                                 </w:t>
      </w:r>
    </w:p>
    <w:p w14:paraId="2C7A10D3">
      <w:pPr>
        <w:pStyle w:val="123"/>
        <w:spacing w:before="120" w:after="120" w:line="460" w:lineRule="exact"/>
        <w:jc w:val="left"/>
        <w:rPr>
          <w:rFonts w:hint="eastAsia" w:hAnsi="宋体" w:cs="Angsana New"/>
          <w:sz w:val="21"/>
          <w:szCs w:val="21"/>
          <w:u w:val="single"/>
          <w:lang w:bidi="th-TH"/>
        </w:rPr>
      </w:pPr>
      <w:r>
        <w:rPr>
          <w:rFonts w:hint="eastAsia" w:hAnsi="宋体" w:cs="Angsana New"/>
          <w:sz w:val="21"/>
          <w:szCs w:val="21"/>
          <w:lang w:bidi="th-TH"/>
        </w:rPr>
        <w:t>地址：</w:t>
      </w:r>
      <w:r>
        <w:rPr>
          <w:rFonts w:hint="eastAsia" w:hAnsi="宋体" w:cs="Angsana New"/>
          <w:sz w:val="21"/>
          <w:szCs w:val="21"/>
          <w:u w:val="single"/>
          <w:lang w:bidi="th-TH"/>
        </w:rPr>
        <w:t xml:space="preserve">                                     </w:t>
      </w:r>
    </w:p>
    <w:p w14:paraId="61E43323">
      <w:pPr>
        <w:pStyle w:val="123"/>
        <w:spacing w:before="120" w:after="120" w:line="460" w:lineRule="exact"/>
        <w:jc w:val="left"/>
        <w:rPr>
          <w:rFonts w:hint="eastAsia" w:hAnsi="宋体" w:cs="Angsana New"/>
          <w:sz w:val="21"/>
          <w:szCs w:val="21"/>
          <w:lang w:bidi="th-TH"/>
        </w:rPr>
      </w:pPr>
      <w:r>
        <w:rPr>
          <w:rFonts w:hint="eastAsia" w:hAnsi="宋体" w:cs="Angsana New"/>
          <w:sz w:val="21"/>
          <w:szCs w:val="21"/>
          <w:lang w:bidi="th-TH"/>
        </w:rPr>
        <w:t>成立时间：</w:t>
      </w:r>
      <w:r>
        <w:rPr>
          <w:rFonts w:hint="eastAsia" w:hAnsi="宋体" w:cs="Angsana New"/>
          <w:sz w:val="21"/>
          <w:szCs w:val="21"/>
          <w:u w:val="single"/>
          <w:lang w:bidi="th-TH"/>
        </w:rPr>
        <w:t xml:space="preserve">       年    月      日</w:t>
      </w:r>
    </w:p>
    <w:p w14:paraId="0A8AA04F">
      <w:pPr>
        <w:pStyle w:val="123"/>
        <w:spacing w:before="120" w:after="120" w:line="460" w:lineRule="exact"/>
        <w:jc w:val="left"/>
        <w:rPr>
          <w:rFonts w:hint="eastAsia" w:hAnsi="宋体" w:cs="Angsana New"/>
          <w:sz w:val="21"/>
          <w:szCs w:val="21"/>
          <w:lang w:bidi="th-TH"/>
        </w:rPr>
      </w:pPr>
      <w:r>
        <w:rPr>
          <w:rFonts w:hint="eastAsia" w:hAnsi="宋体" w:cs="Angsana New"/>
          <w:sz w:val="21"/>
          <w:szCs w:val="21"/>
          <w:lang w:bidi="th-TH"/>
        </w:rPr>
        <w:t>经营期限：</w:t>
      </w:r>
      <w:r>
        <w:rPr>
          <w:rFonts w:hint="eastAsia" w:hAnsi="宋体" w:cs="Angsana New"/>
          <w:sz w:val="21"/>
          <w:szCs w:val="21"/>
          <w:u w:val="single"/>
          <w:lang w:bidi="th-TH"/>
        </w:rPr>
        <w:t xml:space="preserve">                                  </w:t>
      </w:r>
    </w:p>
    <w:p w14:paraId="03349AF8">
      <w:pPr>
        <w:pStyle w:val="123"/>
        <w:spacing w:before="120" w:after="120" w:line="460" w:lineRule="exact"/>
        <w:jc w:val="left"/>
        <w:rPr>
          <w:rFonts w:hint="eastAsia" w:hAnsi="宋体" w:cs="Angsana New"/>
          <w:sz w:val="21"/>
          <w:szCs w:val="21"/>
          <w:lang w:bidi="th-TH"/>
        </w:rPr>
      </w:pPr>
      <w:r>
        <w:rPr>
          <w:rFonts w:hint="eastAsia" w:hAnsi="宋体" w:cs="Angsana New"/>
          <w:sz w:val="21"/>
          <w:szCs w:val="21"/>
          <w:lang w:bidi="th-TH"/>
        </w:rPr>
        <w:t xml:space="preserve">姓名： </w:t>
      </w:r>
      <w:r>
        <w:rPr>
          <w:rFonts w:hint="eastAsia" w:hAnsi="宋体" w:cs="Angsana New"/>
          <w:sz w:val="21"/>
          <w:szCs w:val="21"/>
          <w:u w:val="single"/>
          <w:lang w:bidi="th-TH"/>
        </w:rPr>
        <w:t xml:space="preserve">      </w:t>
      </w:r>
      <w:r>
        <w:rPr>
          <w:rFonts w:hint="eastAsia" w:hAnsi="宋体" w:cs="Angsana New"/>
          <w:sz w:val="21"/>
          <w:szCs w:val="21"/>
          <w:lang w:bidi="th-TH"/>
        </w:rPr>
        <w:t>性别：</w:t>
      </w:r>
      <w:r>
        <w:rPr>
          <w:rFonts w:hint="eastAsia" w:hAnsi="宋体" w:cs="Angsana New"/>
          <w:sz w:val="21"/>
          <w:szCs w:val="21"/>
          <w:u w:val="single"/>
          <w:lang w:bidi="th-TH"/>
        </w:rPr>
        <w:t xml:space="preserve">      </w:t>
      </w:r>
      <w:r>
        <w:rPr>
          <w:rFonts w:hint="eastAsia" w:hAnsi="宋体" w:cs="Angsana New"/>
          <w:sz w:val="21"/>
          <w:szCs w:val="21"/>
          <w:lang w:bidi="th-TH"/>
        </w:rPr>
        <w:t xml:space="preserve"> 年龄： </w:t>
      </w:r>
      <w:r>
        <w:rPr>
          <w:rFonts w:hint="eastAsia" w:hAnsi="宋体" w:cs="Angsana New"/>
          <w:sz w:val="21"/>
          <w:szCs w:val="21"/>
          <w:u w:val="single"/>
          <w:lang w:bidi="th-TH"/>
        </w:rPr>
        <w:t xml:space="preserve">      </w:t>
      </w:r>
      <w:r>
        <w:rPr>
          <w:rFonts w:hint="eastAsia" w:hAnsi="宋体" w:cs="Angsana New"/>
          <w:sz w:val="21"/>
          <w:szCs w:val="21"/>
          <w:lang w:bidi="th-TH"/>
        </w:rPr>
        <w:t>职务：</w:t>
      </w:r>
      <w:r>
        <w:rPr>
          <w:rFonts w:hint="eastAsia" w:hAnsi="宋体" w:cs="Angsana New"/>
          <w:sz w:val="21"/>
          <w:szCs w:val="21"/>
          <w:u w:val="single"/>
          <w:lang w:bidi="th-TH"/>
        </w:rPr>
        <w:t xml:space="preserve">      </w:t>
      </w:r>
    </w:p>
    <w:p w14:paraId="1429CC47">
      <w:pPr>
        <w:pStyle w:val="123"/>
        <w:spacing w:before="120" w:after="120" w:line="460" w:lineRule="exact"/>
        <w:jc w:val="left"/>
        <w:rPr>
          <w:rFonts w:hint="eastAsia" w:hAnsi="宋体" w:cs="Angsana New"/>
          <w:sz w:val="21"/>
          <w:szCs w:val="21"/>
          <w:lang w:bidi="th-TH"/>
        </w:rPr>
      </w:pPr>
      <w:r>
        <w:rPr>
          <w:rFonts w:hint="eastAsia" w:hAnsi="宋体" w:cs="Angsana New"/>
          <w:sz w:val="21"/>
          <w:szCs w:val="21"/>
          <w:lang w:bidi="th-TH"/>
        </w:rPr>
        <w:t>系</w:t>
      </w:r>
      <w:r>
        <w:rPr>
          <w:rFonts w:hint="eastAsia" w:hAnsi="宋体" w:cs="Angsana New"/>
          <w:sz w:val="21"/>
          <w:szCs w:val="21"/>
          <w:u w:val="single"/>
          <w:lang w:bidi="th-TH"/>
        </w:rPr>
        <w:t>（投标人）</w:t>
      </w:r>
      <w:r>
        <w:rPr>
          <w:rFonts w:hint="eastAsia" w:hAnsi="宋体" w:cs="Angsana New"/>
          <w:sz w:val="21"/>
          <w:szCs w:val="21"/>
          <w:lang w:bidi="th-TH"/>
        </w:rPr>
        <w:t>的法定代表人。</w:t>
      </w:r>
    </w:p>
    <w:p w14:paraId="228E6B68">
      <w:pPr>
        <w:pStyle w:val="123"/>
        <w:spacing w:before="120" w:after="120" w:line="460" w:lineRule="exact"/>
        <w:jc w:val="left"/>
        <w:rPr>
          <w:rFonts w:hint="eastAsia" w:hAnsi="宋体" w:cs="Angsana New"/>
          <w:sz w:val="21"/>
          <w:szCs w:val="21"/>
          <w:lang w:bidi="th-TH"/>
        </w:rPr>
      </w:pPr>
      <w:r>
        <w:rPr>
          <w:rFonts w:hint="eastAsia" w:hAnsi="宋体" w:cs="Angsana New"/>
          <w:sz w:val="21"/>
          <w:szCs w:val="21"/>
          <w:lang w:bidi="th-TH"/>
        </w:rPr>
        <w:t>特此证明。</w:t>
      </w:r>
    </w:p>
    <w:p w14:paraId="4CBB3452">
      <w:pPr>
        <w:pStyle w:val="123"/>
        <w:spacing w:before="120" w:after="120" w:line="460" w:lineRule="exact"/>
        <w:jc w:val="left"/>
        <w:rPr>
          <w:rFonts w:hint="eastAsia" w:hAnsi="宋体" w:cs="Angsana New"/>
          <w:sz w:val="21"/>
          <w:szCs w:val="21"/>
          <w:lang w:bidi="th-TH"/>
        </w:rPr>
      </w:pPr>
      <w:r>
        <w:rPr>
          <w:rFonts w:hint="eastAsia" w:hAnsi="宋体" w:cs="Angsana New"/>
          <w:sz w:val="21"/>
          <w:szCs w:val="21"/>
        </w:rPr>
        <mc:AlternateContent>
          <mc:Choice Requires="wps">
            <w:drawing>
              <wp:anchor distT="0" distB="0" distL="114300" distR="114300" simplePos="0" relativeHeight="251661312" behindDoc="0" locked="0" layoutInCell="1" allowOverlap="1">
                <wp:simplePos x="0" y="0"/>
                <wp:positionH relativeFrom="column">
                  <wp:posOffset>19685</wp:posOffset>
                </wp:positionH>
                <wp:positionV relativeFrom="paragraph">
                  <wp:posOffset>113030</wp:posOffset>
                </wp:positionV>
                <wp:extent cx="1943100" cy="1089660"/>
                <wp:effectExtent l="0" t="0" r="0" b="0"/>
                <wp:wrapNone/>
                <wp:docPr id="1" name="矩形 1"/>
                <wp:cNvGraphicFramePr/>
                <a:graphic xmlns:a="http://schemas.openxmlformats.org/drawingml/2006/main">
                  <a:graphicData uri="http://schemas.microsoft.com/office/word/2010/wordprocessingShape">
                    <wps:wsp>
                      <wps:cNvSpPr/>
                      <wps:spPr bwMode="auto">
                        <a:xfrm>
                          <a:off x="0" y="0"/>
                          <a:ext cx="1943100" cy="1089660"/>
                        </a:xfrm>
                        <a:prstGeom prst="rect">
                          <a:avLst/>
                        </a:prstGeom>
                        <a:solidFill>
                          <a:srgbClr val="FFFFFF"/>
                        </a:solidFill>
                        <a:ln>
                          <a:solidFill>
                            <a:srgbClr val="000000"/>
                          </a:solidFill>
                        </a:ln>
                      </wps:spPr>
                      <wps:txbx>
                        <w:txbxContent>
                          <w:p w14:paraId="556F577B">
                            <w:pPr>
                              <w:jc w:val="center"/>
                              <w:rPr>
                                <w:rFonts w:hint="eastAsia" w:ascii="宋体" w:hAnsi="宋体"/>
                                <w:sz w:val="24"/>
                              </w:rPr>
                            </w:pPr>
                          </w:p>
                          <w:p w14:paraId="2B7BFA87">
                            <w:pPr>
                              <w:jc w:val="center"/>
                              <w:rPr>
                                <w:rFonts w:hint="eastAsia" w:ascii="宋体" w:hAnsi="宋体"/>
                                <w:szCs w:val="21"/>
                              </w:rPr>
                            </w:pPr>
                            <w:r>
                              <w:rPr>
                                <w:rFonts w:hint="eastAsia" w:ascii="宋体" w:hAnsi="宋体"/>
                                <w:szCs w:val="21"/>
                              </w:rPr>
                              <w:t>法定代表人身份证复印于此</w:t>
                            </w:r>
                          </w:p>
                          <w:p w14:paraId="4E46D5A6"/>
                        </w:txbxContent>
                      </wps:txbx>
                      <wps:bodyPr wrap="square" upright="1"/>
                    </wps:wsp>
                  </a:graphicData>
                </a:graphic>
              </wp:anchor>
            </w:drawing>
          </mc:Choice>
          <mc:Fallback>
            <w:pict>
              <v:rect id="_x0000_s1026" o:spid="_x0000_s1026" o:spt="1" style="position:absolute;left:0pt;margin-left:1.55pt;margin-top:8.9pt;height:85.8pt;width:153pt;z-index:251661312;mso-width-relative:page;mso-height-relative:page;" fillcolor="#FFFFFF" filled="t" stroked="t" coordsize="21600,21600" o:gfxdata="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wBuav1QAAAAgBAAAPAAAAAAAAAAEAIAAAACIAAABk&#10;cnMvZG93bnJldi54bWxQSwECFAAUAAAACACHTuJA2zxz/tABAACwAwAADgAAAAAAAAABACAAAAAk&#10;AQAAZHJzL2Uyb0RvYy54bWxQSwUGAAAAAAYABgBZAQAAZgUAAAAA&#10;">
                <v:fill on="t" focussize="0,0"/>
                <v:stroke color="#000000" joinstyle="round"/>
                <v:imagedata o:title=""/>
                <o:lock v:ext="edit" aspectratio="f"/>
                <v:textbox>
                  <w:txbxContent>
                    <w:p w14:paraId="556F577B">
                      <w:pPr>
                        <w:jc w:val="center"/>
                        <w:rPr>
                          <w:rFonts w:hint="eastAsia" w:ascii="宋体" w:hAnsi="宋体"/>
                          <w:sz w:val="24"/>
                        </w:rPr>
                      </w:pPr>
                    </w:p>
                    <w:p w14:paraId="2B7BFA87">
                      <w:pPr>
                        <w:jc w:val="center"/>
                        <w:rPr>
                          <w:rFonts w:hint="eastAsia" w:ascii="宋体" w:hAnsi="宋体"/>
                          <w:szCs w:val="21"/>
                        </w:rPr>
                      </w:pPr>
                      <w:r>
                        <w:rPr>
                          <w:rFonts w:hint="eastAsia" w:ascii="宋体" w:hAnsi="宋体"/>
                          <w:szCs w:val="21"/>
                        </w:rPr>
                        <w:t>法定代表人身份证复印于此</w:t>
                      </w:r>
                    </w:p>
                    <w:p w14:paraId="4E46D5A6"/>
                  </w:txbxContent>
                </v:textbox>
              </v:rect>
            </w:pict>
          </mc:Fallback>
        </mc:AlternateContent>
      </w:r>
    </w:p>
    <w:p w14:paraId="44D308D4">
      <w:pPr>
        <w:pStyle w:val="123"/>
        <w:spacing w:before="120" w:after="120" w:line="460" w:lineRule="exact"/>
        <w:ind w:firstLine="4819"/>
        <w:jc w:val="left"/>
        <w:rPr>
          <w:rFonts w:hint="eastAsia" w:hAnsi="宋体" w:cs="Angsana New"/>
          <w:sz w:val="21"/>
          <w:szCs w:val="21"/>
          <w:u w:val="single"/>
          <w:lang w:bidi="th-TH"/>
        </w:rPr>
      </w:pPr>
      <w:r>
        <w:rPr>
          <w:rFonts w:hint="eastAsia" w:hAnsi="宋体" w:cs="Angsana New"/>
          <w:sz w:val="21"/>
          <w:szCs w:val="21"/>
          <w:lang w:bidi="th-TH"/>
        </w:rPr>
        <w:t>投标人（盖章）：</w:t>
      </w:r>
      <w:r>
        <w:rPr>
          <w:rFonts w:hint="eastAsia" w:hAnsi="宋体" w:cs="Angsana New"/>
          <w:sz w:val="21"/>
          <w:szCs w:val="21"/>
          <w:u w:val="single"/>
          <w:lang w:bidi="th-TH"/>
        </w:rPr>
        <w:t xml:space="preserve">             </w:t>
      </w:r>
    </w:p>
    <w:p w14:paraId="6F067B17">
      <w:pPr>
        <w:pStyle w:val="123"/>
        <w:spacing w:before="120" w:after="120" w:line="460" w:lineRule="exact"/>
        <w:ind w:firstLine="4819"/>
        <w:jc w:val="left"/>
        <w:rPr>
          <w:rFonts w:hint="eastAsia" w:hAnsi="宋体" w:cs="Angsana New"/>
          <w:sz w:val="24"/>
          <w:szCs w:val="24"/>
          <w:lang w:bidi="th-TH"/>
        </w:rPr>
      </w:pPr>
      <w:r>
        <w:rPr>
          <w:rFonts w:hint="eastAsia" w:hAnsi="宋体" w:cs="Angsana New"/>
          <w:sz w:val="21"/>
          <w:szCs w:val="21"/>
          <w:lang w:bidi="th-TH"/>
        </w:rPr>
        <w:t>日期：</w:t>
      </w:r>
      <w:r>
        <w:rPr>
          <w:rFonts w:hint="eastAsia" w:hAnsi="宋体" w:cs="Angsana New"/>
          <w:sz w:val="21"/>
          <w:szCs w:val="21"/>
          <w:u w:val="single"/>
          <w:lang w:bidi="th-TH"/>
        </w:rPr>
        <w:t xml:space="preserve">      </w:t>
      </w:r>
      <w:r>
        <w:rPr>
          <w:rFonts w:hint="eastAsia" w:hAnsi="宋体" w:cs="Angsana New"/>
          <w:sz w:val="21"/>
          <w:szCs w:val="21"/>
          <w:lang w:bidi="th-TH"/>
        </w:rPr>
        <w:t>年</w:t>
      </w:r>
      <w:r>
        <w:rPr>
          <w:rFonts w:hint="eastAsia" w:hAnsi="宋体" w:cs="Angsana New"/>
          <w:sz w:val="21"/>
          <w:szCs w:val="21"/>
          <w:u w:val="single"/>
          <w:lang w:bidi="th-TH"/>
        </w:rPr>
        <w:t xml:space="preserve">     </w:t>
      </w:r>
      <w:r>
        <w:rPr>
          <w:rFonts w:hint="eastAsia" w:hAnsi="宋体" w:cs="Angsana New"/>
          <w:sz w:val="21"/>
          <w:szCs w:val="21"/>
          <w:lang w:bidi="th-TH"/>
        </w:rPr>
        <w:t>月</w:t>
      </w:r>
      <w:r>
        <w:rPr>
          <w:rFonts w:hint="eastAsia" w:hAnsi="宋体" w:cs="Angsana New"/>
          <w:sz w:val="21"/>
          <w:szCs w:val="21"/>
          <w:u w:val="single"/>
          <w:lang w:bidi="th-TH"/>
        </w:rPr>
        <w:t xml:space="preserve">    </w:t>
      </w:r>
      <w:r>
        <w:rPr>
          <w:rFonts w:hint="eastAsia" w:hAnsi="宋体" w:cs="Angsana New"/>
          <w:sz w:val="21"/>
          <w:szCs w:val="21"/>
          <w:lang w:bidi="th-TH"/>
        </w:rPr>
        <w:t>日</w:t>
      </w:r>
      <w:r>
        <w:rPr>
          <w:rFonts w:hAnsi="宋体" w:cs="Angsana New"/>
          <w:sz w:val="21"/>
          <w:szCs w:val="21"/>
          <w:lang w:bidi="th-TH"/>
        </w:rPr>
        <w:br w:type="page" w:clear="all"/>
      </w:r>
      <w:r>
        <w:rPr>
          <w:rFonts w:hint="eastAsia" w:hAnsi="宋体" w:cs="Angsana New"/>
          <w:sz w:val="24"/>
          <w:szCs w:val="24"/>
          <w:lang w:bidi="th-TH"/>
        </w:rPr>
        <w:t>格式二：</w:t>
      </w:r>
    </w:p>
    <w:p w14:paraId="66AD0588">
      <w:pPr>
        <w:pStyle w:val="123"/>
        <w:spacing w:before="120" w:after="120" w:line="460" w:lineRule="exact"/>
        <w:jc w:val="center"/>
        <w:rPr>
          <w:rFonts w:hint="eastAsia" w:hAnsi="宋体"/>
          <w:b/>
          <w:szCs w:val="28"/>
        </w:rPr>
      </w:pPr>
    </w:p>
    <w:p w14:paraId="16BA2D11">
      <w:pPr>
        <w:pStyle w:val="123"/>
        <w:spacing w:before="120" w:after="120" w:line="460" w:lineRule="exact"/>
        <w:jc w:val="center"/>
        <w:rPr>
          <w:rFonts w:hint="eastAsia" w:hAnsi="宋体"/>
          <w:b/>
          <w:szCs w:val="28"/>
        </w:rPr>
      </w:pPr>
      <w:r>
        <w:rPr>
          <w:rFonts w:hint="eastAsia" w:hAnsi="宋体"/>
          <w:b/>
          <w:szCs w:val="28"/>
        </w:rPr>
        <w:t>投标人的法定代表人授权委托书</w:t>
      </w:r>
    </w:p>
    <w:p w14:paraId="7F5FA5E9">
      <w:pPr>
        <w:pStyle w:val="123"/>
        <w:spacing w:before="120" w:after="120" w:line="460" w:lineRule="exact"/>
        <w:ind w:firstLine="420"/>
        <w:jc w:val="left"/>
        <w:rPr>
          <w:rFonts w:hint="eastAsia" w:hAnsi="宋体" w:cs="Angsana New"/>
          <w:sz w:val="21"/>
          <w:szCs w:val="21"/>
          <w:lang w:bidi="th-TH"/>
        </w:rPr>
      </w:pPr>
      <w:r>
        <w:rPr>
          <w:rFonts w:hint="eastAsia" w:hAnsi="宋体" w:cs="Angsana New"/>
          <w:sz w:val="21"/>
          <w:szCs w:val="21"/>
          <w:lang w:bidi="th-TH"/>
        </w:rPr>
        <w:t>本授权委托书声明：我</w:t>
      </w:r>
      <w:r>
        <w:rPr>
          <w:rFonts w:hint="eastAsia" w:hAnsi="宋体" w:cs="Angsana New"/>
          <w:sz w:val="21"/>
          <w:szCs w:val="21"/>
          <w:u w:val="single"/>
          <w:lang w:bidi="th-TH"/>
        </w:rPr>
        <w:t>（姓名）</w:t>
      </w:r>
      <w:r>
        <w:rPr>
          <w:rFonts w:hint="eastAsia" w:hAnsi="宋体" w:cs="Angsana New"/>
          <w:sz w:val="21"/>
          <w:szCs w:val="21"/>
          <w:lang w:bidi="th-TH"/>
        </w:rPr>
        <w:t>系</w:t>
      </w:r>
      <w:r>
        <w:rPr>
          <w:rFonts w:hint="eastAsia" w:hAnsi="宋体" w:cs="Angsana New"/>
          <w:sz w:val="21"/>
          <w:szCs w:val="21"/>
          <w:u w:val="single"/>
          <w:lang w:bidi="th-TH"/>
        </w:rPr>
        <w:t>（投标人名称）</w:t>
      </w:r>
      <w:r>
        <w:rPr>
          <w:rFonts w:hint="eastAsia" w:hAnsi="宋体" w:cs="Angsana New"/>
          <w:sz w:val="21"/>
          <w:szCs w:val="21"/>
          <w:lang w:bidi="th-TH"/>
        </w:rPr>
        <w:t>的法定代表人，现授权委托</w:t>
      </w:r>
      <w:r>
        <w:rPr>
          <w:rFonts w:hint="eastAsia" w:hAnsi="宋体" w:cs="Angsana New"/>
          <w:sz w:val="21"/>
          <w:szCs w:val="21"/>
          <w:u w:val="single"/>
          <w:lang w:bidi="th-TH"/>
        </w:rPr>
        <w:t>（单位名称）</w:t>
      </w:r>
      <w:r>
        <w:rPr>
          <w:rFonts w:hint="eastAsia" w:hAnsi="宋体" w:cs="Angsana New"/>
          <w:sz w:val="21"/>
          <w:szCs w:val="21"/>
          <w:lang w:bidi="th-TH"/>
        </w:rPr>
        <w:t>的</w:t>
      </w:r>
      <w:r>
        <w:rPr>
          <w:rFonts w:hint="eastAsia" w:hAnsi="宋体" w:cs="Angsana New"/>
          <w:sz w:val="21"/>
          <w:szCs w:val="21"/>
          <w:u w:val="single"/>
          <w:lang w:bidi="th-TH"/>
        </w:rPr>
        <w:t>（姓名）</w:t>
      </w:r>
      <w:r>
        <w:rPr>
          <w:rFonts w:hint="eastAsia" w:hAnsi="宋体" w:cs="Angsana New"/>
          <w:sz w:val="21"/>
          <w:szCs w:val="21"/>
          <w:lang w:bidi="th-TH"/>
        </w:rPr>
        <w:t>为我公司的代理人，以本公司的名义参加（</w:t>
      </w:r>
      <w:r>
        <w:rPr>
          <w:rFonts w:hint="eastAsia" w:hAnsi="宋体" w:cs="Angsana New"/>
          <w:sz w:val="21"/>
          <w:szCs w:val="21"/>
          <w:u w:val="single"/>
          <w:lang w:bidi="th-TH"/>
        </w:rPr>
        <w:t>招标项目名称）</w:t>
      </w:r>
      <w:r>
        <w:rPr>
          <w:rFonts w:hint="eastAsia" w:hAnsi="宋体" w:cs="Angsana New"/>
          <w:sz w:val="21"/>
          <w:szCs w:val="21"/>
          <w:lang w:bidi="th-TH"/>
        </w:rPr>
        <w:t>的投标活动。代理人在开标、评标、合同谈判过程中所签署的一切文件和处理与之有关的一切事务，我均予以承认。</w:t>
      </w:r>
    </w:p>
    <w:p w14:paraId="136CD974">
      <w:pPr>
        <w:pStyle w:val="123"/>
        <w:spacing w:before="120" w:after="120" w:line="460" w:lineRule="exact"/>
        <w:jc w:val="left"/>
        <w:rPr>
          <w:rFonts w:hint="eastAsia" w:hAnsi="宋体" w:cs="Angsana New"/>
          <w:sz w:val="21"/>
          <w:szCs w:val="21"/>
          <w:lang w:bidi="th-TH"/>
        </w:rPr>
      </w:pPr>
      <w:r>
        <w:rPr>
          <w:rFonts w:hint="eastAsia" w:hAnsi="宋体" w:cs="Angsana New"/>
          <w:sz w:val="21"/>
          <w:szCs w:val="21"/>
          <w:lang w:bidi="th-TH"/>
        </w:rPr>
        <w:t xml:space="preserve">代理人：                性别：           年龄：        </w:t>
      </w:r>
    </w:p>
    <w:p w14:paraId="51DEE9B7">
      <w:pPr>
        <w:pStyle w:val="123"/>
        <w:spacing w:before="120" w:after="120" w:line="460" w:lineRule="exact"/>
        <w:jc w:val="left"/>
        <w:rPr>
          <w:rFonts w:hint="eastAsia" w:hAnsi="宋体" w:cs="Angsana New"/>
          <w:sz w:val="21"/>
          <w:szCs w:val="21"/>
          <w:lang w:bidi="th-TH"/>
        </w:rPr>
      </w:pPr>
      <w:r>
        <w:rPr>
          <w:rFonts w:hint="eastAsia" w:hAnsi="宋体" w:cs="Angsana New"/>
          <w:sz w:val="21"/>
          <w:szCs w:val="21"/>
          <w:lang w:bidi="th-TH"/>
        </w:rPr>
        <w:t>单位：                  部门：           职务：</w:t>
      </w:r>
    </w:p>
    <w:p w14:paraId="6FB9029F">
      <w:pPr>
        <w:pStyle w:val="123"/>
        <w:spacing w:before="120" w:after="120" w:line="460" w:lineRule="exact"/>
        <w:jc w:val="left"/>
        <w:rPr>
          <w:rFonts w:hint="eastAsia" w:hAnsi="宋体" w:cs="Angsana New"/>
          <w:sz w:val="21"/>
          <w:szCs w:val="21"/>
          <w:lang w:bidi="th-TH"/>
        </w:rPr>
      </w:pPr>
      <w:r>
        <w:rPr>
          <w:rFonts w:hint="eastAsia" w:hAnsi="宋体" w:cs="Angsana New"/>
          <w:sz w:val="21"/>
          <w:szCs w:val="21"/>
          <w:lang w:bidi="th-TH"/>
        </w:rPr>
        <w:t>代理人无转委托权。特此委托。</w:t>
      </w:r>
    </w:p>
    <w:p w14:paraId="27A6723E">
      <w:pPr>
        <w:pStyle w:val="123"/>
        <w:spacing w:before="120" w:after="120" w:line="460" w:lineRule="exact"/>
        <w:jc w:val="left"/>
        <w:rPr>
          <w:rFonts w:hint="eastAsia" w:hAnsi="宋体" w:cs="Angsana New"/>
          <w:sz w:val="21"/>
          <w:szCs w:val="21"/>
          <w:lang w:bidi="th-TH"/>
        </w:rPr>
      </w:pPr>
      <w:r>
        <w:rPr>
          <w:rFonts w:hint="eastAsia" w:hAnsi="宋体" w:cs="Angsana New"/>
          <w:sz w:val="21"/>
          <w:szCs w:val="21"/>
        </w:rPr>
        <mc:AlternateContent>
          <mc:Choice Requires="wps">
            <w:drawing>
              <wp:anchor distT="0" distB="0" distL="114300" distR="114300" simplePos="0" relativeHeight="251660288" behindDoc="0" locked="0" layoutInCell="1" allowOverlap="1">
                <wp:simplePos x="0" y="0"/>
                <wp:positionH relativeFrom="column">
                  <wp:posOffset>41910</wp:posOffset>
                </wp:positionH>
                <wp:positionV relativeFrom="paragraph">
                  <wp:posOffset>22860</wp:posOffset>
                </wp:positionV>
                <wp:extent cx="1943100" cy="1089660"/>
                <wp:effectExtent l="0" t="0" r="0" b="0"/>
                <wp:wrapNone/>
                <wp:docPr id="2" name="矩形 2"/>
                <wp:cNvGraphicFramePr/>
                <a:graphic xmlns:a="http://schemas.openxmlformats.org/drawingml/2006/main">
                  <a:graphicData uri="http://schemas.microsoft.com/office/word/2010/wordprocessingShape">
                    <wps:wsp>
                      <wps:cNvSpPr/>
                      <wps:spPr bwMode="auto">
                        <a:xfrm>
                          <a:off x="0" y="0"/>
                          <a:ext cx="1943100" cy="1089660"/>
                        </a:xfrm>
                        <a:prstGeom prst="rect">
                          <a:avLst/>
                        </a:prstGeom>
                        <a:solidFill>
                          <a:srgbClr val="FFFFFF"/>
                        </a:solidFill>
                        <a:ln>
                          <a:solidFill>
                            <a:srgbClr val="000000"/>
                          </a:solidFill>
                        </a:ln>
                      </wps:spPr>
                      <wps:txbx>
                        <w:txbxContent>
                          <w:p w14:paraId="3D4F8B78">
                            <w:pPr>
                              <w:jc w:val="center"/>
                              <w:rPr>
                                <w:rFonts w:hint="eastAsia" w:ascii="宋体" w:hAnsi="宋体"/>
                                <w:sz w:val="24"/>
                              </w:rPr>
                            </w:pPr>
                          </w:p>
                          <w:p w14:paraId="2FA63F61">
                            <w:pPr>
                              <w:jc w:val="center"/>
                              <w:rPr>
                                <w:rFonts w:hint="eastAsia" w:ascii="宋体" w:hAnsi="宋体"/>
                                <w:szCs w:val="21"/>
                              </w:rPr>
                            </w:pPr>
                            <w:r>
                              <w:rPr>
                                <w:rFonts w:hint="eastAsia" w:ascii="宋体" w:hAnsi="宋体"/>
                                <w:szCs w:val="21"/>
                              </w:rPr>
                              <w:t>授权委托人身份证复印于此</w:t>
                            </w:r>
                          </w:p>
                          <w:p w14:paraId="17DA3C57"/>
                        </w:txbxContent>
                      </wps:txbx>
                      <wps:bodyPr wrap="square" upright="1"/>
                    </wps:wsp>
                  </a:graphicData>
                </a:graphic>
              </wp:anchor>
            </w:drawing>
          </mc:Choice>
          <mc:Fallback>
            <w:pict>
              <v:rect id="_x0000_s1026" o:spid="_x0000_s1026" o:spt="1" style="position:absolute;left:0pt;margin-left:3.3pt;margin-top:1.8pt;height:85.8pt;width:153pt;z-index:251660288;mso-width-relative:page;mso-height-relative:page;" fillcolor="#FFFFFF" filled="t" stroked="t" coordsize="21600,21600" o:gfxdata="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&#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b5uU/UAAAABwEAAA8AAAAAAAAAAQAgAAAAIgAAAGRy&#10;cy9kb3ducmV2LnhtbFBLAQIUABQAAAAIAIdO4kAoW5xO0AEAALADAAAOAAAAAAAAAAEAIAAAACMB&#10;AABkcnMvZTJvRG9jLnhtbFBLBQYAAAAABgAGAFkBAABlBQAAAAA=&#10;">
                <v:fill on="t" focussize="0,0"/>
                <v:stroke color="#000000" joinstyle="round"/>
                <v:imagedata o:title=""/>
                <o:lock v:ext="edit" aspectratio="f"/>
                <v:textbox>
                  <w:txbxContent>
                    <w:p w14:paraId="3D4F8B78">
                      <w:pPr>
                        <w:jc w:val="center"/>
                        <w:rPr>
                          <w:rFonts w:hint="eastAsia" w:ascii="宋体" w:hAnsi="宋体"/>
                          <w:sz w:val="24"/>
                        </w:rPr>
                      </w:pPr>
                    </w:p>
                    <w:p w14:paraId="2FA63F61">
                      <w:pPr>
                        <w:jc w:val="center"/>
                        <w:rPr>
                          <w:rFonts w:hint="eastAsia" w:ascii="宋体" w:hAnsi="宋体"/>
                          <w:szCs w:val="21"/>
                        </w:rPr>
                      </w:pPr>
                      <w:r>
                        <w:rPr>
                          <w:rFonts w:hint="eastAsia" w:ascii="宋体" w:hAnsi="宋体"/>
                          <w:szCs w:val="21"/>
                        </w:rPr>
                        <w:t>授权委托人身份证复印于此</w:t>
                      </w:r>
                    </w:p>
                    <w:p w14:paraId="17DA3C57"/>
                  </w:txbxContent>
                </v:textbox>
              </v:rect>
            </w:pict>
          </mc:Fallback>
        </mc:AlternateContent>
      </w:r>
    </w:p>
    <w:p w14:paraId="37797E54">
      <w:pPr>
        <w:pStyle w:val="123"/>
        <w:spacing w:before="120" w:after="120" w:line="460" w:lineRule="exact"/>
        <w:jc w:val="left"/>
        <w:rPr>
          <w:rFonts w:hint="eastAsia" w:hAnsi="宋体" w:cs="Angsana New"/>
          <w:sz w:val="21"/>
          <w:szCs w:val="21"/>
          <w:lang w:bidi="th-TH"/>
        </w:rPr>
      </w:pPr>
    </w:p>
    <w:p w14:paraId="4AF03322">
      <w:pPr>
        <w:pStyle w:val="123"/>
        <w:spacing w:before="120" w:after="120" w:line="460" w:lineRule="exact"/>
        <w:jc w:val="left"/>
        <w:rPr>
          <w:rFonts w:hint="eastAsia" w:hAnsi="宋体" w:cs="Angsana New"/>
          <w:sz w:val="21"/>
          <w:szCs w:val="21"/>
          <w:lang w:bidi="th-TH"/>
        </w:rPr>
      </w:pPr>
    </w:p>
    <w:p w14:paraId="7BE6784A">
      <w:pPr>
        <w:pStyle w:val="123"/>
        <w:spacing w:before="120" w:after="120" w:line="460" w:lineRule="exact"/>
        <w:jc w:val="left"/>
        <w:rPr>
          <w:rFonts w:hint="eastAsia" w:hAnsi="宋体" w:cs="Angsana New"/>
          <w:sz w:val="21"/>
          <w:szCs w:val="21"/>
          <w:u w:val="single"/>
          <w:lang w:bidi="th-TH"/>
        </w:rPr>
      </w:pPr>
      <w:r>
        <w:rPr>
          <w:rFonts w:hint="eastAsia" w:hAnsi="宋体" w:cs="Angsana New"/>
          <w:sz w:val="21"/>
          <w:szCs w:val="21"/>
          <w:lang w:bidi="th-TH"/>
        </w:rPr>
        <w:t>投标人（盖章）：</w:t>
      </w:r>
      <w:r>
        <w:rPr>
          <w:rFonts w:hint="eastAsia" w:hAnsi="宋体" w:cs="Angsana New"/>
          <w:sz w:val="21"/>
          <w:szCs w:val="21"/>
          <w:u w:val="single"/>
          <w:lang w:bidi="th-TH"/>
        </w:rPr>
        <w:t xml:space="preserve">                 </w:t>
      </w:r>
    </w:p>
    <w:p w14:paraId="53A1A006">
      <w:pPr>
        <w:pStyle w:val="123"/>
        <w:spacing w:before="120" w:after="120" w:line="460" w:lineRule="exact"/>
        <w:jc w:val="left"/>
        <w:rPr>
          <w:rFonts w:hint="eastAsia" w:hAnsi="宋体" w:cs="Angsana New"/>
          <w:sz w:val="21"/>
          <w:szCs w:val="21"/>
          <w:lang w:bidi="th-TH"/>
        </w:rPr>
      </w:pPr>
      <w:r>
        <w:rPr>
          <w:rFonts w:hint="eastAsia" w:hAnsi="宋体" w:cs="Angsana New"/>
          <w:sz w:val="21"/>
          <w:szCs w:val="21"/>
          <w:lang w:bidi="th-TH"/>
        </w:rPr>
        <w:t>法定代表人（签</w:t>
      </w:r>
      <w:r>
        <w:rPr>
          <w:rFonts w:hint="eastAsia" w:hAnsi="宋体" w:cs="Angsana New"/>
          <w:color w:val="FF0000"/>
          <w:sz w:val="21"/>
          <w:szCs w:val="21"/>
          <w:lang w:bidi="th-TH"/>
        </w:rPr>
        <w:t>名</w:t>
      </w:r>
      <w:r>
        <w:rPr>
          <w:rFonts w:hint="eastAsia" w:hAnsi="宋体" w:cs="Angsana New"/>
          <w:sz w:val="21"/>
          <w:szCs w:val="21"/>
          <w:lang w:bidi="th-TH"/>
        </w:rPr>
        <w:t>）：</w:t>
      </w:r>
      <w:r>
        <w:rPr>
          <w:rFonts w:hint="eastAsia" w:hAnsi="宋体" w:cs="Angsana New"/>
          <w:sz w:val="21"/>
          <w:szCs w:val="21"/>
          <w:u w:val="single"/>
          <w:lang w:bidi="th-TH"/>
        </w:rPr>
        <w:t xml:space="preserve">        </w:t>
      </w:r>
    </w:p>
    <w:p w14:paraId="7A84EACE">
      <w:pPr>
        <w:pStyle w:val="123"/>
        <w:spacing w:before="120" w:after="120" w:line="460" w:lineRule="exact"/>
        <w:jc w:val="left"/>
        <w:rPr>
          <w:rFonts w:hint="eastAsia" w:hAnsi="宋体" w:cs="Angsana New"/>
          <w:sz w:val="21"/>
          <w:szCs w:val="21"/>
          <w:lang w:bidi="th-TH"/>
        </w:rPr>
      </w:pPr>
      <w:r>
        <w:rPr>
          <w:rFonts w:hint="eastAsia" w:hAnsi="宋体" w:cs="Angsana New"/>
          <w:sz w:val="21"/>
          <w:szCs w:val="21"/>
          <w:lang w:bidi="th-TH"/>
        </w:rPr>
        <w:t>日期：</w:t>
      </w:r>
      <w:r>
        <w:rPr>
          <w:rFonts w:hint="eastAsia" w:hAnsi="宋体" w:cs="Angsana New"/>
          <w:sz w:val="21"/>
          <w:szCs w:val="21"/>
          <w:u w:val="single"/>
          <w:lang w:bidi="th-TH"/>
        </w:rPr>
        <w:t xml:space="preserve">      </w:t>
      </w:r>
      <w:r>
        <w:rPr>
          <w:rFonts w:hint="eastAsia" w:hAnsi="宋体" w:cs="Angsana New"/>
          <w:sz w:val="21"/>
          <w:szCs w:val="21"/>
          <w:lang w:bidi="th-TH"/>
        </w:rPr>
        <w:t>年</w:t>
      </w:r>
      <w:r>
        <w:rPr>
          <w:rFonts w:hint="eastAsia" w:hAnsi="宋体" w:cs="Angsana New"/>
          <w:sz w:val="21"/>
          <w:szCs w:val="21"/>
          <w:u w:val="single"/>
          <w:lang w:bidi="th-TH"/>
        </w:rPr>
        <w:t xml:space="preserve">     </w:t>
      </w:r>
      <w:r>
        <w:rPr>
          <w:rFonts w:hint="eastAsia" w:hAnsi="宋体" w:cs="Angsana New"/>
          <w:sz w:val="21"/>
          <w:szCs w:val="21"/>
          <w:lang w:bidi="th-TH"/>
        </w:rPr>
        <w:t>月</w:t>
      </w:r>
      <w:r>
        <w:rPr>
          <w:rFonts w:hint="eastAsia" w:hAnsi="宋体" w:cs="Angsana New"/>
          <w:sz w:val="21"/>
          <w:szCs w:val="21"/>
          <w:u w:val="single"/>
          <w:lang w:bidi="th-TH"/>
        </w:rPr>
        <w:t xml:space="preserve">    </w:t>
      </w:r>
      <w:r>
        <w:rPr>
          <w:rFonts w:hint="eastAsia" w:hAnsi="宋体" w:cs="Angsana New"/>
          <w:sz w:val="21"/>
          <w:szCs w:val="21"/>
          <w:lang w:bidi="th-TH"/>
        </w:rPr>
        <w:t xml:space="preserve">日 </w:t>
      </w:r>
    </w:p>
    <w:p w14:paraId="5830DEDD">
      <w:pPr>
        <w:spacing w:before="240" w:after="240"/>
        <w:rPr>
          <w:rFonts w:hint="eastAsia" w:ascii="宋体" w:hAnsi="宋体"/>
          <w:sz w:val="24"/>
        </w:rPr>
      </w:pPr>
      <w:r>
        <w:rPr>
          <w:rFonts w:hint="eastAsia" w:ascii="宋体" w:hAnsi="宋体"/>
          <w:sz w:val="24"/>
        </w:rPr>
        <w:t xml:space="preserve"> </w:t>
      </w:r>
    </w:p>
    <w:p w14:paraId="65E2B234">
      <w:pPr>
        <w:pStyle w:val="158"/>
        <w:rPr>
          <w:u w:val="single"/>
          <w:lang w:bidi="th-TH"/>
        </w:rPr>
      </w:pPr>
    </w:p>
    <w:p w14:paraId="44DB60A3">
      <w:pPr>
        <w:pStyle w:val="123"/>
        <w:spacing w:before="120" w:after="120" w:line="460" w:lineRule="exact"/>
        <w:jc w:val="left"/>
        <w:rPr>
          <w:rFonts w:hint="eastAsia" w:hAnsi="宋体" w:cs="Angsana New"/>
          <w:lang w:bidi="th-TH"/>
        </w:rPr>
      </w:pPr>
    </w:p>
    <w:p w14:paraId="2F172EB3">
      <w:pPr>
        <w:pStyle w:val="123"/>
        <w:spacing w:before="120" w:after="120" w:line="460" w:lineRule="exact"/>
        <w:rPr>
          <w:rFonts w:hint="eastAsia" w:hAnsi="宋体" w:cs="Angsana New"/>
          <w:sz w:val="24"/>
          <w:szCs w:val="24"/>
          <w:lang w:bidi="th-TH"/>
        </w:rPr>
      </w:pPr>
      <w:r>
        <w:rPr>
          <w:rFonts w:hAnsi="宋体" w:cs="Angsana New"/>
          <w:lang w:bidi="th-TH"/>
        </w:rPr>
        <w:br w:type="page" w:clear="all"/>
      </w:r>
      <w:r>
        <w:rPr>
          <w:rFonts w:hint="eastAsia" w:hAnsi="宋体" w:cs="Angsana New"/>
          <w:sz w:val="24"/>
          <w:szCs w:val="24"/>
          <w:lang w:bidi="th-TH"/>
        </w:rPr>
        <w:t>格式三：</w:t>
      </w:r>
    </w:p>
    <w:p w14:paraId="27674892">
      <w:pPr>
        <w:pStyle w:val="123"/>
        <w:spacing w:before="120" w:after="120" w:line="460" w:lineRule="exact"/>
        <w:jc w:val="center"/>
        <w:rPr>
          <w:rFonts w:hint="eastAsia" w:hAnsi="宋体"/>
          <w:b/>
          <w:szCs w:val="28"/>
        </w:rPr>
      </w:pPr>
      <w:r>
        <w:rPr>
          <w:rFonts w:hint="eastAsia" w:hAnsi="宋体"/>
          <w:b/>
          <w:szCs w:val="28"/>
        </w:rPr>
        <w:t>投标函</w:t>
      </w:r>
    </w:p>
    <w:p w14:paraId="4057BDB7">
      <w:pPr>
        <w:spacing w:before="120" w:after="120"/>
        <w:rPr>
          <w:rFonts w:hint="eastAsia" w:ascii="宋体" w:hAnsi="宋体"/>
          <w:szCs w:val="21"/>
          <w:u w:val="single"/>
        </w:rPr>
      </w:pPr>
      <w:r>
        <w:rPr>
          <w:rFonts w:hint="eastAsia" w:ascii="宋体" w:hAnsi="宋体"/>
          <w:szCs w:val="21"/>
        </w:rPr>
        <w:t>采购人：</w:t>
      </w:r>
      <w:r>
        <w:rPr>
          <w:rFonts w:hint="eastAsia" w:ascii="宋体" w:hAnsi="宋体"/>
          <w:b/>
          <w:bCs/>
          <w:szCs w:val="21"/>
          <w:u w:val="single"/>
        </w:rPr>
        <w:t xml:space="preserve"> </w:t>
      </w:r>
      <w:r>
        <w:rPr>
          <w:rFonts w:ascii="宋体" w:hAnsi="宋体"/>
          <w:b/>
          <w:bCs/>
          <w:szCs w:val="21"/>
          <w:u w:val="single"/>
        </w:rPr>
        <w:t xml:space="preserve">                      </w:t>
      </w:r>
    </w:p>
    <w:p w14:paraId="0115E38F">
      <w:pPr>
        <w:spacing w:line="420" w:lineRule="exact"/>
        <w:ind w:firstLine="480"/>
        <w:jc w:val="left"/>
        <w:rPr>
          <w:rFonts w:hint="eastAsia" w:ascii="宋体" w:hAnsi="宋体"/>
          <w:szCs w:val="21"/>
        </w:rPr>
      </w:pPr>
      <w:r>
        <w:rPr>
          <w:rFonts w:hint="eastAsia" w:ascii="宋体" w:hAnsi="宋体"/>
          <w:szCs w:val="21"/>
        </w:rPr>
        <w:t>根据贵方的</w:t>
      </w:r>
      <w:r>
        <w:rPr>
          <w:rFonts w:hint="eastAsia" w:ascii="宋体" w:hAnsi="宋体"/>
          <w:b/>
          <w:szCs w:val="21"/>
          <w:u w:val="single"/>
        </w:rPr>
        <w:t xml:space="preserve">           </w:t>
      </w:r>
      <w:r>
        <w:rPr>
          <w:rFonts w:hint="eastAsia" w:ascii="宋体" w:hAnsi="宋体"/>
          <w:szCs w:val="21"/>
        </w:rPr>
        <w:t>招标文件，正式授权下述签字人____________（姓名）代表我方______________（投标人的名称），全权处理本次项目投标的有关事宜。</w:t>
      </w:r>
    </w:p>
    <w:p w14:paraId="3FC7A2C4">
      <w:pPr>
        <w:spacing w:line="420" w:lineRule="exact"/>
        <w:ind w:firstLine="480"/>
        <w:jc w:val="left"/>
        <w:rPr>
          <w:rFonts w:hint="eastAsia" w:ascii="宋体" w:hAnsi="宋体"/>
          <w:szCs w:val="21"/>
        </w:rPr>
      </w:pPr>
      <w:r>
        <w:rPr>
          <w:rFonts w:hint="eastAsia" w:ascii="宋体" w:hAnsi="宋体"/>
          <w:szCs w:val="21"/>
        </w:rPr>
        <w:t>据此函，__________签字人兹宣布同意如下：</w:t>
      </w:r>
    </w:p>
    <w:p w14:paraId="68BC0D6C">
      <w:pPr>
        <w:spacing w:line="420" w:lineRule="exact"/>
        <w:ind w:firstLine="480"/>
        <w:jc w:val="left"/>
        <w:rPr>
          <w:rFonts w:hint="eastAsia" w:ascii="宋体" w:hAnsi="宋体"/>
          <w:szCs w:val="21"/>
        </w:rPr>
      </w:pPr>
      <w:r>
        <w:rPr>
          <w:rFonts w:hint="eastAsia" w:ascii="宋体" w:hAnsi="宋体"/>
          <w:szCs w:val="21"/>
        </w:rPr>
        <w:t>1.按招标文件规定的各项要求，向买方提供所需货物与服务。</w:t>
      </w:r>
    </w:p>
    <w:p w14:paraId="115BD3D6">
      <w:pPr>
        <w:spacing w:line="420" w:lineRule="exact"/>
        <w:ind w:firstLine="480"/>
        <w:jc w:val="left"/>
        <w:rPr>
          <w:rFonts w:hint="eastAsia" w:ascii="宋体" w:hAnsi="宋体"/>
          <w:szCs w:val="21"/>
        </w:rPr>
      </w:pPr>
      <w:r>
        <w:rPr>
          <w:rFonts w:hint="eastAsia" w:ascii="宋体" w:hAnsi="宋体"/>
          <w:szCs w:val="21"/>
        </w:rPr>
        <w:t>2.我们完全理解贵方不一定将合同授予最低报价的投标人。</w:t>
      </w:r>
    </w:p>
    <w:p w14:paraId="0ADA65ED">
      <w:pPr>
        <w:spacing w:line="420" w:lineRule="exact"/>
        <w:ind w:firstLine="480"/>
        <w:jc w:val="left"/>
        <w:rPr>
          <w:rFonts w:hint="eastAsia" w:ascii="宋体" w:hAnsi="宋体"/>
          <w:szCs w:val="21"/>
        </w:rPr>
      </w:pPr>
      <w:r>
        <w:rPr>
          <w:rFonts w:hint="eastAsia" w:ascii="宋体" w:hAnsi="宋体"/>
          <w:szCs w:val="21"/>
        </w:rPr>
        <w:t>3.我们已详细审核全部招标文件及其有效补充文件，我们知道必须放弃提出含糊不清或误解问题的权利。</w:t>
      </w:r>
    </w:p>
    <w:p w14:paraId="7784FCE0">
      <w:pPr>
        <w:spacing w:line="420" w:lineRule="exact"/>
        <w:ind w:firstLine="480"/>
        <w:jc w:val="left"/>
        <w:rPr>
          <w:rFonts w:hint="eastAsia" w:ascii="宋体" w:hAnsi="宋体"/>
          <w:szCs w:val="21"/>
        </w:rPr>
      </w:pPr>
      <w:r>
        <w:rPr>
          <w:rFonts w:hint="eastAsia" w:ascii="宋体" w:hAnsi="宋体"/>
          <w:szCs w:val="21"/>
        </w:rPr>
        <w:t>4.我们同意从规定的开标日期起遵循本投标文件，并在规定的投标有效期期满之前均具有约束力。</w:t>
      </w:r>
    </w:p>
    <w:p w14:paraId="43E61E07">
      <w:pPr>
        <w:spacing w:line="420" w:lineRule="exact"/>
        <w:ind w:firstLine="480"/>
        <w:jc w:val="left"/>
        <w:rPr>
          <w:rFonts w:hint="eastAsia" w:ascii="宋体" w:hAnsi="宋体"/>
          <w:szCs w:val="21"/>
        </w:rPr>
      </w:pPr>
      <w:r>
        <w:rPr>
          <w:rFonts w:hint="eastAsia" w:ascii="宋体" w:hAnsi="宋体"/>
          <w:szCs w:val="21"/>
        </w:rPr>
        <w:t>5.如果在开标后规定的投标有效期内撤回投标或中标后拒绝签订合同，则按照国家相关法律法规受到相应处罚。</w:t>
      </w:r>
    </w:p>
    <w:p w14:paraId="6E1AC7BC">
      <w:pPr>
        <w:spacing w:line="420" w:lineRule="exact"/>
        <w:ind w:firstLine="480"/>
        <w:jc w:val="left"/>
        <w:rPr>
          <w:rFonts w:hint="eastAsia" w:ascii="宋体" w:hAnsi="宋体"/>
          <w:szCs w:val="21"/>
        </w:rPr>
      </w:pPr>
      <w:r>
        <w:rPr>
          <w:rFonts w:hint="eastAsia" w:ascii="宋体" w:hAnsi="宋体"/>
          <w:szCs w:val="21"/>
        </w:rPr>
        <w:t>6.同意向贵方提供贵方可能另外要求的与投标有关的任何证据或资料，并保证我方已提供和将要提供的文件是真实的、准确的。</w:t>
      </w:r>
    </w:p>
    <w:p w14:paraId="146D654B">
      <w:pPr>
        <w:spacing w:line="420" w:lineRule="exact"/>
        <w:ind w:firstLine="480"/>
        <w:jc w:val="left"/>
        <w:rPr>
          <w:rFonts w:hint="eastAsia" w:ascii="宋体" w:hAnsi="宋体"/>
          <w:szCs w:val="21"/>
        </w:rPr>
      </w:pPr>
      <w:r>
        <w:rPr>
          <w:rFonts w:hint="eastAsia" w:ascii="宋体" w:hAnsi="宋体"/>
          <w:szCs w:val="21"/>
        </w:rPr>
        <w:t>7.一旦我方中标，我方将根据招标文件的规定，严格履行合同的责任和义务，并保证在招标文件规定的时间内完成项目，交付买方验收、使用。</w:t>
      </w:r>
    </w:p>
    <w:p w14:paraId="43D3BA99">
      <w:pPr>
        <w:spacing w:line="420" w:lineRule="exact"/>
        <w:ind w:left="425"/>
        <w:jc w:val="left"/>
        <w:rPr>
          <w:rFonts w:hint="eastAsia" w:ascii="宋体" w:hAnsi="宋体"/>
          <w:szCs w:val="21"/>
        </w:rPr>
      </w:pPr>
      <w:r>
        <w:rPr>
          <w:rFonts w:hint="eastAsia" w:ascii="宋体" w:hAnsi="宋体"/>
          <w:szCs w:val="21"/>
        </w:rPr>
        <w:t>8.与本投标有关的正式通讯地址为：</w:t>
      </w:r>
    </w:p>
    <w:p w14:paraId="2CAA5CF2">
      <w:pPr>
        <w:spacing w:line="420" w:lineRule="exact"/>
        <w:ind w:left="420" w:firstLine="480"/>
        <w:jc w:val="left"/>
        <w:rPr>
          <w:rFonts w:hint="eastAsia" w:ascii="宋体" w:hAnsi="宋体"/>
          <w:szCs w:val="21"/>
        </w:rPr>
      </w:pPr>
      <w:r>
        <w:rPr>
          <w:rFonts w:hint="eastAsia" w:ascii="宋体" w:hAnsi="宋体"/>
          <w:szCs w:val="21"/>
        </w:rPr>
        <w:t>地          址：</w:t>
      </w:r>
    </w:p>
    <w:p w14:paraId="1EBC6FD5">
      <w:pPr>
        <w:spacing w:line="420" w:lineRule="exact"/>
        <w:ind w:left="420" w:firstLine="480"/>
        <w:jc w:val="left"/>
        <w:rPr>
          <w:rFonts w:hint="eastAsia" w:ascii="宋体" w:hAnsi="宋体"/>
          <w:szCs w:val="21"/>
        </w:rPr>
      </w:pPr>
      <w:r>
        <w:rPr>
          <w:rFonts w:hint="eastAsia" w:ascii="宋体" w:hAnsi="宋体"/>
          <w:szCs w:val="21"/>
        </w:rPr>
        <w:t>邮          编：</w:t>
      </w:r>
    </w:p>
    <w:p w14:paraId="3E1AEF88">
      <w:pPr>
        <w:spacing w:line="420" w:lineRule="exact"/>
        <w:ind w:left="420" w:firstLine="480"/>
        <w:jc w:val="left"/>
        <w:rPr>
          <w:rFonts w:hint="eastAsia" w:ascii="宋体" w:hAnsi="宋体"/>
          <w:szCs w:val="21"/>
        </w:rPr>
      </w:pPr>
      <w:r>
        <w:rPr>
          <w:rFonts w:hint="eastAsia" w:ascii="宋体" w:hAnsi="宋体"/>
          <w:szCs w:val="21"/>
        </w:rPr>
        <w:t>电          话：</w:t>
      </w:r>
    </w:p>
    <w:p w14:paraId="2A64143E">
      <w:pPr>
        <w:spacing w:line="420" w:lineRule="exact"/>
        <w:ind w:left="420" w:firstLine="480"/>
        <w:jc w:val="left"/>
        <w:rPr>
          <w:rFonts w:hint="eastAsia" w:ascii="宋体" w:hAnsi="宋体"/>
          <w:szCs w:val="21"/>
        </w:rPr>
      </w:pPr>
      <w:r>
        <w:rPr>
          <w:rFonts w:hint="eastAsia" w:ascii="宋体" w:hAnsi="宋体"/>
          <w:szCs w:val="21"/>
        </w:rPr>
        <w:t>传          真：</w:t>
      </w:r>
    </w:p>
    <w:p w14:paraId="5C694E36">
      <w:pPr>
        <w:spacing w:line="420" w:lineRule="exact"/>
        <w:ind w:left="420" w:firstLine="480"/>
        <w:jc w:val="left"/>
        <w:rPr>
          <w:rFonts w:hint="eastAsia" w:ascii="宋体" w:hAnsi="宋体"/>
          <w:szCs w:val="21"/>
        </w:rPr>
      </w:pPr>
      <w:r>
        <w:rPr>
          <w:rFonts w:hint="eastAsia" w:ascii="宋体" w:hAnsi="宋体"/>
          <w:szCs w:val="21"/>
        </w:rPr>
        <w:t>投标人开户行：</w:t>
      </w:r>
    </w:p>
    <w:p w14:paraId="4EEA5697">
      <w:pPr>
        <w:spacing w:line="420" w:lineRule="exact"/>
        <w:ind w:left="420" w:firstLine="480"/>
        <w:jc w:val="left"/>
        <w:rPr>
          <w:rFonts w:hint="eastAsia" w:ascii="宋体" w:hAnsi="宋体"/>
          <w:szCs w:val="21"/>
        </w:rPr>
      </w:pPr>
      <w:r>
        <w:rPr>
          <w:rFonts w:hint="eastAsia" w:ascii="宋体" w:hAnsi="宋体"/>
          <w:szCs w:val="21"/>
        </w:rPr>
        <w:t xml:space="preserve">账          户： </w:t>
      </w:r>
    </w:p>
    <w:p w14:paraId="0F08CB0E">
      <w:pPr>
        <w:spacing w:line="420" w:lineRule="exact"/>
        <w:ind w:left="420" w:firstLine="480"/>
        <w:jc w:val="left"/>
        <w:rPr>
          <w:rFonts w:hint="eastAsia" w:ascii="宋体" w:hAnsi="宋体"/>
          <w:szCs w:val="21"/>
        </w:rPr>
      </w:pPr>
      <w:r>
        <w:rPr>
          <w:rFonts w:hint="eastAsia" w:ascii="宋体" w:hAnsi="宋体"/>
          <w:szCs w:val="21"/>
        </w:rPr>
        <w:t>投标人授权代表姓名（签</w:t>
      </w:r>
      <w:r>
        <w:rPr>
          <w:rFonts w:hint="eastAsia" w:ascii="宋体" w:hAnsi="宋体"/>
          <w:color w:val="FF0000"/>
          <w:szCs w:val="21"/>
        </w:rPr>
        <w:t>名</w:t>
      </w:r>
      <w:r>
        <w:rPr>
          <w:rFonts w:hint="eastAsia" w:ascii="宋体" w:hAnsi="宋体"/>
          <w:szCs w:val="21"/>
        </w:rPr>
        <w:t xml:space="preserve">）： </w:t>
      </w:r>
    </w:p>
    <w:p w14:paraId="5F6296A6">
      <w:pPr>
        <w:spacing w:line="420" w:lineRule="exact"/>
        <w:ind w:left="420" w:firstLine="480"/>
        <w:jc w:val="left"/>
        <w:rPr>
          <w:rFonts w:hint="eastAsia" w:ascii="宋体" w:hAnsi="宋体"/>
          <w:szCs w:val="21"/>
        </w:rPr>
      </w:pPr>
      <w:r>
        <w:rPr>
          <w:rFonts w:hint="eastAsia" w:ascii="宋体" w:hAnsi="宋体"/>
          <w:szCs w:val="21"/>
        </w:rPr>
        <w:t xml:space="preserve">投标人名称（公章）： </w:t>
      </w:r>
    </w:p>
    <w:p w14:paraId="643A51D8">
      <w:pPr>
        <w:spacing w:line="420" w:lineRule="exact"/>
        <w:ind w:left="420" w:firstLine="480"/>
        <w:jc w:val="left"/>
        <w:rPr>
          <w:rFonts w:hint="eastAsia" w:ascii="宋体" w:hAnsi="宋体"/>
          <w:szCs w:val="21"/>
        </w:rPr>
      </w:pPr>
      <w:r>
        <w:rPr>
          <w:rFonts w:hint="eastAsia" w:ascii="宋体" w:hAnsi="宋体"/>
          <w:szCs w:val="21"/>
        </w:rPr>
        <w:t>日           期：________年____月____日</w:t>
      </w:r>
    </w:p>
    <w:p w14:paraId="2C62A8C2">
      <w:pPr>
        <w:rPr>
          <w:rFonts w:hint="eastAsia" w:hAnsi="宋体" w:cs="Angsana New"/>
          <w:sz w:val="24"/>
          <w:lang w:bidi="th-TH"/>
        </w:rPr>
      </w:pPr>
      <w:r>
        <w:rPr>
          <w:rFonts w:hint="eastAsia" w:hAnsi="宋体" w:cs="Angsana New"/>
          <w:sz w:val="24"/>
          <w:lang w:bidi="th-TH"/>
        </w:rPr>
        <w:br w:type="page"/>
      </w:r>
    </w:p>
    <w:p w14:paraId="5FF0D36C">
      <w:pPr>
        <w:pStyle w:val="295"/>
        <w:jc w:val="both"/>
        <w:outlineLvl w:val="2"/>
        <w:rPr>
          <w:rFonts w:hint="eastAsia" w:ascii="宋体" w:hAnsi="宋体" w:eastAsia="宋体" w:cs="宋体"/>
          <w:sz w:val="28"/>
        </w:rPr>
      </w:pPr>
      <w:r>
        <w:rPr>
          <w:rFonts w:hint="eastAsia" w:ascii="宋体" w:hAnsi="宋体" w:eastAsia="宋体" w:cs="宋体"/>
          <w:sz w:val="28"/>
        </w:rPr>
        <w:t>格式四：</w:t>
      </w:r>
    </w:p>
    <w:p w14:paraId="34EBB1DF">
      <w:pPr>
        <w:pStyle w:val="295"/>
        <w:jc w:val="center"/>
        <w:outlineLvl w:val="2"/>
      </w:pPr>
      <w:r>
        <w:rPr>
          <w:rFonts w:ascii="宋体" w:hAnsi="宋体" w:eastAsia="宋体" w:cs="宋体"/>
          <w:sz w:val="28"/>
        </w:rPr>
        <w:t>资格承诺函</w:t>
      </w:r>
    </w:p>
    <w:p w14:paraId="51139778">
      <w:pPr>
        <w:pStyle w:val="296"/>
        <w:widowControl/>
        <w:shd w:val="clear" w:color="auto" w:fill="FFFFFF"/>
        <w:spacing w:line="560" w:lineRule="atLeast"/>
        <w:jc w:val="center"/>
        <w:rPr>
          <w:rFonts w:hint="eastAsia" w:ascii="宋体" w:hAnsi="宋体" w:cs="宋体"/>
          <w:sz w:val="44"/>
          <w:szCs w:val="44"/>
        </w:rPr>
      </w:pPr>
    </w:p>
    <w:p w14:paraId="77A6C02A">
      <w:pPr>
        <w:pStyle w:val="296"/>
        <w:widowControl/>
        <w:shd w:val="clear" w:color="auto" w:fill="FFFFFF"/>
        <w:spacing w:line="560" w:lineRule="exact"/>
        <w:ind w:firstLine="640"/>
        <w:jc w:val="left"/>
        <w:rPr>
          <w:rFonts w:hint="eastAsia"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_</w:t>
      </w:r>
      <w:r>
        <w:rPr>
          <w:rFonts w:ascii="宋体" w:hAnsi="宋体" w:cs="宋体"/>
          <w:sz w:val="24"/>
          <w:szCs w:val="24"/>
          <w:u w:val="single"/>
        </w:rPr>
        <w:t>__________</w:t>
      </w:r>
      <w:r>
        <w:rPr>
          <w:rFonts w:hint="eastAsia" w:ascii="宋体" w:hAnsi="宋体" w:cs="宋体"/>
          <w:sz w:val="24"/>
          <w:szCs w:val="24"/>
          <w:u w:val="single"/>
        </w:rPr>
        <w:t>（采购人、采购代理机构）</w:t>
      </w:r>
    </w:p>
    <w:p w14:paraId="532708D6">
      <w:pPr>
        <w:pStyle w:val="296"/>
        <w:widowControl/>
        <w:shd w:val="clear" w:color="auto" w:fill="FFFFFF"/>
        <w:spacing w:line="560" w:lineRule="exact"/>
        <w:ind w:firstLine="640"/>
        <w:jc w:val="left"/>
        <w:rPr>
          <w:rFonts w:hint="eastAsia" w:ascii="宋体" w:hAnsi="宋体" w:cs="宋体"/>
          <w:sz w:val="24"/>
          <w:szCs w:val="24"/>
        </w:rPr>
      </w:pPr>
      <w:r>
        <w:rPr>
          <w:rFonts w:hint="eastAsia" w:ascii="宋体" w:hAnsi="宋体" w:cs="宋体"/>
          <w:sz w:val="24"/>
          <w:szCs w:val="24"/>
        </w:rPr>
        <w:t>我单位参与</w:t>
      </w:r>
      <w:r>
        <w:rPr>
          <w:rFonts w:hint="eastAsia" w:ascii="宋体" w:hAnsi="宋体" w:cs="宋体"/>
          <w:sz w:val="24"/>
          <w:szCs w:val="24"/>
          <w:u w:val="single"/>
        </w:rPr>
        <w:t>_</w:t>
      </w:r>
      <w:r>
        <w:rPr>
          <w:rFonts w:ascii="宋体" w:hAnsi="宋体" w:cs="宋体"/>
          <w:sz w:val="24"/>
          <w:szCs w:val="24"/>
          <w:u w:val="single"/>
        </w:rPr>
        <w:t>_____________</w:t>
      </w:r>
      <w:r>
        <w:rPr>
          <w:rFonts w:hint="eastAsia" w:ascii="宋体" w:hAnsi="宋体" w:cs="宋体"/>
          <w:sz w:val="24"/>
          <w:szCs w:val="24"/>
          <w:u w:val="single"/>
        </w:rPr>
        <w:t>（项目名称）_</w:t>
      </w:r>
      <w:r>
        <w:rPr>
          <w:rFonts w:ascii="宋体" w:hAnsi="宋体" w:cs="宋体"/>
          <w:sz w:val="24"/>
          <w:szCs w:val="24"/>
          <w:u w:val="single"/>
        </w:rPr>
        <w:t>_____________</w:t>
      </w:r>
      <w:r>
        <w:rPr>
          <w:rFonts w:hint="eastAsia" w:ascii="宋体" w:hAnsi="宋体" w:cs="宋体"/>
          <w:sz w:val="24"/>
          <w:szCs w:val="24"/>
          <w:u w:val="single"/>
        </w:rPr>
        <w:t>（项目编号）</w:t>
      </w:r>
      <w:r>
        <w:rPr>
          <w:rFonts w:hint="eastAsia" w:ascii="宋体" w:hAnsi="宋体" w:cs="宋体"/>
          <w:sz w:val="24"/>
          <w:szCs w:val="24"/>
        </w:rPr>
        <w:t>项目的政府采购活动，现承诺如下：</w:t>
      </w:r>
    </w:p>
    <w:p w14:paraId="1B8AE411">
      <w:pPr>
        <w:pStyle w:val="296"/>
        <w:widowControl/>
        <w:shd w:val="clear" w:color="auto" w:fill="FFFFFF"/>
        <w:spacing w:line="560" w:lineRule="exact"/>
        <w:ind w:firstLine="640"/>
        <w:jc w:val="left"/>
        <w:rPr>
          <w:rFonts w:hint="eastAsia" w:ascii="宋体" w:hAnsi="宋体" w:cs="宋体"/>
          <w:sz w:val="24"/>
          <w:szCs w:val="24"/>
        </w:rPr>
      </w:pPr>
      <w:r>
        <w:rPr>
          <w:rFonts w:ascii="宋体" w:hAnsi="宋体" w:cs="宋体"/>
          <w:sz w:val="24"/>
          <w:szCs w:val="24"/>
        </w:rPr>
        <w:t>1</w:t>
      </w:r>
      <w:r>
        <w:rPr>
          <w:rFonts w:hint="eastAsia" w:ascii="宋体" w:hAnsi="宋体" w:cs="宋体"/>
          <w:sz w:val="24"/>
          <w:szCs w:val="24"/>
        </w:rPr>
        <w:t>.我方具有良好的商业信誉和健全的财务会计制度。</w:t>
      </w:r>
    </w:p>
    <w:p w14:paraId="3A5C305A">
      <w:pPr>
        <w:pStyle w:val="296"/>
        <w:widowControl/>
        <w:shd w:val="clear" w:color="auto" w:fill="FFFFFF"/>
        <w:spacing w:line="560" w:lineRule="exact"/>
        <w:ind w:firstLine="640"/>
        <w:jc w:val="left"/>
        <w:rPr>
          <w:rFonts w:hint="eastAsia" w:ascii="宋体" w:hAnsi="宋体" w:cs="宋体"/>
          <w:sz w:val="24"/>
          <w:szCs w:val="24"/>
        </w:rPr>
      </w:pPr>
      <w:r>
        <w:rPr>
          <w:rFonts w:hint="eastAsia" w:ascii="宋体" w:hAnsi="宋体" w:cs="宋体"/>
          <w:sz w:val="24"/>
          <w:szCs w:val="24"/>
        </w:rPr>
        <w:t>若我单位承诺不实，自愿承担提供虚假材料谋取中标、成交的法律责任。</w:t>
      </w:r>
    </w:p>
    <w:p w14:paraId="7DB7ADCE">
      <w:pPr>
        <w:pStyle w:val="296"/>
        <w:widowControl/>
        <w:shd w:val="clear" w:color="auto" w:fill="FFFFFF"/>
        <w:spacing w:line="560" w:lineRule="exact"/>
        <w:ind w:firstLine="640"/>
        <w:jc w:val="left"/>
        <w:rPr>
          <w:rFonts w:hint="eastAsia" w:ascii="宋体" w:hAnsi="宋体" w:cs="宋体"/>
          <w:sz w:val="24"/>
          <w:szCs w:val="24"/>
        </w:rPr>
      </w:pPr>
    </w:p>
    <w:p w14:paraId="0A93B21F">
      <w:pPr>
        <w:pStyle w:val="296"/>
        <w:widowControl/>
        <w:shd w:val="clear" w:color="auto" w:fill="FFFFFF"/>
        <w:spacing w:line="560" w:lineRule="exact"/>
        <w:ind w:firstLine="640"/>
        <w:jc w:val="left"/>
        <w:rPr>
          <w:rFonts w:hint="eastAsia" w:ascii="宋体" w:hAnsi="宋体" w:cs="宋体"/>
          <w:sz w:val="24"/>
          <w:szCs w:val="24"/>
        </w:rPr>
      </w:pPr>
      <w:r>
        <w:rPr>
          <w:rFonts w:hint="eastAsia" w:ascii="宋体" w:hAnsi="宋体" w:cs="宋体"/>
          <w:sz w:val="24"/>
          <w:szCs w:val="24"/>
        </w:rPr>
        <w:t>投标（响应）供应商（全称并盖章）：</w:t>
      </w:r>
      <w:r>
        <w:rPr>
          <w:rFonts w:hint="eastAsia" w:ascii="宋体" w:hAnsi="宋体" w:cs="宋体"/>
          <w:sz w:val="24"/>
          <w:szCs w:val="24"/>
          <w:u w:val="single"/>
        </w:rPr>
        <w:t>_</w:t>
      </w:r>
      <w:r>
        <w:rPr>
          <w:rFonts w:ascii="宋体" w:hAnsi="宋体" w:cs="宋体"/>
          <w:sz w:val="24"/>
          <w:szCs w:val="24"/>
          <w:u w:val="single"/>
        </w:rPr>
        <w:t>__________</w:t>
      </w:r>
    </w:p>
    <w:p w14:paraId="5F251385">
      <w:pPr>
        <w:pStyle w:val="296"/>
        <w:widowControl/>
        <w:shd w:val="clear" w:color="auto" w:fill="FFFFFF"/>
        <w:spacing w:line="560" w:lineRule="exact"/>
        <w:ind w:firstLine="640"/>
        <w:jc w:val="left"/>
        <w:rPr>
          <w:rFonts w:hint="eastAsia" w:ascii="宋体" w:hAnsi="宋体" w:cs="宋体"/>
          <w:sz w:val="24"/>
          <w:szCs w:val="24"/>
        </w:rPr>
      </w:pPr>
      <w:r>
        <w:rPr>
          <w:rFonts w:hint="eastAsia" w:ascii="宋体" w:hAnsi="宋体" w:cs="宋体"/>
          <w:sz w:val="24"/>
          <w:szCs w:val="24"/>
        </w:rPr>
        <w:t>供应商法定代表人或授权代表（签</w:t>
      </w:r>
      <w:r>
        <w:rPr>
          <w:rFonts w:hint="eastAsia" w:ascii="宋体" w:hAnsi="宋体" w:cs="宋体"/>
          <w:color w:val="EE0000"/>
          <w:sz w:val="24"/>
          <w:szCs w:val="24"/>
          <w:highlight w:val="yellow"/>
        </w:rPr>
        <w:t>名</w:t>
      </w:r>
      <w:r>
        <w:rPr>
          <w:rFonts w:hint="eastAsia" w:ascii="宋体" w:hAnsi="宋体" w:cs="宋体"/>
          <w:sz w:val="24"/>
          <w:szCs w:val="24"/>
        </w:rPr>
        <w:t>或签章）：</w:t>
      </w:r>
      <w:r>
        <w:rPr>
          <w:rFonts w:hint="eastAsia" w:ascii="宋体" w:hAnsi="宋体" w:cs="宋体"/>
          <w:sz w:val="24"/>
          <w:szCs w:val="24"/>
          <w:u w:val="single"/>
        </w:rPr>
        <w:t>_</w:t>
      </w:r>
      <w:r>
        <w:rPr>
          <w:rFonts w:ascii="宋体" w:hAnsi="宋体" w:cs="宋体"/>
          <w:sz w:val="24"/>
          <w:szCs w:val="24"/>
          <w:u w:val="single"/>
        </w:rPr>
        <w:t>__________</w:t>
      </w:r>
    </w:p>
    <w:p w14:paraId="2C6AC15D">
      <w:pPr>
        <w:pStyle w:val="296"/>
        <w:widowControl/>
        <w:shd w:val="clear" w:color="auto" w:fill="FFFFFF"/>
        <w:spacing w:line="560" w:lineRule="exact"/>
        <w:ind w:firstLine="640"/>
        <w:jc w:val="left"/>
        <w:rPr>
          <w:rFonts w:hint="eastAsia"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_</w:t>
      </w:r>
      <w:r>
        <w:rPr>
          <w:rFonts w:ascii="宋体" w:hAnsi="宋体" w:cs="宋体"/>
          <w:sz w:val="24"/>
          <w:szCs w:val="24"/>
          <w:u w:val="single"/>
        </w:rPr>
        <w:t>__________</w:t>
      </w:r>
    </w:p>
    <w:p w14:paraId="1688E3C8">
      <w:pPr>
        <w:pStyle w:val="296"/>
        <w:widowControl/>
        <w:shd w:val="clear" w:color="auto" w:fill="FFFFFF"/>
        <w:spacing w:line="560" w:lineRule="exact"/>
        <w:ind w:firstLine="640"/>
        <w:jc w:val="left"/>
        <w:rPr>
          <w:rFonts w:hint="eastAsia" w:ascii="宋体" w:hAnsi="宋体" w:cs="宋体"/>
          <w:sz w:val="24"/>
          <w:szCs w:val="24"/>
        </w:rPr>
      </w:pPr>
    </w:p>
    <w:p w14:paraId="1C971EB7">
      <w:pPr>
        <w:pStyle w:val="297"/>
        <w:rPr>
          <w:rFonts w:hint="eastAsia" w:ascii="宋体" w:hAnsi="宋体"/>
          <w:sz w:val="24"/>
          <w:szCs w:val="24"/>
        </w:rPr>
      </w:pPr>
      <w:r>
        <w:rPr>
          <w:rFonts w:ascii="宋体" w:hAnsi="宋体"/>
          <w:sz w:val="24"/>
          <w:szCs w:val="24"/>
        </w:rPr>
        <w:t>……………………………………………………………………………</w:t>
      </w:r>
    </w:p>
    <w:p w14:paraId="6C8208A7">
      <w:pPr>
        <w:pStyle w:val="296"/>
        <w:widowControl/>
        <w:shd w:val="clear" w:color="auto" w:fill="FFFFFF"/>
        <w:spacing w:line="560" w:lineRule="exact"/>
        <w:jc w:val="left"/>
        <w:rPr>
          <w:rFonts w:hint="eastAsia" w:ascii="宋体" w:hAnsi="宋体" w:cs="宋体"/>
          <w:sz w:val="24"/>
          <w:szCs w:val="24"/>
        </w:rPr>
      </w:pPr>
      <w:r>
        <w:rPr>
          <w:rFonts w:hint="eastAsia" w:ascii="宋体" w:hAnsi="宋体" w:cs="宋体"/>
          <w:sz w:val="24"/>
          <w:szCs w:val="24"/>
        </w:rPr>
        <w:t>说明：供应商可自行选择是否提供本承诺函，若不提供本承诺函的，应按采购文件要求提供相应的证明材料。</w:t>
      </w:r>
    </w:p>
    <w:p w14:paraId="5392D505">
      <w:pPr>
        <w:rPr>
          <w:rFonts w:hint="eastAsia" w:hAnsi="宋体" w:cs="Angsana New"/>
          <w:sz w:val="22"/>
          <w:szCs w:val="22"/>
          <w:lang w:bidi="th-TH"/>
        </w:rPr>
      </w:pPr>
      <w:r>
        <w:rPr>
          <w:rFonts w:hint="eastAsia" w:hAnsi="宋体" w:cs="Angsana New"/>
          <w:sz w:val="22"/>
          <w:szCs w:val="22"/>
          <w:lang w:bidi="th-TH"/>
        </w:rPr>
        <w:br w:type="page"/>
      </w:r>
    </w:p>
    <w:p w14:paraId="4302FF73">
      <w:pPr>
        <w:rPr>
          <w:rFonts w:hint="eastAsia" w:hAnsi="宋体" w:cs="Angsana New"/>
          <w:sz w:val="22"/>
          <w:szCs w:val="22"/>
          <w:lang w:bidi="th-TH"/>
        </w:rPr>
      </w:pPr>
    </w:p>
    <w:p w14:paraId="650EC86D">
      <w:pPr>
        <w:pStyle w:val="123"/>
        <w:spacing w:before="120" w:after="120" w:line="460" w:lineRule="exact"/>
        <w:rPr>
          <w:rFonts w:hint="eastAsia" w:hAnsi="宋体" w:cs="Angsana New"/>
          <w:sz w:val="24"/>
          <w:szCs w:val="24"/>
          <w:lang w:bidi="th-TH"/>
        </w:rPr>
      </w:pPr>
      <w:r>
        <w:rPr>
          <w:rFonts w:hint="eastAsia" w:hAnsi="宋体" w:cs="Angsana New"/>
          <w:sz w:val="24"/>
          <w:szCs w:val="24"/>
          <w:lang w:bidi="th-TH"/>
        </w:rPr>
        <w:t>格式五：</w:t>
      </w:r>
    </w:p>
    <w:p w14:paraId="032BDBC9">
      <w:pPr>
        <w:pStyle w:val="123"/>
        <w:spacing w:before="120" w:after="120"/>
        <w:jc w:val="center"/>
        <w:rPr>
          <w:rFonts w:hint="eastAsia" w:hAnsi="宋体"/>
          <w:b/>
          <w:szCs w:val="28"/>
        </w:rPr>
      </w:pPr>
      <w:r>
        <w:rPr>
          <w:rFonts w:hint="eastAsia" w:hAnsi="宋体"/>
          <w:b/>
          <w:szCs w:val="28"/>
        </w:rPr>
        <w:t>参加政府采购活动前 3 年内在经营活动中没有重大违法记录的书面声明</w:t>
      </w:r>
    </w:p>
    <w:p w14:paraId="449B6DDC">
      <w:pPr>
        <w:spacing w:line="460" w:lineRule="exact"/>
        <w:rPr>
          <w:rFonts w:hint="eastAsia" w:ascii="宋体" w:hAnsi="宋体"/>
          <w:b/>
          <w:bCs/>
          <w:sz w:val="44"/>
          <w:szCs w:val="44"/>
        </w:rPr>
      </w:pPr>
      <w:r>
        <w:rPr>
          <w:rFonts w:hint="eastAsia" w:ascii="宋体" w:hAnsi="宋体"/>
          <w:b/>
          <w:bCs/>
          <w:sz w:val="24"/>
        </w:rPr>
        <w:t xml:space="preserve">                       </w:t>
      </w:r>
      <w:r>
        <w:rPr>
          <w:rFonts w:hint="eastAsia" w:ascii="宋体" w:hAnsi="宋体"/>
          <w:b/>
          <w:bCs/>
          <w:sz w:val="44"/>
          <w:szCs w:val="44"/>
        </w:rPr>
        <w:t xml:space="preserve">   </w:t>
      </w:r>
    </w:p>
    <w:p w14:paraId="19D2617A">
      <w:pPr>
        <w:spacing w:line="460" w:lineRule="exact"/>
        <w:jc w:val="center"/>
        <w:rPr>
          <w:rFonts w:hint="eastAsia" w:ascii="宋体" w:hAnsi="宋体"/>
          <w:b/>
          <w:bCs/>
          <w:sz w:val="44"/>
          <w:szCs w:val="44"/>
        </w:rPr>
      </w:pPr>
      <w:r>
        <w:rPr>
          <w:rFonts w:hint="eastAsia" w:ascii="宋体" w:hAnsi="宋体"/>
          <w:b/>
          <w:sz w:val="28"/>
          <w:szCs w:val="28"/>
        </w:rPr>
        <w:t>声  明</w:t>
      </w:r>
    </w:p>
    <w:p w14:paraId="36F2338D">
      <w:pPr>
        <w:spacing w:line="520" w:lineRule="exact"/>
        <w:rPr>
          <w:rFonts w:hint="eastAsia" w:ascii="宋体" w:hAnsi="宋体"/>
          <w:bCs/>
          <w:szCs w:val="21"/>
        </w:rPr>
      </w:pPr>
      <w:r>
        <w:rPr>
          <w:rFonts w:hint="eastAsia" w:ascii="宋体" w:hAnsi="宋体"/>
          <w:b/>
          <w:bCs/>
          <w:sz w:val="24"/>
        </w:rPr>
        <w:t xml:space="preserve">    </w:t>
      </w:r>
      <w:r>
        <w:rPr>
          <w:rFonts w:hint="eastAsia" w:ascii="宋体" w:hAnsi="宋体"/>
          <w:bCs/>
          <w:szCs w:val="21"/>
        </w:rPr>
        <w:t>我公司郑重声明：参加本次政府采购活动前 3 年内，我公司在经营活动中没有因违法经营受到刑事处罚或者责令停产停业、吊销许可证或者执照、较大数额罚款等行政处罚。</w:t>
      </w:r>
    </w:p>
    <w:p w14:paraId="04B084D7">
      <w:pPr>
        <w:spacing w:line="460" w:lineRule="exact"/>
        <w:rPr>
          <w:rFonts w:hint="eastAsia" w:ascii="宋体" w:hAnsi="宋体"/>
          <w:bCs/>
          <w:sz w:val="24"/>
        </w:rPr>
      </w:pPr>
      <w:r>
        <w:rPr>
          <w:rFonts w:hint="eastAsia" w:ascii="宋体" w:hAnsi="宋体"/>
          <w:bCs/>
          <w:sz w:val="24"/>
        </w:rPr>
        <w:t xml:space="preserve">                                      </w:t>
      </w:r>
    </w:p>
    <w:p w14:paraId="02E4CCB4">
      <w:pPr>
        <w:spacing w:line="460" w:lineRule="exact"/>
        <w:rPr>
          <w:rFonts w:hint="eastAsia" w:ascii="宋体" w:hAnsi="宋体"/>
          <w:bCs/>
          <w:sz w:val="24"/>
        </w:rPr>
      </w:pPr>
    </w:p>
    <w:p w14:paraId="1E8DC965">
      <w:pPr>
        <w:spacing w:line="460" w:lineRule="exact"/>
        <w:rPr>
          <w:rFonts w:hint="eastAsia" w:ascii="宋体" w:hAnsi="宋体"/>
          <w:bCs/>
          <w:sz w:val="24"/>
        </w:rPr>
      </w:pPr>
    </w:p>
    <w:p w14:paraId="4073DD6B">
      <w:pPr>
        <w:spacing w:line="460" w:lineRule="exact"/>
        <w:ind w:firstLine="3990"/>
        <w:rPr>
          <w:rFonts w:hint="eastAsia" w:ascii="宋体" w:hAnsi="宋体"/>
          <w:bCs/>
          <w:szCs w:val="21"/>
        </w:rPr>
      </w:pPr>
      <w:r>
        <w:rPr>
          <w:rFonts w:hint="eastAsia" w:ascii="宋体" w:hAnsi="宋体"/>
          <w:bCs/>
          <w:szCs w:val="21"/>
        </w:rPr>
        <w:t>供应商名称（公章）：</w:t>
      </w:r>
    </w:p>
    <w:p w14:paraId="3802256B">
      <w:pPr>
        <w:spacing w:line="460" w:lineRule="exact"/>
        <w:rPr>
          <w:rFonts w:hint="eastAsia" w:ascii="宋体" w:hAnsi="宋体"/>
          <w:bCs/>
          <w:szCs w:val="21"/>
        </w:rPr>
      </w:pPr>
      <w:r>
        <w:rPr>
          <w:rFonts w:hint="eastAsia" w:ascii="宋体" w:hAnsi="宋体"/>
          <w:bCs/>
          <w:szCs w:val="21"/>
        </w:rPr>
        <w:t xml:space="preserve">                               </w:t>
      </w:r>
      <w:r>
        <w:rPr>
          <w:rFonts w:ascii="宋体" w:hAnsi="宋体"/>
          <w:bCs/>
          <w:szCs w:val="21"/>
        </w:rPr>
        <w:t xml:space="preserve">       </w:t>
      </w:r>
      <w:r>
        <w:rPr>
          <w:rFonts w:hint="eastAsia" w:ascii="宋体" w:hAnsi="宋体"/>
          <w:bCs/>
          <w:szCs w:val="21"/>
        </w:rPr>
        <w:t>日期：</w:t>
      </w:r>
      <w:r>
        <w:rPr>
          <w:rFonts w:hint="eastAsia"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hint="eastAsia" w:ascii="宋体" w:hAnsi="宋体"/>
          <w:bCs/>
          <w:szCs w:val="21"/>
        </w:rPr>
        <w:t>日</w:t>
      </w:r>
    </w:p>
    <w:p w14:paraId="456241A7">
      <w:pPr>
        <w:spacing w:line="480" w:lineRule="exact"/>
        <w:ind w:firstLine="321"/>
        <w:jc w:val="center"/>
        <w:rPr>
          <w:rFonts w:hint="eastAsia" w:ascii="宋体" w:hAnsi="宋体"/>
          <w:b/>
          <w:sz w:val="28"/>
          <w:szCs w:val="28"/>
        </w:rPr>
      </w:pPr>
      <w:r>
        <w:rPr>
          <w:rFonts w:ascii="宋体" w:hAnsi="宋体"/>
          <w:bCs/>
          <w:sz w:val="24"/>
        </w:rPr>
        <w:br w:type="page" w:clear="all"/>
      </w:r>
      <w:r>
        <w:rPr>
          <w:rFonts w:hint="eastAsia" w:ascii="宋体" w:hAnsi="宋体"/>
          <w:bCs/>
          <w:sz w:val="24"/>
        </w:rPr>
        <w:t>格式六：</w:t>
      </w:r>
      <w:r>
        <w:rPr>
          <w:rFonts w:hint="eastAsia" w:ascii="宋体" w:hAnsi="宋体"/>
          <w:b/>
          <w:sz w:val="28"/>
          <w:szCs w:val="28"/>
        </w:rPr>
        <w:t>具备履行合同所必需的设备和专业技术能力的声明函</w:t>
      </w:r>
    </w:p>
    <w:p w14:paraId="657D7DF4">
      <w:pPr>
        <w:spacing w:line="480" w:lineRule="exact"/>
        <w:ind w:firstLine="321"/>
        <w:jc w:val="center"/>
        <w:rPr>
          <w:rFonts w:hint="eastAsia" w:ascii="宋体" w:hAnsi="宋体" w:cs="宋体"/>
          <w:b/>
          <w:sz w:val="32"/>
          <w:szCs w:val="32"/>
        </w:rPr>
      </w:pPr>
    </w:p>
    <w:p w14:paraId="1A55F520">
      <w:pPr>
        <w:spacing w:line="600" w:lineRule="exact"/>
        <w:ind w:firstLine="492"/>
        <w:rPr>
          <w:rFonts w:hint="eastAsia" w:ascii="宋体" w:hAnsi="宋体"/>
          <w:bCs/>
          <w:szCs w:val="21"/>
        </w:rPr>
      </w:pPr>
      <w:r>
        <w:rPr>
          <w:rFonts w:hint="eastAsia" w:ascii="宋体" w:hAnsi="宋体"/>
          <w:bCs/>
          <w:szCs w:val="21"/>
        </w:rPr>
        <w:t>我方郑重声明：我方具备履行本项采购合同所必需的设备和专业技术能力，为履行本项采购合同我方具备如下主要设备和主要专业技术能力：</w:t>
      </w:r>
    </w:p>
    <w:p w14:paraId="6EA98D49">
      <w:pPr>
        <w:spacing w:line="600" w:lineRule="exact"/>
        <w:ind w:firstLine="492"/>
        <w:rPr>
          <w:rFonts w:hint="eastAsia" w:ascii="宋体" w:hAnsi="宋体"/>
          <w:bCs/>
          <w:szCs w:val="21"/>
          <w:u w:val="single"/>
        </w:rPr>
      </w:pPr>
      <w:r>
        <w:rPr>
          <w:rFonts w:hint="eastAsia" w:ascii="宋体" w:hAnsi="宋体"/>
          <w:bCs/>
          <w:szCs w:val="21"/>
        </w:rPr>
        <w:t>主要设备有：</w:t>
      </w:r>
      <w:r>
        <w:rPr>
          <w:rFonts w:hint="eastAsia" w:ascii="宋体" w:hAnsi="宋体"/>
          <w:bCs/>
          <w:szCs w:val="21"/>
          <w:u w:val="single"/>
        </w:rPr>
        <w:t xml:space="preserve">                                         </w:t>
      </w:r>
    </w:p>
    <w:p w14:paraId="799E205A">
      <w:pPr>
        <w:spacing w:line="600" w:lineRule="exact"/>
        <w:ind w:firstLine="492"/>
        <w:rPr>
          <w:rFonts w:hint="eastAsia" w:ascii="宋体" w:hAnsi="宋体"/>
          <w:bCs/>
          <w:szCs w:val="21"/>
        </w:rPr>
      </w:pPr>
      <w:r>
        <w:rPr>
          <w:rFonts w:hint="eastAsia" w:ascii="宋体" w:hAnsi="宋体"/>
          <w:bCs/>
          <w:szCs w:val="21"/>
        </w:rPr>
        <w:t>主要专业技术能力有：</w:t>
      </w:r>
      <w:r>
        <w:rPr>
          <w:rFonts w:hint="eastAsia" w:ascii="宋体" w:hAnsi="宋体"/>
          <w:bCs/>
          <w:szCs w:val="21"/>
          <w:u w:val="single"/>
        </w:rPr>
        <w:t xml:space="preserve">                                 </w:t>
      </w:r>
    </w:p>
    <w:p w14:paraId="424C2032">
      <w:pPr>
        <w:spacing w:line="600" w:lineRule="exact"/>
        <w:rPr>
          <w:rFonts w:hint="eastAsia" w:ascii="宋体" w:hAnsi="宋体"/>
          <w:bCs/>
          <w:sz w:val="24"/>
        </w:rPr>
      </w:pPr>
    </w:p>
    <w:p w14:paraId="7D7BEF9C">
      <w:pPr>
        <w:spacing w:line="460" w:lineRule="exact"/>
        <w:ind w:firstLine="3840"/>
        <w:rPr>
          <w:rFonts w:hint="eastAsia" w:ascii="宋体" w:hAnsi="宋体"/>
          <w:bCs/>
          <w:sz w:val="24"/>
        </w:rPr>
      </w:pPr>
    </w:p>
    <w:p w14:paraId="16A41E86">
      <w:pPr>
        <w:pStyle w:val="158"/>
      </w:pPr>
    </w:p>
    <w:p w14:paraId="3133AF0E">
      <w:pPr>
        <w:pStyle w:val="158"/>
      </w:pPr>
    </w:p>
    <w:p w14:paraId="26CF84A7">
      <w:pPr>
        <w:spacing w:line="460" w:lineRule="exact"/>
        <w:ind w:firstLine="6480"/>
        <w:rPr>
          <w:rFonts w:hint="eastAsia" w:ascii="宋体" w:hAnsi="宋体"/>
          <w:bCs/>
          <w:sz w:val="24"/>
        </w:rPr>
      </w:pPr>
      <w:r>
        <w:rPr>
          <w:rFonts w:hint="eastAsia" w:ascii="宋体" w:hAnsi="宋体"/>
          <w:bCs/>
          <w:sz w:val="24"/>
        </w:rPr>
        <w:t>供应商名称（公章）：</w:t>
      </w:r>
    </w:p>
    <w:p w14:paraId="0220C8F9">
      <w:pPr>
        <w:pStyle w:val="108"/>
        <w:ind w:right="420" w:firstLine="103"/>
        <w:jc w:val="right"/>
        <w:rPr>
          <w:rFonts w:hint="eastAsia" w:ascii="宋体" w:hAnsi="宋体" w:eastAsia="宋体"/>
          <w:bCs/>
          <w:sz w:val="21"/>
          <w:szCs w:val="21"/>
        </w:rPr>
      </w:pPr>
      <w:r>
        <w:rPr>
          <w:rFonts w:hint="eastAsia" w:ascii="宋体" w:hAnsi="宋体" w:eastAsia="宋体"/>
          <w:sz w:val="21"/>
          <w:szCs w:val="21"/>
        </w:rPr>
        <w:t>日期：______年</w:t>
      </w:r>
      <w:r>
        <w:rPr>
          <w:rFonts w:hint="eastAsia" w:ascii="宋体" w:hAnsi="宋体" w:eastAsia="宋体"/>
          <w:sz w:val="21"/>
          <w:szCs w:val="21"/>
          <w:u w:val="single"/>
        </w:rPr>
        <w:t xml:space="preserve">    </w:t>
      </w:r>
      <w:r>
        <w:rPr>
          <w:rFonts w:hint="eastAsia" w:ascii="宋体" w:hAnsi="宋体" w:eastAsia="宋体"/>
          <w:sz w:val="21"/>
          <w:szCs w:val="21"/>
        </w:rPr>
        <w:t>月</w:t>
      </w:r>
      <w:r>
        <w:rPr>
          <w:rFonts w:hint="eastAsia" w:ascii="宋体" w:hAnsi="宋体" w:eastAsia="宋体"/>
          <w:sz w:val="21"/>
          <w:szCs w:val="21"/>
          <w:u w:val="single"/>
        </w:rPr>
        <w:t xml:space="preserve">    </w:t>
      </w:r>
      <w:r>
        <w:rPr>
          <w:rFonts w:hint="eastAsia" w:ascii="宋体" w:hAnsi="宋体" w:eastAsia="宋体"/>
          <w:sz w:val="21"/>
          <w:szCs w:val="21"/>
        </w:rPr>
        <w:t>日</w:t>
      </w:r>
    </w:p>
    <w:p w14:paraId="3ECAA4D1">
      <w:pPr>
        <w:spacing w:line="460" w:lineRule="exact"/>
        <w:rPr>
          <w:rFonts w:hint="eastAsia" w:ascii="宋体" w:hAnsi="宋体"/>
          <w:bCs/>
          <w:sz w:val="24"/>
        </w:rPr>
      </w:pPr>
    </w:p>
    <w:p w14:paraId="7F21ADC8">
      <w:pPr>
        <w:pStyle w:val="123"/>
        <w:spacing w:before="120" w:after="120" w:line="460" w:lineRule="exact"/>
        <w:jc w:val="left"/>
        <w:rPr>
          <w:rFonts w:hint="eastAsia" w:hAnsi="宋体" w:cs="Angsana New"/>
          <w:sz w:val="24"/>
          <w:szCs w:val="24"/>
          <w:lang w:bidi="th-TH"/>
        </w:rPr>
      </w:pPr>
      <w:r>
        <w:rPr>
          <w:rFonts w:hAnsi="宋体" w:cs="Angsana New"/>
          <w:sz w:val="24"/>
          <w:szCs w:val="24"/>
          <w:lang w:bidi="th-TH"/>
        </w:rPr>
        <w:br w:type="page" w:clear="all"/>
      </w:r>
      <w:r>
        <w:rPr>
          <w:rFonts w:hint="eastAsia" w:hAnsi="宋体" w:cs="Angsana New"/>
          <w:sz w:val="24"/>
          <w:szCs w:val="24"/>
          <w:lang w:bidi="th-TH"/>
        </w:rPr>
        <w:t>格式七：</w:t>
      </w:r>
    </w:p>
    <w:p w14:paraId="6A25977A">
      <w:pPr>
        <w:spacing w:before="120" w:after="120" w:line="460" w:lineRule="exact"/>
        <w:jc w:val="center"/>
        <w:rPr>
          <w:rFonts w:hint="eastAsia" w:ascii="宋体" w:hAnsi="宋体"/>
          <w:b/>
          <w:sz w:val="32"/>
          <w:szCs w:val="32"/>
        </w:rPr>
      </w:pPr>
      <w:r>
        <w:rPr>
          <w:rFonts w:hint="eastAsia" w:ascii="宋体" w:hAnsi="宋体"/>
          <w:b/>
          <w:sz w:val="32"/>
          <w:szCs w:val="32"/>
        </w:rPr>
        <w:t>投标分项报价表（投标报价明细表）</w:t>
      </w:r>
    </w:p>
    <w:p w14:paraId="1A3F499D">
      <w:pPr>
        <w:spacing w:line="400" w:lineRule="exact"/>
        <w:jc w:val="right"/>
        <w:rPr>
          <w:rFonts w:ascii="宋体" w:cs="Angsana New"/>
          <w:sz w:val="24"/>
          <w:lang w:bidi="th-TH"/>
        </w:rPr>
      </w:pPr>
      <w:r>
        <w:rPr>
          <w:rFonts w:hint="eastAsia" w:ascii="宋体" w:hAnsi="宋体" w:cs="Angsana New"/>
          <w:sz w:val="24"/>
          <w:lang w:bidi="th-TH"/>
        </w:rPr>
        <w:t>单位：元</w:t>
      </w:r>
    </w:p>
    <w:tbl>
      <w:tblPr>
        <w:tblStyle w:val="35"/>
        <w:tblW w:w="4801"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079"/>
        <w:gridCol w:w="2227"/>
        <w:gridCol w:w="1926"/>
        <w:gridCol w:w="1593"/>
        <w:gridCol w:w="1593"/>
        <w:gridCol w:w="1051"/>
      </w:tblGrid>
      <w:tr w14:paraId="7197A6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8" w:hRule="atLeast"/>
          <w:jc w:val="center"/>
        </w:trPr>
        <w:tc>
          <w:tcPr>
            <w:tcW w:w="1099" w:type="dxa"/>
            <w:vAlign w:val="center"/>
          </w:tcPr>
          <w:p w14:paraId="1B31A5DE">
            <w:pPr>
              <w:jc w:val="center"/>
              <w:rPr>
                <w:rFonts w:ascii="宋体" w:cs="宋体"/>
                <w:sz w:val="24"/>
              </w:rPr>
            </w:pPr>
            <w:r>
              <w:rPr>
                <w:rFonts w:hint="eastAsia" w:ascii="宋体" w:hAnsi="宋体" w:cs="宋体"/>
                <w:sz w:val="24"/>
              </w:rPr>
              <w:t>序号</w:t>
            </w:r>
          </w:p>
        </w:tc>
        <w:tc>
          <w:tcPr>
            <w:tcW w:w="2283" w:type="dxa"/>
            <w:vAlign w:val="center"/>
          </w:tcPr>
          <w:p w14:paraId="1C7A36FF">
            <w:pPr>
              <w:jc w:val="center"/>
              <w:rPr>
                <w:rFonts w:ascii="宋体" w:cs="宋体"/>
                <w:sz w:val="24"/>
              </w:rPr>
            </w:pPr>
            <w:r>
              <w:rPr>
                <w:rFonts w:hint="eastAsia" w:ascii="宋体" w:cs="宋体"/>
                <w:sz w:val="24"/>
              </w:rPr>
              <w:t>服务项目</w:t>
            </w:r>
          </w:p>
        </w:tc>
        <w:tc>
          <w:tcPr>
            <w:tcW w:w="1972" w:type="dxa"/>
            <w:vAlign w:val="center"/>
          </w:tcPr>
          <w:p w14:paraId="070068F1">
            <w:pPr>
              <w:jc w:val="center"/>
              <w:rPr>
                <w:rFonts w:ascii="宋体" w:cs="宋体"/>
                <w:sz w:val="24"/>
              </w:rPr>
            </w:pPr>
            <w:r>
              <w:rPr>
                <w:rFonts w:hint="eastAsia" w:ascii="宋体" w:cs="宋体"/>
                <w:sz w:val="24"/>
              </w:rPr>
              <w:t>合同履行期限</w:t>
            </w:r>
          </w:p>
        </w:tc>
        <w:tc>
          <w:tcPr>
            <w:tcW w:w="1629" w:type="dxa"/>
            <w:vAlign w:val="center"/>
          </w:tcPr>
          <w:p w14:paraId="1EC32CAB">
            <w:pPr>
              <w:jc w:val="center"/>
              <w:rPr>
                <w:rFonts w:hint="eastAsia" w:ascii="宋体" w:hAnsi="宋体" w:cs="宋体"/>
                <w:sz w:val="24"/>
              </w:rPr>
            </w:pPr>
            <w:r>
              <w:rPr>
                <w:rFonts w:hint="eastAsia" w:ascii="宋体" w:hAnsi="宋体" w:cs="宋体"/>
                <w:sz w:val="24"/>
              </w:rPr>
              <w:t>年度报价</w:t>
            </w:r>
          </w:p>
        </w:tc>
        <w:tc>
          <w:tcPr>
            <w:tcW w:w="1629" w:type="dxa"/>
            <w:vAlign w:val="center"/>
          </w:tcPr>
          <w:p w14:paraId="2E683C13">
            <w:pPr>
              <w:jc w:val="center"/>
              <w:rPr>
                <w:rFonts w:ascii="宋体" w:cs="宋体"/>
                <w:sz w:val="24"/>
              </w:rPr>
            </w:pPr>
            <w:r>
              <w:rPr>
                <w:rFonts w:hint="eastAsia" w:ascii="宋体" w:hAnsi="宋体" w:cs="宋体"/>
                <w:sz w:val="24"/>
              </w:rPr>
              <w:t>合价</w:t>
            </w:r>
          </w:p>
        </w:tc>
        <w:tc>
          <w:tcPr>
            <w:tcW w:w="1070" w:type="dxa"/>
            <w:vAlign w:val="center"/>
          </w:tcPr>
          <w:p w14:paraId="61B574C5">
            <w:pPr>
              <w:jc w:val="center"/>
              <w:rPr>
                <w:rFonts w:ascii="宋体" w:cs="宋体"/>
                <w:sz w:val="24"/>
              </w:rPr>
            </w:pPr>
            <w:r>
              <w:rPr>
                <w:rFonts w:hint="eastAsia" w:ascii="宋体" w:cs="宋体"/>
                <w:sz w:val="24"/>
              </w:rPr>
              <w:t>备注</w:t>
            </w:r>
          </w:p>
        </w:tc>
      </w:tr>
      <w:tr w14:paraId="0E4683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1099" w:type="dxa"/>
            <w:vAlign w:val="center"/>
          </w:tcPr>
          <w:p w14:paraId="5DDD2938">
            <w:pPr>
              <w:spacing w:line="400" w:lineRule="exact"/>
              <w:jc w:val="center"/>
              <w:rPr>
                <w:rFonts w:ascii="宋体" w:cs="宋体"/>
                <w:sz w:val="24"/>
                <w:lang w:bidi="th-TH"/>
              </w:rPr>
            </w:pPr>
            <w:r>
              <w:rPr>
                <w:rFonts w:ascii="宋体" w:hAnsi="宋体" w:cs="宋体"/>
                <w:sz w:val="24"/>
                <w:lang w:bidi="th-TH"/>
              </w:rPr>
              <w:t>1</w:t>
            </w:r>
          </w:p>
        </w:tc>
        <w:tc>
          <w:tcPr>
            <w:tcW w:w="2283" w:type="dxa"/>
            <w:vAlign w:val="center"/>
          </w:tcPr>
          <w:p w14:paraId="053B1676">
            <w:pPr>
              <w:spacing w:line="400" w:lineRule="exact"/>
              <w:jc w:val="center"/>
              <w:rPr>
                <w:rFonts w:ascii="宋体" w:cs="宋体"/>
                <w:sz w:val="24"/>
                <w:lang w:bidi="th-TH"/>
              </w:rPr>
            </w:pPr>
          </w:p>
        </w:tc>
        <w:tc>
          <w:tcPr>
            <w:tcW w:w="1972" w:type="dxa"/>
            <w:vAlign w:val="center"/>
          </w:tcPr>
          <w:p w14:paraId="16917061">
            <w:pPr>
              <w:spacing w:line="400" w:lineRule="exact"/>
              <w:jc w:val="center"/>
              <w:rPr>
                <w:rFonts w:ascii="宋体" w:cs="宋体"/>
                <w:sz w:val="24"/>
                <w:lang w:bidi="th-TH"/>
              </w:rPr>
            </w:pPr>
          </w:p>
        </w:tc>
        <w:tc>
          <w:tcPr>
            <w:tcW w:w="1629" w:type="dxa"/>
            <w:vAlign w:val="center"/>
          </w:tcPr>
          <w:p w14:paraId="58963D0E">
            <w:pPr>
              <w:spacing w:line="400" w:lineRule="exact"/>
              <w:jc w:val="center"/>
              <w:rPr>
                <w:rFonts w:ascii="宋体" w:cs="宋体"/>
                <w:sz w:val="24"/>
                <w:lang w:bidi="th-TH"/>
              </w:rPr>
            </w:pPr>
          </w:p>
        </w:tc>
        <w:tc>
          <w:tcPr>
            <w:tcW w:w="1629" w:type="dxa"/>
            <w:vAlign w:val="center"/>
          </w:tcPr>
          <w:p w14:paraId="112CD94C">
            <w:pPr>
              <w:spacing w:line="400" w:lineRule="exact"/>
              <w:jc w:val="center"/>
              <w:rPr>
                <w:rFonts w:ascii="宋体" w:cs="宋体"/>
                <w:sz w:val="24"/>
                <w:lang w:bidi="th-TH"/>
              </w:rPr>
            </w:pPr>
          </w:p>
        </w:tc>
        <w:tc>
          <w:tcPr>
            <w:tcW w:w="1070" w:type="dxa"/>
            <w:vAlign w:val="center"/>
          </w:tcPr>
          <w:p w14:paraId="4C38EFEF">
            <w:pPr>
              <w:spacing w:line="400" w:lineRule="exact"/>
              <w:jc w:val="center"/>
              <w:rPr>
                <w:rFonts w:ascii="宋体" w:cs="宋体"/>
                <w:sz w:val="24"/>
                <w:lang w:bidi="th-TH"/>
              </w:rPr>
            </w:pPr>
          </w:p>
        </w:tc>
      </w:tr>
      <w:tr w14:paraId="2E428F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8" w:hRule="atLeast"/>
          <w:jc w:val="center"/>
        </w:trPr>
        <w:tc>
          <w:tcPr>
            <w:tcW w:w="1099" w:type="dxa"/>
            <w:vAlign w:val="center"/>
          </w:tcPr>
          <w:p w14:paraId="6570EA68">
            <w:pPr>
              <w:spacing w:line="400" w:lineRule="exact"/>
              <w:jc w:val="center"/>
              <w:rPr>
                <w:rFonts w:ascii="宋体" w:cs="宋体"/>
                <w:sz w:val="24"/>
                <w:lang w:bidi="th-TH"/>
              </w:rPr>
            </w:pPr>
            <w:r>
              <w:rPr>
                <w:rFonts w:ascii="宋体" w:hAnsi="宋体" w:cs="宋体"/>
                <w:sz w:val="24"/>
                <w:lang w:bidi="th-TH"/>
              </w:rPr>
              <w:t>2</w:t>
            </w:r>
          </w:p>
        </w:tc>
        <w:tc>
          <w:tcPr>
            <w:tcW w:w="2283" w:type="dxa"/>
            <w:vAlign w:val="center"/>
          </w:tcPr>
          <w:p w14:paraId="26C541A8">
            <w:pPr>
              <w:spacing w:line="400" w:lineRule="exact"/>
              <w:jc w:val="center"/>
              <w:rPr>
                <w:rFonts w:ascii="宋体" w:cs="宋体"/>
                <w:sz w:val="24"/>
                <w:lang w:bidi="th-TH"/>
              </w:rPr>
            </w:pPr>
          </w:p>
        </w:tc>
        <w:tc>
          <w:tcPr>
            <w:tcW w:w="1972" w:type="dxa"/>
            <w:vAlign w:val="center"/>
          </w:tcPr>
          <w:p w14:paraId="3436CB9D">
            <w:pPr>
              <w:spacing w:line="400" w:lineRule="exact"/>
              <w:jc w:val="center"/>
              <w:rPr>
                <w:rFonts w:ascii="宋体" w:cs="宋体"/>
                <w:sz w:val="24"/>
                <w:lang w:bidi="th-TH"/>
              </w:rPr>
            </w:pPr>
          </w:p>
        </w:tc>
        <w:tc>
          <w:tcPr>
            <w:tcW w:w="1629" w:type="dxa"/>
            <w:vAlign w:val="center"/>
          </w:tcPr>
          <w:p w14:paraId="28C157EF">
            <w:pPr>
              <w:spacing w:line="400" w:lineRule="exact"/>
              <w:jc w:val="center"/>
              <w:rPr>
                <w:rFonts w:ascii="宋体" w:cs="宋体"/>
                <w:sz w:val="24"/>
                <w:lang w:bidi="th-TH"/>
              </w:rPr>
            </w:pPr>
          </w:p>
        </w:tc>
        <w:tc>
          <w:tcPr>
            <w:tcW w:w="1629" w:type="dxa"/>
            <w:vAlign w:val="center"/>
          </w:tcPr>
          <w:p w14:paraId="6B1C312A">
            <w:pPr>
              <w:spacing w:line="400" w:lineRule="exact"/>
              <w:jc w:val="center"/>
              <w:rPr>
                <w:rFonts w:ascii="宋体" w:cs="宋体"/>
                <w:sz w:val="24"/>
                <w:lang w:bidi="th-TH"/>
              </w:rPr>
            </w:pPr>
          </w:p>
        </w:tc>
        <w:tc>
          <w:tcPr>
            <w:tcW w:w="1070" w:type="dxa"/>
            <w:vAlign w:val="center"/>
          </w:tcPr>
          <w:p w14:paraId="4000A7D1">
            <w:pPr>
              <w:spacing w:line="400" w:lineRule="exact"/>
              <w:jc w:val="center"/>
              <w:rPr>
                <w:rFonts w:ascii="宋体" w:cs="宋体"/>
                <w:sz w:val="24"/>
                <w:lang w:bidi="th-TH"/>
              </w:rPr>
            </w:pPr>
          </w:p>
        </w:tc>
      </w:tr>
      <w:tr w14:paraId="49E0F0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8" w:hRule="atLeast"/>
          <w:jc w:val="center"/>
        </w:trPr>
        <w:tc>
          <w:tcPr>
            <w:tcW w:w="1099" w:type="dxa"/>
            <w:vAlign w:val="center"/>
          </w:tcPr>
          <w:p w14:paraId="2CF8113A">
            <w:pPr>
              <w:spacing w:line="400" w:lineRule="exact"/>
              <w:jc w:val="center"/>
              <w:rPr>
                <w:rFonts w:ascii="宋体" w:cs="宋体"/>
                <w:sz w:val="24"/>
                <w:lang w:bidi="th-TH"/>
              </w:rPr>
            </w:pPr>
            <w:r>
              <w:rPr>
                <w:rFonts w:ascii="宋体" w:hAnsi="宋体" w:cs="宋体"/>
                <w:sz w:val="24"/>
                <w:lang w:bidi="th-TH"/>
              </w:rPr>
              <w:t>3</w:t>
            </w:r>
          </w:p>
        </w:tc>
        <w:tc>
          <w:tcPr>
            <w:tcW w:w="2283" w:type="dxa"/>
            <w:vAlign w:val="center"/>
          </w:tcPr>
          <w:p w14:paraId="10C7DDD5">
            <w:pPr>
              <w:spacing w:line="400" w:lineRule="exact"/>
              <w:jc w:val="center"/>
              <w:rPr>
                <w:rFonts w:ascii="宋体" w:cs="宋体"/>
                <w:sz w:val="24"/>
                <w:lang w:bidi="th-TH"/>
              </w:rPr>
            </w:pPr>
          </w:p>
        </w:tc>
        <w:tc>
          <w:tcPr>
            <w:tcW w:w="1972" w:type="dxa"/>
            <w:vAlign w:val="center"/>
          </w:tcPr>
          <w:p w14:paraId="7ACE6A27">
            <w:pPr>
              <w:spacing w:line="400" w:lineRule="exact"/>
              <w:jc w:val="center"/>
              <w:rPr>
                <w:rFonts w:ascii="宋体" w:cs="宋体"/>
                <w:sz w:val="24"/>
                <w:lang w:bidi="th-TH"/>
              </w:rPr>
            </w:pPr>
          </w:p>
        </w:tc>
        <w:tc>
          <w:tcPr>
            <w:tcW w:w="1629" w:type="dxa"/>
            <w:vAlign w:val="center"/>
          </w:tcPr>
          <w:p w14:paraId="59664016">
            <w:pPr>
              <w:spacing w:line="400" w:lineRule="exact"/>
              <w:jc w:val="center"/>
              <w:rPr>
                <w:rFonts w:ascii="宋体" w:cs="宋体"/>
                <w:sz w:val="24"/>
                <w:lang w:bidi="th-TH"/>
              </w:rPr>
            </w:pPr>
          </w:p>
        </w:tc>
        <w:tc>
          <w:tcPr>
            <w:tcW w:w="1629" w:type="dxa"/>
            <w:vAlign w:val="center"/>
          </w:tcPr>
          <w:p w14:paraId="17702C0E">
            <w:pPr>
              <w:spacing w:line="400" w:lineRule="exact"/>
              <w:jc w:val="center"/>
              <w:rPr>
                <w:rFonts w:ascii="宋体" w:cs="宋体"/>
                <w:sz w:val="24"/>
                <w:lang w:bidi="th-TH"/>
              </w:rPr>
            </w:pPr>
          </w:p>
        </w:tc>
        <w:tc>
          <w:tcPr>
            <w:tcW w:w="1070" w:type="dxa"/>
            <w:vAlign w:val="center"/>
          </w:tcPr>
          <w:p w14:paraId="38ABA416">
            <w:pPr>
              <w:spacing w:line="400" w:lineRule="exact"/>
              <w:jc w:val="center"/>
              <w:rPr>
                <w:rFonts w:ascii="宋体" w:cs="宋体"/>
                <w:sz w:val="24"/>
                <w:lang w:bidi="th-TH"/>
              </w:rPr>
            </w:pPr>
          </w:p>
        </w:tc>
      </w:tr>
      <w:tr w14:paraId="734E59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 w:hRule="atLeast"/>
          <w:jc w:val="center"/>
        </w:trPr>
        <w:tc>
          <w:tcPr>
            <w:tcW w:w="1099" w:type="dxa"/>
            <w:vAlign w:val="center"/>
          </w:tcPr>
          <w:p w14:paraId="33C0B502">
            <w:pPr>
              <w:spacing w:line="400" w:lineRule="exact"/>
              <w:jc w:val="center"/>
              <w:rPr>
                <w:rFonts w:ascii="宋体" w:cs="宋体"/>
                <w:sz w:val="24"/>
                <w:lang w:bidi="th-TH"/>
              </w:rPr>
            </w:pPr>
            <w:r>
              <w:rPr>
                <w:rFonts w:ascii="宋体" w:hAnsi="宋体" w:cs="宋体"/>
                <w:sz w:val="24"/>
                <w:lang w:bidi="th-TH"/>
              </w:rPr>
              <w:t>4</w:t>
            </w:r>
          </w:p>
        </w:tc>
        <w:tc>
          <w:tcPr>
            <w:tcW w:w="2283" w:type="dxa"/>
            <w:vAlign w:val="center"/>
          </w:tcPr>
          <w:p w14:paraId="14D14BF9">
            <w:pPr>
              <w:spacing w:line="400" w:lineRule="exact"/>
              <w:jc w:val="center"/>
              <w:rPr>
                <w:rFonts w:ascii="宋体" w:cs="宋体"/>
                <w:sz w:val="24"/>
                <w:lang w:bidi="th-TH"/>
              </w:rPr>
            </w:pPr>
          </w:p>
        </w:tc>
        <w:tc>
          <w:tcPr>
            <w:tcW w:w="1972" w:type="dxa"/>
            <w:vAlign w:val="center"/>
          </w:tcPr>
          <w:p w14:paraId="7697308B">
            <w:pPr>
              <w:spacing w:line="400" w:lineRule="exact"/>
              <w:jc w:val="center"/>
              <w:rPr>
                <w:rFonts w:ascii="宋体" w:cs="宋体"/>
                <w:sz w:val="24"/>
                <w:lang w:bidi="th-TH"/>
              </w:rPr>
            </w:pPr>
          </w:p>
        </w:tc>
        <w:tc>
          <w:tcPr>
            <w:tcW w:w="1629" w:type="dxa"/>
            <w:vAlign w:val="center"/>
          </w:tcPr>
          <w:p w14:paraId="4CA41BBE">
            <w:pPr>
              <w:spacing w:line="400" w:lineRule="exact"/>
              <w:jc w:val="center"/>
              <w:rPr>
                <w:rFonts w:ascii="宋体" w:cs="宋体"/>
                <w:sz w:val="24"/>
                <w:lang w:bidi="th-TH"/>
              </w:rPr>
            </w:pPr>
          </w:p>
        </w:tc>
        <w:tc>
          <w:tcPr>
            <w:tcW w:w="1629" w:type="dxa"/>
            <w:vAlign w:val="center"/>
          </w:tcPr>
          <w:p w14:paraId="7998FEA0">
            <w:pPr>
              <w:spacing w:line="400" w:lineRule="exact"/>
              <w:jc w:val="center"/>
              <w:rPr>
                <w:rFonts w:ascii="宋体" w:cs="宋体"/>
                <w:sz w:val="24"/>
                <w:lang w:bidi="th-TH"/>
              </w:rPr>
            </w:pPr>
          </w:p>
        </w:tc>
        <w:tc>
          <w:tcPr>
            <w:tcW w:w="1070" w:type="dxa"/>
            <w:vAlign w:val="center"/>
          </w:tcPr>
          <w:p w14:paraId="770533EF">
            <w:pPr>
              <w:spacing w:line="400" w:lineRule="exact"/>
              <w:jc w:val="center"/>
              <w:rPr>
                <w:rFonts w:ascii="宋体" w:cs="宋体"/>
                <w:sz w:val="24"/>
                <w:lang w:bidi="th-TH"/>
              </w:rPr>
            </w:pPr>
          </w:p>
        </w:tc>
      </w:tr>
      <w:tr w14:paraId="5A478E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 w:hRule="atLeast"/>
          <w:jc w:val="center"/>
        </w:trPr>
        <w:tc>
          <w:tcPr>
            <w:tcW w:w="1099" w:type="dxa"/>
            <w:vAlign w:val="center"/>
          </w:tcPr>
          <w:p w14:paraId="2A6F52E3">
            <w:pPr>
              <w:spacing w:line="400" w:lineRule="exact"/>
              <w:jc w:val="center"/>
              <w:rPr>
                <w:rFonts w:ascii="宋体" w:cs="宋体"/>
                <w:sz w:val="24"/>
                <w:lang w:bidi="th-TH"/>
              </w:rPr>
            </w:pPr>
            <w:r>
              <w:rPr>
                <w:rFonts w:ascii="宋体" w:hAnsi="宋体" w:cs="宋体"/>
                <w:sz w:val="24"/>
                <w:lang w:bidi="th-TH"/>
              </w:rPr>
              <w:t>5</w:t>
            </w:r>
          </w:p>
        </w:tc>
        <w:tc>
          <w:tcPr>
            <w:tcW w:w="2283" w:type="dxa"/>
            <w:vAlign w:val="center"/>
          </w:tcPr>
          <w:p w14:paraId="7AD7FA10">
            <w:pPr>
              <w:spacing w:line="400" w:lineRule="exact"/>
              <w:jc w:val="center"/>
              <w:rPr>
                <w:rFonts w:ascii="宋体" w:cs="宋体"/>
                <w:sz w:val="24"/>
                <w:lang w:bidi="th-TH"/>
              </w:rPr>
            </w:pPr>
          </w:p>
        </w:tc>
        <w:tc>
          <w:tcPr>
            <w:tcW w:w="1972" w:type="dxa"/>
            <w:vAlign w:val="center"/>
          </w:tcPr>
          <w:p w14:paraId="50008661">
            <w:pPr>
              <w:spacing w:line="400" w:lineRule="exact"/>
              <w:jc w:val="center"/>
              <w:rPr>
                <w:rFonts w:ascii="宋体" w:cs="宋体"/>
                <w:sz w:val="24"/>
                <w:lang w:bidi="th-TH"/>
              </w:rPr>
            </w:pPr>
          </w:p>
        </w:tc>
        <w:tc>
          <w:tcPr>
            <w:tcW w:w="1629" w:type="dxa"/>
            <w:vAlign w:val="center"/>
          </w:tcPr>
          <w:p w14:paraId="68A1F69C">
            <w:pPr>
              <w:spacing w:line="400" w:lineRule="exact"/>
              <w:jc w:val="center"/>
              <w:rPr>
                <w:rFonts w:ascii="宋体" w:cs="宋体"/>
                <w:sz w:val="24"/>
                <w:lang w:bidi="th-TH"/>
              </w:rPr>
            </w:pPr>
          </w:p>
        </w:tc>
        <w:tc>
          <w:tcPr>
            <w:tcW w:w="1629" w:type="dxa"/>
            <w:vAlign w:val="center"/>
          </w:tcPr>
          <w:p w14:paraId="5C676724">
            <w:pPr>
              <w:spacing w:line="400" w:lineRule="exact"/>
              <w:jc w:val="center"/>
              <w:rPr>
                <w:rFonts w:ascii="宋体" w:cs="宋体"/>
                <w:sz w:val="24"/>
                <w:lang w:bidi="th-TH"/>
              </w:rPr>
            </w:pPr>
          </w:p>
        </w:tc>
        <w:tc>
          <w:tcPr>
            <w:tcW w:w="1070" w:type="dxa"/>
            <w:vAlign w:val="center"/>
          </w:tcPr>
          <w:p w14:paraId="13B6F6AD">
            <w:pPr>
              <w:spacing w:line="400" w:lineRule="exact"/>
              <w:jc w:val="center"/>
              <w:rPr>
                <w:rFonts w:ascii="宋体" w:cs="宋体"/>
                <w:sz w:val="24"/>
                <w:lang w:bidi="th-TH"/>
              </w:rPr>
            </w:pPr>
          </w:p>
        </w:tc>
      </w:tr>
      <w:tr w14:paraId="6A21F8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 w:hRule="atLeast"/>
          <w:jc w:val="center"/>
        </w:trPr>
        <w:tc>
          <w:tcPr>
            <w:tcW w:w="1099" w:type="dxa"/>
            <w:vAlign w:val="center"/>
          </w:tcPr>
          <w:p w14:paraId="1C601A97">
            <w:pPr>
              <w:spacing w:line="400" w:lineRule="exact"/>
              <w:jc w:val="center"/>
              <w:rPr>
                <w:rFonts w:ascii="宋体" w:cs="宋体"/>
                <w:sz w:val="24"/>
                <w:lang w:bidi="th-TH"/>
              </w:rPr>
            </w:pPr>
            <w:r>
              <w:rPr>
                <w:rFonts w:ascii="宋体" w:hAnsi="宋体" w:cs="宋体"/>
                <w:sz w:val="24"/>
                <w:lang w:bidi="th-TH"/>
              </w:rPr>
              <w:t>6</w:t>
            </w:r>
          </w:p>
        </w:tc>
        <w:tc>
          <w:tcPr>
            <w:tcW w:w="2283" w:type="dxa"/>
            <w:vAlign w:val="center"/>
          </w:tcPr>
          <w:p w14:paraId="1EBFA052">
            <w:pPr>
              <w:spacing w:line="400" w:lineRule="exact"/>
              <w:jc w:val="center"/>
              <w:rPr>
                <w:rFonts w:ascii="宋体" w:cs="宋体"/>
                <w:sz w:val="24"/>
                <w:lang w:bidi="th-TH"/>
              </w:rPr>
            </w:pPr>
          </w:p>
        </w:tc>
        <w:tc>
          <w:tcPr>
            <w:tcW w:w="1972" w:type="dxa"/>
            <w:vAlign w:val="center"/>
          </w:tcPr>
          <w:p w14:paraId="0C1523A0">
            <w:pPr>
              <w:spacing w:line="400" w:lineRule="exact"/>
              <w:jc w:val="center"/>
              <w:rPr>
                <w:rFonts w:ascii="宋体" w:cs="宋体"/>
                <w:sz w:val="24"/>
                <w:lang w:bidi="th-TH"/>
              </w:rPr>
            </w:pPr>
          </w:p>
        </w:tc>
        <w:tc>
          <w:tcPr>
            <w:tcW w:w="1629" w:type="dxa"/>
            <w:vAlign w:val="center"/>
          </w:tcPr>
          <w:p w14:paraId="19505772">
            <w:pPr>
              <w:spacing w:line="400" w:lineRule="exact"/>
              <w:jc w:val="center"/>
              <w:rPr>
                <w:rFonts w:ascii="宋体" w:cs="宋体"/>
                <w:sz w:val="24"/>
                <w:lang w:bidi="th-TH"/>
              </w:rPr>
            </w:pPr>
          </w:p>
        </w:tc>
        <w:tc>
          <w:tcPr>
            <w:tcW w:w="1629" w:type="dxa"/>
            <w:vAlign w:val="center"/>
          </w:tcPr>
          <w:p w14:paraId="1BF3045F">
            <w:pPr>
              <w:spacing w:line="400" w:lineRule="exact"/>
              <w:jc w:val="center"/>
              <w:rPr>
                <w:rFonts w:ascii="宋体" w:cs="宋体"/>
                <w:sz w:val="24"/>
                <w:lang w:bidi="th-TH"/>
              </w:rPr>
            </w:pPr>
          </w:p>
        </w:tc>
        <w:tc>
          <w:tcPr>
            <w:tcW w:w="1070" w:type="dxa"/>
            <w:vAlign w:val="center"/>
          </w:tcPr>
          <w:p w14:paraId="3F4E8198">
            <w:pPr>
              <w:spacing w:line="400" w:lineRule="exact"/>
              <w:jc w:val="center"/>
              <w:rPr>
                <w:rFonts w:ascii="宋体" w:cs="宋体"/>
                <w:sz w:val="24"/>
                <w:lang w:bidi="th-TH"/>
              </w:rPr>
            </w:pPr>
          </w:p>
        </w:tc>
      </w:tr>
      <w:tr w14:paraId="3E1679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 w:hRule="atLeast"/>
          <w:jc w:val="center"/>
        </w:trPr>
        <w:tc>
          <w:tcPr>
            <w:tcW w:w="1099" w:type="dxa"/>
            <w:vAlign w:val="center"/>
          </w:tcPr>
          <w:p w14:paraId="71C0CAB9">
            <w:pPr>
              <w:spacing w:line="400" w:lineRule="exact"/>
              <w:jc w:val="center"/>
              <w:rPr>
                <w:rFonts w:ascii="宋体" w:cs="宋体"/>
                <w:sz w:val="24"/>
                <w:lang w:bidi="th-TH"/>
              </w:rPr>
            </w:pPr>
            <w:r>
              <w:rPr>
                <w:rFonts w:ascii="宋体" w:hAnsi="宋体" w:cs="宋体"/>
                <w:sz w:val="24"/>
                <w:lang w:bidi="th-TH"/>
              </w:rPr>
              <w:t>7</w:t>
            </w:r>
          </w:p>
        </w:tc>
        <w:tc>
          <w:tcPr>
            <w:tcW w:w="2283" w:type="dxa"/>
            <w:vAlign w:val="center"/>
          </w:tcPr>
          <w:p w14:paraId="7E4315E1">
            <w:pPr>
              <w:spacing w:line="400" w:lineRule="exact"/>
              <w:jc w:val="center"/>
              <w:rPr>
                <w:rFonts w:ascii="宋体" w:cs="宋体"/>
                <w:sz w:val="24"/>
                <w:lang w:bidi="th-TH"/>
              </w:rPr>
            </w:pPr>
          </w:p>
        </w:tc>
        <w:tc>
          <w:tcPr>
            <w:tcW w:w="1972" w:type="dxa"/>
            <w:vAlign w:val="center"/>
          </w:tcPr>
          <w:p w14:paraId="6D6E6EFD">
            <w:pPr>
              <w:spacing w:line="400" w:lineRule="exact"/>
              <w:jc w:val="center"/>
              <w:rPr>
                <w:rFonts w:ascii="宋体" w:cs="宋体"/>
                <w:sz w:val="24"/>
                <w:lang w:bidi="th-TH"/>
              </w:rPr>
            </w:pPr>
          </w:p>
        </w:tc>
        <w:tc>
          <w:tcPr>
            <w:tcW w:w="1629" w:type="dxa"/>
            <w:vAlign w:val="center"/>
          </w:tcPr>
          <w:p w14:paraId="18AE5B8F">
            <w:pPr>
              <w:spacing w:line="400" w:lineRule="exact"/>
              <w:jc w:val="center"/>
              <w:rPr>
                <w:rFonts w:ascii="宋体" w:cs="宋体"/>
                <w:sz w:val="24"/>
                <w:lang w:bidi="th-TH"/>
              </w:rPr>
            </w:pPr>
          </w:p>
        </w:tc>
        <w:tc>
          <w:tcPr>
            <w:tcW w:w="1629" w:type="dxa"/>
            <w:vAlign w:val="center"/>
          </w:tcPr>
          <w:p w14:paraId="17306325">
            <w:pPr>
              <w:spacing w:line="400" w:lineRule="exact"/>
              <w:jc w:val="center"/>
              <w:rPr>
                <w:rFonts w:ascii="宋体" w:cs="宋体"/>
                <w:sz w:val="24"/>
                <w:lang w:bidi="th-TH"/>
              </w:rPr>
            </w:pPr>
          </w:p>
        </w:tc>
        <w:tc>
          <w:tcPr>
            <w:tcW w:w="1070" w:type="dxa"/>
            <w:vAlign w:val="center"/>
          </w:tcPr>
          <w:p w14:paraId="42598FC5">
            <w:pPr>
              <w:spacing w:line="400" w:lineRule="exact"/>
              <w:jc w:val="center"/>
              <w:rPr>
                <w:rFonts w:ascii="宋体" w:cs="宋体"/>
                <w:sz w:val="24"/>
                <w:lang w:bidi="th-TH"/>
              </w:rPr>
            </w:pPr>
          </w:p>
        </w:tc>
      </w:tr>
      <w:tr w14:paraId="681003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 w:hRule="atLeast"/>
          <w:jc w:val="center"/>
        </w:trPr>
        <w:tc>
          <w:tcPr>
            <w:tcW w:w="1099" w:type="dxa"/>
            <w:vAlign w:val="center"/>
          </w:tcPr>
          <w:p w14:paraId="42CC297B">
            <w:pPr>
              <w:spacing w:line="400" w:lineRule="exact"/>
              <w:jc w:val="center"/>
              <w:rPr>
                <w:rFonts w:ascii="宋体" w:cs="宋体"/>
                <w:sz w:val="24"/>
                <w:lang w:bidi="th-TH"/>
              </w:rPr>
            </w:pPr>
            <w:r>
              <w:rPr>
                <w:rFonts w:ascii="宋体" w:hAnsi="宋体" w:cs="宋体"/>
                <w:sz w:val="24"/>
                <w:lang w:bidi="th-TH"/>
              </w:rPr>
              <w:t>8</w:t>
            </w:r>
          </w:p>
        </w:tc>
        <w:tc>
          <w:tcPr>
            <w:tcW w:w="2283" w:type="dxa"/>
            <w:vAlign w:val="center"/>
          </w:tcPr>
          <w:p w14:paraId="32CC4830">
            <w:pPr>
              <w:spacing w:line="400" w:lineRule="exact"/>
              <w:jc w:val="center"/>
              <w:rPr>
                <w:rFonts w:ascii="宋体" w:cs="宋体"/>
                <w:sz w:val="24"/>
                <w:lang w:bidi="th-TH"/>
              </w:rPr>
            </w:pPr>
          </w:p>
        </w:tc>
        <w:tc>
          <w:tcPr>
            <w:tcW w:w="1972" w:type="dxa"/>
            <w:vAlign w:val="center"/>
          </w:tcPr>
          <w:p w14:paraId="7DDA7BB7">
            <w:pPr>
              <w:spacing w:line="400" w:lineRule="exact"/>
              <w:jc w:val="center"/>
              <w:rPr>
                <w:rFonts w:ascii="宋体" w:cs="宋体"/>
                <w:sz w:val="24"/>
                <w:lang w:bidi="th-TH"/>
              </w:rPr>
            </w:pPr>
          </w:p>
        </w:tc>
        <w:tc>
          <w:tcPr>
            <w:tcW w:w="1629" w:type="dxa"/>
            <w:vAlign w:val="center"/>
          </w:tcPr>
          <w:p w14:paraId="5758C39A">
            <w:pPr>
              <w:spacing w:line="400" w:lineRule="exact"/>
              <w:jc w:val="center"/>
              <w:rPr>
                <w:rFonts w:ascii="宋体" w:cs="宋体"/>
                <w:sz w:val="24"/>
                <w:lang w:bidi="th-TH"/>
              </w:rPr>
            </w:pPr>
          </w:p>
        </w:tc>
        <w:tc>
          <w:tcPr>
            <w:tcW w:w="1629" w:type="dxa"/>
            <w:vAlign w:val="center"/>
          </w:tcPr>
          <w:p w14:paraId="154C113B">
            <w:pPr>
              <w:spacing w:line="400" w:lineRule="exact"/>
              <w:jc w:val="center"/>
              <w:rPr>
                <w:rFonts w:ascii="宋体" w:cs="宋体"/>
                <w:sz w:val="24"/>
                <w:lang w:bidi="th-TH"/>
              </w:rPr>
            </w:pPr>
          </w:p>
        </w:tc>
        <w:tc>
          <w:tcPr>
            <w:tcW w:w="1070" w:type="dxa"/>
            <w:vAlign w:val="center"/>
          </w:tcPr>
          <w:p w14:paraId="7875D20F">
            <w:pPr>
              <w:spacing w:line="400" w:lineRule="exact"/>
              <w:jc w:val="center"/>
              <w:rPr>
                <w:rFonts w:ascii="宋体" w:cs="宋体"/>
                <w:sz w:val="24"/>
                <w:lang w:bidi="th-TH"/>
              </w:rPr>
            </w:pPr>
          </w:p>
        </w:tc>
      </w:tr>
      <w:tr w14:paraId="3A399B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 w:hRule="atLeast"/>
          <w:jc w:val="center"/>
        </w:trPr>
        <w:tc>
          <w:tcPr>
            <w:tcW w:w="1099" w:type="dxa"/>
            <w:vAlign w:val="center"/>
          </w:tcPr>
          <w:p w14:paraId="3FEDC0E4">
            <w:pPr>
              <w:spacing w:line="400" w:lineRule="exact"/>
              <w:jc w:val="center"/>
              <w:rPr>
                <w:rFonts w:ascii="宋体" w:cs="宋体"/>
                <w:sz w:val="24"/>
                <w:lang w:bidi="th-TH"/>
              </w:rPr>
            </w:pPr>
            <w:r>
              <w:rPr>
                <w:rFonts w:ascii="宋体" w:hAnsi="宋体" w:cs="宋体"/>
                <w:sz w:val="24"/>
                <w:lang w:bidi="th-TH"/>
              </w:rPr>
              <w:t>9</w:t>
            </w:r>
          </w:p>
        </w:tc>
        <w:tc>
          <w:tcPr>
            <w:tcW w:w="2283" w:type="dxa"/>
            <w:vAlign w:val="center"/>
          </w:tcPr>
          <w:p w14:paraId="58DD86E6">
            <w:pPr>
              <w:spacing w:line="400" w:lineRule="exact"/>
              <w:jc w:val="center"/>
              <w:rPr>
                <w:rFonts w:ascii="宋体" w:cs="宋体"/>
                <w:sz w:val="24"/>
                <w:lang w:bidi="th-TH"/>
              </w:rPr>
            </w:pPr>
          </w:p>
        </w:tc>
        <w:tc>
          <w:tcPr>
            <w:tcW w:w="1972" w:type="dxa"/>
            <w:vAlign w:val="center"/>
          </w:tcPr>
          <w:p w14:paraId="3704D1B9">
            <w:pPr>
              <w:spacing w:line="400" w:lineRule="exact"/>
              <w:jc w:val="center"/>
              <w:rPr>
                <w:rFonts w:ascii="宋体" w:cs="宋体"/>
                <w:sz w:val="24"/>
                <w:lang w:bidi="th-TH"/>
              </w:rPr>
            </w:pPr>
          </w:p>
        </w:tc>
        <w:tc>
          <w:tcPr>
            <w:tcW w:w="1629" w:type="dxa"/>
            <w:vAlign w:val="center"/>
          </w:tcPr>
          <w:p w14:paraId="1C3C232C">
            <w:pPr>
              <w:spacing w:line="400" w:lineRule="exact"/>
              <w:jc w:val="center"/>
              <w:rPr>
                <w:rFonts w:ascii="宋体" w:cs="宋体"/>
                <w:sz w:val="24"/>
                <w:lang w:bidi="th-TH"/>
              </w:rPr>
            </w:pPr>
          </w:p>
        </w:tc>
        <w:tc>
          <w:tcPr>
            <w:tcW w:w="1629" w:type="dxa"/>
            <w:vAlign w:val="center"/>
          </w:tcPr>
          <w:p w14:paraId="4F1B5944">
            <w:pPr>
              <w:spacing w:line="400" w:lineRule="exact"/>
              <w:jc w:val="center"/>
              <w:rPr>
                <w:rFonts w:ascii="宋体" w:cs="宋体"/>
                <w:sz w:val="24"/>
                <w:lang w:bidi="th-TH"/>
              </w:rPr>
            </w:pPr>
          </w:p>
        </w:tc>
        <w:tc>
          <w:tcPr>
            <w:tcW w:w="1070" w:type="dxa"/>
            <w:vAlign w:val="center"/>
          </w:tcPr>
          <w:p w14:paraId="01045470">
            <w:pPr>
              <w:spacing w:line="400" w:lineRule="exact"/>
              <w:jc w:val="center"/>
              <w:rPr>
                <w:rFonts w:ascii="宋体" w:cs="宋体"/>
                <w:sz w:val="24"/>
                <w:lang w:bidi="th-TH"/>
              </w:rPr>
            </w:pPr>
          </w:p>
        </w:tc>
      </w:tr>
      <w:tr w14:paraId="6A8623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0" w:hRule="atLeast"/>
          <w:jc w:val="center"/>
        </w:trPr>
        <w:tc>
          <w:tcPr>
            <w:tcW w:w="1099" w:type="dxa"/>
            <w:vAlign w:val="center"/>
          </w:tcPr>
          <w:p w14:paraId="20CD7883">
            <w:pPr>
              <w:spacing w:line="400" w:lineRule="exact"/>
              <w:jc w:val="center"/>
              <w:rPr>
                <w:rFonts w:ascii="宋体" w:cs="宋体"/>
                <w:sz w:val="24"/>
                <w:lang w:bidi="th-TH"/>
              </w:rPr>
            </w:pPr>
            <w:r>
              <w:rPr>
                <w:rFonts w:ascii="宋体" w:hAnsi="宋体" w:cs="宋体"/>
                <w:sz w:val="24"/>
                <w:lang w:bidi="th-TH"/>
              </w:rPr>
              <w:t>10</w:t>
            </w:r>
          </w:p>
        </w:tc>
        <w:tc>
          <w:tcPr>
            <w:tcW w:w="2283" w:type="dxa"/>
            <w:vAlign w:val="center"/>
          </w:tcPr>
          <w:p w14:paraId="0E0AE02D">
            <w:pPr>
              <w:spacing w:line="400" w:lineRule="exact"/>
              <w:jc w:val="center"/>
              <w:rPr>
                <w:rFonts w:ascii="宋体" w:cs="宋体"/>
                <w:sz w:val="24"/>
                <w:lang w:bidi="th-TH"/>
              </w:rPr>
            </w:pPr>
          </w:p>
        </w:tc>
        <w:tc>
          <w:tcPr>
            <w:tcW w:w="1972" w:type="dxa"/>
            <w:vAlign w:val="center"/>
          </w:tcPr>
          <w:p w14:paraId="00535F4E">
            <w:pPr>
              <w:spacing w:line="400" w:lineRule="exact"/>
              <w:jc w:val="center"/>
              <w:rPr>
                <w:rFonts w:ascii="宋体" w:cs="宋体"/>
                <w:sz w:val="24"/>
                <w:lang w:bidi="th-TH"/>
              </w:rPr>
            </w:pPr>
          </w:p>
        </w:tc>
        <w:tc>
          <w:tcPr>
            <w:tcW w:w="1629" w:type="dxa"/>
            <w:vAlign w:val="center"/>
          </w:tcPr>
          <w:p w14:paraId="47F28095">
            <w:pPr>
              <w:spacing w:line="400" w:lineRule="exact"/>
              <w:jc w:val="center"/>
              <w:rPr>
                <w:rFonts w:ascii="宋体" w:cs="宋体"/>
                <w:sz w:val="24"/>
                <w:lang w:bidi="th-TH"/>
              </w:rPr>
            </w:pPr>
          </w:p>
        </w:tc>
        <w:tc>
          <w:tcPr>
            <w:tcW w:w="1629" w:type="dxa"/>
            <w:vAlign w:val="center"/>
          </w:tcPr>
          <w:p w14:paraId="18CBC3AA">
            <w:pPr>
              <w:spacing w:line="400" w:lineRule="exact"/>
              <w:jc w:val="center"/>
              <w:rPr>
                <w:rFonts w:ascii="宋体" w:cs="宋体"/>
                <w:sz w:val="24"/>
                <w:lang w:bidi="th-TH"/>
              </w:rPr>
            </w:pPr>
          </w:p>
        </w:tc>
        <w:tc>
          <w:tcPr>
            <w:tcW w:w="1070" w:type="dxa"/>
            <w:vAlign w:val="center"/>
          </w:tcPr>
          <w:p w14:paraId="0BECD5FD">
            <w:pPr>
              <w:spacing w:line="400" w:lineRule="exact"/>
              <w:jc w:val="center"/>
              <w:rPr>
                <w:rFonts w:ascii="宋体" w:cs="宋体"/>
                <w:sz w:val="24"/>
                <w:lang w:bidi="th-TH"/>
              </w:rPr>
            </w:pPr>
          </w:p>
        </w:tc>
      </w:tr>
      <w:tr w14:paraId="57F5C0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9" w:hRule="atLeast"/>
          <w:jc w:val="center"/>
        </w:trPr>
        <w:tc>
          <w:tcPr>
            <w:tcW w:w="1099" w:type="dxa"/>
            <w:vAlign w:val="center"/>
          </w:tcPr>
          <w:p w14:paraId="6BE85589">
            <w:pPr>
              <w:spacing w:line="400" w:lineRule="exact"/>
              <w:jc w:val="center"/>
              <w:rPr>
                <w:rFonts w:ascii="宋体" w:cs="宋体"/>
                <w:sz w:val="24"/>
                <w:lang w:bidi="th-TH"/>
              </w:rPr>
            </w:pPr>
            <w:r>
              <w:rPr>
                <w:rFonts w:ascii="Arial" w:hAnsi="Arial" w:cs="Arial"/>
                <w:sz w:val="24"/>
                <w:lang w:bidi="th-TH"/>
              </w:rPr>
              <w:t>…</w:t>
            </w:r>
          </w:p>
        </w:tc>
        <w:tc>
          <w:tcPr>
            <w:tcW w:w="2283" w:type="dxa"/>
            <w:vAlign w:val="center"/>
          </w:tcPr>
          <w:p w14:paraId="1F642BC6">
            <w:pPr>
              <w:spacing w:line="400" w:lineRule="exact"/>
              <w:jc w:val="center"/>
              <w:rPr>
                <w:rFonts w:ascii="宋体" w:cs="宋体"/>
                <w:sz w:val="24"/>
                <w:lang w:bidi="th-TH"/>
              </w:rPr>
            </w:pPr>
          </w:p>
        </w:tc>
        <w:tc>
          <w:tcPr>
            <w:tcW w:w="1972" w:type="dxa"/>
            <w:vAlign w:val="center"/>
          </w:tcPr>
          <w:p w14:paraId="4035ADBA">
            <w:pPr>
              <w:spacing w:line="400" w:lineRule="exact"/>
              <w:jc w:val="center"/>
              <w:rPr>
                <w:rFonts w:ascii="宋体" w:cs="宋体"/>
                <w:sz w:val="24"/>
                <w:lang w:bidi="th-TH"/>
              </w:rPr>
            </w:pPr>
          </w:p>
        </w:tc>
        <w:tc>
          <w:tcPr>
            <w:tcW w:w="1629" w:type="dxa"/>
            <w:vAlign w:val="center"/>
          </w:tcPr>
          <w:p w14:paraId="1DF02918">
            <w:pPr>
              <w:spacing w:line="400" w:lineRule="exact"/>
              <w:jc w:val="center"/>
              <w:rPr>
                <w:rFonts w:ascii="宋体" w:cs="宋体"/>
                <w:sz w:val="24"/>
                <w:lang w:bidi="th-TH"/>
              </w:rPr>
            </w:pPr>
          </w:p>
        </w:tc>
        <w:tc>
          <w:tcPr>
            <w:tcW w:w="1629" w:type="dxa"/>
            <w:vAlign w:val="center"/>
          </w:tcPr>
          <w:p w14:paraId="0A723DD5">
            <w:pPr>
              <w:spacing w:line="400" w:lineRule="exact"/>
              <w:jc w:val="center"/>
              <w:rPr>
                <w:rFonts w:ascii="宋体" w:cs="宋体"/>
                <w:sz w:val="24"/>
                <w:lang w:bidi="th-TH"/>
              </w:rPr>
            </w:pPr>
          </w:p>
        </w:tc>
        <w:tc>
          <w:tcPr>
            <w:tcW w:w="1070" w:type="dxa"/>
            <w:vAlign w:val="center"/>
          </w:tcPr>
          <w:p w14:paraId="6E334C16">
            <w:pPr>
              <w:spacing w:line="400" w:lineRule="exact"/>
              <w:jc w:val="center"/>
              <w:rPr>
                <w:rFonts w:ascii="宋体" w:cs="宋体"/>
                <w:sz w:val="24"/>
                <w:lang w:bidi="th-TH"/>
              </w:rPr>
            </w:pPr>
          </w:p>
        </w:tc>
      </w:tr>
      <w:tr w14:paraId="6AA2F7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61" w:hRule="atLeast"/>
          <w:jc w:val="center"/>
        </w:trPr>
        <w:tc>
          <w:tcPr>
            <w:tcW w:w="6983" w:type="dxa"/>
            <w:gridSpan w:val="4"/>
            <w:vAlign w:val="center"/>
          </w:tcPr>
          <w:p w14:paraId="53038CBD">
            <w:pPr>
              <w:spacing w:line="400" w:lineRule="exact"/>
              <w:jc w:val="center"/>
              <w:rPr>
                <w:rFonts w:ascii="宋体" w:cs="宋体"/>
                <w:sz w:val="24"/>
                <w:lang w:bidi="th-TH"/>
              </w:rPr>
            </w:pPr>
            <w:r>
              <w:rPr>
                <w:rFonts w:hint="eastAsia" w:ascii="宋体" w:hAnsi="宋体" w:cs="宋体"/>
                <w:sz w:val="24"/>
                <w:lang w:bidi="th-TH"/>
              </w:rPr>
              <w:t>合计</w:t>
            </w:r>
          </w:p>
        </w:tc>
        <w:tc>
          <w:tcPr>
            <w:tcW w:w="1629" w:type="dxa"/>
            <w:vAlign w:val="center"/>
          </w:tcPr>
          <w:p w14:paraId="572EDCBE">
            <w:pPr>
              <w:spacing w:line="400" w:lineRule="exact"/>
              <w:jc w:val="center"/>
              <w:rPr>
                <w:rFonts w:ascii="宋体" w:cs="宋体"/>
                <w:sz w:val="24"/>
                <w:lang w:bidi="th-TH"/>
              </w:rPr>
            </w:pPr>
          </w:p>
        </w:tc>
        <w:tc>
          <w:tcPr>
            <w:tcW w:w="1070" w:type="dxa"/>
            <w:vAlign w:val="center"/>
          </w:tcPr>
          <w:p w14:paraId="3AD77BA0">
            <w:pPr>
              <w:spacing w:line="400" w:lineRule="exact"/>
              <w:jc w:val="center"/>
              <w:rPr>
                <w:rFonts w:ascii="宋体" w:cs="宋体"/>
                <w:sz w:val="24"/>
                <w:lang w:bidi="th-TH"/>
              </w:rPr>
            </w:pPr>
          </w:p>
        </w:tc>
      </w:tr>
    </w:tbl>
    <w:p w14:paraId="78065339">
      <w:pPr>
        <w:spacing w:before="120" w:after="120" w:line="280" w:lineRule="exact"/>
        <w:jc w:val="left"/>
        <w:rPr>
          <w:rFonts w:hint="eastAsia" w:ascii="宋体" w:hAnsi="宋体" w:cs="Angsana New"/>
          <w:szCs w:val="21"/>
          <w:lang w:bidi="th-TH"/>
        </w:rPr>
      </w:pPr>
    </w:p>
    <w:p w14:paraId="1227A9A1">
      <w:pPr>
        <w:spacing w:line="500" w:lineRule="exact"/>
        <w:jc w:val="left"/>
        <w:rPr>
          <w:rFonts w:hint="eastAsia" w:ascii="宋体" w:hAnsi="宋体" w:cs="FangSong_GB2312-Identity-H"/>
          <w:sz w:val="24"/>
        </w:rPr>
      </w:pPr>
    </w:p>
    <w:p w14:paraId="35CE3295">
      <w:pPr>
        <w:spacing w:line="500" w:lineRule="exact"/>
        <w:jc w:val="left"/>
        <w:rPr>
          <w:rFonts w:ascii="宋体" w:cs="FangSong_GB2312-Identity-H"/>
          <w:sz w:val="24"/>
          <w:u w:val="single"/>
        </w:rPr>
      </w:pPr>
      <w:r>
        <w:rPr>
          <w:rFonts w:hint="eastAsia" w:ascii="宋体" w:hAnsi="宋体" w:cs="FangSong_GB2312-Identity-H"/>
          <w:sz w:val="24"/>
        </w:rPr>
        <w:t>投标人</w:t>
      </w:r>
      <w:r>
        <w:rPr>
          <w:rFonts w:ascii="宋体" w:hAnsi="宋体" w:cs="FangSong_GB2312-Identity-H"/>
          <w:sz w:val="24"/>
        </w:rPr>
        <w:t>(</w:t>
      </w:r>
      <w:r>
        <w:rPr>
          <w:rFonts w:hint="eastAsia" w:ascii="宋体" w:hAnsi="宋体" w:cs="FangSong_GB2312-Identity-H"/>
          <w:sz w:val="24"/>
        </w:rPr>
        <w:t>公章</w:t>
      </w:r>
      <w:r>
        <w:rPr>
          <w:rFonts w:ascii="宋体" w:hAnsi="宋体" w:cs="FangSong_GB2312-Identity-H"/>
          <w:sz w:val="24"/>
        </w:rPr>
        <w:t xml:space="preserve">) </w:t>
      </w:r>
      <w:r>
        <w:rPr>
          <w:rFonts w:hint="eastAsia" w:ascii="宋体" w:hAnsi="宋体" w:cs="FangSong_GB2312-Identity-H"/>
          <w:sz w:val="24"/>
        </w:rPr>
        <w:t>：</w:t>
      </w:r>
      <w:r>
        <w:rPr>
          <w:rFonts w:ascii="宋体" w:hAnsi="宋体" w:cs="FangSong_GB2312-Identity-H"/>
          <w:sz w:val="24"/>
          <w:u w:val="single"/>
        </w:rPr>
        <w:t xml:space="preserve">                          </w:t>
      </w:r>
    </w:p>
    <w:p w14:paraId="04451380">
      <w:pPr>
        <w:spacing w:line="500" w:lineRule="exact"/>
        <w:jc w:val="left"/>
        <w:rPr>
          <w:rFonts w:ascii="宋体" w:cs="FangSong_GB2312-Identity-H"/>
          <w:sz w:val="24"/>
          <w:u w:val="single"/>
        </w:rPr>
      </w:pPr>
      <w:r>
        <w:rPr>
          <w:rFonts w:hint="eastAsia" w:ascii="宋体" w:hAnsi="宋体" w:cs="FangSong_GB2312-Identity-H"/>
          <w:sz w:val="24"/>
        </w:rPr>
        <w:t>法定代表人或授权</w:t>
      </w:r>
      <w:r>
        <w:rPr>
          <w:rFonts w:hint="eastAsia" w:ascii="宋体" w:hAnsi="宋体" w:cs="宋体"/>
          <w:szCs w:val="21"/>
        </w:rPr>
        <w:t>代理人</w:t>
      </w:r>
      <w:r>
        <w:rPr>
          <w:rFonts w:hint="eastAsia" w:ascii="宋体" w:hAnsi="宋体" w:cs="FangSong_GB2312-Identity-H"/>
          <w:sz w:val="24"/>
        </w:rPr>
        <w:t>（签名或盖章）：</w:t>
      </w:r>
      <w:r>
        <w:rPr>
          <w:rFonts w:ascii="宋体" w:hAnsi="宋体" w:cs="FangSong_GB2312-Identity-H"/>
          <w:sz w:val="24"/>
          <w:u w:val="single"/>
        </w:rPr>
        <w:t xml:space="preserve">                       </w:t>
      </w:r>
    </w:p>
    <w:p w14:paraId="62D8F93C">
      <w:pPr>
        <w:spacing w:before="120" w:after="120" w:line="280" w:lineRule="exact"/>
        <w:jc w:val="left"/>
        <w:rPr>
          <w:rFonts w:hint="eastAsia" w:ascii="宋体" w:hAnsi="宋体" w:cs="Angsana New"/>
          <w:szCs w:val="21"/>
          <w:u w:val="single"/>
          <w:lang w:bidi="th-TH"/>
        </w:rPr>
      </w:pPr>
      <w:r>
        <w:rPr>
          <w:rFonts w:hint="eastAsia" w:ascii="宋体" w:hAnsi="宋体" w:cs="FangSong_GB2312-Identity-H"/>
          <w:sz w:val="24"/>
          <w:szCs w:val="20"/>
        </w:rPr>
        <w:t>日期：</w:t>
      </w:r>
      <w:r>
        <w:rPr>
          <w:rFonts w:ascii="宋体" w:hAnsi="宋体" w:cs="FangSong_GB2312-Identity-H"/>
          <w:sz w:val="24"/>
          <w:szCs w:val="20"/>
        </w:rPr>
        <w:t xml:space="preserve"> </w:t>
      </w:r>
      <w:r>
        <w:rPr>
          <w:rFonts w:ascii="宋体" w:hAnsi="宋体" w:cs="FangSong_GB2312-Identity-H"/>
          <w:sz w:val="24"/>
          <w:szCs w:val="20"/>
          <w:u w:val="single"/>
        </w:rPr>
        <w:t xml:space="preserve">         </w:t>
      </w:r>
      <w:r>
        <w:rPr>
          <w:rFonts w:hint="eastAsia" w:ascii="宋体" w:hAnsi="宋体" w:cs="FangSong_GB2312-Identity-H"/>
          <w:sz w:val="24"/>
          <w:szCs w:val="20"/>
        </w:rPr>
        <w:t>年</w:t>
      </w:r>
      <w:r>
        <w:rPr>
          <w:rFonts w:ascii="宋体" w:hAnsi="宋体" w:cs="FangSong_GB2312-Identity-H"/>
          <w:sz w:val="24"/>
          <w:szCs w:val="20"/>
          <w:u w:val="single"/>
        </w:rPr>
        <w:t xml:space="preserve">        </w:t>
      </w:r>
      <w:r>
        <w:rPr>
          <w:rFonts w:hint="eastAsia" w:ascii="宋体" w:hAnsi="宋体" w:cs="FangSong_GB2312-Identity-H"/>
          <w:sz w:val="24"/>
          <w:szCs w:val="20"/>
        </w:rPr>
        <w:t>月</w:t>
      </w:r>
      <w:r>
        <w:rPr>
          <w:rFonts w:ascii="宋体" w:hAnsi="宋体" w:cs="FangSong_GB2312-Identity-H"/>
          <w:sz w:val="24"/>
          <w:szCs w:val="20"/>
          <w:u w:val="single"/>
        </w:rPr>
        <w:t xml:space="preserve">         </w:t>
      </w:r>
      <w:r>
        <w:rPr>
          <w:rFonts w:hint="eastAsia" w:ascii="宋体" w:hAnsi="宋体" w:cs="FangSong_GB2312-Identity-H"/>
          <w:sz w:val="24"/>
          <w:szCs w:val="20"/>
        </w:rPr>
        <w:t>日</w:t>
      </w:r>
    </w:p>
    <w:p w14:paraId="603DA23A">
      <w:pPr>
        <w:spacing w:before="120" w:after="120" w:line="280" w:lineRule="exact"/>
        <w:jc w:val="left"/>
        <w:rPr>
          <w:rFonts w:hint="eastAsia" w:hAnsi="宋体" w:cs="Angsana New"/>
          <w:szCs w:val="21"/>
          <w:lang w:bidi="th-TH"/>
        </w:rPr>
        <w:sectPr>
          <w:headerReference r:id="rId5" w:type="default"/>
          <w:footerReference r:id="rId6" w:type="default"/>
          <w:footerReference r:id="rId7" w:type="even"/>
          <w:pgSz w:w="11906" w:h="16838"/>
          <w:pgMar w:top="1191" w:right="1020" w:bottom="1191" w:left="1020" w:header="851" w:footer="992" w:gutter="0"/>
          <w:cols w:space="720" w:num="1"/>
          <w:docGrid w:linePitch="360" w:charSpace="0"/>
        </w:sectPr>
      </w:pPr>
    </w:p>
    <w:p w14:paraId="1B5E0679">
      <w:pPr>
        <w:spacing w:line="500" w:lineRule="exact"/>
        <w:rPr>
          <w:rFonts w:hint="eastAsia" w:ascii="宋体" w:hAnsi="宋体" w:cs="FangSong_GB2312-Identity-H"/>
          <w:b/>
          <w:bCs/>
          <w:sz w:val="24"/>
        </w:rPr>
      </w:pPr>
      <w:r>
        <w:rPr>
          <w:rFonts w:hint="eastAsia" w:ascii="宋体" w:hAnsi="宋体" w:cs="FangSong_GB2312-Identity-H"/>
          <w:sz w:val="24"/>
        </w:rPr>
        <w:t>格式八：</w:t>
      </w:r>
    </w:p>
    <w:p w14:paraId="2937E1C6">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黑体" w:hAnsi="宋体" w:eastAsia="黑体" w:cs="黑体"/>
          <w:b/>
          <w:color w:val="000000"/>
          <w:kern w:val="0"/>
          <w:sz w:val="32"/>
          <w:szCs w:val="32"/>
          <w:highlight w:val="none"/>
          <w:lang w:val="en-US" w:eastAsia="zh-CN" w:bidi="ar-SA"/>
        </w:rPr>
        <w:t>商务要求响应及偏离表</w:t>
      </w:r>
    </w:p>
    <w:tbl>
      <w:tblPr>
        <w:tblStyle w:val="35"/>
        <w:tblW w:w="8520" w:type="dxa"/>
        <w:jc w:val="center"/>
        <w:tblCellSpacing w:w="0" w:type="dxa"/>
        <w:tblLayout w:type="fixed"/>
        <w:tblCellMar>
          <w:top w:w="0" w:type="dxa"/>
          <w:left w:w="108" w:type="dxa"/>
          <w:bottom w:w="0" w:type="dxa"/>
          <w:right w:w="108" w:type="dxa"/>
        </w:tblCellMar>
      </w:tblPr>
      <w:tblGrid>
        <w:gridCol w:w="661"/>
        <w:gridCol w:w="2469"/>
        <w:gridCol w:w="2645"/>
        <w:gridCol w:w="1244"/>
        <w:gridCol w:w="1501"/>
      </w:tblGrid>
      <w:tr w14:paraId="41983AF4">
        <w:tblPrEx>
          <w:tblCellMar>
            <w:top w:w="0" w:type="dxa"/>
            <w:left w:w="108" w:type="dxa"/>
            <w:bottom w:w="0" w:type="dxa"/>
            <w:right w:w="108" w:type="dxa"/>
          </w:tblCellMar>
        </w:tblPrEx>
        <w:trPr>
          <w:tblCellSpacing w:w="0" w:type="dxa"/>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9174">
            <w:pPr>
              <w:widowControl w:val="0"/>
              <w:spacing w:beforeAutospacing="0" w:afterAutospacing="0"/>
              <w:jc w:val="center"/>
              <w:rPr>
                <w:rFonts w:ascii="Calibri" w:hAnsi="Calibri" w:eastAsia="宋体" w:cs="Times New Roman"/>
                <w:kern w:val="0"/>
                <w:sz w:val="24"/>
                <w:szCs w:val="24"/>
                <w:highlight w:val="none"/>
                <w:lang w:val="en-US" w:eastAsia="zh-CN" w:bidi="ar-SA"/>
              </w:rPr>
            </w:pPr>
            <w:bookmarkStart w:id="112" w:name="_Hlt26671343"/>
            <w:bookmarkStart w:id="113" w:name="_Hlt26671372"/>
            <w:bookmarkStart w:id="114" w:name="_Hlt26609391"/>
            <w:bookmarkStart w:id="115" w:name="_Hlt26580838"/>
            <w:bookmarkStart w:id="116" w:name="_Hlt26955064"/>
            <w:bookmarkStart w:id="117" w:name="_Hlt26782999"/>
            <w:bookmarkStart w:id="118" w:name="_Hlt26955056"/>
            <w:bookmarkStart w:id="119" w:name="_Hlt24879081"/>
            <w:r>
              <w:rPr>
                <w:rFonts w:hint="eastAsia" w:ascii="宋体" w:hAnsi="宋体" w:eastAsia="宋体" w:cs="宋体"/>
                <w:color w:val="000000"/>
                <w:kern w:val="0"/>
                <w:sz w:val="24"/>
                <w:szCs w:val="24"/>
                <w:highlight w:val="none"/>
                <w:lang w:val="en-US" w:eastAsia="zh-CN" w:bidi="ar-SA"/>
              </w:rPr>
              <w:t>序号</w:t>
            </w:r>
          </w:p>
          <w:bookmarkEnd w:id="112"/>
          <w:bookmarkEnd w:id="113"/>
          <w:bookmarkEnd w:id="114"/>
          <w:bookmarkEnd w:id="115"/>
          <w:bookmarkEnd w:id="116"/>
          <w:bookmarkEnd w:id="117"/>
          <w:bookmarkEnd w:id="118"/>
          <w:bookmarkEnd w:id="119"/>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6234">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招标文件要求</w:t>
            </w:r>
          </w:p>
        </w:tc>
        <w:tc>
          <w:tcPr>
            <w:tcW w:w="2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E2C3">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投标响应情况</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B165">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超出、符合或偏离</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5564C">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证明</w:t>
            </w:r>
          </w:p>
          <w:p w14:paraId="27626A0F">
            <w:pPr>
              <w:widowControl w:val="0"/>
              <w:spacing w:beforeAutospacing="0" w:afterAutospacing="0"/>
              <w:jc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材料</w:t>
            </w:r>
          </w:p>
          <w:p w14:paraId="07127613">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（若有）</w:t>
            </w:r>
          </w:p>
        </w:tc>
      </w:tr>
      <w:tr w14:paraId="62547FD9">
        <w:tblPrEx>
          <w:tblCellMar>
            <w:top w:w="0" w:type="dxa"/>
            <w:left w:w="108" w:type="dxa"/>
            <w:bottom w:w="0" w:type="dxa"/>
            <w:right w:w="108" w:type="dxa"/>
          </w:tblCellMar>
        </w:tblPrEx>
        <w:trPr>
          <w:trHeight w:val="640" w:hRule="atLeast"/>
          <w:tblCellSpacing w:w="0" w:type="dxa"/>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7343">
            <w:pPr>
              <w:widowControl w:val="0"/>
              <w:spacing w:beforeAutospacing="0" w:afterAutospacing="0"/>
              <w:jc w:val="center"/>
              <w:rPr>
                <w:rFonts w:hint="eastAsia" w:ascii="Calibri" w:hAnsi="Calibri" w:eastAsia="宋体" w:cs="Times New Roman"/>
                <w:kern w:val="0"/>
                <w:sz w:val="24"/>
                <w:szCs w:val="24"/>
                <w:highlight w:val="none"/>
                <w:lang w:val="en-US" w:eastAsia="zh-CN" w:bidi="ar-SA"/>
              </w:rPr>
            </w:pPr>
            <w:r>
              <w:rPr>
                <w:rFonts w:hint="eastAsia" w:ascii="Calibri" w:hAnsi="Calibri" w:eastAsia="宋体" w:cs="Times New Roman"/>
                <w:kern w:val="0"/>
                <w:sz w:val="24"/>
                <w:szCs w:val="24"/>
                <w:highlight w:val="none"/>
                <w:lang w:val="en-US" w:eastAsia="zh-CN" w:bidi="ar-SA"/>
              </w:rPr>
              <w:t>1</w:t>
            </w:r>
          </w:p>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00662">
            <w:pPr>
              <w:widowControl w:val="0"/>
              <w:spacing w:beforeAutospacing="0" w:afterAutospacing="0"/>
              <w:jc w:val="center"/>
              <w:rPr>
                <w:rFonts w:hint="default"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r>
              <w:rPr>
                <w:rFonts w:hint="eastAsia" w:ascii="Calibri" w:hAnsi="Calibri" w:eastAsia="宋体" w:cs="Times New Roman"/>
                <w:kern w:val="0"/>
                <w:sz w:val="24"/>
                <w:szCs w:val="24"/>
                <w:highlight w:val="none"/>
                <w:lang w:val="en-US" w:eastAsia="zh-CN" w:bidi="ar-SA"/>
              </w:rPr>
              <w:t>合同履行期限</w:t>
            </w:r>
          </w:p>
        </w:tc>
        <w:tc>
          <w:tcPr>
            <w:tcW w:w="2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BD93">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EE4BC">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0B98">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r>
      <w:tr w14:paraId="71131C2C">
        <w:tblPrEx>
          <w:tblCellMar>
            <w:top w:w="0" w:type="dxa"/>
            <w:left w:w="108" w:type="dxa"/>
            <w:bottom w:w="0" w:type="dxa"/>
            <w:right w:w="108" w:type="dxa"/>
          </w:tblCellMar>
        </w:tblPrEx>
        <w:trPr>
          <w:trHeight w:val="640" w:hRule="atLeast"/>
          <w:tblCellSpacing w:w="0" w:type="dxa"/>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D40B7">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Calibri" w:hAnsi="Calibri" w:eastAsia="宋体" w:cs="Times New Roman"/>
                <w:kern w:val="0"/>
                <w:sz w:val="24"/>
                <w:szCs w:val="24"/>
                <w:highlight w:val="none"/>
                <w:lang w:val="en-US" w:eastAsia="zh-CN" w:bidi="ar-SA"/>
              </w:rPr>
              <w:t>2</w:t>
            </w:r>
          </w:p>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3336">
            <w:pPr>
              <w:widowControl w:val="0"/>
              <w:spacing w:beforeAutospacing="0" w:afterAutospacing="0"/>
              <w:jc w:val="center"/>
              <w:rPr>
                <w:rFonts w:hint="eastAsia"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r>
              <w:rPr>
                <w:rFonts w:hint="eastAsia" w:ascii="Calibri" w:hAnsi="Calibri" w:eastAsia="宋体" w:cs="Times New Roman"/>
                <w:kern w:val="0"/>
                <w:sz w:val="24"/>
                <w:szCs w:val="24"/>
                <w:highlight w:val="none"/>
                <w:lang w:val="en-US" w:eastAsia="zh-CN" w:bidi="ar-SA"/>
              </w:rPr>
              <w:t>付款方式</w:t>
            </w:r>
          </w:p>
        </w:tc>
        <w:tc>
          <w:tcPr>
            <w:tcW w:w="2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CF03">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7E368">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7859">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r>
      <w:tr w14:paraId="38207842">
        <w:tblPrEx>
          <w:tblCellMar>
            <w:top w:w="0" w:type="dxa"/>
            <w:left w:w="108" w:type="dxa"/>
            <w:bottom w:w="0" w:type="dxa"/>
            <w:right w:w="108" w:type="dxa"/>
          </w:tblCellMar>
        </w:tblPrEx>
        <w:trPr>
          <w:trHeight w:val="640" w:hRule="atLeast"/>
          <w:tblCellSpacing w:w="0" w:type="dxa"/>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A9B7D">
            <w:pPr>
              <w:widowControl w:val="0"/>
              <w:spacing w:beforeAutospacing="0" w:afterAutospacing="0"/>
              <w:jc w:val="center"/>
              <w:rPr>
                <w:rFonts w:hint="default" w:ascii="Calibri" w:hAnsi="Calibri" w:eastAsia="宋体" w:cs="Times New Roman"/>
                <w:kern w:val="0"/>
                <w:sz w:val="24"/>
                <w:szCs w:val="24"/>
                <w:highlight w:val="none"/>
                <w:lang w:val="en-US" w:eastAsia="zh-CN" w:bidi="ar-SA"/>
              </w:rPr>
            </w:pPr>
            <w:r>
              <w:rPr>
                <w:rFonts w:hint="eastAsia" w:ascii="Calibri" w:hAnsi="Calibri" w:eastAsia="宋体" w:cs="Times New Roman"/>
                <w:kern w:val="0"/>
                <w:sz w:val="24"/>
                <w:szCs w:val="24"/>
                <w:highlight w:val="none"/>
                <w:lang w:val="en-US" w:eastAsia="zh-CN" w:bidi="ar-SA"/>
              </w:rPr>
              <w:t>3</w:t>
            </w:r>
          </w:p>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99A5">
            <w:pPr>
              <w:widowControl w:val="0"/>
              <w:spacing w:beforeAutospacing="0" w:afterAutospacing="0"/>
              <w:jc w:val="center"/>
              <w:rPr>
                <w:rFonts w:hint="eastAsia" w:ascii="Calibri" w:hAnsi="Calibri" w:eastAsia="宋体" w:cs="Times New Roman"/>
                <w:kern w:val="0"/>
                <w:sz w:val="24"/>
                <w:szCs w:val="24"/>
                <w:highlight w:val="none"/>
                <w:lang w:val="en-US" w:eastAsia="zh-CN" w:bidi="ar-SA"/>
              </w:rPr>
            </w:pPr>
            <w:r>
              <w:rPr>
                <w:rFonts w:hint="eastAsia" w:ascii="Calibri" w:hAnsi="Calibri" w:eastAsia="宋体" w:cs="Times New Roman"/>
                <w:kern w:val="0"/>
                <w:sz w:val="24"/>
                <w:szCs w:val="24"/>
                <w:highlight w:val="none"/>
                <w:lang w:val="en-US" w:eastAsia="zh-CN" w:bidi="ar-SA"/>
              </w:rPr>
              <w:t>投标有效期</w:t>
            </w:r>
          </w:p>
        </w:tc>
        <w:tc>
          <w:tcPr>
            <w:tcW w:w="2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4C122">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9354">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3AF76">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r>
      <w:tr w14:paraId="37E06C0A">
        <w:tblPrEx>
          <w:tblCellMar>
            <w:top w:w="0" w:type="dxa"/>
            <w:left w:w="108" w:type="dxa"/>
            <w:bottom w:w="0" w:type="dxa"/>
            <w:right w:w="108" w:type="dxa"/>
          </w:tblCellMar>
        </w:tblPrEx>
        <w:trPr>
          <w:trHeight w:val="640" w:hRule="atLeast"/>
          <w:tblCellSpacing w:w="0" w:type="dxa"/>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07472">
            <w:pPr>
              <w:widowControl w:val="0"/>
              <w:spacing w:beforeAutospacing="0" w:afterAutospacing="0"/>
              <w:jc w:val="center"/>
              <w:rPr>
                <w:rFonts w:hint="eastAsia" w:ascii="Calibri" w:hAnsi="Calibri" w:eastAsia="宋体" w:cs="Times New Roman"/>
                <w:kern w:val="0"/>
                <w:sz w:val="24"/>
                <w:szCs w:val="24"/>
                <w:highlight w:val="none"/>
                <w:lang w:val="en-US" w:eastAsia="zh-CN" w:bidi="ar-SA"/>
              </w:rPr>
            </w:pPr>
          </w:p>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C8784">
            <w:pPr>
              <w:widowControl w:val="0"/>
              <w:spacing w:beforeAutospacing="0" w:afterAutospacing="0"/>
              <w:jc w:val="center"/>
              <w:rPr>
                <w:rFonts w:hint="eastAsia" w:ascii="Calibri" w:hAnsi="Calibri" w:eastAsia="宋体" w:cs="Times New Roman"/>
                <w:kern w:val="0"/>
                <w:sz w:val="24"/>
                <w:szCs w:val="24"/>
                <w:highlight w:val="none"/>
                <w:lang w:val="en-US" w:eastAsia="zh-CN" w:bidi="ar-SA"/>
              </w:rPr>
            </w:pPr>
            <w:r>
              <w:rPr>
                <w:rFonts w:hint="eastAsia" w:ascii="Calibri" w:hAnsi="Calibri" w:eastAsia="宋体" w:cs="Times New Roman"/>
                <w:kern w:val="0"/>
                <w:sz w:val="24"/>
                <w:szCs w:val="24"/>
                <w:highlight w:val="none"/>
                <w:lang w:val="en-US" w:eastAsia="zh-CN" w:bidi="ar-SA"/>
              </w:rPr>
              <w:t>……</w:t>
            </w:r>
          </w:p>
        </w:tc>
        <w:tc>
          <w:tcPr>
            <w:tcW w:w="2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2DCF">
            <w:pPr>
              <w:widowControl w:val="0"/>
              <w:spacing w:beforeAutospacing="0" w:afterAutospacing="0"/>
              <w:jc w:val="center"/>
              <w:rPr>
                <w:rFonts w:ascii="Calibri" w:hAnsi="Calibri" w:eastAsia="宋体" w:cs="Times New Roman"/>
                <w:kern w:val="0"/>
                <w:sz w:val="24"/>
                <w:szCs w:val="24"/>
                <w:highlight w:val="none"/>
                <w:lang w:val="en-US" w:eastAsia="zh-CN" w:bidi="ar-S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74011">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91310">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r>
      <w:tr w14:paraId="1649B01C">
        <w:tblPrEx>
          <w:tblCellMar>
            <w:top w:w="0" w:type="dxa"/>
            <w:left w:w="108" w:type="dxa"/>
            <w:bottom w:w="0" w:type="dxa"/>
            <w:right w:w="108" w:type="dxa"/>
          </w:tblCellMar>
        </w:tblPrEx>
        <w:trPr>
          <w:trHeight w:val="640" w:hRule="atLeast"/>
          <w:tblCellSpacing w:w="0" w:type="dxa"/>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12B5E">
            <w:pPr>
              <w:widowControl w:val="0"/>
              <w:spacing w:beforeAutospacing="0" w:afterAutospacing="0"/>
              <w:jc w:val="center"/>
              <w:rPr>
                <w:rFonts w:hint="eastAsia" w:ascii="Calibri" w:hAnsi="Calibri" w:eastAsia="宋体" w:cs="Times New Roman"/>
                <w:kern w:val="0"/>
                <w:sz w:val="24"/>
                <w:szCs w:val="24"/>
                <w:highlight w:val="none"/>
                <w:lang w:val="en-US" w:eastAsia="zh-CN" w:bidi="ar-SA"/>
              </w:rPr>
            </w:pPr>
          </w:p>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F250D">
            <w:pPr>
              <w:widowControl w:val="0"/>
              <w:spacing w:beforeAutospacing="0" w:afterAutospacing="0"/>
              <w:jc w:val="center"/>
              <w:rPr>
                <w:rFonts w:ascii="Calibri" w:hAnsi="Calibri" w:eastAsia="宋体" w:cs="Times New Roman"/>
                <w:kern w:val="0"/>
                <w:sz w:val="24"/>
                <w:szCs w:val="24"/>
                <w:highlight w:val="none"/>
                <w:lang w:val="en-US" w:eastAsia="zh-CN" w:bidi="ar-SA"/>
              </w:rPr>
            </w:pPr>
          </w:p>
        </w:tc>
        <w:tc>
          <w:tcPr>
            <w:tcW w:w="2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0118">
            <w:pPr>
              <w:widowControl w:val="0"/>
              <w:spacing w:beforeAutospacing="0" w:afterAutospacing="0"/>
              <w:jc w:val="center"/>
              <w:rPr>
                <w:rFonts w:ascii="Calibri" w:hAnsi="Calibri" w:eastAsia="宋体" w:cs="Times New Roman"/>
                <w:kern w:val="0"/>
                <w:sz w:val="24"/>
                <w:szCs w:val="24"/>
                <w:highlight w:val="none"/>
                <w:lang w:val="en-US" w:eastAsia="zh-CN" w:bidi="ar-S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10CD6">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CDC2">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r>
      <w:tr w14:paraId="4C46CBE9">
        <w:tblPrEx>
          <w:tblCellMar>
            <w:top w:w="0" w:type="dxa"/>
            <w:left w:w="108" w:type="dxa"/>
            <w:bottom w:w="0" w:type="dxa"/>
            <w:right w:w="108" w:type="dxa"/>
          </w:tblCellMar>
        </w:tblPrEx>
        <w:trPr>
          <w:trHeight w:val="640" w:hRule="atLeast"/>
          <w:tblCellSpacing w:w="0" w:type="dxa"/>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C2130">
            <w:pPr>
              <w:widowControl w:val="0"/>
              <w:spacing w:beforeAutospacing="0" w:afterAutospacing="0"/>
              <w:jc w:val="center"/>
              <w:rPr>
                <w:rFonts w:ascii="Calibri" w:hAnsi="Calibri" w:eastAsia="宋体" w:cs="Times New Roman"/>
                <w:kern w:val="0"/>
                <w:sz w:val="24"/>
                <w:szCs w:val="24"/>
                <w:highlight w:val="none"/>
                <w:lang w:val="en-US" w:eastAsia="zh-CN" w:bidi="ar-SA"/>
              </w:rPr>
            </w:pPr>
          </w:p>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52399">
            <w:pPr>
              <w:widowControl w:val="0"/>
              <w:spacing w:beforeAutospacing="0" w:afterAutospacing="0"/>
              <w:jc w:val="center"/>
              <w:rPr>
                <w:rFonts w:hint="default" w:ascii="Calibri" w:hAnsi="Calibri" w:eastAsia="宋体" w:cs="Times New Roman"/>
                <w:kern w:val="0"/>
                <w:sz w:val="24"/>
                <w:szCs w:val="24"/>
                <w:highlight w:val="none"/>
                <w:lang w:val="en-US" w:eastAsia="zh-CN" w:bidi="ar-SA"/>
              </w:rPr>
            </w:pPr>
          </w:p>
        </w:tc>
        <w:tc>
          <w:tcPr>
            <w:tcW w:w="2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E612">
            <w:pPr>
              <w:widowControl w:val="0"/>
              <w:spacing w:beforeAutospacing="0" w:afterAutospacing="0"/>
              <w:jc w:val="center"/>
              <w:rPr>
                <w:rFonts w:ascii="Calibri" w:hAnsi="Calibri" w:eastAsia="宋体" w:cs="Times New Roman"/>
                <w:kern w:val="0"/>
                <w:sz w:val="24"/>
                <w:szCs w:val="24"/>
                <w:highlight w:val="none"/>
                <w:lang w:val="en-US" w:eastAsia="zh-CN" w:bidi="ar-S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2BB81">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72123">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r>
      <w:tr w14:paraId="1AD28F79">
        <w:tblPrEx>
          <w:tblCellMar>
            <w:top w:w="0" w:type="dxa"/>
            <w:left w:w="108" w:type="dxa"/>
            <w:bottom w:w="0" w:type="dxa"/>
            <w:right w:w="108" w:type="dxa"/>
          </w:tblCellMar>
        </w:tblPrEx>
        <w:trPr>
          <w:trHeight w:val="640" w:hRule="atLeast"/>
          <w:tblCellSpacing w:w="0" w:type="dxa"/>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F8B3F">
            <w:pPr>
              <w:widowControl w:val="0"/>
              <w:spacing w:beforeAutospacing="0" w:afterAutospacing="0"/>
              <w:jc w:val="center"/>
              <w:rPr>
                <w:rFonts w:hint="eastAsia" w:ascii="Calibri" w:hAnsi="Calibri" w:eastAsia="宋体" w:cs="Times New Roman"/>
                <w:kern w:val="0"/>
                <w:sz w:val="24"/>
                <w:szCs w:val="24"/>
                <w:highlight w:val="none"/>
                <w:lang w:val="en-US" w:eastAsia="zh-CN" w:bidi="ar-SA"/>
              </w:rPr>
            </w:pPr>
          </w:p>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CDC77">
            <w:pPr>
              <w:widowControl w:val="0"/>
              <w:spacing w:beforeAutospacing="0" w:afterAutospacing="0"/>
              <w:jc w:val="center"/>
              <w:rPr>
                <w:rFonts w:ascii="Calibri" w:hAnsi="Calibri" w:eastAsia="宋体" w:cs="Times New Roman"/>
                <w:kern w:val="0"/>
                <w:sz w:val="24"/>
                <w:szCs w:val="24"/>
                <w:highlight w:val="none"/>
                <w:lang w:val="en-US" w:eastAsia="zh-CN" w:bidi="ar-SA"/>
              </w:rPr>
            </w:pPr>
          </w:p>
        </w:tc>
        <w:tc>
          <w:tcPr>
            <w:tcW w:w="2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05B54">
            <w:pPr>
              <w:widowControl w:val="0"/>
              <w:spacing w:beforeAutospacing="0" w:afterAutospacing="0"/>
              <w:jc w:val="center"/>
              <w:rPr>
                <w:rFonts w:ascii="Calibri" w:hAnsi="Calibri" w:eastAsia="宋体" w:cs="Times New Roman"/>
                <w:kern w:val="0"/>
                <w:sz w:val="24"/>
                <w:szCs w:val="24"/>
                <w:highlight w:val="none"/>
                <w:lang w:val="en-US" w:eastAsia="zh-CN" w:bidi="ar-SA"/>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4CE64">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C395F">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r>
      <w:tr w14:paraId="3A13CA4F">
        <w:tblPrEx>
          <w:tblCellMar>
            <w:top w:w="0" w:type="dxa"/>
            <w:left w:w="108" w:type="dxa"/>
            <w:bottom w:w="0" w:type="dxa"/>
            <w:right w:w="108" w:type="dxa"/>
          </w:tblCellMar>
        </w:tblPrEx>
        <w:trPr>
          <w:trHeight w:val="640" w:hRule="atLeast"/>
          <w:tblCellSpacing w:w="0" w:type="dxa"/>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95AB7">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CEF1">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2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25450">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159AF">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CB8C6">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r>
    </w:tbl>
    <w:p w14:paraId="67A7E191">
      <w:pPr>
        <w:widowControl w:val="0"/>
        <w:spacing w:beforeAutospacing="0" w:afterAutospacing="0"/>
        <w:jc w:val="both"/>
        <w:rPr>
          <w:rFonts w:hint="eastAsia" w:ascii="宋体" w:hAnsi="宋体" w:eastAsia="宋体" w:cs="宋体"/>
          <w:color w:val="000000"/>
          <w:kern w:val="0"/>
          <w:sz w:val="24"/>
          <w:szCs w:val="24"/>
          <w:highlight w:val="none"/>
          <w:lang w:val="en-US" w:eastAsia="zh-CN" w:bidi="ar-SA"/>
        </w:rPr>
      </w:pPr>
    </w:p>
    <w:p w14:paraId="4F035C36">
      <w:pPr>
        <w:widowControl w:val="0"/>
        <w:spacing w:beforeAutospacing="0" w:afterAutospacing="0"/>
        <w:jc w:val="both"/>
        <w:rPr>
          <w:rFonts w:hint="eastAsia" w:ascii="宋体" w:hAnsi="宋体" w:eastAsia="宋体" w:cs="宋体"/>
          <w:color w:val="000000"/>
          <w:kern w:val="0"/>
          <w:sz w:val="24"/>
          <w:szCs w:val="24"/>
          <w:highlight w:val="none"/>
          <w:lang w:val="en-US" w:eastAsia="zh-CN" w:bidi="ar-SA"/>
        </w:rPr>
      </w:pPr>
    </w:p>
    <w:p w14:paraId="0515F675">
      <w:pPr>
        <w:widowControl w:val="0"/>
        <w:spacing w:beforeAutospacing="0" w:afterAutospacing="0"/>
        <w:jc w:val="both"/>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注：1、行数不够，可自行添加。</w:t>
      </w:r>
    </w:p>
    <w:p w14:paraId="13001C17">
      <w:pPr>
        <w:spacing w:line="700" w:lineRule="exact"/>
        <w:rPr>
          <w:rFonts w:hint="eastAsia" w:ascii="宋体" w:hAnsi="宋体" w:cs="FangSong_GB2312-Identity-H"/>
          <w:bCs/>
          <w:szCs w:val="21"/>
        </w:rPr>
      </w:pPr>
      <w:r>
        <w:rPr>
          <w:rFonts w:hint="eastAsia" w:ascii="宋体" w:hAnsi="宋体" w:cs="FangSong_GB2312-Identity-H"/>
          <w:szCs w:val="21"/>
        </w:rPr>
        <w:t>我方承诺：除上表中的偏离外，完全响应招标文件的其他条款。</w:t>
      </w:r>
    </w:p>
    <w:p w14:paraId="00721766">
      <w:pPr>
        <w:spacing w:line="500" w:lineRule="exact"/>
        <w:jc w:val="left"/>
        <w:rPr>
          <w:rFonts w:ascii="宋体" w:hAnsi="Times New Roman" w:eastAsia="宋体" w:cs="FangSong_GB2312-Identity-H"/>
          <w:sz w:val="24"/>
          <w:u w:val="single"/>
        </w:rPr>
      </w:pPr>
      <w:r>
        <w:rPr>
          <w:rFonts w:hint="eastAsia" w:ascii="宋体" w:hAnsi="宋体" w:eastAsia="宋体" w:cs="FangSong_GB2312-Identity-H"/>
          <w:sz w:val="24"/>
        </w:rPr>
        <w:t>投标人</w:t>
      </w:r>
      <w:r>
        <w:rPr>
          <w:rFonts w:ascii="宋体" w:hAnsi="宋体" w:eastAsia="宋体" w:cs="FangSong_GB2312-Identity-H"/>
          <w:sz w:val="24"/>
        </w:rPr>
        <w:t>(</w:t>
      </w:r>
      <w:r>
        <w:rPr>
          <w:rFonts w:hint="eastAsia" w:ascii="宋体" w:hAnsi="宋体" w:eastAsia="宋体" w:cs="FangSong_GB2312-Identity-H"/>
          <w:sz w:val="24"/>
        </w:rPr>
        <w:t>公章</w:t>
      </w:r>
      <w:r>
        <w:rPr>
          <w:rFonts w:ascii="宋体" w:hAnsi="宋体" w:eastAsia="宋体" w:cs="FangSong_GB2312-Identity-H"/>
          <w:sz w:val="24"/>
        </w:rPr>
        <w:t xml:space="preserve">) </w:t>
      </w:r>
      <w:r>
        <w:rPr>
          <w:rFonts w:hint="eastAsia" w:ascii="宋体" w:hAnsi="宋体" w:eastAsia="宋体" w:cs="FangSong_GB2312-Identity-H"/>
          <w:sz w:val="24"/>
        </w:rPr>
        <w:t>：</w:t>
      </w:r>
      <w:r>
        <w:rPr>
          <w:rFonts w:ascii="宋体" w:hAnsi="宋体" w:eastAsia="宋体" w:cs="FangSong_GB2312-Identity-H"/>
          <w:sz w:val="24"/>
          <w:u w:val="single"/>
        </w:rPr>
        <w:t xml:space="preserve">                          </w:t>
      </w:r>
    </w:p>
    <w:p w14:paraId="6A426C73">
      <w:pPr>
        <w:spacing w:line="500" w:lineRule="exact"/>
        <w:jc w:val="left"/>
        <w:rPr>
          <w:rFonts w:ascii="宋体" w:hAnsi="Times New Roman" w:eastAsia="宋体" w:cs="FangSong_GB2312-Identity-H"/>
          <w:sz w:val="24"/>
          <w:u w:val="single"/>
        </w:rPr>
      </w:pPr>
      <w:r>
        <w:rPr>
          <w:rFonts w:hint="eastAsia" w:ascii="宋体" w:hAnsi="宋体" w:eastAsia="宋体" w:cs="FangSong_GB2312-Identity-H"/>
          <w:sz w:val="24"/>
        </w:rPr>
        <w:t>法定代表人或授权</w:t>
      </w:r>
      <w:r>
        <w:rPr>
          <w:rFonts w:hint="eastAsia" w:ascii="宋体" w:hAnsi="宋体" w:eastAsia="宋体" w:cs="宋体"/>
          <w:szCs w:val="21"/>
        </w:rPr>
        <w:t>代理人</w:t>
      </w:r>
      <w:r>
        <w:rPr>
          <w:rFonts w:hint="eastAsia" w:ascii="宋体" w:hAnsi="宋体" w:eastAsia="宋体" w:cs="FangSong_GB2312-Identity-H"/>
          <w:sz w:val="24"/>
        </w:rPr>
        <w:t>（签名或盖章）：</w:t>
      </w:r>
      <w:r>
        <w:rPr>
          <w:rFonts w:ascii="宋体" w:hAnsi="宋体" w:eastAsia="宋体" w:cs="FangSong_GB2312-Identity-H"/>
          <w:sz w:val="24"/>
          <w:u w:val="single"/>
        </w:rPr>
        <w:t xml:space="preserve">                       </w:t>
      </w:r>
    </w:p>
    <w:p w14:paraId="50CD2B40">
      <w:pPr>
        <w:spacing w:before="120" w:after="120" w:line="280" w:lineRule="exact"/>
        <w:jc w:val="left"/>
        <w:rPr>
          <w:rFonts w:hint="eastAsia" w:ascii="宋体" w:hAnsi="宋体" w:eastAsia="宋体" w:cs="Angsana New"/>
          <w:szCs w:val="21"/>
          <w:u w:val="single"/>
          <w:lang w:bidi="th-TH"/>
        </w:rPr>
      </w:pPr>
      <w:r>
        <w:rPr>
          <w:rFonts w:hint="eastAsia" w:ascii="宋体" w:hAnsi="宋体" w:eastAsia="宋体" w:cs="FangSong_GB2312-Identity-H"/>
          <w:sz w:val="24"/>
          <w:szCs w:val="20"/>
        </w:rPr>
        <w:t>日期：</w:t>
      </w:r>
      <w:r>
        <w:rPr>
          <w:rFonts w:ascii="宋体" w:hAnsi="宋体" w:eastAsia="宋体" w:cs="FangSong_GB2312-Identity-H"/>
          <w:sz w:val="24"/>
          <w:szCs w:val="20"/>
        </w:rPr>
        <w:t xml:space="preserve"> </w:t>
      </w:r>
      <w:r>
        <w:rPr>
          <w:rFonts w:ascii="宋体" w:hAnsi="宋体" w:eastAsia="宋体" w:cs="FangSong_GB2312-Identity-H"/>
          <w:sz w:val="24"/>
          <w:szCs w:val="20"/>
          <w:u w:val="single"/>
        </w:rPr>
        <w:t xml:space="preserve">         </w:t>
      </w:r>
      <w:r>
        <w:rPr>
          <w:rFonts w:hint="eastAsia" w:ascii="宋体" w:hAnsi="宋体" w:eastAsia="宋体" w:cs="FangSong_GB2312-Identity-H"/>
          <w:sz w:val="24"/>
          <w:szCs w:val="20"/>
        </w:rPr>
        <w:t>年</w:t>
      </w:r>
      <w:r>
        <w:rPr>
          <w:rFonts w:ascii="宋体" w:hAnsi="宋体" w:eastAsia="宋体" w:cs="FangSong_GB2312-Identity-H"/>
          <w:sz w:val="24"/>
          <w:szCs w:val="20"/>
          <w:u w:val="single"/>
        </w:rPr>
        <w:t xml:space="preserve">        </w:t>
      </w:r>
      <w:r>
        <w:rPr>
          <w:rFonts w:hint="eastAsia" w:ascii="宋体" w:hAnsi="宋体" w:eastAsia="宋体" w:cs="FangSong_GB2312-Identity-H"/>
          <w:sz w:val="24"/>
          <w:szCs w:val="20"/>
        </w:rPr>
        <w:t>月</w:t>
      </w:r>
      <w:r>
        <w:rPr>
          <w:rFonts w:ascii="宋体" w:hAnsi="宋体" w:eastAsia="宋体" w:cs="FangSong_GB2312-Identity-H"/>
          <w:sz w:val="24"/>
          <w:szCs w:val="20"/>
          <w:u w:val="single"/>
        </w:rPr>
        <w:t xml:space="preserve">         </w:t>
      </w:r>
      <w:r>
        <w:rPr>
          <w:rFonts w:hint="eastAsia" w:ascii="宋体" w:hAnsi="宋体" w:eastAsia="宋体" w:cs="FangSong_GB2312-Identity-H"/>
          <w:sz w:val="24"/>
          <w:szCs w:val="20"/>
        </w:rPr>
        <w:t>日</w:t>
      </w:r>
    </w:p>
    <w:p w14:paraId="604BAD7D">
      <w:pPr>
        <w:spacing w:before="120" w:after="120" w:line="280" w:lineRule="exact"/>
        <w:jc w:val="left"/>
        <w:rPr>
          <w:rFonts w:hint="eastAsia" w:hAnsi="宋体" w:cs="Angsana New"/>
          <w:szCs w:val="21"/>
          <w:lang w:bidi="th-TH"/>
        </w:rPr>
        <w:sectPr>
          <w:headerReference r:id="rId8" w:type="default"/>
          <w:footerReference r:id="rId9" w:type="default"/>
          <w:footerReference r:id="rId10" w:type="even"/>
          <w:pgSz w:w="11906" w:h="16838"/>
          <w:pgMar w:top="1191" w:right="1020" w:bottom="1191" w:left="1020" w:header="851" w:footer="992" w:gutter="0"/>
          <w:cols w:space="720" w:num="1"/>
          <w:docGrid w:linePitch="360" w:charSpace="0"/>
        </w:sectPr>
      </w:pPr>
    </w:p>
    <w:p w14:paraId="05CCB689">
      <w:pPr>
        <w:spacing w:line="500" w:lineRule="exact"/>
        <w:rPr>
          <w:rFonts w:hint="eastAsia" w:ascii="宋体" w:hAnsi="宋体" w:eastAsia="宋体" w:cs="FangSong_GB2312-Identity-H"/>
          <w:b/>
          <w:bCs/>
          <w:sz w:val="24"/>
        </w:rPr>
      </w:pPr>
      <w:r>
        <w:rPr>
          <w:rFonts w:hint="eastAsia" w:ascii="宋体" w:hAnsi="宋体" w:eastAsia="宋体" w:cs="FangSong_GB2312-Identity-H"/>
          <w:sz w:val="24"/>
        </w:rPr>
        <w:t>格式</w:t>
      </w:r>
      <w:r>
        <w:rPr>
          <w:rFonts w:hint="eastAsia" w:ascii="宋体" w:hAnsi="宋体" w:eastAsia="宋体" w:cs="FangSong_GB2312-Identity-H"/>
          <w:sz w:val="24"/>
          <w:lang w:val="en-US" w:eastAsia="zh-CN"/>
        </w:rPr>
        <w:t>九</w:t>
      </w:r>
      <w:r>
        <w:rPr>
          <w:rFonts w:hint="eastAsia" w:ascii="宋体" w:hAnsi="宋体" w:eastAsia="宋体" w:cs="FangSong_GB2312-Identity-H"/>
          <w:sz w:val="24"/>
        </w:rPr>
        <w:t>：</w:t>
      </w:r>
    </w:p>
    <w:p w14:paraId="4C665761">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黑体" w:hAnsi="宋体" w:eastAsia="黑体" w:cs="黑体"/>
          <w:b/>
          <w:color w:val="000000"/>
          <w:kern w:val="0"/>
          <w:sz w:val="32"/>
          <w:szCs w:val="32"/>
          <w:highlight w:val="none"/>
          <w:lang w:val="en-US" w:eastAsia="zh-CN" w:bidi="ar-SA"/>
        </w:rPr>
        <w:t>技术要求响应及偏离表</w:t>
      </w:r>
    </w:p>
    <w:tbl>
      <w:tblPr>
        <w:tblStyle w:val="35"/>
        <w:tblW w:w="9598" w:type="dxa"/>
        <w:tblCellSpacing w:w="0" w:type="dxa"/>
        <w:tblInd w:w="10" w:type="dxa"/>
        <w:tblLayout w:type="fixed"/>
        <w:tblCellMar>
          <w:top w:w="0" w:type="dxa"/>
          <w:left w:w="108" w:type="dxa"/>
          <w:bottom w:w="0" w:type="dxa"/>
          <w:right w:w="108" w:type="dxa"/>
        </w:tblCellMar>
      </w:tblPr>
      <w:tblGrid>
        <w:gridCol w:w="947"/>
        <w:gridCol w:w="2370"/>
        <w:gridCol w:w="3636"/>
        <w:gridCol w:w="1405"/>
        <w:gridCol w:w="1240"/>
      </w:tblGrid>
      <w:tr w14:paraId="48C67D6B">
        <w:tblPrEx>
          <w:tblCellMar>
            <w:top w:w="0" w:type="dxa"/>
            <w:left w:w="108" w:type="dxa"/>
            <w:bottom w:w="0" w:type="dxa"/>
            <w:right w:w="108" w:type="dxa"/>
          </w:tblCellMar>
        </w:tblPrEx>
        <w:trPr>
          <w:trHeight w:val="969" w:hRule="atLeast"/>
          <w:tblCellSpacing w:w="0" w:type="dxa"/>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DE08D">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序号</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1E111">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招标文件要求</w:t>
            </w:r>
          </w:p>
        </w:tc>
        <w:tc>
          <w:tcPr>
            <w:tcW w:w="3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6C2EF">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投标响应情况</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4F6C">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超出、符合或偏离</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50C9B">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证明</w:t>
            </w:r>
          </w:p>
          <w:p w14:paraId="0AA567DE">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材料（若有）</w:t>
            </w:r>
          </w:p>
        </w:tc>
      </w:tr>
      <w:tr w14:paraId="2D55E8DE">
        <w:tblPrEx>
          <w:tblCellMar>
            <w:top w:w="0" w:type="dxa"/>
            <w:left w:w="108" w:type="dxa"/>
            <w:bottom w:w="0" w:type="dxa"/>
            <w:right w:w="108" w:type="dxa"/>
          </w:tblCellMar>
        </w:tblPrEx>
        <w:trPr>
          <w:trHeight w:val="671" w:hRule="atLeast"/>
          <w:tblCellSpacing w:w="0" w:type="dxa"/>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3A6D">
            <w:pPr>
              <w:widowControl w:val="0"/>
              <w:spacing w:beforeAutospacing="0" w:afterAutospacing="0"/>
              <w:jc w:val="center"/>
              <w:rPr>
                <w:rFonts w:hint="default"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r>
              <w:rPr>
                <w:rFonts w:hint="eastAsia" w:ascii="Calibri" w:hAnsi="Calibri" w:eastAsia="宋体" w:cs="Times New Roman"/>
                <w:kern w:val="0"/>
                <w:sz w:val="24"/>
                <w:szCs w:val="24"/>
                <w:highlight w:val="none"/>
                <w:lang w:val="en-US" w:eastAsia="zh-CN" w:bidi="ar-SA"/>
              </w:rPr>
              <w:t>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93F98">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Calibri" w:hAnsi="Calibri" w:eastAsia="宋体" w:cs="Times New Roman"/>
                <w:kern w:val="0"/>
                <w:sz w:val="24"/>
                <w:szCs w:val="24"/>
                <w:highlight w:val="none"/>
                <w:lang w:val="en-US" w:eastAsia="zh-CN" w:bidi="ar-SA"/>
              </w:rPr>
              <w:t>2.2.质控要求</w:t>
            </w:r>
            <w:r>
              <w:rPr>
                <w:rFonts w:ascii="Calibri" w:hAnsi="Calibri" w:eastAsia="宋体" w:cs="Times New Roman"/>
                <w:kern w:val="0"/>
                <w:sz w:val="24"/>
                <w:szCs w:val="24"/>
                <w:highlight w:val="none"/>
                <w:lang w:val="en-US" w:eastAsia="zh-CN" w:bidi="ar-SA"/>
              </w:rPr>
              <w:t> </w:t>
            </w:r>
          </w:p>
        </w:tc>
        <w:tc>
          <w:tcPr>
            <w:tcW w:w="3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E1D89">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7EF9">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079C">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r>
      <w:tr w14:paraId="6A22AAF7">
        <w:tblPrEx>
          <w:tblCellMar>
            <w:top w:w="0" w:type="dxa"/>
            <w:left w:w="108" w:type="dxa"/>
            <w:bottom w:w="0" w:type="dxa"/>
            <w:right w:w="108" w:type="dxa"/>
          </w:tblCellMar>
        </w:tblPrEx>
        <w:trPr>
          <w:trHeight w:val="671" w:hRule="atLeast"/>
          <w:tblCellSpacing w:w="0" w:type="dxa"/>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9958B">
            <w:pPr>
              <w:widowControl w:val="0"/>
              <w:spacing w:beforeAutospacing="0" w:afterAutospacing="0"/>
              <w:jc w:val="center"/>
              <w:rPr>
                <w:rFonts w:hint="default"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r>
              <w:rPr>
                <w:rFonts w:hint="eastAsia" w:ascii="Calibri" w:hAnsi="Calibri" w:eastAsia="宋体" w:cs="Times New Roman"/>
                <w:kern w:val="0"/>
                <w:sz w:val="24"/>
                <w:szCs w:val="24"/>
                <w:highlight w:val="none"/>
                <w:lang w:val="en-US" w:eastAsia="zh-CN" w:bidi="ar-SA"/>
              </w:rPr>
              <w:t>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19D3">
            <w:pPr>
              <w:widowControl w:val="0"/>
              <w:spacing w:beforeAutospacing="0" w:afterAutospacing="0"/>
              <w:jc w:val="center"/>
              <w:rPr>
                <w:rFonts w:hint="default" w:ascii="Calibri" w:hAnsi="Calibri" w:eastAsia="宋体" w:cs="Times New Roman"/>
                <w:kern w:val="0"/>
                <w:sz w:val="21"/>
                <w:szCs w:val="21"/>
                <w:highlight w:val="none"/>
                <w:lang w:val="en-US" w:eastAsia="zh-CN" w:bidi="ar-SA"/>
              </w:rPr>
            </w:pPr>
            <w:r>
              <w:rPr>
                <w:rFonts w:hint="eastAsia" w:ascii="Calibri" w:hAnsi="Calibri" w:eastAsia="宋体" w:cs="Times New Roman"/>
                <w:kern w:val="0"/>
                <w:sz w:val="24"/>
                <w:szCs w:val="24"/>
                <w:highlight w:val="none"/>
                <w:lang w:val="en-US" w:eastAsia="zh-CN" w:bidi="ar-SA"/>
              </w:rPr>
              <w:t>2.3.运维工作内容</w:t>
            </w:r>
          </w:p>
        </w:tc>
        <w:tc>
          <w:tcPr>
            <w:tcW w:w="3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B75A1">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C8BB">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FCA8">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r>
      <w:tr w14:paraId="0A96D922">
        <w:tblPrEx>
          <w:tblCellMar>
            <w:top w:w="0" w:type="dxa"/>
            <w:left w:w="108" w:type="dxa"/>
            <w:bottom w:w="0" w:type="dxa"/>
            <w:right w:w="108" w:type="dxa"/>
          </w:tblCellMar>
        </w:tblPrEx>
        <w:trPr>
          <w:trHeight w:val="671" w:hRule="atLeast"/>
          <w:tblCellSpacing w:w="0" w:type="dxa"/>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845D8">
            <w:pPr>
              <w:widowControl w:val="0"/>
              <w:spacing w:beforeAutospacing="0" w:afterAutospacing="0"/>
              <w:jc w:val="center"/>
              <w:rPr>
                <w:rFonts w:hint="default"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r>
              <w:rPr>
                <w:rFonts w:hint="eastAsia" w:ascii="Calibri" w:hAnsi="Calibri" w:eastAsia="宋体" w:cs="Times New Roman"/>
                <w:kern w:val="0"/>
                <w:sz w:val="24"/>
                <w:szCs w:val="24"/>
                <w:highlight w:val="none"/>
                <w:lang w:val="en-US" w:eastAsia="zh-CN" w:bidi="ar-SA"/>
              </w:rPr>
              <w:t>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F83CE">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Calibri" w:hAnsi="Calibri" w:eastAsia="宋体" w:cs="Times New Roman"/>
                <w:kern w:val="0"/>
                <w:sz w:val="24"/>
                <w:szCs w:val="24"/>
                <w:highlight w:val="none"/>
                <w:lang w:val="en-US" w:eastAsia="zh-CN" w:bidi="ar-SA"/>
              </w:rPr>
              <w:t>3.考核要求</w:t>
            </w:r>
            <w:r>
              <w:rPr>
                <w:rFonts w:ascii="Calibri" w:hAnsi="Calibri" w:eastAsia="宋体" w:cs="Times New Roman"/>
                <w:kern w:val="0"/>
                <w:sz w:val="24"/>
                <w:szCs w:val="24"/>
                <w:highlight w:val="none"/>
                <w:lang w:val="en-US" w:eastAsia="zh-CN" w:bidi="ar-SA"/>
              </w:rPr>
              <w:t> </w:t>
            </w:r>
          </w:p>
        </w:tc>
        <w:tc>
          <w:tcPr>
            <w:tcW w:w="3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206A">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64FE1">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81DA">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r>
      <w:tr w14:paraId="6A3D630E">
        <w:tblPrEx>
          <w:tblCellMar>
            <w:top w:w="0" w:type="dxa"/>
            <w:left w:w="108" w:type="dxa"/>
            <w:bottom w:w="0" w:type="dxa"/>
            <w:right w:w="108" w:type="dxa"/>
          </w:tblCellMar>
        </w:tblPrEx>
        <w:trPr>
          <w:trHeight w:val="671" w:hRule="atLeast"/>
          <w:tblCellSpacing w:w="0" w:type="dxa"/>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5B2F">
            <w:pPr>
              <w:widowControl w:val="0"/>
              <w:spacing w:beforeAutospacing="0" w:afterAutospacing="0"/>
              <w:jc w:val="center"/>
              <w:rPr>
                <w:rFonts w:hint="default"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r>
              <w:rPr>
                <w:rFonts w:hint="eastAsia" w:ascii="Calibri" w:hAnsi="Calibri" w:eastAsia="宋体" w:cs="Times New Roman"/>
                <w:kern w:val="0"/>
                <w:sz w:val="24"/>
                <w:szCs w:val="24"/>
                <w:highlight w:val="none"/>
                <w:lang w:val="en-US" w:eastAsia="zh-CN" w:bidi="ar-SA"/>
              </w:rPr>
              <w:t>4</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DB8D7">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Calibri" w:hAnsi="Calibri" w:eastAsia="宋体" w:cs="Times New Roman"/>
                <w:kern w:val="0"/>
                <w:sz w:val="24"/>
                <w:szCs w:val="24"/>
                <w:highlight w:val="none"/>
                <w:lang w:val="en-US" w:eastAsia="zh-CN" w:bidi="ar-SA"/>
              </w:rPr>
              <w:t>4.服务保障和承诺要求</w:t>
            </w:r>
            <w:r>
              <w:rPr>
                <w:rFonts w:ascii="Calibri" w:hAnsi="Calibri" w:eastAsia="宋体" w:cs="Times New Roman"/>
                <w:kern w:val="0"/>
                <w:sz w:val="24"/>
                <w:szCs w:val="24"/>
                <w:highlight w:val="none"/>
                <w:lang w:val="en-US" w:eastAsia="zh-CN" w:bidi="ar-SA"/>
              </w:rPr>
              <w:t> </w:t>
            </w:r>
          </w:p>
        </w:tc>
        <w:tc>
          <w:tcPr>
            <w:tcW w:w="3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DA57">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CB6AD">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1883">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r>
      <w:tr w14:paraId="1FD10307">
        <w:tblPrEx>
          <w:tblCellMar>
            <w:top w:w="0" w:type="dxa"/>
            <w:left w:w="108" w:type="dxa"/>
            <w:bottom w:w="0" w:type="dxa"/>
            <w:right w:w="108" w:type="dxa"/>
          </w:tblCellMar>
        </w:tblPrEx>
        <w:trPr>
          <w:trHeight w:val="671" w:hRule="atLeast"/>
          <w:tblCellSpacing w:w="0" w:type="dxa"/>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B157">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7CAED">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3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8D6B9">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F19F">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5CDD">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r>
      <w:tr w14:paraId="7E7BEB0F">
        <w:tblPrEx>
          <w:tblCellMar>
            <w:top w:w="0" w:type="dxa"/>
            <w:left w:w="108" w:type="dxa"/>
            <w:bottom w:w="0" w:type="dxa"/>
            <w:right w:w="108" w:type="dxa"/>
          </w:tblCellMar>
        </w:tblPrEx>
        <w:trPr>
          <w:trHeight w:val="671" w:hRule="atLeast"/>
          <w:tblCellSpacing w:w="0" w:type="dxa"/>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E6E8">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22274">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3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9B729">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035ED">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23FA">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r>
      <w:tr w14:paraId="04CD8F28">
        <w:tblPrEx>
          <w:tblCellMar>
            <w:top w:w="0" w:type="dxa"/>
            <w:left w:w="108" w:type="dxa"/>
            <w:bottom w:w="0" w:type="dxa"/>
            <w:right w:w="108" w:type="dxa"/>
          </w:tblCellMar>
        </w:tblPrEx>
        <w:trPr>
          <w:trHeight w:val="671" w:hRule="atLeast"/>
          <w:tblCellSpacing w:w="0" w:type="dxa"/>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F401">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4C446">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3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2FF0">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46148">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A4035">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r>
      <w:tr w14:paraId="42CC7CC8">
        <w:tblPrEx>
          <w:tblCellMar>
            <w:top w:w="0" w:type="dxa"/>
            <w:left w:w="108" w:type="dxa"/>
            <w:bottom w:w="0" w:type="dxa"/>
            <w:right w:w="108" w:type="dxa"/>
          </w:tblCellMar>
        </w:tblPrEx>
        <w:trPr>
          <w:trHeight w:val="671" w:hRule="atLeast"/>
          <w:tblCellSpacing w:w="0" w:type="dxa"/>
        </w:trPr>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8F694">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9BBC6">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w:t>
            </w:r>
          </w:p>
        </w:tc>
        <w:tc>
          <w:tcPr>
            <w:tcW w:w="3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54F4">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B8EFF">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890D4">
            <w:pPr>
              <w:widowControl w:val="0"/>
              <w:spacing w:beforeAutospacing="0" w:afterAutospacing="0"/>
              <w:jc w:val="center"/>
              <w:rPr>
                <w:rFonts w:ascii="Calibri" w:hAnsi="Calibri" w:eastAsia="宋体" w:cs="Times New Roman"/>
                <w:kern w:val="0"/>
                <w:sz w:val="24"/>
                <w:szCs w:val="24"/>
                <w:highlight w:val="none"/>
                <w:lang w:val="en-US" w:eastAsia="zh-CN" w:bidi="ar-SA"/>
              </w:rPr>
            </w:pPr>
            <w:r>
              <w:rPr>
                <w:rFonts w:ascii="Calibri" w:hAnsi="Calibri" w:eastAsia="宋体" w:cs="Times New Roman"/>
                <w:kern w:val="0"/>
                <w:sz w:val="24"/>
                <w:szCs w:val="24"/>
                <w:highlight w:val="none"/>
                <w:lang w:val="en-US" w:eastAsia="zh-CN" w:bidi="ar-SA"/>
              </w:rPr>
              <w:t> </w:t>
            </w:r>
          </w:p>
        </w:tc>
      </w:tr>
    </w:tbl>
    <w:p w14:paraId="19B2E042">
      <w:pPr>
        <w:widowControl w:val="0"/>
        <w:spacing w:beforeAutospacing="0" w:afterAutospacing="0"/>
        <w:jc w:val="both"/>
        <w:rPr>
          <w:rFonts w:hint="eastAsia" w:ascii="宋体" w:hAnsi="宋体" w:eastAsia="宋体" w:cs="宋体"/>
          <w:color w:val="000000"/>
          <w:kern w:val="0"/>
          <w:sz w:val="24"/>
          <w:szCs w:val="24"/>
          <w:highlight w:val="none"/>
          <w:lang w:val="en-US" w:eastAsia="zh-CN" w:bidi="ar-SA"/>
        </w:rPr>
      </w:pPr>
    </w:p>
    <w:p w14:paraId="1B921DAA">
      <w:pPr>
        <w:keepNext w:val="0"/>
        <w:keepLines w:val="0"/>
        <w:pageBreakBefore w:val="0"/>
        <w:widowControl w:val="0"/>
        <w:kinsoku/>
        <w:wordWrap/>
        <w:overflowPunct/>
        <w:topLinePunct w:val="0"/>
        <w:autoSpaceDE/>
        <w:autoSpaceDN/>
        <w:bidi w:val="0"/>
        <w:adjustRightInd/>
        <w:snapToGrid/>
        <w:spacing w:beforeAutospacing="0" w:afterAutospacing="0" w:line="480" w:lineRule="auto"/>
        <w:jc w:val="both"/>
        <w:textAlignment w:val="auto"/>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我单位</w:t>
      </w:r>
      <w:r>
        <w:rPr>
          <w:rFonts w:hint="eastAsia" w:ascii="宋体" w:hAnsi="宋体" w:eastAsia="宋体" w:cs="宋体"/>
          <w:color w:val="000000"/>
          <w:kern w:val="0"/>
          <w:sz w:val="24"/>
          <w:szCs w:val="24"/>
          <w:highlight w:val="none"/>
          <w:u w:val="single"/>
          <w:lang w:val="en-US" w:eastAsia="zh-CN" w:bidi="ar-SA"/>
        </w:rPr>
        <w:t xml:space="preserve">              </w:t>
      </w:r>
      <w:r>
        <w:rPr>
          <w:rFonts w:hint="eastAsia" w:ascii="宋体" w:hAnsi="宋体" w:eastAsia="宋体" w:cs="宋体"/>
          <w:color w:val="000000"/>
          <w:kern w:val="0"/>
          <w:sz w:val="24"/>
          <w:szCs w:val="24"/>
          <w:highlight w:val="none"/>
          <w:lang w:val="en-US" w:eastAsia="zh-CN" w:bidi="ar-SA"/>
        </w:rPr>
        <w:t>（供应商全称）郑重承诺：</w:t>
      </w:r>
    </w:p>
    <w:p w14:paraId="35743FD8">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480" w:firstLineChars="200"/>
        <w:jc w:val="both"/>
        <w:textAlignment w:val="auto"/>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除本项目技术要求响应及偏离表中已逐项列明的响应与偏离内容外，招标文件其余所有技术条款，我单位均完全响应、无条件满足。</w:t>
      </w:r>
    </w:p>
    <w:p w14:paraId="3CFB50D1">
      <w:pPr>
        <w:spacing w:line="500" w:lineRule="exact"/>
        <w:jc w:val="left"/>
        <w:rPr>
          <w:rFonts w:ascii="宋体" w:hAnsi="Times New Roman" w:eastAsia="宋体" w:cs="FangSong_GB2312-Identity-H"/>
          <w:sz w:val="24"/>
          <w:u w:val="single"/>
        </w:rPr>
      </w:pPr>
      <w:r>
        <w:rPr>
          <w:rFonts w:hint="eastAsia" w:ascii="宋体" w:hAnsi="宋体" w:eastAsia="宋体" w:cs="FangSong_GB2312-Identity-H"/>
          <w:sz w:val="24"/>
        </w:rPr>
        <w:t>投标人</w:t>
      </w:r>
      <w:r>
        <w:rPr>
          <w:rFonts w:ascii="宋体" w:hAnsi="宋体" w:eastAsia="宋体" w:cs="FangSong_GB2312-Identity-H"/>
          <w:sz w:val="24"/>
        </w:rPr>
        <w:t>(</w:t>
      </w:r>
      <w:r>
        <w:rPr>
          <w:rFonts w:hint="eastAsia" w:ascii="宋体" w:hAnsi="宋体" w:eastAsia="宋体" w:cs="FangSong_GB2312-Identity-H"/>
          <w:sz w:val="24"/>
        </w:rPr>
        <w:t>公章</w:t>
      </w:r>
      <w:r>
        <w:rPr>
          <w:rFonts w:ascii="宋体" w:hAnsi="宋体" w:eastAsia="宋体" w:cs="FangSong_GB2312-Identity-H"/>
          <w:sz w:val="24"/>
        </w:rPr>
        <w:t xml:space="preserve">) </w:t>
      </w:r>
      <w:r>
        <w:rPr>
          <w:rFonts w:hint="eastAsia" w:ascii="宋体" w:hAnsi="宋体" w:eastAsia="宋体" w:cs="FangSong_GB2312-Identity-H"/>
          <w:sz w:val="24"/>
        </w:rPr>
        <w:t>：</w:t>
      </w:r>
      <w:r>
        <w:rPr>
          <w:rFonts w:ascii="宋体" w:hAnsi="宋体" w:eastAsia="宋体" w:cs="FangSong_GB2312-Identity-H"/>
          <w:sz w:val="24"/>
          <w:u w:val="single"/>
        </w:rPr>
        <w:t xml:space="preserve">                          </w:t>
      </w:r>
    </w:p>
    <w:p w14:paraId="3B237F89">
      <w:pPr>
        <w:spacing w:line="500" w:lineRule="exact"/>
        <w:jc w:val="left"/>
        <w:rPr>
          <w:rFonts w:ascii="宋体" w:hAnsi="Times New Roman" w:eastAsia="宋体" w:cs="FangSong_GB2312-Identity-H"/>
          <w:sz w:val="24"/>
          <w:u w:val="single"/>
        </w:rPr>
      </w:pPr>
      <w:r>
        <w:rPr>
          <w:rFonts w:hint="eastAsia" w:ascii="宋体" w:hAnsi="宋体" w:eastAsia="宋体" w:cs="FangSong_GB2312-Identity-H"/>
          <w:sz w:val="24"/>
        </w:rPr>
        <w:t>法定代表人或授权</w:t>
      </w:r>
      <w:r>
        <w:rPr>
          <w:rFonts w:hint="eastAsia" w:ascii="宋体" w:hAnsi="宋体" w:eastAsia="宋体" w:cs="宋体"/>
          <w:szCs w:val="21"/>
        </w:rPr>
        <w:t>代理人</w:t>
      </w:r>
      <w:r>
        <w:rPr>
          <w:rFonts w:hint="eastAsia" w:ascii="宋体" w:hAnsi="宋体" w:eastAsia="宋体" w:cs="FangSong_GB2312-Identity-H"/>
          <w:sz w:val="24"/>
        </w:rPr>
        <w:t>（签名或盖章）：</w:t>
      </w:r>
      <w:r>
        <w:rPr>
          <w:rFonts w:ascii="宋体" w:hAnsi="宋体" w:eastAsia="宋体" w:cs="FangSong_GB2312-Identity-H"/>
          <w:sz w:val="24"/>
          <w:u w:val="single"/>
        </w:rPr>
        <w:t xml:space="preserve">                       </w:t>
      </w:r>
    </w:p>
    <w:p w14:paraId="3BA77F30">
      <w:pPr>
        <w:spacing w:before="120" w:after="120" w:line="280" w:lineRule="exact"/>
        <w:jc w:val="left"/>
        <w:rPr>
          <w:rFonts w:hint="eastAsia" w:ascii="宋体" w:hAnsi="宋体" w:eastAsia="宋体" w:cs="Angsana New"/>
          <w:szCs w:val="21"/>
          <w:u w:val="single"/>
          <w:lang w:bidi="th-TH"/>
        </w:rPr>
      </w:pPr>
      <w:r>
        <w:rPr>
          <w:rFonts w:hint="eastAsia" w:ascii="宋体" w:hAnsi="宋体" w:eastAsia="宋体" w:cs="FangSong_GB2312-Identity-H"/>
          <w:sz w:val="24"/>
          <w:szCs w:val="20"/>
        </w:rPr>
        <w:t>日期：</w:t>
      </w:r>
      <w:r>
        <w:rPr>
          <w:rFonts w:ascii="宋体" w:hAnsi="宋体" w:eastAsia="宋体" w:cs="FangSong_GB2312-Identity-H"/>
          <w:sz w:val="24"/>
          <w:szCs w:val="20"/>
        </w:rPr>
        <w:t xml:space="preserve"> </w:t>
      </w:r>
      <w:r>
        <w:rPr>
          <w:rFonts w:ascii="宋体" w:hAnsi="宋体" w:eastAsia="宋体" w:cs="FangSong_GB2312-Identity-H"/>
          <w:sz w:val="24"/>
          <w:szCs w:val="20"/>
          <w:u w:val="single"/>
        </w:rPr>
        <w:t xml:space="preserve">         </w:t>
      </w:r>
      <w:r>
        <w:rPr>
          <w:rFonts w:hint="eastAsia" w:ascii="宋体" w:hAnsi="宋体" w:eastAsia="宋体" w:cs="FangSong_GB2312-Identity-H"/>
          <w:sz w:val="24"/>
          <w:szCs w:val="20"/>
        </w:rPr>
        <w:t>年</w:t>
      </w:r>
      <w:r>
        <w:rPr>
          <w:rFonts w:ascii="宋体" w:hAnsi="宋体" w:eastAsia="宋体" w:cs="FangSong_GB2312-Identity-H"/>
          <w:sz w:val="24"/>
          <w:szCs w:val="20"/>
          <w:u w:val="single"/>
        </w:rPr>
        <w:t xml:space="preserve">        </w:t>
      </w:r>
      <w:r>
        <w:rPr>
          <w:rFonts w:hint="eastAsia" w:ascii="宋体" w:hAnsi="宋体" w:eastAsia="宋体" w:cs="FangSong_GB2312-Identity-H"/>
          <w:sz w:val="24"/>
          <w:szCs w:val="20"/>
        </w:rPr>
        <w:t>月</w:t>
      </w:r>
      <w:r>
        <w:rPr>
          <w:rFonts w:ascii="宋体" w:hAnsi="宋体" w:eastAsia="宋体" w:cs="FangSong_GB2312-Identity-H"/>
          <w:sz w:val="24"/>
          <w:szCs w:val="20"/>
          <w:u w:val="single"/>
        </w:rPr>
        <w:t xml:space="preserve">         </w:t>
      </w:r>
      <w:r>
        <w:rPr>
          <w:rFonts w:hint="eastAsia" w:ascii="宋体" w:hAnsi="宋体" w:eastAsia="宋体" w:cs="FangSong_GB2312-Identity-H"/>
          <w:sz w:val="24"/>
          <w:szCs w:val="20"/>
        </w:rPr>
        <w:t>日</w:t>
      </w:r>
    </w:p>
    <w:p w14:paraId="087FAE04">
      <w:pPr>
        <w:spacing w:before="120" w:after="120" w:line="280" w:lineRule="exact"/>
        <w:jc w:val="left"/>
        <w:rPr>
          <w:rFonts w:hint="eastAsia" w:hAnsi="宋体" w:cs="Angsana New"/>
          <w:szCs w:val="21"/>
          <w:lang w:bidi="th-TH"/>
        </w:rPr>
      </w:pPr>
    </w:p>
    <w:p w14:paraId="3D015DFA">
      <w:pPr>
        <w:widowControl w:val="0"/>
        <w:spacing w:beforeAutospacing="0" w:afterAutospacing="0"/>
        <w:jc w:val="both"/>
        <w:rPr>
          <w:rFonts w:hint="default" w:ascii="宋体" w:hAnsi="宋体" w:eastAsia="宋体" w:cs="宋体"/>
          <w:color w:val="000000"/>
          <w:kern w:val="0"/>
          <w:sz w:val="24"/>
          <w:szCs w:val="24"/>
          <w:highlight w:val="yellow"/>
          <w:lang w:val="en-US" w:eastAsia="zh-CN" w:bidi="ar-SA"/>
        </w:rPr>
      </w:pPr>
      <w:r>
        <w:rPr>
          <w:rFonts w:hint="eastAsia" w:ascii="宋体" w:hAnsi="宋体" w:eastAsia="宋体" w:cs="宋体"/>
          <w:color w:val="000000"/>
          <w:kern w:val="0"/>
          <w:sz w:val="24"/>
          <w:szCs w:val="24"/>
          <w:highlight w:val="yellow"/>
          <w:lang w:val="en-US" w:eastAsia="zh-CN" w:bidi="ar-SA"/>
        </w:rPr>
        <w:t xml:space="preserve">注： </w:t>
      </w:r>
      <w:r>
        <w:rPr>
          <w:rFonts w:hint="eastAsia" w:ascii="宋体" w:hAnsi="宋体" w:cs="宋体"/>
          <w:color w:val="000000"/>
          <w:kern w:val="0"/>
          <w:sz w:val="24"/>
          <w:szCs w:val="24"/>
          <w:highlight w:val="yellow"/>
          <w:lang w:val="en-US" w:eastAsia="zh-CN" w:bidi="ar-SA"/>
        </w:rPr>
        <w:t>上述表格</w:t>
      </w:r>
      <w:r>
        <w:rPr>
          <w:rFonts w:hint="eastAsia" w:ascii="宋体" w:hAnsi="宋体" w:eastAsia="宋体" w:cs="宋体"/>
          <w:color w:val="000000"/>
          <w:kern w:val="0"/>
          <w:sz w:val="24"/>
          <w:szCs w:val="24"/>
          <w:highlight w:val="yellow"/>
          <w:lang w:val="en-US" w:eastAsia="zh-CN" w:bidi="ar-SA"/>
        </w:rPr>
        <w:t>行数不够，可自行添加，投标人响应招标文件要求的，投标响应情况可以直接复制招标文件中的采购需求（本条备注投标人在投标时可自行删除）</w:t>
      </w:r>
    </w:p>
    <w:p w14:paraId="5356C07C">
      <w:pPr>
        <w:spacing w:before="120" w:after="120" w:line="280" w:lineRule="exact"/>
        <w:jc w:val="left"/>
        <w:rPr>
          <w:rFonts w:hint="eastAsia" w:hAnsi="宋体" w:cs="Angsana New"/>
          <w:szCs w:val="21"/>
          <w:lang w:bidi="th-TH"/>
        </w:rPr>
        <w:sectPr>
          <w:headerReference r:id="rId11" w:type="default"/>
          <w:footerReference r:id="rId12" w:type="default"/>
          <w:footerReference r:id="rId13" w:type="even"/>
          <w:pgSz w:w="11906" w:h="16838"/>
          <w:pgMar w:top="1191" w:right="1020" w:bottom="1191" w:left="1020" w:header="851" w:footer="992" w:gutter="0"/>
          <w:cols w:space="720" w:num="1"/>
          <w:docGrid w:linePitch="360" w:charSpace="0"/>
        </w:sectPr>
      </w:pPr>
    </w:p>
    <w:p w14:paraId="1834548D">
      <w:pPr>
        <w:jc w:val="left"/>
        <w:rPr>
          <w:rFonts w:hint="eastAsia" w:ascii="宋体" w:hAnsi="宋体"/>
          <w:sz w:val="24"/>
        </w:rPr>
      </w:pPr>
      <w:r>
        <w:rPr>
          <w:rFonts w:hint="eastAsia" w:ascii="宋体" w:hAnsi="宋体"/>
          <w:sz w:val="24"/>
        </w:rPr>
        <w:t>格式九：</w:t>
      </w:r>
    </w:p>
    <w:p w14:paraId="2A9C5C12">
      <w:pPr>
        <w:spacing w:before="120" w:after="120" w:line="460" w:lineRule="exact"/>
        <w:jc w:val="center"/>
        <w:outlineLvl w:val="0"/>
        <w:rPr>
          <w:rFonts w:ascii="宋体" w:hAnsi="Courier New"/>
          <w:b/>
          <w:sz w:val="32"/>
          <w:szCs w:val="32"/>
        </w:rPr>
      </w:pPr>
      <w:r>
        <w:rPr>
          <w:rFonts w:ascii="宋体" w:hAnsi="Courier New"/>
          <w:b/>
          <w:sz w:val="32"/>
          <w:szCs w:val="32"/>
        </w:rPr>
        <w:t>中小企业声明函（服务）</w:t>
      </w:r>
      <w:r>
        <w:rPr>
          <w:rFonts w:hint="eastAsia" w:ascii="宋体" w:hAnsi="Courier New"/>
          <w:b/>
          <w:sz w:val="32"/>
          <w:szCs w:val="32"/>
        </w:rPr>
        <w:t>（如有）</w:t>
      </w:r>
    </w:p>
    <w:p w14:paraId="4B84F6E1">
      <w:pPr>
        <w:widowControl/>
        <w:spacing w:line="660" w:lineRule="exact"/>
        <w:ind w:firstLine="480"/>
        <w:jc w:val="left"/>
        <w:rPr>
          <w:rFonts w:hint="eastAsia" w:ascii="宋体" w:hAnsi="宋体"/>
          <w:szCs w:val="21"/>
        </w:rPr>
      </w:pPr>
      <w:r>
        <w:rPr>
          <w:rFonts w:ascii="宋体" w:hAnsi="宋体"/>
          <w:szCs w:val="21"/>
        </w:rPr>
        <w:t>本公司（联合体）郑重声明，根据《政府采购促进中小企业发展管理办法》（财库﹝2020﹞46 号）的规定，本公司（联合体）参加</w:t>
      </w:r>
      <w:r>
        <w:rPr>
          <w:rFonts w:hint="eastAsia" w:ascii="宋体" w:hAnsi="宋体" w:cs="宋体"/>
          <w:b/>
          <w:bCs/>
          <w:szCs w:val="21"/>
          <w:u w:val="single"/>
        </w:rPr>
        <w:t>江苏大丰港经济开发区管理委员会</w:t>
      </w:r>
      <w:r>
        <w:rPr>
          <w:rFonts w:ascii="宋体" w:hAnsi="宋体"/>
          <w:szCs w:val="21"/>
        </w:rPr>
        <w:t>的</w:t>
      </w:r>
      <w:r>
        <w:rPr>
          <w:rFonts w:hint="eastAsia" w:ascii="宋体" w:hAnsi="宋体" w:cs="宋体"/>
          <w:b/>
          <w:bCs/>
          <w:szCs w:val="21"/>
          <w:u w:val="single"/>
        </w:rPr>
        <w:t>大丰港石化新材料产业园环境监控设备运维服务项目（2026-2027）</w:t>
      </w:r>
      <w:r>
        <w:rPr>
          <w:rFonts w:ascii="宋体" w:hAnsi="宋体"/>
          <w:szCs w:val="21"/>
        </w:rPr>
        <w:t>采购活动，服务全部由符合政策要求的中小企业承接。相关企业（含联合体中的中小企业、签订分包意向协议的中小企业）的具体情况如下：</w:t>
      </w:r>
    </w:p>
    <w:p w14:paraId="46FFF57F">
      <w:pPr>
        <w:widowControl/>
        <w:spacing w:line="660" w:lineRule="exact"/>
        <w:ind w:firstLine="482"/>
        <w:jc w:val="left"/>
        <w:rPr>
          <w:rFonts w:hint="eastAsia" w:ascii="宋体" w:hAnsi="宋体"/>
          <w:szCs w:val="21"/>
        </w:rPr>
      </w:pPr>
      <w:r>
        <w:rPr>
          <w:rFonts w:hint="eastAsia" w:ascii="宋体" w:hAnsi="宋体" w:cs="宋体"/>
          <w:b/>
          <w:bCs/>
          <w:szCs w:val="21"/>
          <w:u w:val="single"/>
        </w:rPr>
        <w:t>大丰港石化新材料产业园环境监控设备运维服务项目（2026-2027）</w:t>
      </w:r>
      <w:r>
        <w:rPr>
          <w:rFonts w:ascii="宋体" w:hAnsi="宋体"/>
          <w:szCs w:val="21"/>
        </w:rPr>
        <w:t>，属于</w:t>
      </w:r>
      <w:r>
        <w:rPr>
          <w:rFonts w:hint="eastAsia" w:ascii="宋体" w:hAnsi="宋体"/>
          <w:b/>
          <w:bCs/>
          <w:szCs w:val="21"/>
          <w:u w:val="single"/>
        </w:rPr>
        <w:t>其他未列明行业</w:t>
      </w:r>
      <w:r>
        <w:rPr>
          <w:rFonts w:ascii="宋体" w:hAnsi="宋体"/>
          <w:szCs w:val="21"/>
        </w:rPr>
        <w:t>；承接企业为</w:t>
      </w:r>
      <w:r>
        <w:rPr>
          <w:rFonts w:ascii="宋体" w:hAnsi="宋体"/>
          <w:szCs w:val="21"/>
          <w:u w:val="single"/>
        </w:rPr>
        <w:t xml:space="preserve">       （企业名称）  </w:t>
      </w:r>
      <w:r>
        <w:rPr>
          <w:rFonts w:ascii="宋体" w:hAnsi="宋体"/>
          <w:szCs w:val="21"/>
        </w:rPr>
        <w:t>，从业人员</w:t>
      </w:r>
      <w:r>
        <w:rPr>
          <w:rFonts w:hint="eastAsia" w:ascii="宋体" w:hAnsi="宋体"/>
          <w:szCs w:val="21"/>
          <w:u w:val="single"/>
        </w:rPr>
        <w:t xml:space="preserve">      </w:t>
      </w:r>
      <w:r>
        <w:rPr>
          <w:rFonts w:ascii="宋体" w:hAnsi="宋体"/>
          <w:szCs w:val="21"/>
        </w:rPr>
        <w:t>人，营业收入为</w:t>
      </w:r>
      <w:r>
        <w:rPr>
          <w:rFonts w:hint="eastAsia" w:ascii="宋体" w:hAnsi="宋体"/>
          <w:szCs w:val="21"/>
          <w:u w:val="single"/>
        </w:rPr>
        <w:t xml:space="preserve">        </w:t>
      </w:r>
      <w:r>
        <w:rPr>
          <w:rFonts w:ascii="宋体" w:hAnsi="宋体"/>
          <w:szCs w:val="21"/>
        </w:rPr>
        <w:t>万元，资产总额为</w:t>
      </w:r>
      <w:r>
        <w:rPr>
          <w:rFonts w:hint="eastAsia" w:ascii="宋体" w:hAnsi="宋体"/>
          <w:szCs w:val="21"/>
          <w:u w:val="single"/>
        </w:rPr>
        <w:t xml:space="preserve">        </w:t>
      </w:r>
      <w:r>
        <w:rPr>
          <w:rFonts w:ascii="宋体" w:hAnsi="宋体"/>
          <w:szCs w:val="21"/>
        </w:rPr>
        <w:t>万元，属于</w:t>
      </w:r>
      <w:r>
        <w:rPr>
          <w:rFonts w:ascii="宋体" w:hAnsi="宋体"/>
          <w:szCs w:val="21"/>
          <w:u w:val="single"/>
        </w:rPr>
        <w:t xml:space="preserve">        （中型企业、小型企业、微型企业）</w:t>
      </w:r>
      <w:r>
        <w:rPr>
          <w:rFonts w:ascii="宋体" w:hAnsi="宋体"/>
          <w:szCs w:val="21"/>
        </w:rPr>
        <w:t>；</w:t>
      </w:r>
    </w:p>
    <w:p w14:paraId="6479E838">
      <w:pPr>
        <w:widowControl/>
        <w:spacing w:line="240" w:lineRule="auto"/>
        <w:ind w:firstLine="480"/>
        <w:jc w:val="left"/>
      </w:pPr>
      <w:r>
        <w:rPr>
          <w:rFonts w:hint="eastAsia" w:ascii="宋体" w:hAnsi="宋体" w:cs="宋体"/>
          <w:sz w:val="24"/>
        </w:rPr>
        <w:t>……</w:t>
      </w:r>
    </w:p>
    <w:p w14:paraId="33CE9971">
      <w:pPr>
        <w:widowControl/>
        <w:spacing w:line="660" w:lineRule="exact"/>
        <w:ind w:firstLine="480"/>
        <w:jc w:val="left"/>
        <w:rPr>
          <w:rFonts w:hint="eastAsia" w:ascii="宋体" w:hAnsi="宋体"/>
          <w:szCs w:val="21"/>
        </w:rPr>
      </w:pPr>
      <w:r>
        <w:rPr>
          <w:rFonts w:ascii="宋体" w:hAnsi="宋体"/>
          <w:szCs w:val="21"/>
        </w:rPr>
        <w:t>以上企业，不属于大企业的分支机构，不存在控股股东为大企业的情形，也不存在与大企业的负责人为同一人的情形。</w:t>
      </w:r>
    </w:p>
    <w:p w14:paraId="17E14983">
      <w:pPr>
        <w:widowControl/>
        <w:spacing w:line="660" w:lineRule="exact"/>
        <w:ind w:firstLine="480"/>
        <w:jc w:val="left"/>
        <w:rPr>
          <w:rFonts w:hint="eastAsia" w:ascii="宋体" w:hAnsi="宋体"/>
          <w:szCs w:val="21"/>
        </w:rPr>
      </w:pPr>
      <w:r>
        <w:rPr>
          <w:rFonts w:ascii="宋体" w:hAnsi="宋体"/>
          <w:szCs w:val="21"/>
        </w:rPr>
        <w:t>本企业对上述声明内容的真实性负责。如有虚假，将依法承担相应责任。</w:t>
      </w:r>
    </w:p>
    <w:p w14:paraId="38CDE8AD">
      <w:pPr>
        <w:widowControl/>
        <w:spacing w:before="627" w:line="660" w:lineRule="exact"/>
        <w:ind w:firstLine="4080"/>
        <w:jc w:val="left"/>
        <w:rPr>
          <w:rFonts w:hint="eastAsia" w:ascii="宋体" w:hAnsi="宋体"/>
          <w:szCs w:val="21"/>
        </w:rPr>
      </w:pPr>
      <w:r>
        <w:rPr>
          <w:rFonts w:ascii="宋体" w:hAnsi="宋体"/>
          <w:szCs w:val="21"/>
        </w:rPr>
        <w:t>企业名称（盖章）：</w:t>
      </w:r>
    </w:p>
    <w:p w14:paraId="4E6416A1">
      <w:pPr>
        <w:widowControl/>
        <w:spacing w:before="156" w:line="660" w:lineRule="exact"/>
        <w:ind w:firstLine="4080"/>
        <w:jc w:val="left"/>
        <w:rPr>
          <w:rFonts w:hint="eastAsia" w:ascii="宋体" w:hAnsi="宋体"/>
          <w:szCs w:val="21"/>
        </w:rPr>
      </w:pPr>
      <w:r>
        <w:rPr>
          <w:rFonts w:ascii="宋体" w:hAnsi="宋体"/>
          <w:szCs w:val="21"/>
        </w:rPr>
        <w:t>日 期：</w:t>
      </w:r>
    </w:p>
    <w:p w14:paraId="70C4F9E6">
      <w:pPr>
        <w:widowControl/>
        <w:spacing w:line="480" w:lineRule="exact"/>
        <w:ind w:firstLine="435"/>
        <w:jc w:val="left"/>
        <w:rPr>
          <w:rFonts w:hint="eastAsia" w:ascii="宋体" w:hAnsi="宋体"/>
          <w:sz w:val="24"/>
          <w:szCs w:val="22"/>
        </w:rPr>
      </w:pPr>
    </w:p>
    <w:p w14:paraId="4FB3DD79">
      <w:pPr>
        <w:spacing w:line="480" w:lineRule="exact"/>
        <w:ind w:firstLine="435"/>
        <w:jc w:val="left"/>
        <w:rPr>
          <w:rFonts w:hint="eastAsia" w:ascii="宋体" w:hAnsi="宋体"/>
          <w:sz w:val="24"/>
          <w:szCs w:val="22"/>
        </w:rPr>
      </w:pPr>
    </w:p>
    <w:p w14:paraId="42443A9B">
      <w:pPr>
        <w:spacing w:line="480" w:lineRule="exact"/>
        <w:ind w:firstLine="435"/>
        <w:jc w:val="left"/>
        <w:rPr>
          <w:rFonts w:hint="eastAsia" w:ascii="宋体" w:hAnsi="宋体"/>
          <w:sz w:val="24"/>
        </w:rPr>
      </w:pPr>
      <w:r>
        <w:rPr>
          <w:rFonts w:hint="eastAsia" w:ascii="宋体" w:hAnsi="宋体"/>
          <w:sz w:val="24"/>
          <w:szCs w:val="22"/>
        </w:rPr>
        <w:t>注：从</w:t>
      </w:r>
      <w:r>
        <w:rPr>
          <w:rFonts w:hint="eastAsia" w:ascii="宋体" w:hAnsi="宋体"/>
          <w:sz w:val="24"/>
        </w:rPr>
        <w:t>业人员、营业收入、资产总额填报上一年度数据，无上一年度数据的新成立企业可不填报。</w:t>
      </w:r>
    </w:p>
    <w:p w14:paraId="4E89295E">
      <w:pPr>
        <w:spacing w:line="480" w:lineRule="exact"/>
        <w:ind w:firstLine="480"/>
        <w:rPr>
          <w:rFonts w:hint="eastAsia" w:ascii="宋体" w:hAnsi="宋体" w:cs="宋体"/>
          <w:bCs/>
          <w:sz w:val="24"/>
          <w:szCs w:val="22"/>
        </w:rPr>
      </w:pPr>
    </w:p>
    <w:p w14:paraId="7F04EBE9">
      <w:pPr>
        <w:spacing w:line="500" w:lineRule="atLeast"/>
        <w:ind w:right="-92"/>
        <w:jc w:val="center"/>
        <w:outlineLvl w:val="2"/>
        <w:rPr>
          <w:rFonts w:hint="eastAsia" w:ascii="宋体" w:hAnsi="宋体" w:cs="宋体"/>
          <w:sz w:val="28"/>
          <w:szCs w:val="28"/>
        </w:rPr>
      </w:pPr>
      <w:r>
        <w:rPr/>
        <w:br w:type="page" w:clear="all"/>
      </w:r>
      <w:r>
        <w:rPr>
          <w:rFonts w:hint="eastAsia" w:ascii="宋体" w:hAnsi="宋体" w:cs="宋体"/>
          <w:b/>
          <w:sz w:val="28"/>
          <w:szCs w:val="28"/>
        </w:rPr>
        <w:t>属于监狱企业的证明文件（若属于监狱企业）</w:t>
      </w:r>
    </w:p>
    <w:p w14:paraId="7ADB5801">
      <w:pPr>
        <w:spacing w:line="500" w:lineRule="atLeast"/>
        <w:ind w:right="-92"/>
        <w:rPr>
          <w:rFonts w:hint="eastAsia" w:ascii="宋体" w:hAnsi="宋体" w:cs="宋体"/>
          <w:sz w:val="28"/>
          <w:szCs w:val="28"/>
        </w:rPr>
      </w:pPr>
    </w:p>
    <w:p w14:paraId="4BCC2310">
      <w:pPr>
        <w:spacing w:line="500" w:lineRule="atLeast"/>
        <w:ind w:right="-92" w:firstLine="373"/>
        <w:rPr>
          <w:rFonts w:hint="eastAsia" w:ascii="宋体" w:hAnsi="宋体" w:cs="宋体"/>
          <w:b/>
          <w:bCs/>
          <w:szCs w:val="21"/>
        </w:rPr>
      </w:pPr>
      <w:r>
        <w:rPr>
          <w:rFonts w:hint="eastAsia" w:ascii="宋体" w:hAnsi="宋体" w:cs="宋体"/>
          <w:b/>
          <w:bCs/>
          <w:szCs w:val="21"/>
        </w:rPr>
        <w:t>监狱企业参加政府采购活动时，应当提供由省级以上监狱管理局、戒毒管理局（含新疆生产建设兵团）出具的属于监狱企业的证明文件。</w:t>
      </w:r>
    </w:p>
    <w:p w14:paraId="7169EAA9">
      <w:pPr>
        <w:spacing w:line="500" w:lineRule="atLeast"/>
        <w:ind w:right="-92"/>
        <w:rPr>
          <w:rFonts w:hint="eastAsia" w:ascii="宋体" w:hAnsi="宋体" w:cs="宋体"/>
          <w:szCs w:val="21"/>
        </w:rPr>
      </w:pPr>
    </w:p>
    <w:p w14:paraId="075C4B09">
      <w:pPr>
        <w:spacing w:line="500" w:lineRule="atLeast"/>
        <w:ind w:right="-92"/>
        <w:rPr>
          <w:rFonts w:hint="eastAsia" w:ascii="宋体" w:hAnsi="宋体" w:cs="宋体"/>
          <w:b/>
          <w:bCs/>
          <w:szCs w:val="21"/>
        </w:rPr>
      </w:pPr>
      <w:r>
        <w:rPr>
          <w:rFonts w:hint="eastAsia" w:ascii="宋体" w:hAnsi="宋体" w:cs="宋体"/>
          <w:b/>
          <w:bCs/>
          <w:szCs w:val="21"/>
        </w:rPr>
        <w:t>说明：</w:t>
      </w:r>
    </w:p>
    <w:p w14:paraId="7AB752A3">
      <w:pPr>
        <w:widowControl/>
        <w:shd w:val="clear" w:color="auto" w:fill="FFFFFF"/>
        <w:spacing w:line="500" w:lineRule="atLeast"/>
        <w:ind w:right="-92" w:firstLine="371"/>
        <w:jc w:val="left"/>
        <w:rPr>
          <w:rFonts w:hint="eastAsia" w:ascii="宋体" w:hAnsi="宋体" w:cs="宋体"/>
          <w:szCs w:val="21"/>
        </w:rPr>
      </w:pPr>
      <w:r>
        <w:rPr>
          <w:rFonts w:hint="eastAsia" w:ascii="宋体" w:hAnsi="宋体" w:cs="宋体"/>
          <w:szCs w:val="21"/>
        </w:rPr>
        <w:t>一、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65EA2429">
      <w:pPr>
        <w:widowControl/>
        <w:shd w:val="clear" w:color="auto" w:fill="FFFFFF"/>
        <w:spacing w:line="500" w:lineRule="atLeast"/>
        <w:ind w:right="-92" w:firstLine="371"/>
        <w:jc w:val="left"/>
        <w:rPr>
          <w:rFonts w:hint="eastAsia" w:ascii="宋体" w:hAnsi="宋体" w:cs="宋体"/>
          <w:szCs w:val="21"/>
        </w:rPr>
      </w:pPr>
      <w:r>
        <w:rPr>
          <w:rFonts w:hint="eastAsia" w:ascii="宋体" w:hAnsi="宋体" w:cs="宋体"/>
          <w:szCs w:val="21"/>
        </w:rPr>
        <w:t>二、在政府采购活动中，监狱企业视同小型、微型企业，享受预留份额、评审中价格扣除等政府采购促进中小企业发展的政府采购政策。</w:t>
      </w:r>
    </w:p>
    <w:p w14:paraId="627A16EE">
      <w:pPr>
        <w:widowControl/>
        <w:spacing w:line="500" w:lineRule="atLeast"/>
        <w:ind w:right="-92"/>
        <w:jc w:val="left"/>
        <w:rPr>
          <w:rFonts w:hint="eastAsia" w:ascii="宋体" w:hAnsi="宋体" w:cs="宋体"/>
          <w:b/>
          <w:sz w:val="28"/>
          <w:szCs w:val="28"/>
        </w:rPr>
      </w:pPr>
      <w:r>
        <w:rPr>
          <w:rFonts w:hint="eastAsia" w:ascii="宋体" w:hAnsi="宋体" w:cs="宋体"/>
          <w:b/>
          <w:sz w:val="28"/>
          <w:szCs w:val="28"/>
        </w:rPr>
        <w:br w:type="page" w:clear="all"/>
      </w:r>
    </w:p>
    <w:p w14:paraId="00CE80BB">
      <w:pPr>
        <w:spacing w:line="500" w:lineRule="atLeast"/>
        <w:ind w:right="-92"/>
        <w:jc w:val="center"/>
        <w:outlineLvl w:val="2"/>
        <w:rPr>
          <w:rFonts w:hint="eastAsia" w:ascii="宋体" w:hAnsi="宋体" w:cs="宋体"/>
          <w:b/>
          <w:sz w:val="28"/>
          <w:szCs w:val="28"/>
        </w:rPr>
      </w:pPr>
      <w:r>
        <w:rPr>
          <w:rFonts w:hint="eastAsia" w:ascii="宋体" w:hAnsi="宋体" w:cs="宋体"/>
          <w:b/>
          <w:sz w:val="28"/>
          <w:szCs w:val="28"/>
        </w:rPr>
        <w:t>残疾人福利性单位声明函（若属于残疾人福利性单位）</w:t>
      </w:r>
    </w:p>
    <w:p w14:paraId="1AD804A1">
      <w:pPr>
        <w:spacing w:line="500" w:lineRule="atLeast"/>
        <w:ind w:right="-92" w:firstLine="420"/>
        <w:rPr>
          <w:rFonts w:hint="eastAsia" w:ascii="宋体" w:hAnsi="宋体" w:cs="宋体"/>
          <w:szCs w:val="21"/>
        </w:rPr>
      </w:pPr>
      <w:r>
        <w:rPr>
          <w:rFonts w:hint="eastAsia" w:ascii="宋体" w:hAnsi="宋体" w:cs="宋体"/>
          <w:szCs w:val="21"/>
        </w:rPr>
        <w:t>本单位郑重声明，根据《财政部民政部中国残疾人联合会关于促进残疾人就业政府采购政策的通知》（财库〔2017〕141号）的规定，</w:t>
      </w:r>
      <w:r>
        <w:rPr>
          <w:rFonts w:hint="eastAsia" w:ascii="宋体" w:hAnsi="宋体" w:cs="宋体"/>
          <w:b/>
          <w:bCs/>
          <w:szCs w:val="21"/>
        </w:rPr>
        <w:t>本单位为符合条件的残疾人福利性单位</w:t>
      </w:r>
      <w:r>
        <w:rPr>
          <w:rFonts w:hint="eastAsia" w:ascii="宋体" w:hAnsi="宋体" w:cs="宋体"/>
          <w:szCs w:val="21"/>
        </w:rPr>
        <w:t>，且本单位参加______（采购人）单位的______（项目名称）项目采购活动提供本单位制造的货物（由本单位承担工程/提供服务），或者提供其他残疾人福利性单位制造的货物（不包括使用非残疾人福利性单位注册商标的货物）。</w:t>
      </w:r>
    </w:p>
    <w:p w14:paraId="6C366658">
      <w:pPr>
        <w:spacing w:line="500" w:lineRule="atLeast"/>
        <w:ind w:right="-92" w:firstLine="420"/>
        <w:rPr>
          <w:rFonts w:hint="eastAsia" w:ascii="宋体" w:hAnsi="宋体" w:cs="宋体"/>
          <w:szCs w:val="21"/>
        </w:rPr>
      </w:pPr>
      <w:r>
        <w:rPr>
          <w:rFonts w:hint="eastAsia" w:ascii="宋体" w:hAnsi="宋体" w:cs="宋体"/>
          <w:szCs w:val="21"/>
        </w:rPr>
        <w:t>本单位对上述声明的真实性负责。如有虚假，将依法承担相应责任。</w:t>
      </w:r>
    </w:p>
    <w:p w14:paraId="7E013BF5">
      <w:pPr>
        <w:tabs>
          <w:tab w:val="left" w:pos="4860"/>
        </w:tabs>
        <w:spacing w:line="500" w:lineRule="atLeast"/>
        <w:ind w:right="-92" w:firstLine="420"/>
        <w:rPr>
          <w:rFonts w:hint="eastAsia" w:ascii="宋体" w:hAnsi="宋体" w:cs="宋体"/>
          <w:szCs w:val="21"/>
        </w:rPr>
      </w:pPr>
      <w:r>
        <w:rPr>
          <w:rFonts w:hint="eastAsia" w:ascii="宋体" w:hAnsi="宋体" w:cs="宋体"/>
          <w:szCs w:val="21"/>
        </w:rPr>
        <w:t>单位名称（盖章）：</w:t>
      </w:r>
    </w:p>
    <w:p w14:paraId="10662383">
      <w:pPr>
        <w:tabs>
          <w:tab w:val="left" w:pos="4860"/>
        </w:tabs>
        <w:spacing w:line="500" w:lineRule="atLeast"/>
        <w:ind w:right="-92" w:firstLine="420"/>
        <w:rPr>
          <w:rFonts w:hint="eastAsia" w:ascii="宋体" w:hAnsi="宋体" w:cs="宋体"/>
          <w:szCs w:val="21"/>
        </w:rPr>
      </w:pPr>
      <w:r>
        <w:rPr>
          <w:rFonts w:hint="eastAsia" w:ascii="宋体" w:hAnsi="宋体" w:cs="宋体"/>
          <w:szCs w:val="21"/>
        </w:rPr>
        <w:t>日期：</w:t>
      </w:r>
    </w:p>
    <w:p w14:paraId="396D15A8">
      <w:pPr>
        <w:spacing w:line="500" w:lineRule="atLeast"/>
        <w:ind w:right="-92"/>
        <w:rPr>
          <w:rFonts w:hint="eastAsia" w:ascii="宋体" w:hAnsi="宋体" w:cs="宋体"/>
          <w:b/>
          <w:bCs/>
          <w:szCs w:val="21"/>
        </w:rPr>
      </w:pPr>
      <w:r>
        <w:rPr>
          <w:rFonts w:hint="eastAsia" w:ascii="宋体" w:hAnsi="宋体" w:cs="宋体"/>
          <w:b/>
          <w:bCs/>
          <w:szCs w:val="21"/>
        </w:rPr>
        <w:t>说明：</w:t>
      </w:r>
    </w:p>
    <w:p w14:paraId="28E4A94C">
      <w:pPr>
        <w:pStyle w:val="140"/>
        <w:shd w:val="clear" w:color="auto" w:fill="FFFFFF"/>
        <w:spacing w:before="0" w:beforeAutospacing="0" w:after="0" w:afterAutospacing="0" w:line="500" w:lineRule="atLeast"/>
        <w:ind w:right="-92" w:firstLine="371"/>
        <w:rPr>
          <w:rFonts w:hint="eastAsia"/>
          <w:sz w:val="21"/>
          <w:szCs w:val="21"/>
        </w:rPr>
      </w:pPr>
      <w:r>
        <w:rPr>
          <w:rFonts w:hint="eastAsia"/>
          <w:sz w:val="21"/>
          <w:szCs w:val="21"/>
        </w:rPr>
        <w:t>一、享受政府采购支持政策的残疾人福利性单位应当同时满足以下条件：</w:t>
      </w:r>
    </w:p>
    <w:p w14:paraId="673F8539">
      <w:pPr>
        <w:pStyle w:val="140"/>
        <w:shd w:val="clear" w:color="auto" w:fill="FFFFFF"/>
        <w:spacing w:before="0" w:beforeAutospacing="0" w:after="0" w:afterAutospacing="0" w:line="500" w:lineRule="atLeast"/>
        <w:ind w:right="-92" w:firstLine="371"/>
        <w:rPr>
          <w:rFonts w:hint="eastAsia"/>
          <w:sz w:val="21"/>
          <w:szCs w:val="21"/>
        </w:rPr>
      </w:pPr>
      <w:r>
        <w:rPr>
          <w:rFonts w:hint="eastAsia"/>
          <w:sz w:val="21"/>
          <w:szCs w:val="21"/>
        </w:rPr>
        <w:t>（一）安置的残疾人占本单位在职职工人数的比例不低于25%（含25%），并且安置的残疾人人数不少于10人（含10人）；</w:t>
      </w:r>
    </w:p>
    <w:p w14:paraId="0AE6D9E4">
      <w:pPr>
        <w:pStyle w:val="140"/>
        <w:shd w:val="clear" w:color="auto" w:fill="FFFFFF"/>
        <w:spacing w:before="0" w:beforeAutospacing="0" w:after="0" w:afterAutospacing="0" w:line="500" w:lineRule="atLeast"/>
        <w:ind w:right="-92" w:firstLine="371"/>
        <w:rPr>
          <w:rFonts w:hint="eastAsia"/>
          <w:sz w:val="21"/>
          <w:szCs w:val="21"/>
        </w:rPr>
      </w:pPr>
      <w:r>
        <w:rPr>
          <w:rFonts w:hint="eastAsia"/>
          <w:sz w:val="21"/>
          <w:szCs w:val="21"/>
        </w:rPr>
        <w:t>（二）依法与安置的每位残疾人订立了一年以上（含一年）的劳动合同或服务协议；</w:t>
      </w:r>
    </w:p>
    <w:p w14:paraId="5541AECF">
      <w:pPr>
        <w:pStyle w:val="140"/>
        <w:shd w:val="clear" w:color="auto" w:fill="FFFFFF"/>
        <w:spacing w:before="0" w:beforeAutospacing="0" w:after="0" w:afterAutospacing="0" w:line="500" w:lineRule="atLeast"/>
        <w:ind w:right="-92" w:firstLine="371"/>
        <w:rPr>
          <w:rFonts w:hint="eastAsia"/>
          <w:sz w:val="21"/>
          <w:szCs w:val="21"/>
        </w:rPr>
      </w:pPr>
      <w:r>
        <w:rPr>
          <w:rFonts w:hint="eastAsia"/>
          <w:sz w:val="21"/>
          <w:szCs w:val="21"/>
        </w:rPr>
        <w:t>（三）为安置的每位残疾人按月足额缴纳了基本养老保险、基本医疗保险、失业保险、工伤保险和生育保险等社会保险费；</w:t>
      </w:r>
    </w:p>
    <w:p w14:paraId="53DC10C4">
      <w:pPr>
        <w:pStyle w:val="140"/>
        <w:shd w:val="clear" w:color="auto" w:fill="FFFFFF"/>
        <w:spacing w:before="0" w:beforeAutospacing="0" w:after="0" w:afterAutospacing="0" w:line="500" w:lineRule="atLeast"/>
        <w:ind w:right="-92" w:firstLine="371"/>
        <w:rPr>
          <w:rFonts w:hint="eastAsia"/>
          <w:sz w:val="21"/>
          <w:szCs w:val="21"/>
        </w:rPr>
      </w:pPr>
      <w:r>
        <w:rPr>
          <w:rFonts w:hint="eastAsia"/>
          <w:sz w:val="21"/>
          <w:szCs w:val="21"/>
        </w:rPr>
        <w:t>（四）通过银行等金融机构向安置的每位残疾人，按季支付了不低于单位所在区县适用的经省级人民政府批准的月最低工资标准的工资；</w:t>
      </w:r>
    </w:p>
    <w:p w14:paraId="3C7C19AD">
      <w:pPr>
        <w:pStyle w:val="140"/>
        <w:shd w:val="clear" w:color="auto" w:fill="FFFFFF"/>
        <w:spacing w:before="0" w:beforeAutospacing="0" w:after="0" w:afterAutospacing="0" w:line="500" w:lineRule="atLeast"/>
        <w:ind w:right="-92" w:firstLine="371"/>
        <w:rPr>
          <w:rFonts w:hint="eastAsia"/>
          <w:sz w:val="21"/>
          <w:szCs w:val="21"/>
        </w:rPr>
      </w:pPr>
      <w:r>
        <w:rPr>
          <w:rFonts w:hint="eastAsia"/>
          <w:sz w:val="21"/>
          <w:szCs w:val="21"/>
        </w:rPr>
        <w:t>（五）提供本单位制造的货物、承担的工程或者服务（以下简称产品），或者提供其他残疾人福利性单位制造的货物（不包括使用非残疾人福利性单位注册商标的货物）。</w:t>
      </w:r>
    </w:p>
    <w:p w14:paraId="7FF1DFF4">
      <w:pPr>
        <w:pStyle w:val="140"/>
        <w:shd w:val="clear" w:color="auto" w:fill="FFFFFF"/>
        <w:spacing w:before="0" w:beforeAutospacing="0" w:after="0" w:afterAutospacing="0" w:line="500" w:lineRule="atLeast"/>
        <w:ind w:right="-92" w:firstLine="371"/>
        <w:rPr>
          <w:rFonts w:hint="eastAsia"/>
          <w:sz w:val="21"/>
          <w:szCs w:val="21"/>
        </w:rPr>
      </w:pPr>
      <w:r>
        <w:rPr>
          <w:rFonts w:hint="eastAsia"/>
          <w:sz w:val="21"/>
          <w:szCs w:val="21"/>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订立劳动合同或者服务协议的雇员人数。</w:t>
      </w:r>
    </w:p>
    <w:p w14:paraId="7D29993C">
      <w:pPr>
        <w:pStyle w:val="140"/>
        <w:shd w:val="clear" w:color="auto" w:fill="FFFFFF"/>
        <w:spacing w:before="0" w:beforeAutospacing="0" w:after="0" w:afterAutospacing="0" w:line="500" w:lineRule="atLeast"/>
        <w:ind w:right="-92" w:firstLine="371"/>
        <w:rPr>
          <w:rFonts w:hint="eastAsia"/>
          <w:sz w:val="21"/>
          <w:szCs w:val="21"/>
        </w:rPr>
      </w:pPr>
      <w:r>
        <w:rPr>
          <w:rFonts w:hint="eastAsia"/>
          <w:sz w:val="21"/>
          <w:szCs w:val="21"/>
        </w:rPr>
        <w:t>二、符合条件的残疾人福利性单位在参加政府采购活动时，应当提供财库〔2017〕141号文件规定的《残疾人福利性单位声明函》，并对声明的真实性负责。</w:t>
      </w:r>
    </w:p>
    <w:p w14:paraId="3FE88DE8">
      <w:pPr>
        <w:pStyle w:val="140"/>
        <w:shd w:val="clear" w:color="auto" w:fill="FFFFFF"/>
        <w:spacing w:before="0" w:beforeAutospacing="0" w:after="0" w:afterAutospacing="0" w:line="500" w:lineRule="atLeast"/>
        <w:ind w:right="-92" w:firstLine="371"/>
        <w:rPr>
          <w:rFonts w:hint="eastAsia"/>
          <w:sz w:val="21"/>
          <w:szCs w:val="21"/>
        </w:rPr>
      </w:pPr>
      <w:r>
        <w:rPr>
          <w:rFonts w:hint="eastAsia"/>
          <w:sz w:val="21"/>
          <w:szCs w:val="21"/>
        </w:rPr>
        <w:t>三、在政府采购活动中，残疾人福利性单位视同小型、微型企业，享受预留份额、评审中价格扣除等促进中小企业发展的政府采购政策。</w:t>
      </w:r>
    </w:p>
    <w:p w14:paraId="5798C18A">
      <w:pPr>
        <w:pStyle w:val="140"/>
        <w:shd w:val="clear" w:color="auto" w:fill="FFFFFF"/>
        <w:spacing w:before="0" w:beforeAutospacing="0" w:after="0" w:afterAutospacing="0" w:line="500" w:lineRule="atLeast"/>
        <w:ind w:right="-92" w:firstLine="371"/>
        <w:rPr>
          <w:rFonts w:hint="eastAsia"/>
          <w:color w:val="000000"/>
          <w:szCs w:val="21"/>
        </w:rPr>
      </w:pPr>
      <w:r>
        <w:rPr>
          <w:rFonts w:hint="eastAsia"/>
          <w:sz w:val="21"/>
          <w:szCs w:val="21"/>
        </w:rPr>
        <w:t>残疾人福利性单位属于小型、微型企业的，不重复享受政策。</w:t>
      </w:r>
    </w:p>
    <w:p w14:paraId="1A45B72F">
      <w:pPr>
        <w:ind w:firstLine="210"/>
        <w:rPr>
          <w:rFonts w:hint="eastAsia" w:ascii="宋体" w:hAnsi="宋体"/>
          <w:sz w:val="24"/>
        </w:rPr>
      </w:pPr>
      <w:r>
        <w:rPr>
          <w:rFonts w:ascii="宋体" w:hAnsi="宋体"/>
          <w:color w:val="000000"/>
          <w:szCs w:val="21"/>
        </w:rPr>
        <w:br w:type="page" w:clear="all"/>
      </w:r>
      <w:r>
        <w:rPr>
          <w:rFonts w:hint="eastAsia" w:ascii="宋体" w:hAnsi="宋体"/>
          <w:sz w:val="24"/>
        </w:rPr>
        <w:t>格式十：</w:t>
      </w:r>
    </w:p>
    <w:p w14:paraId="7F9136B3">
      <w:pPr>
        <w:rPr>
          <w:rFonts w:hint="eastAsia" w:ascii="宋体" w:hAnsi="宋体"/>
          <w:color w:val="000000"/>
          <w:szCs w:val="21"/>
        </w:rPr>
      </w:pPr>
    </w:p>
    <w:p w14:paraId="00EC6CD0">
      <w:pPr>
        <w:jc w:val="center"/>
        <w:rPr>
          <w:rFonts w:hint="eastAsia" w:ascii="宋体" w:hAnsi="宋体"/>
          <w:b/>
          <w:color w:val="000000"/>
          <w:sz w:val="32"/>
          <w:szCs w:val="32"/>
        </w:rPr>
      </w:pPr>
      <w:r>
        <w:rPr>
          <w:rFonts w:hint="eastAsia" w:ascii="宋体" w:hAnsi="宋体"/>
          <w:b/>
          <w:color w:val="000000"/>
          <w:sz w:val="32"/>
          <w:szCs w:val="32"/>
        </w:rPr>
        <w:t>盐城市大丰区政府招标采购供应商承诺书</w:t>
      </w:r>
    </w:p>
    <w:p w14:paraId="09171DBD">
      <w:pPr>
        <w:spacing w:line="400" w:lineRule="exact"/>
        <w:ind w:firstLine="600"/>
        <w:rPr>
          <w:sz w:val="30"/>
          <w:szCs w:val="30"/>
        </w:rPr>
      </w:pPr>
    </w:p>
    <w:p w14:paraId="56DC9BA6">
      <w:pPr>
        <w:spacing w:line="480" w:lineRule="exact"/>
        <w:ind w:firstLine="420"/>
        <w:rPr>
          <w:rFonts w:hint="eastAsia" w:ascii="宋体" w:hAnsi="宋体" w:cs="仿宋"/>
          <w:szCs w:val="21"/>
          <w:u w:val="single"/>
        </w:rPr>
      </w:pPr>
      <w:r>
        <w:rPr>
          <w:rFonts w:hint="eastAsia" w:ascii="宋体" w:hAnsi="宋体" w:cs="仿宋"/>
          <w:szCs w:val="21"/>
        </w:rPr>
        <w:t>为营造公开、公平、公正、诚实守信的政府招标采购交易环境，树立诚信守法的供应商形象，本单位参加政府招标采购项目</w:t>
      </w:r>
      <w:r>
        <w:rPr>
          <w:rFonts w:hint="eastAsia" w:ascii="宋体" w:hAnsi="宋体" w:cs="仿宋"/>
          <w:szCs w:val="21"/>
          <w:u w:val="single"/>
        </w:rPr>
        <w:t xml:space="preserve">：                                       </w:t>
      </w:r>
    </w:p>
    <w:p w14:paraId="684C194A">
      <w:pPr>
        <w:spacing w:line="480" w:lineRule="exact"/>
        <w:ind w:firstLine="200"/>
        <w:rPr>
          <w:rFonts w:hint="eastAsia" w:ascii="宋体" w:hAnsi="宋体" w:cs="仿宋"/>
          <w:szCs w:val="21"/>
        </w:rPr>
      </w:pPr>
      <w:r>
        <w:rPr>
          <w:rFonts w:hint="eastAsia" w:ascii="宋体" w:hAnsi="宋体" w:cs="仿宋"/>
          <w:szCs w:val="21"/>
        </w:rPr>
        <w:t>的招标采购活动，本人代表本单位作出以下承诺：</w:t>
      </w:r>
    </w:p>
    <w:p w14:paraId="4A731648">
      <w:pPr>
        <w:spacing w:line="480" w:lineRule="exact"/>
        <w:ind w:firstLine="420"/>
        <w:rPr>
          <w:rFonts w:hint="eastAsia" w:ascii="宋体" w:hAnsi="宋体" w:cs="仿宋"/>
          <w:szCs w:val="21"/>
        </w:rPr>
      </w:pPr>
      <w:r>
        <w:rPr>
          <w:rFonts w:hint="eastAsia" w:ascii="宋体" w:hAnsi="宋体" w:cs="仿宋"/>
          <w:szCs w:val="21"/>
        </w:rPr>
        <w:t>（一）本单位对所提交的企（事）业单位基本信息、企（事）业负责人、项目负责人、技术负责人、从业资质和资格、业绩、财务状况、信誉等所有资料，均合法、真实、准确、有效，无任何伪造、修改、虚假成分，并对所提供资料的真实性负责；</w:t>
      </w:r>
    </w:p>
    <w:p w14:paraId="3C2A9F4C">
      <w:pPr>
        <w:spacing w:line="480" w:lineRule="exact"/>
        <w:ind w:firstLine="420"/>
        <w:rPr>
          <w:rFonts w:hint="eastAsia" w:ascii="宋体" w:hAnsi="宋体" w:cs="仿宋"/>
          <w:szCs w:val="21"/>
        </w:rPr>
      </w:pPr>
      <w:r>
        <w:rPr>
          <w:rFonts w:hint="eastAsia" w:ascii="宋体" w:hAnsi="宋体" w:cs="仿宋"/>
          <w:szCs w:val="21"/>
        </w:rPr>
        <w:t>（二）本单位无涉及政府招标采购活动的违法、违规不良记录，我公司及相关负责人无因存在重大隐患整改不力、发生有重大社会影响生产安全事故或其他严重违法违规行为而被列入失信联合惩戒的不良记录；</w:t>
      </w:r>
    </w:p>
    <w:p w14:paraId="4A2E09F7">
      <w:pPr>
        <w:spacing w:line="480" w:lineRule="exact"/>
        <w:ind w:firstLine="420"/>
        <w:rPr>
          <w:rFonts w:hint="eastAsia" w:ascii="宋体" w:hAnsi="宋体" w:cs="仿宋"/>
          <w:szCs w:val="21"/>
        </w:rPr>
      </w:pPr>
      <w:r>
        <w:rPr>
          <w:rFonts w:hint="eastAsia" w:ascii="宋体" w:hAnsi="宋体" w:cs="仿宋"/>
          <w:szCs w:val="21"/>
        </w:rPr>
        <w:t xml:space="preserve">（三）严格依照国家和省、市关于政府招标采购的法律法规、规章、规范性文件，参加政府招标采购的投标活动；积极履行社会责任，促进廉政建设； </w:t>
      </w:r>
    </w:p>
    <w:p w14:paraId="63411D06">
      <w:pPr>
        <w:spacing w:line="480" w:lineRule="exact"/>
        <w:ind w:firstLine="200"/>
        <w:rPr>
          <w:rFonts w:hint="eastAsia" w:ascii="宋体" w:hAnsi="宋体" w:cs="仿宋"/>
          <w:szCs w:val="21"/>
        </w:rPr>
      </w:pPr>
      <w:r>
        <w:rPr>
          <w:rFonts w:hint="eastAsia" w:ascii="宋体" w:hAnsi="宋体" w:cs="仿宋"/>
          <w:szCs w:val="21"/>
        </w:rPr>
        <w:t>   （四）严格遵守即时信息公示规定，及时维护和更新盐城市政府采购网、苏采云交易平台中与本单位相关的信息；</w:t>
      </w:r>
    </w:p>
    <w:p w14:paraId="54035648">
      <w:pPr>
        <w:spacing w:line="480" w:lineRule="exact"/>
        <w:ind w:firstLine="200"/>
        <w:rPr>
          <w:rFonts w:hint="eastAsia" w:ascii="宋体" w:hAnsi="宋体" w:cs="仿宋"/>
          <w:szCs w:val="21"/>
        </w:rPr>
      </w:pPr>
      <w:r>
        <w:rPr>
          <w:rFonts w:hint="eastAsia" w:ascii="宋体" w:hAnsi="宋体" w:cs="仿宋"/>
          <w:szCs w:val="21"/>
        </w:rPr>
        <w:t>（五）自我约束、自我管理，守合同、重信用，自觉维护政府招标采购交易的良好秩序，与参与本次政府招标采购活动的其他供应商不存在直接控股或管理关系，不参与围标串标、弄虚作假、骗取中标、干扰评标、违约毁约等行为；</w:t>
      </w:r>
    </w:p>
    <w:p w14:paraId="1F11DF9A">
      <w:pPr>
        <w:spacing w:line="480" w:lineRule="exact"/>
        <w:ind w:firstLine="200"/>
        <w:rPr>
          <w:rFonts w:hint="eastAsia" w:ascii="宋体" w:hAnsi="宋体" w:cs="仿宋"/>
          <w:szCs w:val="21"/>
        </w:rPr>
      </w:pPr>
      <w:r>
        <w:rPr>
          <w:rFonts w:hint="eastAsia" w:ascii="宋体" w:hAnsi="宋体" w:cs="仿宋"/>
          <w:szCs w:val="21"/>
        </w:rPr>
        <w:t>（六）自觉接受政府、行业组织、社会公众、新闻舆论的监督；</w:t>
      </w:r>
    </w:p>
    <w:p w14:paraId="0BBBC973">
      <w:pPr>
        <w:spacing w:line="480" w:lineRule="exact"/>
        <w:ind w:firstLine="200"/>
        <w:rPr>
          <w:rFonts w:hint="eastAsia" w:ascii="宋体" w:hAnsi="宋体" w:cs="仿宋"/>
          <w:szCs w:val="21"/>
        </w:rPr>
      </w:pPr>
      <w:r>
        <w:rPr>
          <w:rFonts w:hint="eastAsia" w:ascii="宋体" w:hAnsi="宋体" w:cs="仿宋"/>
          <w:szCs w:val="21"/>
        </w:rPr>
        <w:t>（七）本单位自愿接受政府采购监督管理机构和有关行政监督部门的依法检查。如发生违法违规或不良失信行为，自愿接受政府采购监督管理机构和有关行政监督部门依法给予的行政处罚（处理），并依法承担相应责任；</w:t>
      </w:r>
    </w:p>
    <w:p w14:paraId="3E2C0496">
      <w:pPr>
        <w:spacing w:line="480" w:lineRule="exact"/>
        <w:ind w:firstLine="200"/>
        <w:rPr>
          <w:rFonts w:hint="eastAsia" w:ascii="宋体" w:hAnsi="宋体" w:cs="仿宋"/>
          <w:szCs w:val="21"/>
        </w:rPr>
      </w:pPr>
      <w:r>
        <w:rPr>
          <w:rFonts w:hint="eastAsia" w:ascii="宋体" w:hAnsi="宋体" w:cs="仿宋"/>
          <w:szCs w:val="21"/>
        </w:rPr>
        <w:t>（八）本人已认真阅读了上述承诺，并向本单位员工做了宣传教育。</w:t>
      </w:r>
    </w:p>
    <w:p w14:paraId="39B8D718">
      <w:pPr>
        <w:spacing w:line="340" w:lineRule="exact"/>
        <w:ind w:firstLine="420"/>
        <w:rPr>
          <w:rFonts w:hint="eastAsia" w:ascii="仿宋" w:hAnsi="仿宋" w:eastAsia="仿宋" w:cs="仿宋"/>
          <w:szCs w:val="21"/>
        </w:rPr>
      </w:pPr>
    </w:p>
    <w:p w14:paraId="03207D14">
      <w:pPr>
        <w:spacing w:line="340" w:lineRule="exact"/>
        <w:ind w:firstLine="420"/>
        <w:rPr>
          <w:rFonts w:hint="eastAsia" w:ascii="仿宋" w:hAnsi="仿宋" w:eastAsia="仿宋" w:cs="仿宋"/>
          <w:szCs w:val="21"/>
        </w:rPr>
      </w:pPr>
    </w:p>
    <w:p w14:paraId="106B1513">
      <w:pPr>
        <w:spacing w:line="340" w:lineRule="exact"/>
        <w:ind w:firstLine="420"/>
        <w:rPr>
          <w:rFonts w:hint="eastAsia" w:ascii="宋体" w:hAnsi="宋体" w:cs="仿宋"/>
          <w:szCs w:val="21"/>
        </w:rPr>
      </w:pPr>
      <w:r>
        <w:rPr>
          <w:rFonts w:hint="eastAsia" w:ascii="宋体" w:hAnsi="宋体" w:cs="仿宋"/>
          <w:szCs w:val="21"/>
        </w:rPr>
        <w:t>法定代表人签</w:t>
      </w:r>
      <w:r>
        <w:rPr>
          <w:rFonts w:hint="eastAsia" w:ascii="宋体" w:hAnsi="宋体" w:cs="仿宋"/>
          <w:color w:val="FF0000"/>
          <w:szCs w:val="21"/>
        </w:rPr>
        <w:t>名</w:t>
      </w:r>
      <w:r>
        <w:rPr>
          <w:rFonts w:hint="eastAsia" w:ascii="宋体" w:hAnsi="宋体" w:cs="仿宋"/>
          <w:szCs w:val="21"/>
        </w:rPr>
        <w:t xml:space="preserve">：           </w:t>
      </w:r>
      <w:r>
        <w:rPr>
          <w:rFonts w:ascii="宋体" w:hAnsi="宋体" w:cs="仿宋"/>
          <w:szCs w:val="21"/>
        </w:rPr>
        <w:t xml:space="preserve">                        </w:t>
      </w:r>
      <w:r>
        <w:rPr>
          <w:rFonts w:hint="eastAsia" w:ascii="宋体" w:hAnsi="宋体" w:cs="仿宋"/>
          <w:szCs w:val="21"/>
        </w:rPr>
        <w:t>单位名称（盖章）：</w:t>
      </w:r>
    </w:p>
    <w:p w14:paraId="77144534">
      <w:pPr>
        <w:spacing w:line="340" w:lineRule="exact"/>
        <w:rPr>
          <w:rFonts w:hint="eastAsia" w:ascii="宋体" w:hAnsi="宋体" w:cs="仿宋"/>
          <w:szCs w:val="21"/>
        </w:rPr>
      </w:pPr>
    </w:p>
    <w:p w14:paraId="5FAFE1C9">
      <w:pPr>
        <w:spacing w:line="340" w:lineRule="exact"/>
        <w:ind w:firstLine="7770"/>
        <w:rPr>
          <w:rFonts w:hint="eastAsia" w:ascii="宋体" w:hAnsi="宋体" w:cs="仿宋"/>
          <w:szCs w:val="21"/>
        </w:rPr>
      </w:pPr>
      <w:r>
        <w:rPr>
          <w:rFonts w:hint="eastAsia" w:ascii="宋体" w:hAnsi="宋体" w:cs="仿宋"/>
          <w:szCs w:val="21"/>
        </w:rPr>
        <w:t>年    月    日</w:t>
      </w:r>
    </w:p>
    <w:p w14:paraId="7975CCA2">
      <w:pPr>
        <w:jc w:val="left"/>
        <w:rPr>
          <w:rFonts w:hint="eastAsia" w:ascii="宋体" w:hAnsi="宋体"/>
          <w:sz w:val="24"/>
        </w:rPr>
        <w:sectPr>
          <w:headerReference r:id="rId14" w:type="default"/>
          <w:footerReference r:id="rId15" w:type="default"/>
          <w:footerReference r:id="rId16" w:type="even"/>
          <w:pgSz w:w="11911" w:h="16838"/>
          <w:pgMar w:top="1440" w:right="1253" w:bottom="1440" w:left="1253" w:header="0" w:footer="1400" w:gutter="0"/>
          <w:cols w:space="0" w:num="1"/>
          <w:docGrid w:linePitch="360" w:charSpace="0"/>
        </w:sectPr>
      </w:pPr>
    </w:p>
    <w:p w14:paraId="37386348">
      <w:pPr>
        <w:jc w:val="left"/>
        <w:rPr>
          <w:rFonts w:hint="eastAsia" w:ascii="宋体" w:hAnsi="宋体"/>
          <w:sz w:val="24"/>
        </w:rPr>
      </w:pPr>
      <w:r>
        <w:rPr>
          <w:rFonts w:hint="eastAsia" w:ascii="宋体" w:hAnsi="宋体"/>
          <w:sz w:val="24"/>
        </w:rPr>
        <w:t>格式十一：</w:t>
      </w:r>
    </w:p>
    <w:p w14:paraId="09458186">
      <w:pPr>
        <w:jc w:val="center"/>
        <w:rPr>
          <w:rFonts w:hint="eastAsia" w:ascii="宋体" w:hAnsi="宋体"/>
          <w:b/>
          <w:sz w:val="32"/>
          <w:szCs w:val="32"/>
        </w:rPr>
      </w:pPr>
      <w:r>
        <w:rPr>
          <w:rFonts w:hint="eastAsia" w:ascii="宋体" w:hAnsi="宋体"/>
          <w:b/>
          <w:sz w:val="32"/>
          <w:szCs w:val="32"/>
        </w:rPr>
        <w:t>开标一览表</w:t>
      </w:r>
    </w:p>
    <w:p w14:paraId="4A86A647">
      <w:pPr>
        <w:spacing w:line="480" w:lineRule="exact"/>
        <w:ind w:firstLine="210"/>
        <w:jc w:val="left"/>
        <w:rPr>
          <w:rFonts w:hint="eastAsia" w:ascii="宋体" w:hAnsi="宋体" w:cs="Segoe UI"/>
          <w:szCs w:val="21"/>
        </w:rPr>
      </w:pPr>
      <w:r>
        <w:rPr>
          <w:rFonts w:hint="eastAsia" w:ascii="宋体" w:hAnsi="宋体" w:cs="Segoe UI"/>
          <w:szCs w:val="21"/>
        </w:rPr>
        <w:t xml:space="preserve">项目编号： </w:t>
      </w:r>
    </w:p>
    <w:p w14:paraId="2AA5DF44">
      <w:pPr>
        <w:widowControl/>
        <w:spacing w:before="100" w:beforeAutospacing="1" w:after="100" w:afterAutospacing="1"/>
        <w:ind w:firstLine="210"/>
        <w:jc w:val="left"/>
        <w:rPr>
          <w:rFonts w:hint="eastAsia" w:ascii="宋体" w:hAnsi="宋体" w:cs="Segoe UI"/>
          <w:szCs w:val="21"/>
        </w:rPr>
      </w:pPr>
      <w:r>
        <w:rPr>
          <w:rFonts w:ascii="宋体" w:hAnsi="宋体" w:cs="Segoe UI"/>
          <w:szCs w:val="21"/>
        </w:rPr>
        <w:t>货币单位：人民币元</w:t>
      </w:r>
    </w:p>
    <w:tbl>
      <w:tblPr>
        <w:tblStyle w:val="35"/>
        <w:tblW w:w="9497"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02"/>
        <w:gridCol w:w="1765"/>
        <w:gridCol w:w="2349"/>
        <w:gridCol w:w="3081"/>
      </w:tblGrid>
      <w:tr w14:paraId="3D28E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2302" w:type="dxa"/>
            <w:vAlign w:val="center"/>
          </w:tcPr>
          <w:p w14:paraId="3872F5A4">
            <w:pPr>
              <w:widowControl/>
              <w:spacing w:before="100" w:beforeAutospacing="1" w:after="100" w:afterAutospacing="1"/>
              <w:jc w:val="center"/>
              <w:rPr>
                <w:rFonts w:hint="eastAsia" w:ascii="宋体" w:hAnsi="宋体" w:cs="Segoe UI"/>
                <w:szCs w:val="21"/>
              </w:rPr>
            </w:pPr>
            <w:r>
              <w:rPr>
                <w:rFonts w:hint="eastAsia" w:ascii="宋体" w:hAnsi="宋体" w:cs="Segoe UI"/>
                <w:szCs w:val="21"/>
              </w:rPr>
              <w:t>项目</w:t>
            </w:r>
            <w:r>
              <w:rPr>
                <w:rFonts w:ascii="宋体" w:hAnsi="宋体" w:cs="Segoe UI"/>
                <w:szCs w:val="21"/>
              </w:rPr>
              <w:t>名称</w:t>
            </w:r>
          </w:p>
        </w:tc>
        <w:tc>
          <w:tcPr>
            <w:tcW w:w="1765" w:type="dxa"/>
            <w:vAlign w:val="center"/>
          </w:tcPr>
          <w:p w14:paraId="2D46686D">
            <w:pPr>
              <w:widowControl/>
              <w:spacing w:before="100" w:beforeAutospacing="1" w:after="100" w:afterAutospacing="1"/>
              <w:jc w:val="center"/>
              <w:rPr>
                <w:rFonts w:hint="eastAsia" w:ascii="宋体" w:hAnsi="宋体" w:cs="Segoe UI"/>
                <w:szCs w:val="21"/>
              </w:rPr>
            </w:pPr>
            <w:r>
              <w:rPr>
                <w:rFonts w:ascii="宋体" w:hAnsi="宋体" w:cs="Segoe UI"/>
                <w:szCs w:val="21"/>
              </w:rPr>
              <w:t>项目内容</w:t>
            </w:r>
          </w:p>
        </w:tc>
        <w:tc>
          <w:tcPr>
            <w:tcW w:w="2349" w:type="dxa"/>
            <w:vAlign w:val="center"/>
          </w:tcPr>
          <w:p w14:paraId="0120DAE5">
            <w:pPr>
              <w:widowControl/>
              <w:spacing w:before="100" w:beforeAutospacing="1" w:after="100" w:afterAutospacing="1"/>
              <w:jc w:val="center"/>
              <w:rPr>
                <w:rFonts w:hint="eastAsia" w:ascii="宋体" w:hAnsi="宋体" w:cs="Segoe UI"/>
                <w:szCs w:val="21"/>
              </w:rPr>
            </w:pPr>
            <w:r>
              <w:rPr>
                <w:rFonts w:hint="eastAsia" w:ascii="宋体" w:hAnsi="宋体" w:cs="Segoe UI"/>
                <w:szCs w:val="21"/>
              </w:rPr>
              <w:t>项目负责人</w:t>
            </w:r>
          </w:p>
        </w:tc>
        <w:tc>
          <w:tcPr>
            <w:tcW w:w="3081" w:type="dxa"/>
            <w:vAlign w:val="center"/>
          </w:tcPr>
          <w:p w14:paraId="647A26A1">
            <w:pPr>
              <w:widowControl/>
              <w:spacing w:before="100" w:beforeAutospacing="1" w:after="100" w:afterAutospacing="1"/>
              <w:jc w:val="center"/>
              <w:rPr>
                <w:rFonts w:hint="eastAsia" w:ascii="宋体" w:hAnsi="宋体" w:cs="Segoe UI"/>
                <w:szCs w:val="21"/>
              </w:rPr>
            </w:pPr>
            <w:r>
              <w:rPr>
                <w:rFonts w:hint="eastAsia" w:ascii="宋体" w:hAnsi="宋体" w:cs="Segoe UI"/>
                <w:szCs w:val="21"/>
              </w:rPr>
              <w:t>总</w:t>
            </w:r>
            <w:r>
              <w:rPr>
                <w:rFonts w:ascii="宋体" w:hAnsi="宋体" w:cs="Segoe UI"/>
                <w:szCs w:val="21"/>
              </w:rPr>
              <w:t>价（小写）</w:t>
            </w:r>
          </w:p>
        </w:tc>
      </w:tr>
      <w:tr w14:paraId="05CC6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7" w:hRule="atLeast"/>
        </w:trPr>
        <w:tc>
          <w:tcPr>
            <w:tcW w:w="2302" w:type="dxa"/>
            <w:vAlign w:val="center"/>
          </w:tcPr>
          <w:p w14:paraId="65DE3EFF">
            <w:pPr>
              <w:widowControl/>
              <w:spacing w:before="100" w:beforeAutospacing="1" w:after="100" w:afterAutospacing="1"/>
              <w:jc w:val="center"/>
              <w:rPr>
                <w:rFonts w:hint="eastAsia" w:ascii="宋体" w:hAnsi="宋体" w:cs="Segoe UI"/>
                <w:szCs w:val="21"/>
              </w:rPr>
            </w:pPr>
          </w:p>
        </w:tc>
        <w:tc>
          <w:tcPr>
            <w:tcW w:w="1765" w:type="dxa"/>
            <w:vAlign w:val="center"/>
          </w:tcPr>
          <w:p w14:paraId="1A23A5C4">
            <w:pPr>
              <w:widowControl/>
              <w:spacing w:before="100" w:beforeAutospacing="1" w:after="100" w:afterAutospacing="1"/>
              <w:jc w:val="center"/>
              <w:rPr>
                <w:rFonts w:hint="eastAsia" w:ascii="宋体" w:hAnsi="宋体" w:cs="Segoe UI"/>
                <w:szCs w:val="21"/>
              </w:rPr>
            </w:pPr>
            <w:r>
              <w:rPr>
                <w:rFonts w:ascii="宋体" w:hAnsi="宋体" w:cs="Segoe UI"/>
                <w:szCs w:val="21"/>
              </w:rPr>
              <w:t>详见投标文件</w:t>
            </w:r>
          </w:p>
        </w:tc>
        <w:tc>
          <w:tcPr>
            <w:tcW w:w="2349" w:type="dxa"/>
            <w:vAlign w:val="center"/>
          </w:tcPr>
          <w:p w14:paraId="649AFD9C">
            <w:pPr>
              <w:widowControl/>
              <w:spacing w:before="100" w:beforeAutospacing="1" w:after="100" w:afterAutospacing="1"/>
              <w:jc w:val="center"/>
              <w:rPr>
                <w:rFonts w:hint="eastAsia" w:ascii="宋体" w:hAnsi="宋体" w:cs="Segoe UI"/>
                <w:szCs w:val="21"/>
              </w:rPr>
            </w:pPr>
          </w:p>
        </w:tc>
        <w:tc>
          <w:tcPr>
            <w:tcW w:w="3081" w:type="dxa"/>
            <w:vAlign w:val="center"/>
          </w:tcPr>
          <w:p w14:paraId="2900265C">
            <w:pPr>
              <w:widowControl/>
              <w:spacing w:before="100" w:beforeAutospacing="1" w:after="100" w:afterAutospacing="1"/>
              <w:jc w:val="right"/>
              <w:rPr>
                <w:rFonts w:hint="eastAsia" w:ascii="宋体" w:hAnsi="宋体" w:cs="Segoe UI"/>
                <w:szCs w:val="21"/>
              </w:rPr>
            </w:pPr>
            <w:r>
              <w:rPr>
                <w:rFonts w:hint="eastAsia" w:ascii="宋体" w:hAnsi="宋体" w:cs="Segoe UI"/>
                <w:szCs w:val="21"/>
              </w:rPr>
              <w:t xml:space="preserve"> </w:t>
            </w:r>
            <w:r>
              <w:rPr>
                <w:rFonts w:ascii="宋体" w:hAnsi="宋体" w:cs="Segoe UI"/>
                <w:szCs w:val="21"/>
              </w:rPr>
              <w:t xml:space="preserve">  </w:t>
            </w:r>
            <w:r>
              <w:rPr>
                <w:rFonts w:hint="eastAsia" w:ascii="宋体" w:hAnsi="宋体" w:cs="Segoe UI"/>
                <w:szCs w:val="21"/>
              </w:rPr>
              <w:t>元</w:t>
            </w:r>
          </w:p>
        </w:tc>
      </w:tr>
      <w:tr w14:paraId="25392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rPr>
        <w:tc>
          <w:tcPr>
            <w:tcW w:w="9497" w:type="dxa"/>
            <w:gridSpan w:val="4"/>
            <w:vAlign w:val="center"/>
          </w:tcPr>
          <w:p w14:paraId="0D58DD94">
            <w:pPr>
              <w:widowControl/>
              <w:spacing w:before="100" w:beforeAutospacing="1" w:after="100" w:afterAutospacing="1"/>
              <w:jc w:val="left"/>
              <w:rPr>
                <w:rFonts w:hint="eastAsia" w:ascii="宋体" w:hAnsi="宋体" w:cs="Segoe UI"/>
                <w:szCs w:val="21"/>
              </w:rPr>
            </w:pPr>
            <w:r>
              <w:rPr>
                <w:rFonts w:hint="eastAsia" w:ascii="宋体" w:hAnsi="宋体" w:cs="Segoe UI"/>
                <w:szCs w:val="21"/>
              </w:rPr>
              <w:t>总价</w:t>
            </w:r>
            <w:r>
              <w:rPr>
                <w:rFonts w:ascii="宋体" w:hAnsi="宋体" w:cs="Segoe UI"/>
                <w:szCs w:val="21"/>
              </w:rPr>
              <w:t>金额大写</w:t>
            </w:r>
            <w:r>
              <w:rPr>
                <w:rFonts w:hint="eastAsia" w:ascii="宋体" w:hAnsi="宋体" w:cs="Segoe UI"/>
                <w:szCs w:val="21"/>
              </w:rPr>
              <w:t>：</w:t>
            </w:r>
          </w:p>
        </w:tc>
      </w:tr>
    </w:tbl>
    <w:p w14:paraId="1D7AF9AC">
      <w:pPr>
        <w:widowControl/>
        <w:spacing w:before="100" w:beforeAutospacing="1" w:after="100" w:afterAutospacing="1"/>
        <w:jc w:val="left"/>
        <w:rPr>
          <w:rFonts w:hint="eastAsia" w:ascii="宋体" w:hAnsi="宋体" w:cs="Segoe UI"/>
          <w:szCs w:val="21"/>
        </w:rPr>
      </w:pPr>
    </w:p>
    <w:p w14:paraId="11C8F7BB">
      <w:pPr>
        <w:widowControl/>
        <w:spacing w:before="100" w:beforeAutospacing="1" w:after="100" w:afterAutospacing="1"/>
        <w:jc w:val="left"/>
        <w:rPr>
          <w:rFonts w:hint="eastAsia" w:ascii="宋体" w:hAnsi="宋体" w:cs="Segoe UI"/>
          <w:szCs w:val="21"/>
        </w:rPr>
      </w:pPr>
    </w:p>
    <w:p w14:paraId="65D475E8">
      <w:pPr>
        <w:widowControl/>
        <w:spacing w:before="100" w:beforeAutospacing="1" w:after="100" w:afterAutospacing="1"/>
        <w:ind w:firstLine="210"/>
        <w:jc w:val="left"/>
        <w:rPr>
          <w:rFonts w:hint="eastAsia" w:ascii="宋体" w:hAnsi="宋体" w:cs="Segoe UI"/>
          <w:szCs w:val="21"/>
        </w:rPr>
      </w:pPr>
      <w:r>
        <w:rPr>
          <w:rFonts w:ascii="宋体" w:hAnsi="宋体" w:cs="Segoe UI"/>
          <w:szCs w:val="21"/>
        </w:rPr>
        <w:t>供应商公章：                          </w:t>
      </w:r>
    </w:p>
    <w:p w14:paraId="22BC2F3B">
      <w:pPr>
        <w:widowControl/>
        <w:spacing w:before="100" w:beforeAutospacing="1" w:after="100" w:afterAutospacing="1"/>
        <w:jc w:val="left"/>
        <w:rPr>
          <w:rFonts w:hint="eastAsia" w:ascii="宋体" w:hAnsi="宋体" w:cs="Segoe UI"/>
          <w:szCs w:val="21"/>
        </w:rPr>
      </w:pPr>
      <w:r>
        <w:rPr>
          <w:rFonts w:ascii="宋体" w:hAnsi="宋体" w:cs="Segoe UI"/>
          <w:szCs w:val="21"/>
        </w:rPr>
        <w:t xml:space="preserve"> （电子签章）</w:t>
      </w:r>
    </w:p>
    <w:p w14:paraId="286CBE21">
      <w:pPr>
        <w:pStyle w:val="96"/>
        <w:rPr>
          <w:rFonts w:hint="default" w:ascii="宋体" w:hAnsi="宋体" w:cs="Segoe UI"/>
          <w:szCs w:val="21"/>
        </w:rPr>
      </w:pPr>
    </w:p>
    <w:p w14:paraId="6EC6CDB4">
      <w:pPr>
        <w:pStyle w:val="96"/>
        <w:ind w:left="0" w:firstLine="0"/>
        <w:rPr>
          <w:rFonts w:hint="default" w:ascii="宋体" w:hAnsi="宋体" w:cs="Segoe UI"/>
          <w:szCs w:val="21"/>
        </w:rPr>
      </w:pPr>
    </w:p>
    <w:p w14:paraId="5B22BF8A">
      <w:pPr>
        <w:widowControl/>
        <w:spacing w:before="100" w:beforeAutospacing="1" w:after="100" w:afterAutospacing="1"/>
        <w:ind w:firstLine="210"/>
        <w:jc w:val="left"/>
        <w:rPr>
          <w:rFonts w:hint="eastAsia" w:ascii="宋体" w:hAnsi="宋体" w:cs="Segoe UI"/>
          <w:szCs w:val="21"/>
        </w:rPr>
      </w:pPr>
      <w:r>
        <w:rPr>
          <w:rFonts w:hint="eastAsia" w:ascii="宋体" w:hAnsi="宋体" w:cs="Segoe UI"/>
          <w:szCs w:val="21"/>
        </w:rPr>
        <w:t>注：当招标文件格式与系统不一致时，以系统格式为准。</w:t>
      </w:r>
    </w:p>
    <w:p w14:paraId="5BCE6ACD">
      <w:pPr>
        <w:rPr>
          <w:rFonts w:hint="eastAsia" w:ascii="宋体" w:hAnsi="宋体" w:cs="Segoe UI"/>
          <w:szCs w:val="21"/>
        </w:rPr>
      </w:pPr>
      <w:r>
        <w:rPr>
          <w:rFonts w:hint="eastAsia" w:ascii="宋体" w:hAnsi="宋体" w:cs="Segoe UI"/>
          <w:szCs w:val="21"/>
        </w:rPr>
        <w:br w:type="page"/>
      </w:r>
    </w:p>
    <w:p w14:paraId="4924D231">
      <w:pPr>
        <w:spacing w:line="240" w:lineRule="auto"/>
        <w:jc w:val="center"/>
        <w:rPr>
          <w:rFonts w:hint="eastAsia" w:ascii="等线" w:hAnsi="宋体" w:cs="宋体"/>
          <w:b/>
          <w:color w:val="000000"/>
          <w:kern w:val="2"/>
          <w:sz w:val="24"/>
        </w:rPr>
      </w:pPr>
      <w:r>
        <w:rPr>
          <w:rFonts w:hint="eastAsia" w:ascii="等线" w:hAnsi="宋体" w:cs="宋体"/>
          <w:b/>
          <w:color w:val="000000"/>
          <w:kern w:val="2"/>
          <w:sz w:val="24"/>
        </w:rPr>
        <w:t>招标文件要求的其他资料（未提供格式的，由投标人自拟）</w:t>
      </w:r>
    </w:p>
    <w:p w14:paraId="770558E5">
      <w:pPr>
        <w:pStyle w:val="96"/>
        <w:rPr>
          <w:rFonts w:hint="default" w:ascii="宋体" w:hAnsi="宋体" w:cs="Segoe UI"/>
          <w:szCs w:val="21"/>
        </w:rPr>
      </w:pPr>
    </w:p>
    <w:p w14:paraId="00569977"/>
    <w:p w14:paraId="154A0D60"/>
    <w:sectPr>
      <w:pgSz w:w="11911" w:h="16838"/>
      <w:pgMar w:top="1440" w:right="1253" w:bottom="1440" w:left="1253" w:header="0" w:footer="1400" w:gutter="0"/>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Impact">
    <w:panose1 w:val="020B0806030902050204"/>
    <w:charset w:val="00"/>
    <w:family w:val="swiss"/>
    <w:pitch w:val="default"/>
    <w:sig w:usb0="00000287" w:usb1="00000000" w:usb2="00000000" w:usb3="00000000" w:csb0="2000009F" w:csb1="DFD7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Angsana New">
    <w:altName w:val="Microsoft Sans Serif"/>
    <w:panose1 w:val="02020603050405020304"/>
    <w:charset w:val="DE"/>
    <w:family w:val="roman"/>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FangSong_GB2312-Identity-H">
    <w:altName w:val="宋体"/>
    <w:panose1 w:val="00000000000000000000"/>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476F9">
    <w:pPr>
      <w:tabs>
        <w:tab w:val="center" w:pos="4153"/>
        <w:tab w:val="right" w:pos="8306"/>
      </w:tabs>
      <w:ind w:left="840" w:hanging="420"/>
      <w:jc w:val="center"/>
      <w:rPr>
        <w:sz w:val="18"/>
        <w:szCs w:val="20"/>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ACCE4">
                          <w:pPr>
                            <w:pStyle w:val="2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89ACCE4">
                    <w:pPr>
                      <w:pStyle w:val="2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68</w:t>
                    </w:r>
                    <w:r>
                      <w:fldChar w:fldCharType="end"/>
                    </w:r>
                    <w:r>
                      <w:t xml:space="preserve"> 页</w:t>
                    </w:r>
                  </w:p>
                </w:txbxContent>
              </v:textbox>
            </v:shape>
          </w:pict>
        </mc:Fallback>
      </mc:AlternateContent>
    </w:r>
  </w:p>
  <w:p w14:paraId="419F4DB2">
    <w:pPr>
      <w:tabs>
        <w:tab w:val="center" w:pos="4153"/>
        <w:tab w:val="right" w:pos="8306"/>
      </w:tabs>
      <w:jc w:val="left"/>
      <w:rPr>
        <w:sz w:val="18"/>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798B8">
    <w:pPr>
      <w:framePr w:wrap="around" w:vAnchor="text" w:hAnchor="margin" w:xAlign="center" w:y="1"/>
      <w:tabs>
        <w:tab w:val="center" w:pos="4153"/>
        <w:tab w:val="right" w:pos="8306"/>
      </w:tabs>
      <w:jc w:val="left"/>
      <w:rPr>
        <w:sz w:val="18"/>
        <w:szCs w:val="20"/>
      </w:rPr>
    </w:pPr>
    <w:r>
      <w:rPr>
        <w:sz w:val="18"/>
        <w:szCs w:val="20"/>
      </w:rPr>
      <w:fldChar w:fldCharType="begin"/>
    </w:r>
    <w:r>
      <w:instrText xml:space="preserve">PAGE  </w:instrText>
    </w:r>
    <w:r>
      <w:rPr>
        <w:sz w:val="18"/>
        <w:szCs w:val="20"/>
      </w:rPr>
      <w:fldChar w:fldCharType="end"/>
    </w:r>
  </w:p>
  <w:p w14:paraId="74F8B197">
    <w:pPr>
      <w:tabs>
        <w:tab w:val="center" w:pos="4153"/>
        <w:tab w:val="right" w:pos="8306"/>
      </w:tabs>
      <w:jc w:val="left"/>
      <w:rPr>
        <w:sz w:val="18"/>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9F7F2">
    <w:pPr>
      <w:tabs>
        <w:tab w:val="center" w:pos="4153"/>
        <w:tab w:val="right" w:pos="8306"/>
      </w:tabs>
      <w:ind w:left="840" w:hanging="420"/>
      <w:jc w:val="center"/>
      <w:rPr>
        <w:rFonts w:ascii="Times New Roman" w:hAnsi="Times New Roman" w:eastAsia="宋体" w:cs="Times New Roman"/>
        <w:sz w:val="18"/>
        <w:szCs w:val="20"/>
      </w:rPr>
    </w:pPr>
    <w:r>
      <w:rPr>
        <w:rFonts w:ascii="Times New Roman" w:hAnsi="Times New Roman" w:eastAsia="宋体" w:cs="Times New Roman"/>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1052BC">
                          <w:pPr>
                            <w:widowControl w:val="0"/>
                            <w:spacing w:line="240" w:lineRule="auto"/>
                            <w:jc w:val="both"/>
                            <w:rPr>
                              <w:rFonts w:ascii="Times New Roman" w:hAnsi="Times New Roman" w:eastAsia="宋体" w:cs="Times New Roman"/>
                              <w:sz w:val="21"/>
                              <w:szCs w:val="24"/>
                              <w:lang w:val="en-US" w:eastAsia="zh-CN" w:bidi="ar-SA"/>
                            </w:rPr>
                          </w:pPr>
                          <w:r>
                            <w:rPr>
                              <w:rFonts w:ascii="Times New Roman" w:hAnsi="Times New Roman" w:eastAsia="宋体" w:cs="Times New Roman"/>
                              <w:sz w:val="21"/>
                              <w:szCs w:val="24"/>
                              <w:lang w:val="en-US" w:eastAsia="zh-CN" w:bidi="ar-SA"/>
                            </w:rPr>
                            <w:t xml:space="preserve">第 </w:t>
                          </w:r>
                          <w:r>
                            <w:rPr>
                              <w:rFonts w:ascii="Times New Roman" w:hAnsi="Times New Roman" w:eastAsia="宋体" w:cs="Times New Roman"/>
                              <w:sz w:val="21"/>
                              <w:szCs w:val="24"/>
                              <w:lang w:val="en-US" w:eastAsia="zh-CN" w:bidi="ar-SA"/>
                            </w:rPr>
                            <w:fldChar w:fldCharType="begin"/>
                          </w:r>
                          <w:r>
                            <w:rPr>
                              <w:rFonts w:ascii="Times New Roman" w:hAnsi="Times New Roman" w:eastAsia="宋体" w:cs="Times New Roman"/>
                              <w:sz w:val="21"/>
                              <w:szCs w:val="24"/>
                              <w:lang w:val="en-US" w:eastAsia="zh-CN" w:bidi="ar-SA"/>
                            </w:rPr>
                            <w:instrText xml:space="preserve"> PAGE  \* MERGEFORMAT </w:instrText>
                          </w:r>
                          <w:r>
                            <w:rPr>
                              <w:rFonts w:ascii="Times New Roman" w:hAnsi="Times New Roman" w:eastAsia="宋体" w:cs="Times New Roman"/>
                              <w:sz w:val="21"/>
                              <w:szCs w:val="24"/>
                              <w:lang w:val="en-US" w:eastAsia="zh-CN" w:bidi="ar-SA"/>
                            </w:rPr>
                            <w:fldChar w:fldCharType="separate"/>
                          </w:r>
                          <w:r>
                            <w:rPr>
                              <w:rFonts w:ascii="Times New Roman" w:hAnsi="Times New Roman" w:eastAsia="宋体" w:cs="Times New Roman"/>
                              <w:sz w:val="21"/>
                              <w:szCs w:val="24"/>
                              <w:lang w:val="en-US" w:eastAsia="zh-CN" w:bidi="ar-SA"/>
                            </w:rPr>
                            <w:t>1</w:t>
                          </w:r>
                          <w:r>
                            <w:rPr>
                              <w:rFonts w:ascii="Times New Roman" w:hAnsi="Times New Roman" w:eastAsia="宋体" w:cs="Times New Roman"/>
                              <w:sz w:val="21"/>
                              <w:szCs w:val="24"/>
                              <w:lang w:val="en-US" w:eastAsia="zh-CN" w:bidi="ar-SA"/>
                            </w:rPr>
                            <w:fldChar w:fldCharType="end"/>
                          </w:r>
                          <w:r>
                            <w:rPr>
                              <w:rFonts w:ascii="Times New Roman" w:hAnsi="Times New Roman" w:eastAsia="宋体" w:cs="Times New Roman"/>
                              <w:sz w:val="21"/>
                              <w:szCs w:val="24"/>
                              <w:lang w:val="en-US" w:eastAsia="zh-CN" w:bidi="ar-SA"/>
                            </w:rPr>
                            <w:t xml:space="preserve"> 页 共 </w:t>
                          </w:r>
                          <w:r>
                            <w:rPr>
                              <w:rFonts w:ascii="Times New Roman" w:hAnsi="Times New Roman" w:eastAsia="宋体" w:cs="Times New Roman"/>
                              <w:sz w:val="21"/>
                              <w:szCs w:val="24"/>
                              <w:lang w:val="en-US" w:eastAsia="zh-CN" w:bidi="ar-SA"/>
                            </w:rPr>
                            <w:fldChar w:fldCharType="begin"/>
                          </w:r>
                          <w:r>
                            <w:rPr>
                              <w:rFonts w:ascii="Times New Roman" w:hAnsi="Times New Roman" w:eastAsia="宋体" w:cs="Times New Roman"/>
                              <w:sz w:val="21"/>
                              <w:szCs w:val="24"/>
                              <w:lang w:val="en-US" w:eastAsia="zh-CN" w:bidi="ar-SA"/>
                            </w:rPr>
                            <w:instrText xml:space="preserve"> NUMPAGES  \* MERGEFORMAT </w:instrText>
                          </w:r>
                          <w:r>
                            <w:rPr>
                              <w:rFonts w:ascii="Times New Roman" w:hAnsi="Times New Roman" w:eastAsia="宋体" w:cs="Times New Roman"/>
                              <w:sz w:val="21"/>
                              <w:szCs w:val="24"/>
                              <w:lang w:val="en-US" w:eastAsia="zh-CN" w:bidi="ar-SA"/>
                            </w:rPr>
                            <w:fldChar w:fldCharType="separate"/>
                          </w:r>
                          <w:r>
                            <w:rPr>
                              <w:rFonts w:ascii="Times New Roman" w:hAnsi="Times New Roman" w:eastAsia="宋体" w:cs="Times New Roman"/>
                              <w:sz w:val="21"/>
                              <w:szCs w:val="24"/>
                              <w:lang w:val="en-US" w:eastAsia="zh-CN" w:bidi="ar-SA"/>
                            </w:rPr>
                            <w:t>68</w:t>
                          </w:r>
                          <w:r>
                            <w:rPr>
                              <w:rFonts w:ascii="Times New Roman" w:hAnsi="Times New Roman" w:eastAsia="宋体" w:cs="Times New Roman"/>
                              <w:sz w:val="21"/>
                              <w:szCs w:val="24"/>
                              <w:lang w:val="en-US" w:eastAsia="zh-CN" w:bidi="ar-SA"/>
                            </w:rPr>
                            <w:fldChar w:fldCharType="end"/>
                          </w:r>
                          <w:r>
                            <w:rPr>
                              <w:rFonts w:ascii="Times New Roman" w:hAnsi="Times New Roman" w:eastAsia="宋体" w:cs="Times New Roman"/>
                              <w:sz w:val="21"/>
                              <w:szCs w:val="24"/>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731052BC">
                    <w:pPr>
                      <w:widowControl w:val="0"/>
                      <w:spacing w:line="240" w:lineRule="auto"/>
                      <w:jc w:val="both"/>
                      <w:rPr>
                        <w:rFonts w:ascii="Times New Roman" w:hAnsi="Times New Roman" w:eastAsia="宋体" w:cs="Times New Roman"/>
                        <w:sz w:val="21"/>
                        <w:szCs w:val="24"/>
                        <w:lang w:val="en-US" w:eastAsia="zh-CN" w:bidi="ar-SA"/>
                      </w:rPr>
                    </w:pPr>
                    <w:r>
                      <w:rPr>
                        <w:rFonts w:ascii="Times New Roman" w:hAnsi="Times New Roman" w:eastAsia="宋体" w:cs="Times New Roman"/>
                        <w:sz w:val="21"/>
                        <w:szCs w:val="24"/>
                        <w:lang w:val="en-US" w:eastAsia="zh-CN" w:bidi="ar-SA"/>
                      </w:rPr>
                      <w:t xml:space="preserve">第 </w:t>
                    </w:r>
                    <w:r>
                      <w:rPr>
                        <w:rFonts w:ascii="Times New Roman" w:hAnsi="Times New Roman" w:eastAsia="宋体" w:cs="Times New Roman"/>
                        <w:sz w:val="21"/>
                        <w:szCs w:val="24"/>
                        <w:lang w:val="en-US" w:eastAsia="zh-CN" w:bidi="ar-SA"/>
                      </w:rPr>
                      <w:fldChar w:fldCharType="begin"/>
                    </w:r>
                    <w:r>
                      <w:rPr>
                        <w:rFonts w:ascii="Times New Roman" w:hAnsi="Times New Roman" w:eastAsia="宋体" w:cs="Times New Roman"/>
                        <w:sz w:val="21"/>
                        <w:szCs w:val="24"/>
                        <w:lang w:val="en-US" w:eastAsia="zh-CN" w:bidi="ar-SA"/>
                      </w:rPr>
                      <w:instrText xml:space="preserve"> PAGE  \* MERGEFORMAT </w:instrText>
                    </w:r>
                    <w:r>
                      <w:rPr>
                        <w:rFonts w:ascii="Times New Roman" w:hAnsi="Times New Roman" w:eastAsia="宋体" w:cs="Times New Roman"/>
                        <w:sz w:val="21"/>
                        <w:szCs w:val="24"/>
                        <w:lang w:val="en-US" w:eastAsia="zh-CN" w:bidi="ar-SA"/>
                      </w:rPr>
                      <w:fldChar w:fldCharType="separate"/>
                    </w:r>
                    <w:r>
                      <w:rPr>
                        <w:rFonts w:ascii="Times New Roman" w:hAnsi="Times New Roman" w:eastAsia="宋体" w:cs="Times New Roman"/>
                        <w:sz w:val="21"/>
                        <w:szCs w:val="24"/>
                        <w:lang w:val="en-US" w:eastAsia="zh-CN" w:bidi="ar-SA"/>
                      </w:rPr>
                      <w:t>1</w:t>
                    </w:r>
                    <w:r>
                      <w:rPr>
                        <w:rFonts w:ascii="Times New Roman" w:hAnsi="Times New Roman" w:eastAsia="宋体" w:cs="Times New Roman"/>
                        <w:sz w:val="21"/>
                        <w:szCs w:val="24"/>
                        <w:lang w:val="en-US" w:eastAsia="zh-CN" w:bidi="ar-SA"/>
                      </w:rPr>
                      <w:fldChar w:fldCharType="end"/>
                    </w:r>
                    <w:r>
                      <w:rPr>
                        <w:rFonts w:ascii="Times New Roman" w:hAnsi="Times New Roman" w:eastAsia="宋体" w:cs="Times New Roman"/>
                        <w:sz w:val="21"/>
                        <w:szCs w:val="24"/>
                        <w:lang w:val="en-US" w:eastAsia="zh-CN" w:bidi="ar-SA"/>
                      </w:rPr>
                      <w:t xml:space="preserve"> 页 共 </w:t>
                    </w:r>
                    <w:r>
                      <w:rPr>
                        <w:rFonts w:ascii="Times New Roman" w:hAnsi="Times New Roman" w:eastAsia="宋体" w:cs="Times New Roman"/>
                        <w:sz w:val="21"/>
                        <w:szCs w:val="24"/>
                        <w:lang w:val="en-US" w:eastAsia="zh-CN" w:bidi="ar-SA"/>
                      </w:rPr>
                      <w:fldChar w:fldCharType="begin"/>
                    </w:r>
                    <w:r>
                      <w:rPr>
                        <w:rFonts w:ascii="Times New Roman" w:hAnsi="Times New Roman" w:eastAsia="宋体" w:cs="Times New Roman"/>
                        <w:sz w:val="21"/>
                        <w:szCs w:val="24"/>
                        <w:lang w:val="en-US" w:eastAsia="zh-CN" w:bidi="ar-SA"/>
                      </w:rPr>
                      <w:instrText xml:space="preserve"> NUMPAGES  \* MERGEFORMAT </w:instrText>
                    </w:r>
                    <w:r>
                      <w:rPr>
                        <w:rFonts w:ascii="Times New Roman" w:hAnsi="Times New Roman" w:eastAsia="宋体" w:cs="Times New Roman"/>
                        <w:sz w:val="21"/>
                        <w:szCs w:val="24"/>
                        <w:lang w:val="en-US" w:eastAsia="zh-CN" w:bidi="ar-SA"/>
                      </w:rPr>
                      <w:fldChar w:fldCharType="separate"/>
                    </w:r>
                    <w:r>
                      <w:rPr>
                        <w:rFonts w:ascii="Times New Roman" w:hAnsi="Times New Roman" w:eastAsia="宋体" w:cs="Times New Roman"/>
                        <w:sz w:val="21"/>
                        <w:szCs w:val="24"/>
                        <w:lang w:val="en-US" w:eastAsia="zh-CN" w:bidi="ar-SA"/>
                      </w:rPr>
                      <w:t>68</w:t>
                    </w:r>
                    <w:r>
                      <w:rPr>
                        <w:rFonts w:ascii="Times New Roman" w:hAnsi="Times New Roman" w:eastAsia="宋体" w:cs="Times New Roman"/>
                        <w:sz w:val="21"/>
                        <w:szCs w:val="24"/>
                        <w:lang w:val="en-US" w:eastAsia="zh-CN" w:bidi="ar-SA"/>
                      </w:rPr>
                      <w:fldChar w:fldCharType="end"/>
                    </w:r>
                    <w:r>
                      <w:rPr>
                        <w:rFonts w:ascii="Times New Roman" w:hAnsi="Times New Roman" w:eastAsia="宋体" w:cs="Times New Roman"/>
                        <w:sz w:val="21"/>
                        <w:szCs w:val="24"/>
                        <w:lang w:val="en-US" w:eastAsia="zh-CN" w:bidi="ar-SA"/>
                      </w:rPr>
                      <w:t xml:space="preserve"> 页</w:t>
                    </w:r>
                  </w:p>
                </w:txbxContent>
              </v:textbox>
            </v:shape>
          </w:pict>
        </mc:Fallback>
      </mc:AlternateContent>
    </w:r>
  </w:p>
  <w:p w14:paraId="3EE1DB29">
    <w:pPr>
      <w:tabs>
        <w:tab w:val="center" w:pos="4153"/>
        <w:tab w:val="right" w:pos="8306"/>
      </w:tabs>
      <w:jc w:val="left"/>
      <w:rPr>
        <w:rFonts w:ascii="Times New Roman" w:hAnsi="Times New Roman" w:eastAsia="宋体" w:cs="Times New Roman"/>
        <w:sz w:val="18"/>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33DB2">
    <w:pPr>
      <w:framePr w:wrap="around" w:vAnchor="text" w:hAnchor="margin" w:xAlign="center" w:y="1"/>
      <w:tabs>
        <w:tab w:val="center" w:pos="4153"/>
        <w:tab w:val="right" w:pos="8306"/>
      </w:tabs>
      <w:jc w:val="left"/>
      <w:rPr>
        <w:rFonts w:ascii="Times New Roman" w:hAnsi="Times New Roman" w:eastAsia="宋体" w:cs="Times New Roman"/>
        <w:sz w:val="18"/>
        <w:szCs w:val="20"/>
      </w:rPr>
    </w:pPr>
    <w:r>
      <w:rPr>
        <w:rFonts w:ascii="Times New Roman" w:hAnsi="Times New Roman" w:eastAsia="宋体" w:cs="Times New Roman"/>
        <w:sz w:val="18"/>
        <w:szCs w:val="20"/>
      </w:rPr>
      <w:fldChar w:fldCharType="begin"/>
    </w:r>
    <w:r>
      <w:rPr>
        <w:rFonts w:ascii="Times New Roman" w:hAnsi="Times New Roman" w:eastAsia="宋体" w:cs="Times New Roman"/>
      </w:rPr>
      <w:instrText xml:space="preserve">PAGE  </w:instrText>
    </w:r>
    <w:r>
      <w:rPr>
        <w:rFonts w:ascii="Times New Roman" w:hAnsi="Times New Roman" w:eastAsia="宋体" w:cs="Times New Roman"/>
        <w:sz w:val="18"/>
        <w:szCs w:val="20"/>
      </w:rPr>
      <w:fldChar w:fldCharType="end"/>
    </w:r>
  </w:p>
  <w:p w14:paraId="36F6D36A">
    <w:pPr>
      <w:tabs>
        <w:tab w:val="center" w:pos="4153"/>
        <w:tab w:val="right" w:pos="8306"/>
      </w:tabs>
      <w:jc w:val="left"/>
      <w:rPr>
        <w:rFonts w:ascii="Times New Roman" w:hAnsi="Times New Roman" w:eastAsia="宋体" w:cs="Times New Roman"/>
        <w:sz w:val="18"/>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CB1D7">
    <w:pPr>
      <w:tabs>
        <w:tab w:val="center" w:pos="4153"/>
        <w:tab w:val="right" w:pos="8306"/>
      </w:tabs>
      <w:ind w:left="840" w:hanging="420"/>
      <w:jc w:val="center"/>
      <w:rPr>
        <w:rFonts w:ascii="Times New Roman" w:hAnsi="Times New Roman" w:eastAsia="宋体" w:cs="Times New Roman"/>
        <w:sz w:val="18"/>
        <w:szCs w:val="20"/>
      </w:rPr>
    </w:pPr>
    <w:r>
      <w:rPr>
        <w:rFonts w:ascii="Times New Roman" w:hAnsi="Times New Roman" w:eastAsia="宋体" w:cs="Times New Roman"/>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A41311">
                          <w:pPr>
                            <w:widowControl w:val="0"/>
                            <w:spacing w:line="240" w:lineRule="auto"/>
                            <w:jc w:val="both"/>
                            <w:rPr>
                              <w:rFonts w:ascii="Times New Roman" w:hAnsi="Times New Roman" w:eastAsia="宋体" w:cs="Times New Roman"/>
                              <w:sz w:val="21"/>
                              <w:szCs w:val="24"/>
                              <w:lang w:val="en-US" w:eastAsia="zh-CN" w:bidi="ar-SA"/>
                            </w:rPr>
                          </w:pPr>
                          <w:r>
                            <w:rPr>
                              <w:rFonts w:ascii="Times New Roman" w:hAnsi="Times New Roman" w:eastAsia="宋体" w:cs="Times New Roman"/>
                              <w:sz w:val="21"/>
                              <w:szCs w:val="24"/>
                              <w:lang w:val="en-US" w:eastAsia="zh-CN" w:bidi="ar-SA"/>
                            </w:rPr>
                            <w:t xml:space="preserve">第 </w:t>
                          </w:r>
                          <w:r>
                            <w:rPr>
                              <w:rFonts w:ascii="Times New Roman" w:hAnsi="Times New Roman" w:eastAsia="宋体" w:cs="Times New Roman"/>
                              <w:sz w:val="21"/>
                              <w:szCs w:val="24"/>
                              <w:lang w:val="en-US" w:eastAsia="zh-CN" w:bidi="ar-SA"/>
                            </w:rPr>
                            <w:fldChar w:fldCharType="begin"/>
                          </w:r>
                          <w:r>
                            <w:rPr>
                              <w:rFonts w:ascii="Times New Roman" w:hAnsi="Times New Roman" w:eastAsia="宋体" w:cs="Times New Roman"/>
                              <w:sz w:val="21"/>
                              <w:szCs w:val="24"/>
                              <w:lang w:val="en-US" w:eastAsia="zh-CN" w:bidi="ar-SA"/>
                            </w:rPr>
                            <w:instrText xml:space="preserve"> PAGE  \* MERGEFORMAT </w:instrText>
                          </w:r>
                          <w:r>
                            <w:rPr>
                              <w:rFonts w:ascii="Times New Roman" w:hAnsi="Times New Roman" w:eastAsia="宋体" w:cs="Times New Roman"/>
                              <w:sz w:val="21"/>
                              <w:szCs w:val="24"/>
                              <w:lang w:val="en-US" w:eastAsia="zh-CN" w:bidi="ar-SA"/>
                            </w:rPr>
                            <w:fldChar w:fldCharType="separate"/>
                          </w:r>
                          <w:r>
                            <w:rPr>
                              <w:rFonts w:ascii="Times New Roman" w:hAnsi="Times New Roman" w:eastAsia="宋体" w:cs="Times New Roman"/>
                              <w:sz w:val="21"/>
                              <w:szCs w:val="24"/>
                              <w:lang w:val="en-US" w:eastAsia="zh-CN" w:bidi="ar-SA"/>
                            </w:rPr>
                            <w:t>1</w:t>
                          </w:r>
                          <w:r>
                            <w:rPr>
                              <w:rFonts w:ascii="Times New Roman" w:hAnsi="Times New Roman" w:eastAsia="宋体" w:cs="Times New Roman"/>
                              <w:sz w:val="21"/>
                              <w:szCs w:val="24"/>
                              <w:lang w:val="en-US" w:eastAsia="zh-CN" w:bidi="ar-SA"/>
                            </w:rPr>
                            <w:fldChar w:fldCharType="end"/>
                          </w:r>
                          <w:r>
                            <w:rPr>
                              <w:rFonts w:ascii="Times New Roman" w:hAnsi="Times New Roman" w:eastAsia="宋体" w:cs="Times New Roman"/>
                              <w:sz w:val="21"/>
                              <w:szCs w:val="24"/>
                              <w:lang w:val="en-US" w:eastAsia="zh-CN" w:bidi="ar-SA"/>
                            </w:rPr>
                            <w:t xml:space="preserve"> 页 共 </w:t>
                          </w:r>
                          <w:r>
                            <w:rPr>
                              <w:rFonts w:ascii="Times New Roman" w:hAnsi="Times New Roman" w:eastAsia="宋体" w:cs="Times New Roman"/>
                              <w:sz w:val="21"/>
                              <w:szCs w:val="24"/>
                              <w:lang w:val="en-US" w:eastAsia="zh-CN" w:bidi="ar-SA"/>
                            </w:rPr>
                            <w:fldChar w:fldCharType="begin"/>
                          </w:r>
                          <w:r>
                            <w:rPr>
                              <w:rFonts w:ascii="Times New Roman" w:hAnsi="Times New Roman" w:eastAsia="宋体" w:cs="Times New Roman"/>
                              <w:sz w:val="21"/>
                              <w:szCs w:val="24"/>
                              <w:lang w:val="en-US" w:eastAsia="zh-CN" w:bidi="ar-SA"/>
                            </w:rPr>
                            <w:instrText xml:space="preserve"> NUMPAGES  \* MERGEFORMAT </w:instrText>
                          </w:r>
                          <w:r>
                            <w:rPr>
                              <w:rFonts w:ascii="Times New Roman" w:hAnsi="Times New Roman" w:eastAsia="宋体" w:cs="Times New Roman"/>
                              <w:sz w:val="21"/>
                              <w:szCs w:val="24"/>
                              <w:lang w:val="en-US" w:eastAsia="zh-CN" w:bidi="ar-SA"/>
                            </w:rPr>
                            <w:fldChar w:fldCharType="separate"/>
                          </w:r>
                          <w:r>
                            <w:rPr>
                              <w:rFonts w:ascii="Times New Roman" w:hAnsi="Times New Roman" w:eastAsia="宋体" w:cs="Times New Roman"/>
                              <w:sz w:val="21"/>
                              <w:szCs w:val="24"/>
                              <w:lang w:val="en-US" w:eastAsia="zh-CN" w:bidi="ar-SA"/>
                            </w:rPr>
                            <w:t>68</w:t>
                          </w:r>
                          <w:r>
                            <w:rPr>
                              <w:rFonts w:ascii="Times New Roman" w:hAnsi="Times New Roman" w:eastAsia="宋体" w:cs="Times New Roman"/>
                              <w:sz w:val="21"/>
                              <w:szCs w:val="24"/>
                              <w:lang w:val="en-US" w:eastAsia="zh-CN" w:bidi="ar-SA"/>
                            </w:rPr>
                            <w:fldChar w:fldCharType="end"/>
                          </w:r>
                          <w:r>
                            <w:rPr>
                              <w:rFonts w:ascii="Times New Roman" w:hAnsi="Times New Roman" w:eastAsia="宋体" w:cs="Times New Roman"/>
                              <w:sz w:val="21"/>
                              <w:szCs w:val="24"/>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26A41311">
                    <w:pPr>
                      <w:widowControl w:val="0"/>
                      <w:spacing w:line="240" w:lineRule="auto"/>
                      <w:jc w:val="both"/>
                      <w:rPr>
                        <w:rFonts w:ascii="Times New Roman" w:hAnsi="Times New Roman" w:eastAsia="宋体" w:cs="Times New Roman"/>
                        <w:sz w:val="21"/>
                        <w:szCs w:val="24"/>
                        <w:lang w:val="en-US" w:eastAsia="zh-CN" w:bidi="ar-SA"/>
                      </w:rPr>
                    </w:pPr>
                    <w:r>
                      <w:rPr>
                        <w:rFonts w:ascii="Times New Roman" w:hAnsi="Times New Roman" w:eastAsia="宋体" w:cs="Times New Roman"/>
                        <w:sz w:val="21"/>
                        <w:szCs w:val="24"/>
                        <w:lang w:val="en-US" w:eastAsia="zh-CN" w:bidi="ar-SA"/>
                      </w:rPr>
                      <w:t xml:space="preserve">第 </w:t>
                    </w:r>
                    <w:r>
                      <w:rPr>
                        <w:rFonts w:ascii="Times New Roman" w:hAnsi="Times New Roman" w:eastAsia="宋体" w:cs="Times New Roman"/>
                        <w:sz w:val="21"/>
                        <w:szCs w:val="24"/>
                        <w:lang w:val="en-US" w:eastAsia="zh-CN" w:bidi="ar-SA"/>
                      </w:rPr>
                      <w:fldChar w:fldCharType="begin"/>
                    </w:r>
                    <w:r>
                      <w:rPr>
                        <w:rFonts w:ascii="Times New Roman" w:hAnsi="Times New Roman" w:eastAsia="宋体" w:cs="Times New Roman"/>
                        <w:sz w:val="21"/>
                        <w:szCs w:val="24"/>
                        <w:lang w:val="en-US" w:eastAsia="zh-CN" w:bidi="ar-SA"/>
                      </w:rPr>
                      <w:instrText xml:space="preserve"> PAGE  \* MERGEFORMAT </w:instrText>
                    </w:r>
                    <w:r>
                      <w:rPr>
                        <w:rFonts w:ascii="Times New Roman" w:hAnsi="Times New Roman" w:eastAsia="宋体" w:cs="Times New Roman"/>
                        <w:sz w:val="21"/>
                        <w:szCs w:val="24"/>
                        <w:lang w:val="en-US" w:eastAsia="zh-CN" w:bidi="ar-SA"/>
                      </w:rPr>
                      <w:fldChar w:fldCharType="separate"/>
                    </w:r>
                    <w:r>
                      <w:rPr>
                        <w:rFonts w:ascii="Times New Roman" w:hAnsi="Times New Roman" w:eastAsia="宋体" w:cs="Times New Roman"/>
                        <w:sz w:val="21"/>
                        <w:szCs w:val="24"/>
                        <w:lang w:val="en-US" w:eastAsia="zh-CN" w:bidi="ar-SA"/>
                      </w:rPr>
                      <w:t>1</w:t>
                    </w:r>
                    <w:r>
                      <w:rPr>
                        <w:rFonts w:ascii="Times New Roman" w:hAnsi="Times New Roman" w:eastAsia="宋体" w:cs="Times New Roman"/>
                        <w:sz w:val="21"/>
                        <w:szCs w:val="24"/>
                        <w:lang w:val="en-US" w:eastAsia="zh-CN" w:bidi="ar-SA"/>
                      </w:rPr>
                      <w:fldChar w:fldCharType="end"/>
                    </w:r>
                    <w:r>
                      <w:rPr>
                        <w:rFonts w:ascii="Times New Roman" w:hAnsi="Times New Roman" w:eastAsia="宋体" w:cs="Times New Roman"/>
                        <w:sz w:val="21"/>
                        <w:szCs w:val="24"/>
                        <w:lang w:val="en-US" w:eastAsia="zh-CN" w:bidi="ar-SA"/>
                      </w:rPr>
                      <w:t xml:space="preserve"> 页 共 </w:t>
                    </w:r>
                    <w:r>
                      <w:rPr>
                        <w:rFonts w:ascii="Times New Roman" w:hAnsi="Times New Roman" w:eastAsia="宋体" w:cs="Times New Roman"/>
                        <w:sz w:val="21"/>
                        <w:szCs w:val="24"/>
                        <w:lang w:val="en-US" w:eastAsia="zh-CN" w:bidi="ar-SA"/>
                      </w:rPr>
                      <w:fldChar w:fldCharType="begin"/>
                    </w:r>
                    <w:r>
                      <w:rPr>
                        <w:rFonts w:ascii="Times New Roman" w:hAnsi="Times New Roman" w:eastAsia="宋体" w:cs="Times New Roman"/>
                        <w:sz w:val="21"/>
                        <w:szCs w:val="24"/>
                        <w:lang w:val="en-US" w:eastAsia="zh-CN" w:bidi="ar-SA"/>
                      </w:rPr>
                      <w:instrText xml:space="preserve"> NUMPAGES  \* MERGEFORMAT </w:instrText>
                    </w:r>
                    <w:r>
                      <w:rPr>
                        <w:rFonts w:ascii="Times New Roman" w:hAnsi="Times New Roman" w:eastAsia="宋体" w:cs="Times New Roman"/>
                        <w:sz w:val="21"/>
                        <w:szCs w:val="24"/>
                        <w:lang w:val="en-US" w:eastAsia="zh-CN" w:bidi="ar-SA"/>
                      </w:rPr>
                      <w:fldChar w:fldCharType="separate"/>
                    </w:r>
                    <w:r>
                      <w:rPr>
                        <w:rFonts w:ascii="Times New Roman" w:hAnsi="Times New Roman" w:eastAsia="宋体" w:cs="Times New Roman"/>
                        <w:sz w:val="21"/>
                        <w:szCs w:val="24"/>
                        <w:lang w:val="en-US" w:eastAsia="zh-CN" w:bidi="ar-SA"/>
                      </w:rPr>
                      <w:t>68</w:t>
                    </w:r>
                    <w:r>
                      <w:rPr>
                        <w:rFonts w:ascii="Times New Roman" w:hAnsi="Times New Roman" w:eastAsia="宋体" w:cs="Times New Roman"/>
                        <w:sz w:val="21"/>
                        <w:szCs w:val="24"/>
                        <w:lang w:val="en-US" w:eastAsia="zh-CN" w:bidi="ar-SA"/>
                      </w:rPr>
                      <w:fldChar w:fldCharType="end"/>
                    </w:r>
                    <w:r>
                      <w:rPr>
                        <w:rFonts w:ascii="Times New Roman" w:hAnsi="Times New Roman" w:eastAsia="宋体" w:cs="Times New Roman"/>
                        <w:sz w:val="21"/>
                        <w:szCs w:val="24"/>
                        <w:lang w:val="en-US" w:eastAsia="zh-CN" w:bidi="ar-SA"/>
                      </w:rPr>
                      <w:t xml:space="preserve"> 页</w:t>
                    </w:r>
                  </w:p>
                </w:txbxContent>
              </v:textbox>
            </v:shape>
          </w:pict>
        </mc:Fallback>
      </mc:AlternateContent>
    </w:r>
  </w:p>
  <w:p w14:paraId="21F2F848">
    <w:pPr>
      <w:tabs>
        <w:tab w:val="center" w:pos="4153"/>
        <w:tab w:val="right" w:pos="8306"/>
      </w:tabs>
      <w:jc w:val="left"/>
      <w:rPr>
        <w:rFonts w:ascii="Times New Roman" w:hAnsi="Times New Roman" w:eastAsia="宋体" w:cs="Times New Roman"/>
        <w:sz w:val="18"/>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5F515">
    <w:pPr>
      <w:framePr w:wrap="around" w:vAnchor="text" w:hAnchor="margin" w:xAlign="center" w:y="1"/>
      <w:tabs>
        <w:tab w:val="center" w:pos="4153"/>
        <w:tab w:val="right" w:pos="8306"/>
      </w:tabs>
      <w:jc w:val="left"/>
      <w:rPr>
        <w:rFonts w:ascii="Times New Roman" w:hAnsi="Times New Roman" w:eastAsia="宋体" w:cs="Times New Roman"/>
        <w:sz w:val="18"/>
        <w:szCs w:val="20"/>
      </w:rPr>
    </w:pPr>
    <w:r>
      <w:rPr>
        <w:rFonts w:ascii="Times New Roman" w:hAnsi="Times New Roman" w:eastAsia="宋体" w:cs="Times New Roman"/>
        <w:sz w:val="18"/>
        <w:szCs w:val="20"/>
      </w:rPr>
      <w:fldChar w:fldCharType="begin"/>
    </w:r>
    <w:r>
      <w:rPr>
        <w:rFonts w:ascii="Times New Roman" w:hAnsi="Times New Roman" w:eastAsia="宋体" w:cs="Times New Roman"/>
      </w:rPr>
      <w:instrText xml:space="preserve">PAGE  </w:instrText>
    </w:r>
    <w:r>
      <w:rPr>
        <w:rFonts w:ascii="Times New Roman" w:hAnsi="Times New Roman" w:eastAsia="宋体" w:cs="Times New Roman"/>
        <w:sz w:val="18"/>
        <w:szCs w:val="20"/>
      </w:rPr>
      <w:fldChar w:fldCharType="end"/>
    </w:r>
  </w:p>
  <w:p w14:paraId="4A7FE104">
    <w:pPr>
      <w:tabs>
        <w:tab w:val="center" w:pos="4153"/>
        <w:tab w:val="right" w:pos="8306"/>
      </w:tabs>
      <w:jc w:val="left"/>
      <w:rPr>
        <w:rFonts w:ascii="Times New Roman" w:hAnsi="Times New Roman" w:eastAsia="宋体" w:cs="Times New Roman"/>
        <w:sz w:val="18"/>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79F7A">
    <w:pPr>
      <w:pStyle w:val="7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B43301">
                          <w:pPr>
                            <w:pStyle w:val="23"/>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68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8B43301">
                    <w:pPr>
                      <w:pStyle w:val="23"/>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68</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D0420">
    <w:pPr>
      <w:pStyle w:val="79"/>
      <w:framePr w:wrap="around" w:vAnchor="text" w:hAnchor="margin" w:xAlign="center" w:y="1"/>
      <w:rPr>
        <w:rStyle w:val="148"/>
      </w:rPr>
    </w:pPr>
    <w:r>
      <w:fldChar w:fldCharType="begin"/>
    </w:r>
    <w:r>
      <w:rPr>
        <w:rStyle w:val="148"/>
      </w:rPr>
      <w:instrText xml:space="preserve">PAGE  </w:instrText>
    </w:r>
    <w:r>
      <w:fldChar w:fldCharType="end"/>
    </w:r>
  </w:p>
  <w:p w14:paraId="7F240169">
    <w:pPr>
      <w:pStyle w:val="7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94D3">
    <w:pPr>
      <w:pBdr>
        <w:top w:val="none" w:color="auto" w:sz="0" w:space="1"/>
        <w:left w:val="none" w:color="auto" w:sz="0" w:space="4"/>
        <w:right w:val="none" w:color="auto" w:sz="0" w:space="4"/>
      </w:pBdr>
      <w:tabs>
        <w:tab w:val="center" w:pos="4153"/>
        <w:tab w:val="right" w:pos="8306"/>
      </w:tabs>
      <w:spacing w:line="240" w:lineRule="auto"/>
      <w:rPr>
        <w:sz w:val="18"/>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856C3">
    <w:pPr>
      <w:pBdr>
        <w:top w:val="none" w:color="auto" w:sz="0" w:space="1"/>
        <w:left w:val="none" w:color="auto" w:sz="0" w:space="4"/>
        <w:right w:val="none" w:color="auto" w:sz="0" w:space="4"/>
      </w:pBdr>
      <w:tabs>
        <w:tab w:val="center" w:pos="4153"/>
        <w:tab w:val="right" w:pos="8306"/>
      </w:tabs>
      <w:spacing w:line="240" w:lineRule="auto"/>
      <w:rPr>
        <w:rFonts w:ascii="Times New Roman" w:hAnsi="Times New Roman" w:eastAsia="宋体" w:cs="Times New Roman"/>
        <w:sz w:val="18"/>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F5ADB">
    <w:pPr>
      <w:pBdr>
        <w:top w:val="none" w:color="auto" w:sz="0" w:space="1"/>
        <w:left w:val="none" w:color="auto" w:sz="0" w:space="4"/>
        <w:right w:val="none" w:color="auto" w:sz="0" w:space="4"/>
      </w:pBdr>
      <w:tabs>
        <w:tab w:val="center" w:pos="4153"/>
        <w:tab w:val="right" w:pos="8306"/>
      </w:tabs>
      <w:spacing w:line="240" w:lineRule="auto"/>
      <w:rPr>
        <w:rFonts w:ascii="Times New Roman" w:hAnsi="Times New Roman" w:eastAsia="宋体" w:cs="Times New Roman"/>
        <w:sz w:val="18"/>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B2C21">
    <w:pPr>
      <w:pStyle w:val="82"/>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bullet"/>
      <w:pStyle w:val="232"/>
      <w:lvlText w:val=""/>
      <w:lvlJc w:val="left"/>
      <w:pPr>
        <w:tabs>
          <w:tab w:val="left" w:pos="980"/>
        </w:tabs>
        <w:ind w:left="980" w:hanging="420"/>
      </w:pPr>
      <w:rPr>
        <w:rFonts w:ascii="Wingdings" w:hAnsi="Wingdings"/>
      </w:rPr>
    </w:lvl>
    <w:lvl w:ilvl="1" w:tentative="0">
      <w:start w:val="1"/>
      <w:numFmt w:val="bullet"/>
      <w:lvlText w:val=""/>
      <w:lvlJc w:val="left"/>
      <w:pPr>
        <w:tabs>
          <w:tab w:val="left" w:pos="1400"/>
        </w:tabs>
        <w:ind w:left="1400" w:hanging="420"/>
      </w:pPr>
      <w:rPr>
        <w:rFonts w:ascii="Wingdings" w:hAnsi="Wingdings"/>
      </w:rPr>
    </w:lvl>
    <w:lvl w:ilvl="2" w:tentative="0">
      <w:start w:val="1"/>
      <w:numFmt w:val="bullet"/>
      <w:lvlText w:val=""/>
      <w:lvlJc w:val="left"/>
      <w:pPr>
        <w:tabs>
          <w:tab w:val="left" w:pos="1820"/>
        </w:tabs>
        <w:ind w:left="1820" w:hanging="420"/>
      </w:pPr>
      <w:rPr>
        <w:rFonts w:ascii="Wingdings" w:hAnsi="Wingdings"/>
      </w:rPr>
    </w:lvl>
    <w:lvl w:ilvl="3" w:tentative="0">
      <w:start w:val="1"/>
      <w:numFmt w:val="bullet"/>
      <w:lvlText w:val=""/>
      <w:lvlJc w:val="left"/>
      <w:pPr>
        <w:tabs>
          <w:tab w:val="left" w:pos="2240"/>
        </w:tabs>
        <w:ind w:left="2240" w:hanging="420"/>
      </w:pPr>
      <w:rPr>
        <w:rFonts w:ascii="Wingdings" w:hAnsi="Wingdings"/>
      </w:rPr>
    </w:lvl>
    <w:lvl w:ilvl="4" w:tentative="0">
      <w:start w:val="1"/>
      <w:numFmt w:val="bullet"/>
      <w:lvlText w:val=""/>
      <w:lvlJc w:val="left"/>
      <w:pPr>
        <w:tabs>
          <w:tab w:val="left" w:pos="2660"/>
        </w:tabs>
        <w:ind w:left="2660" w:hanging="420"/>
      </w:pPr>
      <w:rPr>
        <w:rFonts w:ascii="Wingdings" w:hAnsi="Wingdings"/>
      </w:rPr>
    </w:lvl>
    <w:lvl w:ilvl="5" w:tentative="0">
      <w:start w:val="1"/>
      <w:numFmt w:val="bullet"/>
      <w:lvlText w:val=""/>
      <w:lvlJc w:val="left"/>
      <w:pPr>
        <w:tabs>
          <w:tab w:val="left" w:pos="3080"/>
        </w:tabs>
        <w:ind w:left="3080" w:hanging="420"/>
      </w:pPr>
      <w:rPr>
        <w:rFonts w:ascii="Wingdings" w:hAnsi="Wingdings"/>
      </w:rPr>
    </w:lvl>
    <w:lvl w:ilvl="6" w:tentative="0">
      <w:start w:val="1"/>
      <w:numFmt w:val="bullet"/>
      <w:lvlText w:val=""/>
      <w:lvlJc w:val="left"/>
      <w:pPr>
        <w:tabs>
          <w:tab w:val="left" w:pos="3500"/>
        </w:tabs>
        <w:ind w:left="3500" w:hanging="420"/>
      </w:pPr>
      <w:rPr>
        <w:rFonts w:ascii="Wingdings" w:hAnsi="Wingdings"/>
      </w:rPr>
    </w:lvl>
    <w:lvl w:ilvl="7" w:tentative="0">
      <w:start w:val="1"/>
      <w:numFmt w:val="bullet"/>
      <w:lvlText w:val=""/>
      <w:lvlJc w:val="left"/>
      <w:pPr>
        <w:tabs>
          <w:tab w:val="left" w:pos="3920"/>
        </w:tabs>
        <w:ind w:left="3920" w:hanging="420"/>
      </w:pPr>
      <w:rPr>
        <w:rFonts w:ascii="Wingdings" w:hAnsi="Wingdings"/>
      </w:rPr>
    </w:lvl>
    <w:lvl w:ilvl="8" w:tentative="0">
      <w:start w:val="1"/>
      <w:numFmt w:val="bullet"/>
      <w:lvlText w:val=""/>
      <w:lvlJc w:val="left"/>
      <w:pPr>
        <w:tabs>
          <w:tab w:val="left" w:pos="4340"/>
        </w:tabs>
        <w:ind w:left="4340" w:hanging="42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trackedChange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6B7"/>
    <w:rsid w:val="00005645"/>
    <w:rsid w:val="00033DDA"/>
    <w:rsid w:val="000F06DD"/>
    <w:rsid w:val="001714BA"/>
    <w:rsid w:val="00192DA9"/>
    <w:rsid w:val="001C3124"/>
    <w:rsid w:val="0026238E"/>
    <w:rsid w:val="00292675"/>
    <w:rsid w:val="00292D91"/>
    <w:rsid w:val="0029327A"/>
    <w:rsid w:val="003D38A2"/>
    <w:rsid w:val="0041622A"/>
    <w:rsid w:val="00425C22"/>
    <w:rsid w:val="004A11AE"/>
    <w:rsid w:val="004B0111"/>
    <w:rsid w:val="00537860"/>
    <w:rsid w:val="00586B14"/>
    <w:rsid w:val="005C5439"/>
    <w:rsid w:val="00686705"/>
    <w:rsid w:val="006C5D38"/>
    <w:rsid w:val="006C6976"/>
    <w:rsid w:val="006E076A"/>
    <w:rsid w:val="00753DD4"/>
    <w:rsid w:val="00775A0E"/>
    <w:rsid w:val="007C5BCB"/>
    <w:rsid w:val="007D6DAE"/>
    <w:rsid w:val="008057BD"/>
    <w:rsid w:val="00811E3A"/>
    <w:rsid w:val="00813444"/>
    <w:rsid w:val="0083059C"/>
    <w:rsid w:val="008F77D5"/>
    <w:rsid w:val="009B7EA6"/>
    <w:rsid w:val="009C5223"/>
    <w:rsid w:val="009D1653"/>
    <w:rsid w:val="009E4EB2"/>
    <w:rsid w:val="009F61FB"/>
    <w:rsid w:val="00A25225"/>
    <w:rsid w:val="00A62504"/>
    <w:rsid w:val="00A65B9D"/>
    <w:rsid w:val="00AB3335"/>
    <w:rsid w:val="00AB3715"/>
    <w:rsid w:val="00AF5BE9"/>
    <w:rsid w:val="00B351A3"/>
    <w:rsid w:val="00B97997"/>
    <w:rsid w:val="00BD4621"/>
    <w:rsid w:val="00C20CA5"/>
    <w:rsid w:val="00C434D8"/>
    <w:rsid w:val="00C747FA"/>
    <w:rsid w:val="00CC129C"/>
    <w:rsid w:val="00D653FF"/>
    <w:rsid w:val="00D84B2A"/>
    <w:rsid w:val="00D91102"/>
    <w:rsid w:val="00DD77BE"/>
    <w:rsid w:val="00E0200E"/>
    <w:rsid w:val="00EB30F4"/>
    <w:rsid w:val="00EC0D1C"/>
    <w:rsid w:val="00EC5F4C"/>
    <w:rsid w:val="00ED374B"/>
    <w:rsid w:val="00EE3D41"/>
    <w:rsid w:val="00F73CF0"/>
    <w:rsid w:val="00F774D4"/>
    <w:rsid w:val="00F846B7"/>
    <w:rsid w:val="03B34930"/>
    <w:rsid w:val="06FD7C0F"/>
    <w:rsid w:val="09995E3A"/>
    <w:rsid w:val="0AE95411"/>
    <w:rsid w:val="0E4A7BCF"/>
    <w:rsid w:val="0FA14F53"/>
    <w:rsid w:val="13113D52"/>
    <w:rsid w:val="14E74612"/>
    <w:rsid w:val="18AA2631"/>
    <w:rsid w:val="19FB5C71"/>
    <w:rsid w:val="1C202C5C"/>
    <w:rsid w:val="1E6E3A24"/>
    <w:rsid w:val="20213B9B"/>
    <w:rsid w:val="21101A4F"/>
    <w:rsid w:val="24B2070E"/>
    <w:rsid w:val="24F81438"/>
    <w:rsid w:val="25187F67"/>
    <w:rsid w:val="26195194"/>
    <w:rsid w:val="266E602C"/>
    <w:rsid w:val="278F6D91"/>
    <w:rsid w:val="2A43616A"/>
    <w:rsid w:val="2B816E6D"/>
    <w:rsid w:val="2C064724"/>
    <w:rsid w:val="2C5C3619"/>
    <w:rsid w:val="2FFD4C04"/>
    <w:rsid w:val="31457D10"/>
    <w:rsid w:val="31B20BD2"/>
    <w:rsid w:val="32B00A89"/>
    <w:rsid w:val="33BB353F"/>
    <w:rsid w:val="347D4BBA"/>
    <w:rsid w:val="35490AED"/>
    <w:rsid w:val="37993686"/>
    <w:rsid w:val="38485030"/>
    <w:rsid w:val="3BAC38B9"/>
    <w:rsid w:val="3BFC3BDC"/>
    <w:rsid w:val="40802BDF"/>
    <w:rsid w:val="449F6170"/>
    <w:rsid w:val="44A80B67"/>
    <w:rsid w:val="47E51466"/>
    <w:rsid w:val="48405443"/>
    <w:rsid w:val="4CEA67EB"/>
    <w:rsid w:val="4F223B87"/>
    <w:rsid w:val="502C753B"/>
    <w:rsid w:val="504306EC"/>
    <w:rsid w:val="528A68C1"/>
    <w:rsid w:val="533C62EE"/>
    <w:rsid w:val="533F0BFB"/>
    <w:rsid w:val="5B793780"/>
    <w:rsid w:val="5B7D19EA"/>
    <w:rsid w:val="5CB642F3"/>
    <w:rsid w:val="5D704C4E"/>
    <w:rsid w:val="60BE7C56"/>
    <w:rsid w:val="60C34E20"/>
    <w:rsid w:val="62FD2816"/>
    <w:rsid w:val="66340B25"/>
    <w:rsid w:val="66842DB8"/>
    <w:rsid w:val="67444C75"/>
    <w:rsid w:val="6B431385"/>
    <w:rsid w:val="6B757FDB"/>
    <w:rsid w:val="6C5E4F8F"/>
    <w:rsid w:val="6C7B7331"/>
    <w:rsid w:val="6C8753A4"/>
    <w:rsid w:val="6E131831"/>
    <w:rsid w:val="739C7336"/>
    <w:rsid w:val="73A67818"/>
    <w:rsid w:val="746C00DB"/>
    <w:rsid w:val="77103658"/>
    <w:rsid w:val="782F3E3A"/>
    <w:rsid w:val="79287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uiPriority="99"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qFormat="1"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ascii="Times New Roman" w:hAnsi="Times New Roman" w:eastAsia="宋体" w:cs="Times New Roman"/>
      <w:sz w:val="21"/>
      <w:szCs w:val="24"/>
      <w:lang w:val="en-US" w:eastAsia="zh-CN" w:bidi="ar-SA"/>
    </w:rPr>
  </w:style>
  <w:style w:type="paragraph" w:styleId="2">
    <w:name w:val="heading 1"/>
    <w:basedOn w:val="1"/>
    <w:next w:val="1"/>
    <w:link w:val="44"/>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45"/>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6"/>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7"/>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8"/>
    <w:unhideWhenUsed/>
    <w:qFormat/>
    <w:uiPriority w:val="9"/>
    <w:pPr>
      <w:keepNext/>
      <w:keepLines/>
      <w:spacing w:before="320" w:after="200"/>
      <w:outlineLvl w:val="4"/>
    </w:pPr>
    <w:rPr>
      <w:rFonts w:ascii="Arial" w:hAnsi="Arial" w:eastAsia="Arial" w:cs="Arial"/>
      <w:b/>
      <w:bCs/>
      <w:sz w:val="24"/>
    </w:rPr>
  </w:style>
  <w:style w:type="paragraph" w:styleId="7">
    <w:name w:val="heading 6"/>
    <w:basedOn w:val="1"/>
    <w:next w:val="1"/>
    <w:link w:val="49"/>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50"/>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51"/>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52"/>
    <w:unhideWhenUsed/>
    <w:qFormat/>
    <w:uiPriority w:val="9"/>
    <w:pPr>
      <w:keepNext/>
      <w:keepLines/>
      <w:spacing w:before="320" w:after="200"/>
      <w:outlineLvl w:val="8"/>
    </w:pPr>
    <w:rPr>
      <w:rFonts w:ascii="Arial" w:hAnsi="Arial" w:eastAsia="Arial" w:cs="Arial"/>
      <w:i/>
      <w:iCs/>
      <w:szCs w:val="21"/>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annotation text"/>
    <w:basedOn w:val="1"/>
    <w:link w:val="70"/>
    <w:semiHidden/>
    <w:unhideWhenUsed/>
    <w:qFormat/>
    <w:uiPriority w:val="99"/>
    <w:pPr>
      <w:jc w:val="left"/>
    </w:pPr>
  </w:style>
  <w:style w:type="paragraph" w:styleId="13">
    <w:name w:val="Body Text"/>
    <w:basedOn w:val="1"/>
    <w:next w:val="1"/>
    <w:link w:val="43"/>
    <w:unhideWhenUsed/>
    <w:qFormat/>
    <w:uiPriority w:val="1"/>
    <w:pPr>
      <w:spacing w:after="120"/>
    </w:pPr>
  </w:style>
  <w:style w:type="paragraph" w:styleId="14">
    <w:name w:val="Body Text Indent"/>
    <w:basedOn w:val="1"/>
    <w:link w:val="71"/>
    <w:qFormat/>
    <w:uiPriority w:val="0"/>
    <w:pPr>
      <w:spacing w:line="360" w:lineRule="auto"/>
      <w:ind w:firstLine="420"/>
    </w:pPr>
    <w:rPr>
      <w:rFonts w:ascii="宋体"/>
      <w:sz w:val="24"/>
    </w:rPr>
  </w:style>
  <w:style w:type="paragraph" w:styleId="15">
    <w:name w:val="Block Text"/>
    <w:unhideWhenUsed/>
    <w:qFormat/>
    <w:uiPriority w:val="0"/>
    <w:pPr>
      <w:widowControl w:val="0"/>
      <w:spacing w:after="120"/>
      <w:ind w:left="1440" w:leftChars="700" w:right="1440" w:rightChars="700"/>
      <w:jc w:val="both"/>
    </w:pPr>
    <w:rPr>
      <w:rFonts w:ascii="Times New Roman" w:hAnsi="Times New Roman" w:eastAsia="宋体" w:cs="Times New Roman"/>
      <w:kern w:val="2"/>
      <w:sz w:val="21"/>
      <w:szCs w:val="24"/>
      <w:lang w:val="en-US" w:eastAsia="zh-CN" w:bidi="ar-SA"/>
    </w:rPr>
  </w:style>
  <w:style w:type="paragraph" w:styleId="16">
    <w:name w:val="toc 5"/>
    <w:basedOn w:val="1"/>
    <w:next w:val="1"/>
    <w:unhideWhenUsed/>
    <w:qFormat/>
    <w:uiPriority w:val="39"/>
    <w:pPr>
      <w:spacing w:after="57"/>
      <w:ind w:left="1134"/>
    </w:pPr>
  </w:style>
  <w:style w:type="paragraph" w:styleId="17">
    <w:name w:val="toc 3"/>
    <w:basedOn w:val="1"/>
    <w:next w:val="1"/>
    <w:unhideWhenUsed/>
    <w:qFormat/>
    <w:uiPriority w:val="39"/>
    <w:pPr>
      <w:spacing w:after="57"/>
      <w:ind w:left="567"/>
    </w:pPr>
  </w:style>
  <w:style w:type="paragraph" w:styleId="18">
    <w:name w:val="Plain Text"/>
    <w:basedOn w:val="1"/>
    <w:link w:val="72"/>
    <w:qFormat/>
    <w:uiPriority w:val="0"/>
    <w:rPr>
      <w:rFonts w:ascii="宋体" w:hAnsi="Courier New"/>
      <w:sz w:val="28"/>
    </w:rPr>
  </w:style>
  <w:style w:type="paragraph" w:styleId="19">
    <w:name w:val="toc 8"/>
    <w:basedOn w:val="1"/>
    <w:next w:val="1"/>
    <w:unhideWhenUsed/>
    <w:qFormat/>
    <w:uiPriority w:val="39"/>
    <w:pPr>
      <w:spacing w:after="57"/>
      <w:ind w:left="1984"/>
    </w:pPr>
  </w:style>
  <w:style w:type="paragraph" w:styleId="20">
    <w:name w:val="Body Text Indent 2"/>
    <w:unhideWhenUsed/>
    <w:qFormat/>
    <w:uiPriority w:val="0"/>
    <w:pPr>
      <w:widowControl w:val="0"/>
      <w:spacing w:after="120" w:line="480" w:lineRule="auto"/>
      <w:ind w:left="420" w:leftChars="200"/>
      <w:jc w:val="both"/>
    </w:pPr>
    <w:rPr>
      <w:rFonts w:ascii="等线" w:hAnsi="等线" w:eastAsia="等线" w:cs="宋体"/>
      <w:kern w:val="2"/>
      <w:sz w:val="21"/>
      <w:szCs w:val="22"/>
      <w:lang w:val="en-US" w:eastAsia="zh-CN" w:bidi="ar-SA"/>
    </w:rPr>
  </w:style>
  <w:style w:type="paragraph" w:styleId="21">
    <w:name w:val="endnote text"/>
    <w:basedOn w:val="1"/>
    <w:link w:val="73"/>
    <w:semiHidden/>
    <w:unhideWhenUsed/>
    <w:qFormat/>
    <w:uiPriority w:val="99"/>
    <w:pPr>
      <w:spacing w:line="240" w:lineRule="auto"/>
    </w:pPr>
    <w:rPr>
      <w:sz w:val="20"/>
    </w:rPr>
  </w:style>
  <w:style w:type="paragraph" w:styleId="22">
    <w:name w:val="Balloon Text"/>
    <w:basedOn w:val="1"/>
    <w:link w:val="74"/>
    <w:semiHidden/>
    <w:unhideWhenUsed/>
    <w:qFormat/>
    <w:uiPriority w:val="99"/>
    <w:pPr>
      <w:spacing w:line="240" w:lineRule="auto"/>
    </w:pPr>
    <w:rPr>
      <w:rFonts w:ascii="宋体"/>
      <w:sz w:val="18"/>
      <w:szCs w:val="18"/>
    </w:rPr>
  </w:style>
  <w:style w:type="paragraph" w:styleId="23">
    <w:name w:val="footer"/>
    <w:basedOn w:val="1"/>
    <w:link w:val="77"/>
    <w:unhideWhenUsed/>
    <w:qFormat/>
    <w:uiPriority w:val="99"/>
    <w:pPr>
      <w:tabs>
        <w:tab w:val="center" w:pos="7143"/>
        <w:tab w:val="right" w:pos="14287"/>
      </w:tabs>
      <w:spacing w:line="240" w:lineRule="auto"/>
    </w:pPr>
  </w:style>
  <w:style w:type="paragraph" w:styleId="24">
    <w:name w:val="header"/>
    <w:basedOn w:val="1"/>
    <w:link w:val="80"/>
    <w:unhideWhenUsed/>
    <w:qFormat/>
    <w:uiPriority w:val="99"/>
    <w:pPr>
      <w:tabs>
        <w:tab w:val="center" w:pos="7143"/>
        <w:tab w:val="right" w:pos="14287"/>
      </w:tabs>
      <w:spacing w:line="240" w:lineRule="auto"/>
    </w:pPr>
  </w:style>
  <w:style w:type="paragraph" w:styleId="25">
    <w:name w:val="toc 1"/>
    <w:basedOn w:val="1"/>
    <w:next w:val="1"/>
    <w:unhideWhenUsed/>
    <w:qFormat/>
    <w:uiPriority w:val="39"/>
    <w:pPr>
      <w:spacing w:after="57"/>
    </w:pPr>
  </w:style>
  <w:style w:type="paragraph" w:styleId="26">
    <w:name w:val="toc 4"/>
    <w:basedOn w:val="1"/>
    <w:next w:val="1"/>
    <w:unhideWhenUsed/>
    <w:qFormat/>
    <w:uiPriority w:val="39"/>
    <w:pPr>
      <w:spacing w:after="57"/>
      <w:ind w:left="850"/>
    </w:pPr>
  </w:style>
  <w:style w:type="paragraph" w:styleId="27">
    <w:name w:val="Subtitle"/>
    <w:basedOn w:val="1"/>
    <w:next w:val="1"/>
    <w:link w:val="83"/>
    <w:qFormat/>
    <w:uiPriority w:val="11"/>
    <w:pPr>
      <w:spacing w:before="200" w:after="200"/>
    </w:pPr>
    <w:rPr>
      <w:sz w:val="24"/>
    </w:rPr>
  </w:style>
  <w:style w:type="paragraph" w:styleId="28">
    <w:name w:val="footnote text"/>
    <w:basedOn w:val="1"/>
    <w:link w:val="86"/>
    <w:semiHidden/>
    <w:unhideWhenUsed/>
    <w:qFormat/>
    <w:uiPriority w:val="99"/>
    <w:pPr>
      <w:spacing w:after="40" w:line="240" w:lineRule="auto"/>
    </w:pPr>
    <w:rPr>
      <w:sz w:val="18"/>
    </w:rPr>
  </w:style>
  <w:style w:type="paragraph" w:styleId="29">
    <w:name w:val="toc 6"/>
    <w:basedOn w:val="1"/>
    <w:next w:val="1"/>
    <w:unhideWhenUsed/>
    <w:qFormat/>
    <w:uiPriority w:val="39"/>
    <w:pPr>
      <w:spacing w:after="57"/>
      <w:ind w:left="1417"/>
    </w:pPr>
  </w:style>
  <w:style w:type="paragraph" w:styleId="30">
    <w:name w:val="table of figures"/>
    <w:basedOn w:val="1"/>
    <w:next w:val="1"/>
    <w:unhideWhenUsed/>
    <w:qFormat/>
    <w:uiPriority w:val="99"/>
  </w:style>
  <w:style w:type="paragraph" w:styleId="31">
    <w:name w:val="toc 2"/>
    <w:basedOn w:val="1"/>
    <w:next w:val="1"/>
    <w:unhideWhenUsed/>
    <w:qFormat/>
    <w:uiPriority w:val="39"/>
    <w:pPr>
      <w:spacing w:after="57"/>
      <w:ind w:left="283"/>
    </w:pPr>
  </w:style>
  <w:style w:type="paragraph" w:styleId="32">
    <w:name w:val="toc 9"/>
    <w:basedOn w:val="1"/>
    <w:next w:val="1"/>
    <w:unhideWhenUsed/>
    <w:qFormat/>
    <w:uiPriority w:val="39"/>
    <w:pPr>
      <w:spacing w:after="57"/>
      <w:ind w:left="2268"/>
    </w:pPr>
  </w:style>
  <w:style w:type="paragraph" w:styleId="33">
    <w:name w:val="Title"/>
    <w:basedOn w:val="1"/>
    <w:next w:val="1"/>
    <w:link w:val="89"/>
    <w:qFormat/>
    <w:uiPriority w:val="10"/>
    <w:pPr>
      <w:spacing w:before="300" w:after="200"/>
      <w:contextualSpacing/>
    </w:pPr>
    <w:rPr>
      <w:sz w:val="48"/>
      <w:szCs w:val="48"/>
    </w:rPr>
  </w:style>
  <w:style w:type="paragraph" w:styleId="34">
    <w:name w:val="annotation subject"/>
    <w:basedOn w:val="12"/>
    <w:next w:val="12"/>
    <w:link w:val="298"/>
    <w:semiHidden/>
    <w:unhideWhenUsed/>
    <w:qFormat/>
    <w:uiPriority w:val="99"/>
    <w:rPr>
      <w:b/>
      <w:bCs/>
    </w:rPr>
  </w:style>
  <w:style w:type="table" w:styleId="36">
    <w:name w:val="Table Grid"/>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8">
    <w:name w:val="Strong"/>
    <w:basedOn w:val="37"/>
    <w:qFormat/>
    <w:uiPriority w:val="22"/>
    <w:rPr>
      <w:b/>
    </w:rPr>
  </w:style>
  <w:style w:type="character" w:styleId="39">
    <w:name w:val="Hyperlink"/>
    <w:unhideWhenUsed/>
    <w:qFormat/>
    <w:uiPriority w:val="99"/>
    <w:rPr>
      <w:color w:val="0563C1" w:themeColor="hyperlink"/>
      <w:u w:val="single"/>
      <w14:textFill>
        <w14:solidFill>
          <w14:schemeClr w14:val="hlink"/>
        </w14:solidFill>
      </w14:textFill>
    </w:rPr>
  </w:style>
  <w:style w:type="character" w:styleId="40">
    <w:name w:val="annotation reference"/>
    <w:basedOn w:val="37"/>
    <w:qFormat/>
    <w:uiPriority w:val="0"/>
    <w:rPr>
      <w:sz w:val="21"/>
      <w:szCs w:val="21"/>
    </w:rPr>
  </w:style>
  <w:style w:type="character" w:styleId="41">
    <w:name w:val="footnote reference"/>
    <w:unhideWhenUsed/>
    <w:qFormat/>
    <w:uiPriority w:val="99"/>
    <w:rPr>
      <w:vertAlign w:val="superscript"/>
    </w:rPr>
  </w:style>
  <w:style w:type="paragraph" w:customStyle="1" w:styleId="42">
    <w:name w:val="正文（缩进）"/>
    <w:next w:val="1"/>
    <w:qFormat/>
    <w:uiPriority w:val="99"/>
    <w:pPr>
      <w:widowControl w:val="0"/>
      <w:spacing w:line="360" w:lineRule="auto"/>
      <w:ind w:firstLine="200" w:firstLineChars="200"/>
      <w:jc w:val="both"/>
    </w:pPr>
    <w:rPr>
      <w:rFonts w:ascii="宋体" w:hAnsi="宋体" w:eastAsia="宋体" w:cs="宋体"/>
      <w:sz w:val="24"/>
      <w:szCs w:val="24"/>
      <w:lang w:val="en-US" w:eastAsia="zh-CN" w:bidi="ar-SA"/>
    </w:rPr>
  </w:style>
  <w:style w:type="character" w:customStyle="1" w:styleId="43">
    <w:name w:val="正文文本 字符"/>
    <w:basedOn w:val="37"/>
    <w:link w:val="13"/>
    <w:qFormat/>
    <w:uiPriority w:val="1"/>
    <w:rPr>
      <w:rFonts w:ascii="Times New Roman" w:hAnsi="Times New Roman" w:eastAsia="宋体" w:cs="Times New Roman"/>
      <w:kern w:val="0"/>
    </w:rPr>
  </w:style>
  <w:style w:type="character" w:customStyle="1" w:styleId="44">
    <w:name w:val="标题 1 字符1"/>
    <w:link w:val="2"/>
    <w:qFormat/>
    <w:uiPriority w:val="9"/>
    <w:rPr>
      <w:rFonts w:ascii="Arial" w:hAnsi="Arial" w:eastAsia="Arial" w:cs="Arial"/>
      <w:kern w:val="0"/>
      <w:sz w:val="40"/>
      <w:szCs w:val="40"/>
    </w:rPr>
  </w:style>
  <w:style w:type="character" w:customStyle="1" w:styleId="45">
    <w:name w:val="标题 2 字符1"/>
    <w:link w:val="3"/>
    <w:qFormat/>
    <w:uiPriority w:val="9"/>
    <w:rPr>
      <w:rFonts w:ascii="Arial" w:hAnsi="Arial" w:eastAsia="Arial" w:cs="Arial"/>
      <w:kern w:val="0"/>
      <w:sz w:val="34"/>
    </w:rPr>
  </w:style>
  <w:style w:type="character" w:customStyle="1" w:styleId="46">
    <w:name w:val="标题 3 字符2"/>
    <w:link w:val="4"/>
    <w:qFormat/>
    <w:uiPriority w:val="9"/>
    <w:rPr>
      <w:rFonts w:ascii="Arial" w:hAnsi="Arial" w:eastAsia="Arial" w:cs="Arial"/>
      <w:kern w:val="0"/>
      <w:sz w:val="30"/>
      <w:szCs w:val="30"/>
    </w:rPr>
  </w:style>
  <w:style w:type="character" w:customStyle="1" w:styleId="47">
    <w:name w:val="标题 4 字符1"/>
    <w:link w:val="5"/>
    <w:qFormat/>
    <w:uiPriority w:val="9"/>
    <w:rPr>
      <w:rFonts w:ascii="Arial" w:hAnsi="Arial" w:eastAsia="Arial" w:cs="Arial"/>
      <w:b/>
      <w:bCs/>
      <w:kern w:val="0"/>
      <w:sz w:val="26"/>
      <w:szCs w:val="26"/>
    </w:rPr>
  </w:style>
  <w:style w:type="character" w:customStyle="1" w:styleId="48">
    <w:name w:val="标题 5 字符1"/>
    <w:link w:val="6"/>
    <w:qFormat/>
    <w:uiPriority w:val="9"/>
    <w:rPr>
      <w:rFonts w:ascii="Arial" w:hAnsi="Arial" w:eastAsia="Arial" w:cs="Arial"/>
      <w:b/>
      <w:bCs/>
      <w:kern w:val="0"/>
      <w:sz w:val="24"/>
    </w:rPr>
  </w:style>
  <w:style w:type="character" w:customStyle="1" w:styleId="49">
    <w:name w:val="标题 6 字符1"/>
    <w:link w:val="7"/>
    <w:qFormat/>
    <w:uiPriority w:val="9"/>
    <w:rPr>
      <w:rFonts w:ascii="Arial" w:hAnsi="Arial" w:eastAsia="Arial" w:cs="Arial"/>
      <w:b/>
      <w:bCs/>
      <w:kern w:val="0"/>
      <w:sz w:val="22"/>
      <w:szCs w:val="22"/>
    </w:rPr>
  </w:style>
  <w:style w:type="character" w:customStyle="1" w:styleId="50">
    <w:name w:val="标题 7 字符1"/>
    <w:link w:val="8"/>
    <w:qFormat/>
    <w:uiPriority w:val="9"/>
    <w:rPr>
      <w:rFonts w:ascii="Arial" w:hAnsi="Arial" w:eastAsia="Arial" w:cs="Arial"/>
      <w:b/>
      <w:bCs/>
      <w:i/>
      <w:iCs/>
      <w:kern w:val="0"/>
      <w:sz w:val="22"/>
      <w:szCs w:val="22"/>
    </w:rPr>
  </w:style>
  <w:style w:type="character" w:customStyle="1" w:styleId="51">
    <w:name w:val="标题 8 字符1"/>
    <w:link w:val="9"/>
    <w:qFormat/>
    <w:uiPriority w:val="9"/>
    <w:rPr>
      <w:rFonts w:ascii="Arial" w:hAnsi="Arial" w:eastAsia="Arial" w:cs="Arial"/>
      <w:i/>
      <w:iCs/>
      <w:kern w:val="0"/>
      <w:sz w:val="22"/>
      <w:szCs w:val="22"/>
    </w:rPr>
  </w:style>
  <w:style w:type="character" w:customStyle="1" w:styleId="52">
    <w:name w:val="标题 9 字符1"/>
    <w:link w:val="10"/>
    <w:qFormat/>
    <w:uiPriority w:val="9"/>
    <w:rPr>
      <w:rFonts w:ascii="Arial" w:hAnsi="Arial" w:eastAsia="Arial" w:cs="Arial"/>
      <w:i/>
      <w:iCs/>
      <w:kern w:val="0"/>
      <w:szCs w:val="21"/>
    </w:rPr>
  </w:style>
  <w:style w:type="character" w:customStyle="1" w:styleId="53">
    <w:name w:val="标题 1 字符"/>
    <w:basedOn w:val="37"/>
    <w:link w:val="54"/>
    <w:qFormat/>
    <w:uiPriority w:val="0"/>
    <w:rPr>
      <w:rFonts w:ascii="Times New Roman" w:hAnsi="Times New Roman" w:eastAsia="宋体" w:cs="Times New Roman"/>
      <w:b/>
      <w:bCs/>
      <w:kern w:val="44"/>
      <w:sz w:val="44"/>
      <w:szCs w:val="44"/>
    </w:rPr>
  </w:style>
  <w:style w:type="paragraph" w:customStyle="1" w:styleId="54">
    <w:name w:val="标题 11"/>
    <w:basedOn w:val="1"/>
    <w:next w:val="1"/>
    <w:link w:val="53"/>
    <w:qFormat/>
    <w:uiPriority w:val="0"/>
    <w:pPr>
      <w:keepNext/>
      <w:keepLines/>
      <w:spacing w:before="340" w:after="330" w:line="576" w:lineRule="auto"/>
      <w:jc w:val="center"/>
      <w:outlineLvl w:val="0"/>
    </w:pPr>
    <w:rPr>
      <w:b/>
      <w:bCs/>
      <w:kern w:val="44"/>
      <w:sz w:val="44"/>
      <w:szCs w:val="44"/>
    </w:rPr>
  </w:style>
  <w:style w:type="character" w:customStyle="1" w:styleId="55">
    <w:name w:val="标题 2 字符"/>
    <w:basedOn w:val="37"/>
    <w:link w:val="56"/>
    <w:qFormat/>
    <w:uiPriority w:val="0"/>
    <w:rPr>
      <w:rFonts w:asciiTheme="majorHAnsi" w:hAnsiTheme="majorHAnsi" w:eastAsiaTheme="majorEastAsia" w:cstheme="majorBidi"/>
      <w:b/>
      <w:bCs/>
      <w:kern w:val="0"/>
      <w:sz w:val="32"/>
      <w:szCs w:val="32"/>
    </w:rPr>
  </w:style>
  <w:style w:type="paragraph" w:customStyle="1" w:styleId="56">
    <w:name w:val="标题 21"/>
    <w:basedOn w:val="1"/>
    <w:next w:val="1"/>
    <w:link w:val="55"/>
    <w:qFormat/>
    <w:uiPriority w:val="0"/>
    <w:pPr>
      <w:keepNext/>
      <w:keepLines/>
      <w:spacing w:before="260" w:after="260" w:line="415" w:lineRule="auto"/>
      <w:outlineLvl w:val="1"/>
    </w:pPr>
    <w:rPr>
      <w:rFonts w:asciiTheme="majorHAnsi" w:hAnsiTheme="majorHAnsi" w:eastAsiaTheme="majorEastAsia" w:cstheme="majorBidi"/>
      <w:b/>
      <w:bCs/>
      <w:sz w:val="32"/>
      <w:szCs w:val="32"/>
    </w:rPr>
  </w:style>
  <w:style w:type="character" w:customStyle="1" w:styleId="57">
    <w:name w:val="标题 3 字符"/>
    <w:basedOn w:val="37"/>
    <w:qFormat/>
    <w:uiPriority w:val="99"/>
    <w:rPr>
      <w:rFonts w:ascii="Times New Roman" w:hAnsi="Times New Roman" w:eastAsia="宋体" w:cs="Times New Roman"/>
      <w:b/>
      <w:bCs/>
      <w:kern w:val="0"/>
      <w:sz w:val="32"/>
      <w:szCs w:val="32"/>
    </w:rPr>
  </w:style>
  <w:style w:type="character" w:customStyle="1" w:styleId="58">
    <w:name w:val="标题 4 字符"/>
    <w:basedOn w:val="37"/>
    <w:link w:val="59"/>
    <w:qFormat/>
    <w:uiPriority w:val="99"/>
    <w:rPr>
      <w:rFonts w:asciiTheme="majorHAnsi" w:hAnsiTheme="majorHAnsi" w:eastAsiaTheme="majorEastAsia" w:cstheme="majorBidi"/>
      <w:b/>
      <w:bCs/>
      <w:kern w:val="0"/>
      <w:sz w:val="28"/>
      <w:szCs w:val="28"/>
    </w:rPr>
  </w:style>
  <w:style w:type="paragraph" w:customStyle="1" w:styleId="59">
    <w:name w:val="标题 41"/>
    <w:basedOn w:val="1"/>
    <w:next w:val="1"/>
    <w:link w:val="58"/>
    <w:qFormat/>
    <w:uiPriority w:val="99"/>
    <w:pPr>
      <w:keepNext/>
      <w:keepLines/>
      <w:spacing w:before="280" w:after="290" w:line="374" w:lineRule="auto"/>
      <w:outlineLvl w:val="3"/>
    </w:pPr>
    <w:rPr>
      <w:rFonts w:asciiTheme="majorHAnsi" w:hAnsiTheme="majorHAnsi" w:eastAsiaTheme="majorEastAsia" w:cstheme="majorBidi"/>
      <w:b/>
      <w:bCs/>
      <w:sz w:val="28"/>
      <w:szCs w:val="28"/>
    </w:rPr>
  </w:style>
  <w:style w:type="character" w:customStyle="1" w:styleId="60">
    <w:name w:val="标题 5 字符"/>
    <w:basedOn w:val="37"/>
    <w:link w:val="61"/>
    <w:qFormat/>
    <w:uiPriority w:val="9"/>
    <w:rPr>
      <w:rFonts w:ascii="Times New Roman" w:hAnsi="Times New Roman" w:eastAsia="宋体" w:cs="Times New Roman"/>
      <w:b/>
      <w:bCs/>
      <w:kern w:val="0"/>
      <w:sz w:val="28"/>
      <w:szCs w:val="28"/>
    </w:rPr>
  </w:style>
  <w:style w:type="paragraph" w:customStyle="1" w:styleId="61">
    <w:name w:val="标题 51"/>
    <w:basedOn w:val="1"/>
    <w:next w:val="1"/>
    <w:link w:val="60"/>
    <w:qFormat/>
    <w:uiPriority w:val="9"/>
    <w:pPr>
      <w:keepNext/>
      <w:keepLines/>
      <w:spacing w:before="280" w:after="290" w:line="376" w:lineRule="auto"/>
      <w:outlineLvl w:val="4"/>
    </w:pPr>
    <w:rPr>
      <w:b/>
      <w:bCs/>
      <w:sz w:val="28"/>
      <w:szCs w:val="28"/>
    </w:rPr>
  </w:style>
  <w:style w:type="character" w:customStyle="1" w:styleId="62">
    <w:name w:val="标题 6 字符"/>
    <w:basedOn w:val="37"/>
    <w:link w:val="63"/>
    <w:qFormat/>
    <w:uiPriority w:val="0"/>
    <w:rPr>
      <w:rFonts w:asciiTheme="majorHAnsi" w:hAnsiTheme="majorHAnsi" w:eastAsiaTheme="majorEastAsia" w:cstheme="majorBidi"/>
      <w:b/>
      <w:bCs/>
      <w:kern w:val="0"/>
      <w:sz w:val="24"/>
    </w:rPr>
  </w:style>
  <w:style w:type="paragraph" w:customStyle="1" w:styleId="63">
    <w:name w:val="标题 61"/>
    <w:basedOn w:val="1"/>
    <w:next w:val="1"/>
    <w:link w:val="62"/>
    <w:qFormat/>
    <w:uiPriority w:val="0"/>
    <w:pPr>
      <w:keepNext/>
      <w:keepLines/>
      <w:widowControl/>
      <w:tabs>
        <w:tab w:val="left" w:pos="1440"/>
      </w:tabs>
      <w:spacing w:before="240" w:after="64" w:line="319" w:lineRule="auto"/>
      <w:ind w:left="1152" w:hanging="1152"/>
      <w:jc w:val="left"/>
      <w:outlineLvl w:val="5"/>
    </w:pPr>
    <w:rPr>
      <w:rFonts w:asciiTheme="majorHAnsi" w:hAnsiTheme="majorHAnsi" w:eastAsiaTheme="majorEastAsia" w:cstheme="majorBidi"/>
      <w:b/>
      <w:bCs/>
      <w:sz w:val="24"/>
    </w:rPr>
  </w:style>
  <w:style w:type="character" w:customStyle="1" w:styleId="64">
    <w:name w:val="标题 7 字符"/>
    <w:basedOn w:val="37"/>
    <w:link w:val="65"/>
    <w:qFormat/>
    <w:uiPriority w:val="0"/>
    <w:rPr>
      <w:rFonts w:ascii="Times New Roman" w:hAnsi="Times New Roman" w:eastAsia="宋体" w:cs="Times New Roman"/>
      <w:b/>
      <w:bCs/>
      <w:kern w:val="0"/>
      <w:sz w:val="24"/>
    </w:rPr>
  </w:style>
  <w:style w:type="paragraph" w:customStyle="1" w:styleId="65">
    <w:name w:val="标题 71"/>
    <w:basedOn w:val="1"/>
    <w:next w:val="1"/>
    <w:link w:val="64"/>
    <w:qFormat/>
    <w:uiPriority w:val="0"/>
    <w:pPr>
      <w:keepNext/>
      <w:keepLines/>
      <w:widowControl/>
      <w:tabs>
        <w:tab w:val="left" w:pos="2520"/>
      </w:tabs>
      <w:spacing w:before="240" w:after="64" w:line="319" w:lineRule="auto"/>
      <w:ind w:left="1296" w:hanging="1296"/>
      <w:jc w:val="left"/>
      <w:outlineLvl w:val="6"/>
    </w:pPr>
    <w:rPr>
      <w:b/>
      <w:bCs/>
      <w:sz w:val="24"/>
    </w:rPr>
  </w:style>
  <w:style w:type="character" w:customStyle="1" w:styleId="66">
    <w:name w:val="标题 8 字符"/>
    <w:basedOn w:val="37"/>
    <w:link w:val="67"/>
    <w:qFormat/>
    <w:uiPriority w:val="0"/>
    <w:rPr>
      <w:rFonts w:asciiTheme="majorHAnsi" w:hAnsiTheme="majorHAnsi" w:eastAsiaTheme="majorEastAsia" w:cstheme="majorBidi"/>
      <w:kern w:val="0"/>
      <w:sz w:val="24"/>
    </w:rPr>
  </w:style>
  <w:style w:type="paragraph" w:customStyle="1" w:styleId="67">
    <w:name w:val="标题 81"/>
    <w:basedOn w:val="1"/>
    <w:next w:val="1"/>
    <w:link w:val="66"/>
    <w:qFormat/>
    <w:uiPriority w:val="0"/>
    <w:pPr>
      <w:keepNext/>
      <w:keepLines/>
      <w:widowControl/>
      <w:tabs>
        <w:tab w:val="left" w:pos="1440"/>
      </w:tabs>
      <w:spacing w:before="240" w:after="64" w:line="319" w:lineRule="auto"/>
      <w:ind w:left="1440" w:hanging="1440"/>
      <w:jc w:val="left"/>
      <w:outlineLvl w:val="7"/>
    </w:pPr>
    <w:rPr>
      <w:rFonts w:asciiTheme="majorHAnsi" w:hAnsiTheme="majorHAnsi" w:eastAsiaTheme="majorEastAsia" w:cstheme="majorBidi"/>
      <w:sz w:val="24"/>
    </w:rPr>
  </w:style>
  <w:style w:type="character" w:customStyle="1" w:styleId="68">
    <w:name w:val="标题 9 字符"/>
    <w:basedOn w:val="37"/>
    <w:link w:val="69"/>
    <w:qFormat/>
    <w:uiPriority w:val="0"/>
    <w:rPr>
      <w:rFonts w:asciiTheme="majorHAnsi" w:hAnsiTheme="majorHAnsi" w:eastAsiaTheme="majorEastAsia" w:cstheme="majorBidi"/>
      <w:kern w:val="0"/>
      <w:szCs w:val="21"/>
    </w:rPr>
  </w:style>
  <w:style w:type="paragraph" w:customStyle="1" w:styleId="69">
    <w:name w:val="标题 91"/>
    <w:basedOn w:val="1"/>
    <w:next w:val="1"/>
    <w:link w:val="68"/>
    <w:qFormat/>
    <w:uiPriority w:val="0"/>
    <w:pPr>
      <w:keepNext/>
      <w:keepLines/>
      <w:widowControl/>
      <w:tabs>
        <w:tab w:val="left" w:pos="1584"/>
      </w:tabs>
      <w:spacing w:before="240" w:after="64" w:line="319" w:lineRule="auto"/>
      <w:ind w:left="1584" w:hanging="1584"/>
      <w:jc w:val="left"/>
      <w:outlineLvl w:val="8"/>
    </w:pPr>
    <w:rPr>
      <w:rFonts w:asciiTheme="majorHAnsi" w:hAnsiTheme="majorHAnsi" w:eastAsiaTheme="majorEastAsia" w:cstheme="majorBidi"/>
      <w:szCs w:val="21"/>
    </w:rPr>
  </w:style>
  <w:style w:type="character" w:customStyle="1" w:styleId="70">
    <w:name w:val="批注文字 字符"/>
    <w:basedOn w:val="37"/>
    <w:link w:val="12"/>
    <w:semiHidden/>
    <w:qFormat/>
    <w:uiPriority w:val="99"/>
    <w:rPr>
      <w:rFonts w:ascii="Times New Roman" w:hAnsi="Times New Roman" w:eastAsia="宋体" w:cs="Times New Roman"/>
      <w:kern w:val="0"/>
    </w:rPr>
  </w:style>
  <w:style w:type="character" w:customStyle="1" w:styleId="71">
    <w:name w:val="正文文本缩进 字符"/>
    <w:basedOn w:val="37"/>
    <w:link w:val="14"/>
    <w:qFormat/>
    <w:uiPriority w:val="0"/>
    <w:rPr>
      <w:rFonts w:ascii="宋体" w:hAnsi="Times New Roman" w:eastAsia="宋体" w:cs="Times New Roman"/>
      <w:kern w:val="0"/>
      <w:sz w:val="24"/>
    </w:rPr>
  </w:style>
  <w:style w:type="character" w:customStyle="1" w:styleId="72">
    <w:name w:val="纯文本 字符"/>
    <w:basedOn w:val="37"/>
    <w:link w:val="18"/>
    <w:qFormat/>
    <w:uiPriority w:val="0"/>
    <w:rPr>
      <w:rFonts w:ascii="宋体" w:hAnsi="Courier New" w:eastAsia="宋体" w:cs="Times New Roman"/>
      <w:kern w:val="0"/>
      <w:sz w:val="28"/>
    </w:rPr>
  </w:style>
  <w:style w:type="character" w:customStyle="1" w:styleId="73">
    <w:name w:val="尾注文本 字符"/>
    <w:basedOn w:val="37"/>
    <w:link w:val="21"/>
    <w:semiHidden/>
    <w:qFormat/>
    <w:uiPriority w:val="99"/>
    <w:rPr>
      <w:rFonts w:ascii="Times New Roman" w:hAnsi="Times New Roman" w:eastAsia="宋体" w:cs="Times New Roman"/>
      <w:kern w:val="0"/>
      <w:sz w:val="20"/>
    </w:rPr>
  </w:style>
  <w:style w:type="character" w:customStyle="1" w:styleId="74">
    <w:name w:val="批注框文本 字符1"/>
    <w:basedOn w:val="37"/>
    <w:link w:val="22"/>
    <w:semiHidden/>
    <w:qFormat/>
    <w:uiPriority w:val="99"/>
    <w:rPr>
      <w:rFonts w:ascii="宋体" w:hAnsi="Times New Roman" w:eastAsia="宋体" w:cs="Times New Roman"/>
      <w:kern w:val="0"/>
      <w:sz w:val="18"/>
      <w:szCs w:val="18"/>
    </w:rPr>
  </w:style>
  <w:style w:type="character" w:customStyle="1" w:styleId="75">
    <w:name w:val="批注框文本 字符"/>
    <w:basedOn w:val="37"/>
    <w:link w:val="76"/>
    <w:qFormat/>
    <w:uiPriority w:val="99"/>
    <w:rPr>
      <w:rFonts w:ascii="宋体" w:hAnsi="Times New Roman" w:eastAsia="宋体" w:cs="Times New Roman"/>
      <w:kern w:val="0"/>
      <w:sz w:val="18"/>
      <w:szCs w:val="18"/>
    </w:rPr>
  </w:style>
  <w:style w:type="paragraph" w:customStyle="1" w:styleId="76">
    <w:name w:val="批注框文本1"/>
    <w:basedOn w:val="1"/>
    <w:link w:val="75"/>
    <w:unhideWhenUsed/>
    <w:qFormat/>
    <w:uiPriority w:val="99"/>
    <w:rPr>
      <w:rFonts w:ascii="宋体"/>
      <w:sz w:val="18"/>
      <w:szCs w:val="18"/>
    </w:rPr>
  </w:style>
  <w:style w:type="character" w:customStyle="1" w:styleId="77">
    <w:name w:val="页脚 字符1"/>
    <w:link w:val="23"/>
    <w:qFormat/>
    <w:uiPriority w:val="99"/>
    <w:rPr>
      <w:rFonts w:ascii="Times New Roman" w:hAnsi="Times New Roman" w:eastAsia="宋体" w:cs="Times New Roman"/>
      <w:kern w:val="0"/>
    </w:rPr>
  </w:style>
  <w:style w:type="character" w:customStyle="1" w:styleId="78">
    <w:name w:val="页脚 字符"/>
    <w:basedOn w:val="37"/>
    <w:link w:val="79"/>
    <w:qFormat/>
    <w:uiPriority w:val="0"/>
    <w:rPr>
      <w:rFonts w:ascii="Times New Roman" w:hAnsi="Times New Roman" w:eastAsia="宋体" w:cs="Times New Roman"/>
      <w:kern w:val="0"/>
      <w:sz w:val="18"/>
      <w:szCs w:val="18"/>
    </w:rPr>
  </w:style>
  <w:style w:type="paragraph" w:customStyle="1" w:styleId="79">
    <w:name w:val="页脚1"/>
    <w:basedOn w:val="1"/>
    <w:link w:val="78"/>
    <w:qFormat/>
    <w:uiPriority w:val="0"/>
    <w:pPr>
      <w:tabs>
        <w:tab w:val="center" w:pos="4153"/>
        <w:tab w:val="right" w:pos="8306"/>
      </w:tabs>
      <w:jc w:val="left"/>
    </w:pPr>
    <w:rPr>
      <w:sz w:val="18"/>
      <w:szCs w:val="18"/>
    </w:rPr>
  </w:style>
  <w:style w:type="character" w:customStyle="1" w:styleId="80">
    <w:name w:val="页眉 字符1"/>
    <w:link w:val="24"/>
    <w:qFormat/>
    <w:uiPriority w:val="99"/>
    <w:rPr>
      <w:rFonts w:ascii="Times New Roman" w:hAnsi="Times New Roman" w:eastAsia="宋体" w:cs="Times New Roman"/>
      <w:kern w:val="0"/>
    </w:rPr>
  </w:style>
  <w:style w:type="character" w:customStyle="1" w:styleId="81">
    <w:name w:val="页眉 字符"/>
    <w:basedOn w:val="37"/>
    <w:link w:val="82"/>
    <w:qFormat/>
    <w:uiPriority w:val="0"/>
    <w:rPr>
      <w:rFonts w:ascii="Times New Roman" w:hAnsi="Times New Roman" w:eastAsia="宋体" w:cs="Times New Roman"/>
      <w:kern w:val="0"/>
      <w:sz w:val="18"/>
      <w:szCs w:val="18"/>
    </w:rPr>
  </w:style>
  <w:style w:type="paragraph" w:customStyle="1" w:styleId="82">
    <w:name w:val="页眉1"/>
    <w:basedOn w:val="1"/>
    <w:link w:val="81"/>
    <w:qFormat/>
    <w:uiPriority w:val="0"/>
    <w:pPr>
      <w:pBdr>
        <w:top w:val="none" w:color="000000" w:sz="0" w:space="1"/>
        <w:left w:val="none" w:color="000000" w:sz="0" w:space="4"/>
        <w:bottom w:val="none" w:color="000000" w:sz="0" w:space="1"/>
        <w:right w:val="none" w:color="000000" w:sz="0" w:space="4"/>
      </w:pBdr>
      <w:tabs>
        <w:tab w:val="center" w:pos="4153"/>
        <w:tab w:val="right" w:pos="8306"/>
      </w:tabs>
      <w:spacing w:line="240" w:lineRule="auto"/>
    </w:pPr>
    <w:rPr>
      <w:sz w:val="18"/>
      <w:szCs w:val="18"/>
    </w:rPr>
  </w:style>
  <w:style w:type="character" w:customStyle="1" w:styleId="83">
    <w:name w:val="副标题 字符1"/>
    <w:link w:val="27"/>
    <w:qFormat/>
    <w:uiPriority w:val="11"/>
    <w:rPr>
      <w:rFonts w:ascii="Times New Roman" w:hAnsi="Times New Roman" w:eastAsia="宋体" w:cs="Times New Roman"/>
      <w:kern w:val="0"/>
      <w:sz w:val="24"/>
    </w:rPr>
  </w:style>
  <w:style w:type="character" w:customStyle="1" w:styleId="84">
    <w:name w:val="副标题 字符"/>
    <w:basedOn w:val="37"/>
    <w:link w:val="85"/>
    <w:qFormat/>
    <w:uiPriority w:val="11"/>
    <w:rPr>
      <w:b/>
      <w:bCs/>
      <w:kern w:val="28"/>
      <w:sz w:val="32"/>
      <w:szCs w:val="32"/>
    </w:rPr>
  </w:style>
  <w:style w:type="paragraph" w:customStyle="1" w:styleId="85">
    <w:name w:val="副标题1"/>
    <w:basedOn w:val="1"/>
    <w:next w:val="1"/>
    <w:link w:val="84"/>
    <w:qFormat/>
    <w:uiPriority w:val="11"/>
    <w:pPr>
      <w:spacing w:before="240" w:after="60" w:line="312" w:lineRule="auto"/>
      <w:jc w:val="center"/>
      <w:outlineLvl w:val="1"/>
    </w:pPr>
    <w:rPr>
      <w:rFonts w:asciiTheme="minorHAnsi" w:hAnsiTheme="minorHAnsi" w:eastAsiaTheme="minorEastAsia" w:cstheme="minorBidi"/>
      <w:b/>
      <w:bCs/>
      <w:kern w:val="28"/>
      <w:sz w:val="32"/>
      <w:szCs w:val="32"/>
    </w:rPr>
  </w:style>
  <w:style w:type="character" w:customStyle="1" w:styleId="86">
    <w:name w:val="脚注文本 字符1"/>
    <w:link w:val="28"/>
    <w:semiHidden/>
    <w:qFormat/>
    <w:uiPriority w:val="99"/>
    <w:rPr>
      <w:rFonts w:ascii="Times New Roman" w:hAnsi="Times New Roman" w:eastAsia="宋体" w:cs="Times New Roman"/>
      <w:kern w:val="0"/>
      <w:sz w:val="18"/>
    </w:rPr>
  </w:style>
  <w:style w:type="character" w:customStyle="1" w:styleId="87">
    <w:name w:val="脚注文本 字符"/>
    <w:basedOn w:val="37"/>
    <w:link w:val="88"/>
    <w:qFormat/>
    <w:uiPriority w:val="0"/>
    <w:rPr>
      <w:rFonts w:ascii="Times New Roman" w:hAnsi="Times New Roman" w:eastAsia="宋体" w:cs="Times New Roman"/>
      <w:kern w:val="0"/>
      <w:sz w:val="18"/>
      <w:szCs w:val="18"/>
    </w:rPr>
  </w:style>
  <w:style w:type="paragraph" w:customStyle="1" w:styleId="88">
    <w:name w:val="脚注文本1"/>
    <w:basedOn w:val="1"/>
    <w:link w:val="87"/>
    <w:qFormat/>
    <w:uiPriority w:val="0"/>
    <w:rPr>
      <w:sz w:val="18"/>
      <w:szCs w:val="18"/>
    </w:rPr>
  </w:style>
  <w:style w:type="character" w:customStyle="1" w:styleId="89">
    <w:name w:val="标题 字符1"/>
    <w:link w:val="33"/>
    <w:qFormat/>
    <w:uiPriority w:val="10"/>
    <w:rPr>
      <w:rFonts w:ascii="Times New Roman" w:hAnsi="Times New Roman" w:eastAsia="宋体" w:cs="Times New Roman"/>
      <w:kern w:val="0"/>
      <w:sz w:val="48"/>
      <w:szCs w:val="48"/>
    </w:rPr>
  </w:style>
  <w:style w:type="character" w:customStyle="1" w:styleId="90">
    <w:name w:val="标题 字符"/>
    <w:basedOn w:val="37"/>
    <w:link w:val="91"/>
    <w:qFormat/>
    <w:uiPriority w:val="0"/>
    <w:rPr>
      <w:rFonts w:asciiTheme="majorHAnsi" w:hAnsiTheme="majorHAnsi" w:eastAsiaTheme="majorEastAsia" w:cstheme="majorBidi"/>
      <w:b/>
      <w:bCs/>
      <w:kern w:val="0"/>
      <w:sz w:val="32"/>
      <w:szCs w:val="32"/>
    </w:rPr>
  </w:style>
  <w:style w:type="paragraph" w:customStyle="1" w:styleId="91">
    <w:name w:val="标题1"/>
    <w:basedOn w:val="1"/>
    <w:link w:val="90"/>
    <w:qFormat/>
    <w:uiPriority w:val="0"/>
    <w:pPr>
      <w:spacing w:before="240" w:after="60" w:line="420" w:lineRule="atLeast"/>
      <w:jc w:val="center"/>
      <w:outlineLvl w:val="0"/>
    </w:pPr>
    <w:rPr>
      <w:rFonts w:asciiTheme="majorHAnsi" w:hAnsiTheme="majorHAnsi" w:eastAsiaTheme="majorEastAsia" w:cstheme="majorBidi"/>
      <w:b/>
      <w:bCs/>
      <w:sz w:val="32"/>
      <w:szCs w:val="32"/>
    </w:rPr>
  </w:style>
  <w:style w:type="character" w:customStyle="1" w:styleId="92">
    <w:name w:val="NormalCharacter1"/>
    <w:qFormat/>
    <w:uiPriority w:val="0"/>
    <w:rPr>
      <w:rFonts w:ascii="Calibri" w:hAnsi="Calibri" w:eastAsia="宋体" w:cs="Times New Roman"/>
      <w:sz w:val="21"/>
      <w:szCs w:val="24"/>
      <w:lang w:val="en-US" w:eastAsia="zh-CN" w:bidi="ar-SA"/>
    </w:rPr>
  </w:style>
  <w:style w:type="paragraph" w:customStyle="1" w:styleId="93">
    <w:name w:val="正文文本112"/>
    <w:next w:val="1"/>
    <w:qFormat/>
    <w:uiPriority w:val="0"/>
    <w:pPr>
      <w:widowControl w:val="0"/>
      <w:spacing w:after="120"/>
      <w:jc w:val="both"/>
    </w:pPr>
    <w:rPr>
      <w:rFonts w:ascii="Times New Roman" w:hAnsi="Times New Roman" w:eastAsia="宋体" w:cs="Times New Roman"/>
      <w:sz w:val="28"/>
      <w:szCs w:val="24"/>
      <w:lang w:val="en-US" w:eastAsia="zh-CN" w:bidi="ar-SA"/>
    </w:rPr>
  </w:style>
  <w:style w:type="paragraph" w:customStyle="1" w:styleId="94">
    <w:name w:val="正文缩进1"/>
    <w:basedOn w:val="1"/>
    <w:link w:val="95"/>
    <w:qFormat/>
    <w:uiPriority w:val="99"/>
    <w:pPr>
      <w:ind w:firstLine="420"/>
    </w:pPr>
    <w:rPr>
      <w:b/>
      <w:sz w:val="24"/>
      <w:szCs w:val="20"/>
    </w:rPr>
  </w:style>
  <w:style w:type="character" w:customStyle="1" w:styleId="95">
    <w:name w:val="正文缩进 字符"/>
    <w:link w:val="94"/>
    <w:qFormat/>
    <w:uiPriority w:val="99"/>
    <w:rPr>
      <w:rFonts w:ascii="Times New Roman" w:hAnsi="Times New Roman" w:eastAsia="宋体" w:cs="Times New Roman"/>
      <w:b/>
      <w:kern w:val="0"/>
      <w:sz w:val="24"/>
      <w:szCs w:val="20"/>
    </w:rPr>
  </w:style>
  <w:style w:type="paragraph" w:customStyle="1" w:styleId="96">
    <w:name w:val="文本块1"/>
    <w:basedOn w:val="1"/>
    <w:qFormat/>
    <w:uiPriority w:val="99"/>
    <w:pPr>
      <w:widowControl/>
      <w:spacing w:line="360" w:lineRule="auto"/>
      <w:ind w:left="630" w:right="-609" w:firstLine="420"/>
      <w:jc w:val="left"/>
    </w:pPr>
    <w:rPr>
      <w:rFonts w:hint="eastAsia" w:ascii="仿宋_GB2312" w:eastAsia="仿宋_GB2312"/>
      <w:sz w:val="24"/>
      <w:szCs w:val="20"/>
    </w:rPr>
  </w:style>
  <w:style w:type="paragraph" w:styleId="97">
    <w:name w:val="No Spacing"/>
    <w:qFormat/>
    <w:uiPriority w:val="1"/>
    <w:rPr>
      <w:rFonts w:ascii="Times New Roman" w:hAnsi="Times New Roman" w:eastAsia="宋体" w:cs="Times New Roman"/>
      <w:lang w:val="en-US" w:eastAsia="zh-CN" w:bidi="ar-SA"/>
    </w:rPr>
  </w:style>
  <w:style w:type="paragraph" w:styleId="98">
    <w:name w:val="Quote"/>
    <w:basedOn w:val="1"/>
    <w:next w:val="1"/>
    <w:link w:val="99"/>
    <w:qFormat/>
    <w:uiPriority w:val="29"/>
    <w:pPr>
      <w:ind w:left="720" w:right="720"/>
    </w:pPr>
    <w:rPr>
      <w:i/>
    </w:rPr>
  </w:style>
  <w:style w:type="character" w:customStyle="1" w:styleId="99">
    <w:name w:val="引用 字符1"/>
    <w:link w:val="98"/>
    <w:qFormat/>
    <w:uiPriority w:val="29"/>
    <w:rPr>
      <w:rFonts w:ascii="Times New Roman" w:hAnsi="Times New Roman" w:eastAsia="宋体" w:cs="Times New Roman"/>
      <w:i/>
      <w:kern w:val="0"/>
    </w:rPr>
  </w:style>
  <w:style w:type="character" w:customStyle="1" w:styleId="100">
    <w:name w:val="引用 字符"/>
    <w:basedOn w:val="37"/>
    <w:link w:val="101"/>
    <w:qFormat/>
    <w:uiPriority w:val="29"/>
    <w:rPr>
      <w:rFonts w:ascii="Times New Roman" w:hAnsi="Times New Roman" w:eastAsia="宋体" w:cs="Times New Roman"/>
      <w:i/>
      <w:iCs/>
      <w:color w:val="404040" w:themeColor="text1" w:themeTint="BF"/>
      <w:kern w:val="0"/>
      <w14:textFill>
        <w14:solidFill>
          <w14:schemeClr w14:val="tx1">
            <w14:lumMod w14:val="75000"/>
            <w14:lumOff w14:val="25000"/>
          </w14:schemeClr>
        </w14:solidFill>
      </w14:textFill>
    </w:rPr>
  </w:style>
  <w:style w:type="paragraph" w:customStyle="1" w:styleId="101">
    <w:name w:val="引用1"/>
    <w:basedOn w:val="1"/>
    <w:next w:val="1"/>
    <w:link w:val="100"/>
    <w:qFormat/>
    <w:uiPriority w:val="29"/>
    <w:rPr>
      <w:i/>
      <w:iCs/>
      <w:color w:val="404040" w:themeColor="text1" w:themeTint="BF"/>
      <w14:textFill>
        <w14:solidFill>
          <w14:schemeClr w14:val="tx1">
            <w14:lumMod w14:val="75000"/>
            <w14:lumOff w14:val="25000"/>
          </w14:schemeClr>
        </w14:solidFill>
      </w14:textFill>
    </w:rPr>
  </w:style>
  <w:style w:type="paragraph" w:styleId="102">
    <w:name w:val="Intense Quote"/>
    <w:basedOn w:val="1"/>
    <w:next w:val="1"/>
    <w:link w:val="103"/>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103">
    <w:name w:val="明显引用 字符1"/>
    <w:link w:val="102"/>
    <w:qFormat/>
    <w:uiPriority w:val="30"/>
    <w:rPr>
      <w:rFonts w:ascii="Times New Roman" w:hAnsi="Times New Roman" w:eastAsia="宋体" w:cs="Times New Roman"/>
      <w:i/>
      <w:kern w:val="0"/>
      <w:shd w:val="clear" w:color="auto" w:fill="F2F2F2"/>
    </w:rPr>
  </w:style>
  <w:style w:type="character" w:customStyle="1" w:styleId="104">
    <w:name w:val="明显引用 字符"/>
    <w:basedOn w:val="37"/>
    <w:link w:val="105"/>
    <w:qFormat/>
    <w:uiPriority w:val="30"/>
    <w:rPr>
      <w:rFonts w:ascii="Times New Roman" w:hAnsi="Times New Roman" w:eastAsia="宋体" w:cs="Times New Roman"/>
      <w:i/>
      <w:iCs/>
      <w:color w:val="4472C4" w:themeColor="accent1"/>
      <w:kern w:val="0"/>
      <w14:textFill>
        <w14:solidFill>
          <w14:schemeClr w14:val="accent1"/>
        </w14:solidFill>
      </w14:textFill>
    </w:rPr>
  </w:style>
  <w:style w:type="paragraph" w:customStyle="1" w:styleId="105">
    <w:name w:val="明显引用1"/>
    <w:basedOn w:val="1"/>
    <w:next w:val="1"/>
    <w:link w:val="104"/>
    <w:qFormat/>
    <w:uiPriority w:val="30"/>
    <w:pPr>
      <w:pBdr>
        <w:bottom w:val="single" w:color="4F81BD" w:sz="4" w:space="4"/>
      </w:pBdr>
      <w:spacing w:before="200" w:after="280"/>
      <w:ind w:left="936" w:right="936"/>
    </w:pPr>
    <w:rPr>
      <w:i/>
      <w:iCs/>
      <w:color w:val="4472C4" w:themeColor="accent1"/>
      <w14:textFill>
        <w14:solidFill>
          <w14:schemeClr w14:val="accent1"/>
        </w14:solidFill>
      </w14:textFill>
    </w:rPr>
  </w:style>
  <w:style w:type="character" w:customStyle="1" w:styleId="106">
    <w:name w:val="Footer Char"/>
    <w:qFormat/>
    <w:uiPriority w:val="99"/>
  </w:style>
  <w:style w:type="paragraph" w:customStyle="1" w:styleId="107">
    <w:name w:val="TOC 标题1"/>
    <w:unhideWhenUsed/>
    <w:qFormat/>
    <w:uiPriority w:val="39"/>
    <w:rPr>
      <w:rFonts w:ascii="Times New Roman" w:hAnsi="Times New Roman" w:eastAsia="宋体" w:cs="Times New Roman"/>
      <w:lang w:val="en-US" w:eastAsia="zh-CN" w:bidi="ar-SA"/>
    </w:rPr>
  </w:style>
  <w:style w:type="paragraph" w:customStyle="1" w:styleId="108">
    <w:name w:val="标题 31"/>
    <w:basedOn w:val="1"/>
    <w:next w:val="1"/>
    <w:link w:val="109"/>
    <w:qFormat/>
    <w:uiPriority w:val="99"/>
    <w:pPr>
      <w:keepNext/>
      <w:keepLines/>
      <w:spacing w:before="20" w:after="20" w:line="415" w:lineRule="auto"/>
      <w:ind w:firstLine="137"/>
      <w:outlineLvl w:val="2"/>
    </w:pPr>
    <w:rPr>
      <w:rFonts w:hAnsi="黑体" w:eastAsia="黑体"/>
      <w:sz w:val="24"/>
      <w:szCs w:val="20"/>
    </w:rPr>
  </w:style>
  <w:style w:type="character" w:customStyle="1" w:styleId="109">
    <w:name w:val="标题 3 字符1"/>
    <w:link w:val="108"/>
    <w:unhideWhenUsed/>
    <w:qFormat/>
    <w:uiPriority w:val="99"/>
    <w:rPr>
      <w:rFonts w:ascii="Times New Roman" w:hAnsi="黑体" w:eastAsia="黑体" w:cs="Times New Roman"/>
      <w:kern w:val="0"/>
      <w:sz w:val="24"/>
      <w:szCs w:val="20"/>
    </w:rPr>
  </w:style>
  <w:style w:type="character" w:customStyle="1" w:styleId="110">
    <w:name w:val="默认段落字体1"/>
    <w:qFormat/>
    <w:uiPriority w:val="0"/>
  </w:style>
  <w:style w:type="paragraph" w:customStyle="1" w:styleId="111">
    <w:name w:val="目录 71"/>
    <w:basedOn w:val="1"/>
    <w:next w:val="1"/>
    <w:qFormat/>
    <w:uiPriority w:val="39"/>
    <w:pPr>
      <w:ind w:left="2520"/>
    </w:pPr>
  </w:style>
  <w:style w:type="paragraph" w:customStyle="1" w:styleId="112">
    <w:name w:val="题注1"/>
    <w:basedOn w:val="1"/>
    <w:next w:val="1"/>
    <w:qFormat/>
    <w:uiPriority w:val="35"/>
    <w:rPr>
      <w:rFonts w:ascii="Cambria" w:hAnsi="Cambria" w:eastAsia="黑体"/>
      <w:sz w:val="20"/>
      <w:szCs w:val="20"/>
    </w:rPr>
  </w:style>
  <w:style w:type="paragraph" w:customStyle="1" w:styleId="113">
    <w:name w:val="文档结构图1"/>
    <w:basedOn w:val="1"/>
    <w:link w:val="114"/>
    <w:qFormat/>
    <w:uiPriority w:val="0"/>
    <w:pPr>
      <w:shd w:val="clear" w:color="auto" w:fill="000080"/>
    </w:pPr>
  </w:style>
  <w:style w:type="character" w:customStyle="1" w:styleId="114">
    <w:name w:val="文档结构图 字符"/>
    <w:link w:val="113"/>
    <w:qFormat/>
    <w:uiPriority w:val="0"/>
    <w:rPr>
      <w:rFonts w:ascii="Times New Roman" w:hAnsi="Times New Roman" w:eastAsia="宋体" w:cs="Times New Roman"/>
      <w:kern w:val="0"/>
      <w:shd w:val="clear" w:color="auto" w:fill="000080"/>
    </w:rPr>
  </w:style>
  <w:style w:type="paragraph" w:customStyle="1" w:styleId="115">
    <w:name w:val="批注文字1"/>
    <w:basedOn w:val="1"/>
    <w:unhideWhenUsed/>
    <w:qFormat/>
    <w:uiPriority w:val="99"/>
    <w:pPr>
      <w:jc w:val="left"/>
    </w:pPr>
    <w:rPr>
      <w:szCs w:val="20"/>
    </w:rPr>
  </w:style>
  <w:style w:type="paragraph" w:customStyle="1" w:styleId="116">
    <w:name w:val="正文文本 31"/>
    <w:basedOn w:val="1"/>
    <w:link w:val="117"/>
    <w:qFormat/>
    <w:uiPriority w:val="0"/>
    <w:rPr>
      <w:rFonts w:ascii="宋体"/>
      <w:sz w:val="24"/>
      <w:szCs w:val="20"/>
    </w:rPr>
  </w:style>
  <w:style w:type="character" w:customStyle="1" w:styleId="117">
    <w:name w:val="正文文本 3 字符"/>
    <w:link w:val="116"/>
    <w:qFormat/>
    <w:uiPriority w:val="0"/>
    <w:rPr>
      <w:rFonts w:ascii="宋体" w:hAnsi="Times New Roman" w:eastAsia="宋体" w:cs="Times New Roman"/>
      <w:kern w:val="0"/>
      <w:sz w:val="24"/>
      <w:szCs w:val="20"/>
    </w:rPr>
  </w:style>
  <w:style w:type="paragraph" w:customStyle="1" w:styleId="118">
    <w:name w:val="正文文本1"/>
    <w:basedOn w:val="1"/>
    <w:next w:val="1"/>
    <w:qFormat/>
    <w:uiPriority w:val="0"/>
    <w:pPr>
      <w:spacing w:after="120"/>
    </w:pPr>
  </w:style>
  <w:style w:type="paragraph" w:customStyle="1" w:styleId="119">
    <w:name w:val="正文文本缩进11"/>
    <w:basedOn w:val="1"/>
    <w:qFormat/>
    <w:uiPriority w:val="0"/>
    <w:pPr>
      <w:spacing w:line="360" w:lineRule="auto"/>
      <w:ind w:firstLine="420"/>
    </w:pPr>
    <w:rPr>
      <w:rFonts w:ascii="宋体"/>
      <w:sz w:val="24"/>
      <w:szCs w:val="20"/>
    </w:rPr>
  </w:style>
  <w:style w:type="paragraph" w:customStyle="1" w:styleId="120">
    <w:name w:val="索引 41"/>
    <w:basedOn w:val="1"/>
    <w:next w:val="1"/>
    <w:unhideWhenUsed/>
    <w:qFormat/>
    <w:uiPriority w:val="99"/>
    <w:pPr>
      <w:ind w:left="600"/>
    </w:pPr>
  </w:style>
  <w:style w:type="paragraph" w:customStyle="1" w:styleId="121">
    <w:name w:val="目录 51"/>
    <w:basedOn w:val="1"/>
    <w:next w:val="1"/>
    <w:qFormat/>
    <w:uiPriority w:val="39"/>
    <w:pPr>
      <w:ind w:left="1680"/>
    </w:pPr>
  </w:style>
  <w:style w:type="paragraph" w:customStyle="1" w:styleId="122">
    <w:name w:val="目录 31"/>
    <w:basedOn w:val="1"/>
    <w:next w:val="1"/>
    <w:qFormat/>
    <w:uiPriority w:val="39"/>
    <w:pPr>
      <w:ind w:left="840"/>
    </w:pPr>
  </w:style>
  <w:style w:type="paragraph" w:customStyle="1" w:styleId="123">
    <w:name w:val="纯文本11"/>
    <w:basedOn w:val="1"/>
    <w:qFormat/>
    <w:uiPriority w:val="0"/>
    <w:rPr>
      <w:rFonts w:ascii="宋体" w:hAnsi="Courier New"/>
      <w:sz w:val="28"/>
      <w:szCs w:val="20"/>
    </w:rPr>
  </w:style>
  <w:style w:type="paragraph" w:customStyle="1" w:styleId="124">
    <w:name w:val="目录 81"/>
    <w:basedOn w:val="1"/>
    <w:next w:val="1"/>
    <w:qFormat/>
    <w:uiPriority w:val="39"/>
    <w:pPr>
      <w:ind w:left="2940"/>
    </w:pPr>
  </w:style>
  <w:style w:type="paragraph" w:customStyle="1" w:styleId="125">
    <w:name w:val="日期1"/>
    <w:basedOn w:val="1"/>
    <w:next w:val="1"/>
    <w:link w:val="126"/>
    <w:qFormat/>
    <w:uiPriority w:val="0"/>
    <w:pPr>
      <w:ind w:left="100"/>
    </w:pPr>
  </w:style>
  <w:style w:type="character" w:customStyle="1" w:styleId="126">
    <w:name w:val="日期 字符"/>
    <w:link w:val="125"/>
    <w:qFormat/>
    <w:uiPriority w:val="0"/>
    <w:rPr>
      <w:rFonts w:ascii="Times New Roman" w:hAnsi="Times New Roman" w:eastAsia="宋体" w:cs="Times New Roman"/>
      <w:kern w:val="0"/>
    </w:rPr>
  </w:style>
  <w:style w:type="paragraph" w:customStyle="1" w:styleId="127">
    <w:name w:val="正文文本缩进 21"/>
    <w:basedOn w:val="1"/>
    <w:link w:val="128"/>
    <w:qFormat/>
    <w:uiPriority w:val="0"/>
    <w:pPr>
      <w:spacing w:line="420" w:lineRule="exact"/>
      <w:ind w:firstLine="525"/>
    </w:pPr>
    <w:rPr>
      <w:rFonts w:ascii="宋体"/>
      <w:szCs w:val="20"/>
    </w:rPr>
  </w:style>
  <w:style w:type="character" w:customStyle="1" w:styleId="128">
    <w:name w:val="正文文本缩进 2 字符"/>
    <w:link w:val="127"/>
    <w:qFormat/>
    <w:uiPriority w:val="0"/>
    <w:rPr>
      <w:rFonts w:ascii="宋体" w:hAnsi="Times New Roman" w:eastAsia="宋体" w:cs="Times New Roman"/>
      <w:kern w:val="0"/>
      <w:szCs w:val="20"/>
    </w:rPr>
  </w:style>
  <w:style w:type="paragraph" w:customStyle="1" w:styleId="129">
    <w:name w:val="目录 11"/>
    <w:basedOn w:val="1"/>
    <w:next w:val="1"/>
    <w:qFormat/>
    <w:uiPriority w:val="39"/>
  </w:style>
  <w:style w:type="paragraph" w:customStyle="1" w:styleId="130">
    <w:name w:val="目录 41"/>
    <w:basedOn w:val="1"/>
    <w:next w:val="1"/>
    <w:qFormat/>
    <w:uiPriority w:val="39"/>
    <w:pPr>
      <w:ind w:left="1260"/>
    </w:pPr>
  </w:style>
  <w:style w:type="paragraph" w:customStyle="1" w:styleId="131">
    <w:name w:val="目录 61"/>
    <w:basedOn w:val="1"/>
    <w:next w:val="1"/>
    <w:qFormat/>
    <w:uiPriority w:val="39"/>
    <w:pPr>
      <w:ind w:left="2100"/>
    </w:pPr>
  </w:style>
  <w:style w:type="paragraph" w:customStyle="1" w:styleId="132">
    <w:name w:val="正文文本缩进 31"/>
    <w:basedOn w:val="1"/>
    <w:link w:val="133"/>
    <w:qFormat/>
    <w:uiPriority w:val="0"/>
    <w:pPr>
      <w:spacing w:after="120"/>
      <w:ind w:left="420"/>
    </w:pPr>
    <w:rPr>
      <w:sz w:val="16"/>
      <w:szCs w:val="16"/>
    </w:rPr>
  </w:style>
  <w:style w:type="character" w:customStyle="1" w:styleId="133">
    <w:name w:val="正文文本缩进 3 字符"/>
    <w:link w:val="132"/>
    <w:qFormat/>
    <w:uiPriority w:val="0"/>
    <w:rPr>
      <w:rFonts w:ascii="Times New Roman" w:hAnsi="Times New Roman" w:eastAsia="宋体" w:cs="Times New Roman"/>
      <w:kern w:val="0"/>
      <w:sz w:val="16"/>
      <w:szCs w:val="16"/>
    </w:rPr>
  </w:style>
  <w:style w:type="paragraph" w:customStyle="1" w:styleId="134">
    <w:name w:val="图表目录1"/>
    <w:basedOn w:val="1"/>
    <w:next w:val="1"/>
    <w:qFormat/>
    <w:uiPriority w:val="0"/>
    <w:pPr>
      <w:ind w:hanging="200"/>
    </w:pPr>
  </w:style>
  <w:style w:type="paragraph" w:customStyle="1" w:styleId="135">
    <w:name w:val="目录 21"/>
    <w:basedOn w:val="1"/>
    <w:next w:val="1"/>
    <w:qFormat/>
    <w:uiPriority w:val="39"/>
    <w:pPr>
      <w:ind w:left="420"/>
    </w:pPr>
  </w:style>
  <w:style w:type="paragraph" w:customStyle="1" w:styleId="136">
    <w:name w:val="目录 91"/>
    <w:basedOn w:val="1"/>
    <w:next w:val="1"/>
    <w:qFormat/>
    <w:uiPriority w:val="39"/>
    <w:pPr>
      <w:ind w:left="3360"/>
    </w:pPr>
  </w:style>
  <w:style w:type="paragraph" w:customStyle="1" w:styleId="137">
    <w:name w:val="正文文本 21"/>
    <w:basedOn w:val="1"/>
    <w:link w:val="138"/>
    <w:qFormat/>
    <w:uiPriority w:val="0"/>
    <w:pPr>
      <w:widowControl/>
      <w:spacing w:after="120" w:line="480" w:lineRule="auto"/>
      <w:jc w:val="left"/>
    </w:pPr>
    <w:rPr>
      <w:sz w:val="24"/>
      <w:szCs w:val="20"/>
    </w:rPr>
  </w:style>
  <w:style w:type="character" w:customStyle="1" w:styleId="138">
    <w:name w:val="正文文本 2 字符"/>
    <w:link w:val="137"/>
    <w:qFormat/>
    <w:uiPriority w:val="0"/>
    <w:rPr>
      <w:rFonts w:ascii="Times New Roman" w:hAnsi="Times New Roman" w:eastAsia="宋体" w:cs="Times New Roman"/>
      <w:kern w:val="0"/>
      <w:sz w:val="24"/>
      <w:szCs w:val="20"/>
    </w:rPr>
  </w:style>
  <w:style w:type="paragraph" w:customStyle="1" w:styleId="139">
    <w:name w:val="列表接续 21"/>
    <w:basedOn w:val="1"/>
    <w:qFormat/>
    <w:uiPriority w:val="0"/>
    <w:pPr>
      <w:spacing w:after="120"/>
      <w:ind w:left="840"/>
    </w:pPr>
  </w:style>
  <w:style w:type="paragraph" w:customStyle="1" w:styleId="140">
    <w:name w:val="普通(网站)1"/>
    <w:basedOn w:val="1"/>
    <w:qFormat/>
    <w:uiPriority w:val="99"/>
    <w:pPr>
      <w:widowControl/>
      <w:spacing w:before="100" w:beforeAutospacing="1" w:after="100" w:afterAutospacing="1"/>
      <w:jc w:val="left"/>
    </w:pPr>
    <w:rPr>
      <w:rFonts w:ascii="宋体" w:hAnsi="宋体" w:cs="宋体"/>
      <w:sz w:val="24"/>
    </w:rPr>
  </w:style>
  <w:style w:type="paragraph" w:customStyle="1" w:styleId="141">
    <w:name w:val="批注主题1"/>
    <w:basedOn w:val="115"/>
    <w:next w:val="115"/>
    <w:link w:val="142"/>
    <w:qFormat/>
    <w:uiPriority w:val="0"/>
    <w:rPr>
      <w:b/>
      <w:bCs/>
      <w:szCs w:val="24"/>
    </w:rPr>
  </w:style>
  <w:style w:type="character" w:customStyle="1" w:styleId="142">
    <w:name w:val="批注主题 字符"/>
    <w:link w:val="141"/>
    <w:qFormat/>
    <w:uiPriority w:val="0"/>
    <w:rPr>
      <w:rFonts w:ascii="Times New Roman" w:hAnsi="Times New Roman" w:eastAsia="宋体" w:cs="Times New Roman"/>
      <w:b/>
      <w:bCs/>
      <w:kern w:val="0"/>
    </w:rPr>
  </w:style>
  <w:style w:type="paragraph" w:customStyle="1" w:styleId="143">
    <w:name w:val="正文首行缩进1"/>
    <w:basedOn w:val="118"/>
    <w:link w:val="144"/>
    <w:unhideWhenUsed/>
    <w:qFormat/>
    <w:uiPriority w:val="99"/>
    <w:pPr>
      <w:ind w:firstLine="420"/>
    </w:pPr>
  </w:style>
  <w:style w:type="character" w:customStyle="1" w:styleId="144">
    <w:name w:val="正文首行缩进 字符"/>
    <w:link w:val="143"/>
    <w:qFormat/>
    <w:uiPriority w:val="99"/>
    <w:rPr>
      <w:rFonts w:ascii="Times New Roman" w:hAnsi="Times New Roman" w:eastAsia="宋体" w:cs="Times New Roman"/>
      <w:kern w:val="0"/>
    </w:rPr>
  </w:style>
  <w:style w:type="paragraph" w:customStyle="1" w:styleId="145">
    <w:name w:val="正文首行缩进 21"/>
    <w:basedOn w:val="119"/>
    <w:link w:val="146"/>
    <w:qFormat/>
    <w:uiPriority w:val="0"/>
    <w:pPr>
      <w:spacing w:after="120" w:line="240" w:lineRule="auto"/>
      <w:ind w:left="420" w:firstLine="210"/>
    </w:pPr>
    <w:rPr>
      <w:rFonts w:ascii="Times New Roman" w:eastAsia="仿宋_GB2312"/>
      <w:sz w:val="30"/>
    </w:rPr>
  </w:style>
  <w:style w:type="character" w:customStyle="1" w:styleId="146">
    <w:name w:val="正文首行缩进 2 字符"/>
    <w:link w:val="145"/>
    <w:qFormat/>
    <w:uiPriority w:val="0"/>
    <w:rPr>
      <w:rFonts w:ascii="Times New Roman" w:hAnsi="Times New Roman" w:eastAsia="仿宋_GB2312" w:cs="Times New Roman"/>
      <w:kern w:val="0"/>
      <w:sz w:val="30"/>
      <w:szCs w:val="20"/>
    </w:rPr>
  </w:style>
  <w:style w:type="character" w:customStyle="1" w:styleId="147">
    <w:name w:val="要点1"/>
    <w:qFormat/>
    <w:uiPriority w:val="22"/>
    <w:rPr>
      <w:b/>
      <w:bCs/>
    </w:rPr>
  </w:style>
  <w:style w:type="character" w:customStyle="1" w:styleId="148">
    <w:name w:val="页码1"/>
    <w:qFormat/>
    <w:uiPriority w:val="0"/>
  </w:style>
  <w:style w:type="character" w:customStyle="1" w:styleId="149">
    <w:name w:val="已访问的超链接1"/>
    <w:qFormat/>
    <w:uiPriority w:val="99"/>
    <w:rPr>
      <w:color w:val="800080"/>
      <w:u w:val="single"/>
    </w:rPr>
  </w:style>
  <w:style w:type="character" w:customStyle="1" w:styleId="150">
    <w:name w:val="强调1"/>
    <w:qFormat/>
    <w:uiPriority w:val="0"/>
    <w:rPr>
      <w:i/>
      <w:iCs/>
    </w:rPr>
  </w:style>
  <w:style w:type="character" w:customStyle="1" w:styleId="151">
    <w:name w:val="HTML 定义1"/>
    <w:qFormat/>
    <w:uiPriority w:val="0"/>
  </w:style>
  <w:style w:type="character" w:customStyle="1" w:styleId="152">
    <w:name w:val="HTML 变量1"/>
    <w:qFormat/>
    <w:uiPriority w:val="0"/>
  </w:style>
  <w:style w:type="character" w:customStyle="1" w:styleId="153">
    <w:name w:val="超链接1"/>
    <w:qFormat/>
    <w:uiPriority w:val="99"/>
    <w:rPr>
      <w:color w:val="0000FF"/>
      <w:u w:val="single"/>
    </w:rPr>
  </w:style>
  <w:style w:type="character" w:customStyle="1" w:styleId="154">
    <w:name w:val="HTML 代码1"/>
    <w:qFormat/>
    <w:uiPriority w:val="0"/>
    <w:rPr>
      <w:rFonts w:ascii="Courier New" w:hAnsi="Courier New"/>
      <w:sz w:val="20"/>
    </w:rPr>
  </w:style>
  <w:style w:type="character" w:customStyle="1" w:styleId="155">
    <w:name w:val="批注引用1"/>
    <w:qFormat/>
    <w:uiPriority w:val="0"/>
    <w:rPr>
      <w:sz w:val="21"/>
      <w:szCs w:val="21"/>
    </w:rPr>
  </w:style>
  <w:style w:type="character" w:customStyle="1" w:styleId="156">
    <w:name w:val="HTML 引文1"/>
    <w:qFormat/>
    <w:uiPriority w:val="0"/>
  </w:style>
  <w:style w:type="character" w:customStyle="1" w:styleId="157">
    <w:name w:val="脚注引用1"/>
    <w:qFormat/>
    <w:uiPriority w:val="0"/>
    <w:rPr>
      <w:vertAlign w:val="superscript"/>
    </w:rPr>
  </w:style>
  <w:style w:type="paragraph" w:customStyle="1" w:styleId="158">
    <w:name w:val="Default"/>
    <w:qFormat/>
    <w:uiPriority w:val="0"/>
    <w:pPr>
      <w:widowControl w:val="0"/>
      <w:spacing w:line="440" w:lineRule="exact"/>
      <w:jc w:val="both"/>
    </w:pPr>
    <w:rPr>
      <w:rFonts w:ascii="仿宋_GB2312" w:hAnsi="Times New Roman" w:eastAsia="仿宋_GB2312" w:cs="仿宋_GB2312"/>
      <w:color w:val="000000"/>
      <w:sz w:val="24"/>
      <w:szCs w:val="24"/>
      <w:lang w:val="en-US" w:eastAsia="zh-CN" w:bidi="ar-SA"/>
    </w:rPr>
  </w:style>
  <w:style w:type="character" w:customStyle="1" w:styleId="159">
    <w:name w:val="明显引用 Char1"/>
    <w:qFormat/>
    <w:uiPriority w:val="30"/>
    <w:rPr>
      <w:b/>
      <w:bCs/>
      <w:i/>
      <w:iCs/>
      <w:color w:val="4F81BD"/>
    </w:rPr>
  </w:style>
  <w:style w:type="character" w:customStyle="1" w:styleId="160">
    <w:name w:val="font161"/>
    <w:qFormat/>
    <w:uiPriority w:val="0"/>
    <w:rPr>
      <w:b/>
      <w:bCs/>
      <w:sz w:val="32"/>
      <w:szCs w:val="32"/>
    </w:rPr>
  </w:style>
  <w:style w:type="character" w:customStyle="1" w:styleId="161">
    <w:name w:val="Char Char7"/>
    <w:qFormat/>
    <w:uiPriority w:val="0"/>
    <w:rPr>
      <w:rFonts w:ascii="Arial" w:hAnsi="Arial" w:eastAsia="黑体"/>
      <w:b/>
      <w:bCs/>
      <w:sz w:val="32"/>
      <w:szCs w:val="32"/>
      <w:lang w:val="en-US" w:eastAsia="zh-CN" w:bidi="ar-SA"/>
    </w:rPr>
  </w:style>
  <w:style w:type="character" w:customStyle="1" w:styleId="162">
    <w:name w:val="不明显强调1"/>
    <w:qFormat/>
    <w:uiPriority w:val="19"/>
    <w:rPr>
      <w:i/>
      <w:iCs/>
      <w:color w:val="808080"/>
    </w:rPr>
  </w:style>
  <w:style w:type="character" w:customStyle="1" w:styleId="163">
    <w:name w:val="页眉 Char"/>
    <w:qFormat/>
    <w:uiPriority w:val="99"/>
    <w:rPr>
      <w:sz w:val="18"/>
    </w:rPr>
  </w:style>
  <w:style w:type="character" w:customStyle="1" w:styleId="164">
    <w:name w:val="font01"/>
    <w:qFormat/>
    <w:uiPriority w:val="0"/>
    <w:rPr>
      <w:rFonts w:hint="eastAsia" w:ascii="宋体" w:hAnsi="宋体" w:eastAsia="宋体" w:cs="宋体"/>
      <w:color w:val="000000"/>
      <w:sz w:val="18"/>
      <w:szCs w:val="18"/>
      <w:u w:val="none"/>
    </w:rPr>
  </w:style>
  <w:style w:type="character" w:customStyle="1" w:styleId="165">
    <w:name w:val="Char Char"/>
    <w:qFormat/>
    <w:uiPriority w:val="0"/>
    <w:rPr>
      <w:rFonts w:ascii="Arial" w:hAnsi="Arial" w:eastAsia="黑体"/>
      <w:b/>
      <w:bCs/>
      <w:sz w:val="32"/>
      <w:szCs w:val="32"/>
      <w:lang w:val="en-US" w:eastAsia="zh-CN" w:bidi="ar-SA"/>
    </w:rPr>
  </w:style>
  <w:style w:type="character" w:customStyle="1" w:styleId="166">
    <w:name w:val="hover21"/>
    <w:qFormat/>
    <w:uiPriority w:val="0"/>
  </w:style>
  <w:style w:type="character" w:customStyle="1" w:styleId="167">
    <w:name w:val="Char Char8"/>
    <w:qFormat/>
    <w:uiPriority w:val="0"/>
    <w:rPr>
      <w:rFonts w:ascii="Arial" w:hAnsi="Arial" w:eastAsia="黑体"/>
      <w:b/>
      <w:bCs/>
      <w:sz w:val="32"/>
      <w:szCs w:val="32"/>
      <w:lang w:val="en-US" w:eastAsia="zh-CN" w:bidi="ar-SA"/>
    </w:rPr>
  </w:style>
  <w:style w:type="character" w:customStyle="1" w:styleId="168">
    <w:name w:val="hover20"/>
    <w:qFormat/>
    <w:uiPriority w:val="0"/>
  </w:style>
  <w:style w:type="character" w:customStyle="1" w:styleId="169">
    <w:name w:val="明显强调1"/>
    <w:qFormat/>
    <w:uiPriority w:val="21"/>
    <w:rPr>
      <w:b/>
      <w:bCs/>
      <w:i/>
      <w:iCs/>
      <w:color w:val="4F81BD"/>
    </w:rPr>
  </w:style>
  <w:style w:type="character" w:customStyle="1" w:styleId="170">
    <w:name w:val="标题 3 Char"/>
    <w:qFormat/>
    <w:uiPriority w:val="0"/>
    <w:rPr>
      <w:rFonts w:ascii="黑体" w:hAnsi="宋体" w:eastAsia="黑体"/>
      <w:bCs/>
      <w:sz w:val="28"/>
      <w:szCs w:val="28"/>
    </w:rPr>
  </w:style>
  <w:style w:type="character" w:customStyle="1" w:styleId="171">
    <w:name w:val="fontstyle01"/>
    <w:qFormat/>
    <w:uiPriority w:val="0"/>
    <w:rPr>
      <w:rFonts w:hint="eastAsia" w:ascii="宋体" w:hAnsi="宋体" w:eastAsia="宋体"/>
      <w:color w:val="000000"/>
      <w:sz w:val="22"/>
      <w:szCs w:val="22"/>
    </w:rPr>
  </w:style>
  <w:style w:type="character" w:customStyle="1" w:styleId="172">
    <w:name w:val="标题 4 Char"/>
    <w:qFormat/>
    <w:uiPriority w:val="0"/>
    <w:rPr>
      <w:rFonts w:ascii="Arial" w:hAnsi="Arial" w:eastAsia="黑体"/>
      <w:b/>
      <w:bCs/>
      <w:sz w:val="28"/>
      <w:szCs w:val="28"/>
    </w:rPr>
  </w:style>
  <w:style w:type="character" w:customStyle="1" w:styleId="173">
    <w:name w:val="样式 Char"/>
    <w:link w:val="174"/>
    <w:qFormat/>
    <w:uiPriority w:val="0"/>
    <w:rPr>
      <w:rFonts w:ascii="宋体" w:hAnsi="宋体" w:cs="宋体"/>
      <w:sz w:val="24"/>
    </w:rPr>
  </w:style>
  <w:style w:type="paragraph" w:customStyle="1" w:styleId="174">
    <w:name w:val="样式"/>
    <w:link w:val="173"/>
    <w:qFormat/>
    <w:uiPriority w:val="0"/>
    <w:pPr>
      <w:widowControl w:val="0"/>
      <w:spacing w:line="440" w:lineRule="exact"/>
      <w:jc w:val="both"/>
    </w:pPr>
    <w:rPr>
      <w:rFonts w:ascii="宋体" w:hAnsi="宋体" w:cs="宋体" w:eastAsiaTheme="minorEastAsia"/>
      <w:kern w:val="2"/>
      <w:sz w:val="24"/>
      <w:szCs w:val="24"/>
      <w:lang w:val="en-US" w:eastAsia="zh-CN" w:bidi="ar-SA"/>
    </w:rPr>
  </w:style>
  <w:style w:type="character" w:customStyle="1" w:styleId="175">
    <w:name w:val="不明显参考1"/>
    <w:qFormat/>
    <w:uiPriority w:val="31"/>
    <w:rPr>
      <w:smallCaps/>
      <w:color w:val="C0504D"/>
      <w:u w:val="single"/>
    </w:rPr>
  </w:style>
  <w:style w:type="character" w:customStyle="1" w:styleId="176">
    <w:name w:val="书籍标题1"/>
    <w:qFormat/>
    <w:uiPriority w:val="33"/>
    <w:rPr>
      <w:b/>
      <w:bCs/>
      <w:smallCaps/>
      <w:spacing w:val="5"/>
    </w:rPr>
  </w:style>
  <w:style w:type="character" w:customStyle="1" w:styleId="177">
    <w:name w:val="副标题 Char1"/>
    <w:qFormat/>
    <w:uiPriority w:val="11"/>
    <w:rPr>
      <w:rFonts w:ascii="Cambria" w:hAnsi="Cambria" w:eastAsia="宋体" w:cs="Times New Roman"/>
      <w:b/>
      <w:bCs/>
      <w:sz w:val="32"/>
      <w:szCs w:val="32"/>
    </w:rPr>
  </w:style>
  <w:style w:type="character" w:customStyle="1" w:styleId="178">
    <w:name w:val="明显参考1"/>
    <w:qFormat/>
    <w:uiPriority w:val="32"/>
    <w:rPr>
      <w:b/>
      <w:bCs/>
      <w:smallCaps/>
      <w:color w:val="C0504D"/>
      <w:spacing w:val="5"/>
      <w:u w:val="single"/>
    </w:rPr>
  </w:style>
  <w:style w:type="character" w:customStyle="1" w:styleId="179">
    <w:name w:val="批注文字 Char"/>
    <w:qFormat/>
    <w:uiPriority w:val="0"/>
    <w:rPr>
      <w:rFonts w:eastAsia="宋体"/>
      <w:sz w:val="21"/>
      <w:szCs w:val="24"/>
      <w:lang w:val="en-US" w:eastAsia="zh-CN" w:bidi="ar-SA"/>
    </w:rPr>
  </w:style>
  <w:style w:type="character" w:customStyle="1" w:styleId="180">
    <w:name w:val="页脚 Char"/>
    <w:qFormat/>
    <w:uiPriority w:val="99"/>
    <w:rPr>
      <w:sz w:val="18"/>
    </w:rPr>
  </w:style>
  <w:style w:type="character" w:customStyle="1" w:styleId="181">
    <w:name w:val="wyg1"/>
    <w:qFormat/>
    <w:uiPriority w:val="0"/>
    <w:rPr>
      <w:color w:val="000000"/>
      <w:sz w:val="20"/>
      <w:szCs w:val="20"/>
      <w:u w:val="none"/>
    </w:rPr>
  </w:style>
  <w:style w:type="character" w:customStyle="1" w:styleId="182">
    <w:name w:val="styl81"/>
    <w:qFormat/>
    <w:uiPriority w:val="0"/>
    <w:rPr>
      <w:sz w:val="21"/>
      <w:szCs w:val="21"/>
    </w:rPr>
  </w:style>
  <w:style w:type="character" w:customStyle="1" w:styleId="183">
    <w:name w:val="p141"/>
    <w:qFormat/>
    <w:uiPriority w:val="0"/>
    <w:rPr>
      <w:sz w:val="21"/>
      <w:szCs w:val="21"/>
    </w:rPr>
  </w:style>
  <w:style w:type="character" w:customStyle="1" w:styleId="184">
    <w:name w:val="无间隔 字符"/>
    <w:link w:val="185"/>
    <w:qFormat/>
    <w:uiPriority w:val="1"/>
  </w:style>
  <w:style w:type="paragraph" w:customStyle="1" w:styleId="185">
    <w:name w:val="无间隔1"/>
    <w:link w:val="184"/>
    <w:qFormat/>
    <w:uiPriority w:val="1"/>
    <w:pPr>
      <w:widowControl w:val="0"/>
      <w:spacing w:line="440" w:lineRule="exact"/>
      <w:jc w:val="both"/>
    </w:pPr>
    <w:rPr>
      <w:rFonts w:asciiTheme="minorHAnsi" w:hAnsiTheme="minorHAnsi" w:eastAsiaTheme="minorEastAsia" w:cstheme="minorBidi"/>
      <w:kern w:val="2"/>
      <w:sz w:val="21"/>
      <w:szCs w:val="24"/>
      <w:lang w:val="en-US" w:eastAsia="zh-CN" w:bidi="ar-SA"/>
    </w:rPr>
  </w:style>
  <w:style w:type="character" w:customStyle="1" w:styleId="186">
    <w:name w:val="引用 Char1"/>
    <w:qFormat/>
    <w:uiPriority w:val="29"/>
    <w:rPr>
      <w:i/>
      <w:iCs/>
      <w:color w:val="000000"/>
    </w:rPr>
  </w:style>
  <w:style w:type="character" w:customStyle="1" w:styleId="187">
    <w:name w:val="hover18"/>
    <w:qFormat/>
    <w:uiPriority w:val="0"/>
    <w:rPr>
      <w:b/>
      <w:color w:val="FFB200"/>
      <w:u w:val="single"/>
    </w:rPr>
  </w:style>
  <w:style w:type="character" w:customStyle="1" w:styleId="188">
    <w:name w:val="纯文本 Char1"/>
    <w:qFormat/>
    <w:uiPriority w:val="99"/>
    <w:rPr>
      <w:rFonts w:ascii="宋体" w:hAnsi="Courier New" w:eastAsia="宋体"/>
      <w:sz w:val="24"/>
      <w:szCs w:val="24"/>
      <w:lang w:val="en-US" w:eastAsia="zh-CN" w:bidi="ar-SA"/>
    </w:rPr>
  </w:style>
  <w:style w:type="character" w:customStyle="1" w:styleId="189">
    <w:name w:val="aa1 l01 style8"/>
    <w:qFormat/>
    <w:uiPriority w:val="0"/>
  </w:style>
  <w:style w:type="character" w:customStyle="1" w:styleId="190">
    <w:name w:val="hover19"/>
    <w:qFormat/>
    <w:uiPriority w:val="0"/>
    <w:rPr>
      <w:color w:val="1A85D7"/>
    </w:rPr>
  </w:style>
  <w:style w:type="character" w:customStyle="1" w:styleId="191">
    <w:name w:val="标题 Char1"/>
    <w:qFormat/>
    <w:uiPriority w:val="10"/>
    <w:rPr>
      <w:rFonts w:ascii="Cambria" w:hAnsi="Cambria" w:eastAsia="宋体" w:cs="Times New Roman"/>
      <w:b/>
      <w:bCs/>
      <w:sz w:val="32"/>
      <w:szCs w:val="32"/>
    </w:rPr>
  </w:style>
  <w:style w:type="character" w:customStyle="1" w:styleId="192">
    <w:name w:val="Char Char2"/>
    <w:qFormat/>
    <w:uiPriority w:val="0"/>
    <w:rPr>
      <w:rFonts w:eastAsia="宋体"/>
      <w:sz w:val="21"/>
      <w:szCs w:val="24"/>
      <w:lang w:val="en-US" w:eastAsia="zh-CN" w:bidi="ar-SA"/>
    </w:rPr>
  </w:style>
  <w:style w:type="character" w:customStyle="1" w:styleId="193">
    <w:name w:val="font11"/>
    <w:qFormat/>
    <w:uiPriority w:val="0"/>
    <w:rPr>
      <w:rFonts w:hint="eastAsia" w:ascii="宋体" w:hAnsi="宋体" w:eastAsia="宋体" w:cs="宋体"/>
      <w:color w:val="FF0000"/>
      <w:sz w:val="18"/>
      <w:szCs w:val="18"/>
      <w:u w:val="none"/>
    </w:rPr>
  </w:style>
  <w:style w:type="paragraph" w:customStyle="1" w:styleId="194">
    <w:name w:val="Char"/>
    <w:basedOn w:val="1"/>
    <w:qFormat/>
    <w:uiPriority w:val="0"/>
    <w:pPr>
      <w:spacing w:line="360" w:lineRule="auto"/>
      <w:ind w:firstLine="200"/>
    </w:pPr>
    <w:rPr>
      <w:rFonts w:ascii="Tahoma" w:hAnsi="Tahoma"/>
      <w:sz w:val="24"/>
      <w:szCs w:val="20"/>
    </w:rPr>
  </w:style>
  <w:style w:type="paragraph" w:customStyle="1" w:styleId="195">
    <w:name w:val="彩色列表 - 着色 11"/>
    <w:basedOn w:val="1"/>
    <w:qFormat/>
    <w:uiPriority w:val="0"/>
    <w:pPr>
      <w:widowControl/>
      <w:spacing w:line="240" w:lineRule="auto"/>
      <w:ind w:firstLine="420"/>
      <w:jc w:val="left"/>
    </w:pPr>
    <w:rPr>
      <w:sz w:val="20"/>
      <w:szCs w:val="20"/>
    </w:rPr>
  </w:style>
  <w:style w:type="paragraph" w:customStyle="1" w:styleId="196">
    <w:name w:val="A."/>
    <w:basedOn w:val="1"/>
    <w:qFormat/>
    <w:uiPriority w:val="0"/>
    <w:pPr>
      <w:widowControl/>
      <w:tabs>
        <w:tab w:val="left" w:pos="454"/>
      </w:tabs>
      <w:spacing w:line="264" w:lineRule="auto"/>
      <w:ind w:left="454" w:hanging="454"/>
    </w:pPr>
    <w:rPr>
      <w:rFonts w:ascii="Calibri" w:hAnsi="Calibri"/>
      <w:sz w:val="24"/>
    </w:rPr>
  </w:style>
  <w:style w:type="paragraph" w:customStyle="1" w:styleId="197">
    <w:name w:val="1"/>
    <w:basedOn w:val="1"/>
    <w:next w:val="1"/>
    <w:qFormat/>
    <w:uiPriority w:val="0"/>
  </w:style>
  <w:style w:type="paragraph" w:customStyle="1" w:styleId="198">
    <w:name w:val="font5"/>
    <w:basedOn w:val="1"/>
    <w:qFormat/>
    <w:uiPriority w:val="0"/>
    <w:pPr>
      <w:widowControl/>
      <w:spacing w:before="100" w:beforeAutospacing="1" w:after="100" w:afterAutospacing="1" w:line="240" w:lineRule="auto"/>
      <w:jc w:val="left"/>
    </w:pPr>
    <w:rPr>
      <w:rFonts w:hint="eastAsia" w:ascii="宋体" w:hAnsi="宋体"/>
      <w:sz w:val="18"/>
      <w:szCs w:val="20"/>
    </w:rPr>
  </w:style>
  <w:style w:type="paragraph" w:customStyle="1" w:styleId="199">
    <w:name w:val="text"/>
    <w:basedOn w:val="1"/>
    <w:qFormat/>
    <w:uiPriority w:val="0"/>
    <w:pPr>
      <w:widowControl/>
      <w:tabs>
        <w:tab w:val="left" w:pos="1050"/>
      </w:tabs>
      <w:spacing w:before="240"/>
      <w:ind w:left="1049"/>
    </w:pPr>
    <w:rPr>
      <w:rFonts w:ascii="Calibri" w:hAnsi="Calibri"/>
      <w:sz w:val="24"/>
    </w:rPr>
  </w:style>
  <w:style w:type="paragraph" w:customStyle="1" w:styleId="200">
    <w:name w:val="江建权"/>
    <w:basedOn w:val="1"/>
    <w:qFormat/>
    <w:uiPriority w:val="0"/>
    <w:pPr>
      <w:ind w:firstLine="200"/>
    </w:pPr>
    <w:rPr>
      <w:rFonts w:ascii="Calibri" w:hAnsi="Calibri"/>
      <w:sz w:val="24"/>
    </w:rPr>
  </w:style>
  <w:style w:type="paragraph" w:customStyle="1" w:styleId="201">
    <w:name w:val="正文文本缩进1"/>
    <w:basedOn w:val="1"/>
    <w:qFormat/>
    <w:uiPriority w:val="0"/>
    <w:pPr>
      <w:spacing w:line="360" w:lineRule="auto"/>
      <w:ind w:firstLine="420"/>
    </w:pPr>
    <w:rPr>
      <w:rFonts w:ascii="宋体"/>
      <w:sz w:val="24"/>
    </w:rPr>
  </w:style>
  <w:style w:type="paragraph" w:customStyle="1" w:styleId="202">
    <w:name w:val="xl35"/>
    <w:basedOn w:val="1"/>
    <w:qFormat/>
    <w:uiPriority w:val="0"/>
    <w:pPr>
      <w:widowControl/>
      <w:spacing w:before="100" w:beforeAutospacing="1" w:after="100" w:afterAutospacing="1" w:line="240" w:lineRule="auto"/>
      <w:jc w:val="right"/>
    </w:pPr>
    <w:rPr>
      <w:rFonts w:ascii="宋体" w:hAnsi="宋体"/>
      <w:sz w:val="18"/>
      <w:szCs w:val="20"/>
    </w:rPr>
  </w:style>
  <w:style w:type="paragraph" w:customStyle="1" w:styleId="203">
    <w:name w:val="三级目录"/>
    <w:next w:val="1"/>
    <w:qFormat/>
    <w:uiPriority w:val="0"/>
    <w:pPr>
      <w:ind w:firstLine="420"/>
    </w:pPr>
    <w:rPr>
      <w:rFonts w:ascii="Times New Roman" w:hAnsi="Times New Roman" w:eastAsia="宋体" w:cs="Calibri"/>
      <w:b/>
      <w:bCs/>
      <w:sz w:val="24"/>
      <w:szCs w:val="24"/>
      <w:lang w:val="en-US" w:eastAsia="zh-CN" w:bidi="ar-SA"/>
    </w:rPr>
  </w:style>
  <w:style w:type="paragraph" w:customStyle="1" w:styleId="204">
    <w:name w:val="表格"/>
    <w:basedOn w:val="1"/>
    <w:qFormat/>
    <w:uiPriority w:val="0"/>
    <w:pPr>
      <w:jc w:val="center"/>
    </w:pPr>
    <w:rPr>
      <w:rFonts w:ascii="华文细黑" w:hAnsi="华文细黑"/>
    </w:rPr>
  </w:style>
  <w:style w:type="paragraph" w:customStyle="1" w:styleId="205">
    <w:name w:val="xl32"/>
    <w:basedOn w:val="1"/>
    <w:qFormat/>
    <w:uiPriority w:val="0"/>
    <w:pPr>
      <w:widowControl/>
      <w:pBdr>
        <w:top w:val="single" w:color="000000" w:sz="4" w:space="0"/>
        <w:left w:val="single" w:color="000000" w:sz="4" w:space="0"/>
        <w:right w:val="single" w:color="000000" w:sz="4" w:space="0"/>
      </w:pBdr>
      <w:spacing w:before="100" w:beforeAutospacing="1" w:after="100" w:afterAutospacing="1" w:line="240" w:lineRule="auto"/>
      <w:jc w:val="center"/>
    </w:pPr>
    <w:rPr>
      <w:rFonts w:ascii="宋体" w:hAnsi="宋体"/>
      <w:sz w:val="20"/>
      <w:szCs w:val="20"/>
    </w:rPr>
  </w:style>
  <w:style w:type="paragraph" w:customStyle="1" w:styleId="206">
    <w:name w:val="表格正文"/>
    <w:basedOn w:val="1"/>
    <w:qFormat/>
    <w:uiPriority w:val="0"/>
    <w:pPr>
      <w:spacing w:line="300" w:lineRule="auto"/>
      <w:ind w:left="142"/>
      <w:jc w:val="left"/>
    </w:pPr>
    <w:rPr>
      <w:rFonts w:ascii="Calibri" w:hAnsi="Calibri"/>
      <w:sz w:val="24"/>
      <w:szCs w:val="22"/>
    </w:rPr>
  </w:style>
  <w:style w:type="paragraph" w:customStyle="1" w:styleId="207">
    <w:name w:val="样式 标题 2 + Times New Roman 四号 非加粗 段前: 5 磅 段后: 0 磅 行距: 固定值 20..."/>
    <w:basedOn w:val="56"/>
    <w:qFormat/>
    <w:uiPriority w:val="0"/>
    <w:pPr>
      <w:spacing w:before="100" w:after="0" w:line="400" w:lineRule="exact"/>
    </w:pPr>
    <w:rPr>
      <w:rFonts w:ascii="Times New Roman" w:hAnsi="Times New Roman" w:cs="宋体"/>
      <w:b w:val="0"/>
      <w:bCs w:val="0"/>
      <w:sz w:val="28"/>
      <w:szCs w:val="20"/>
    </w:rPr>
  </w:style>
  <w:style w:type="paragraph" w:customStyle="1" w:styleId="208">
    <w:name w:val="xl34"/>
    <w:basedOn w:val="1"/>
    <w:qFormat/>
    <w:uiPriority w:val="0"/>
    <w:pPr>
      <w:widowControl/>
      <w:pBdr>
        <w:left w:val="single" w:color="000000" w:sz="4" w:space="0"/>
        <w:right w:val="single" w:color="000000" w:sz="4" w:space="0"/>
      </w:pBdr>
      <w:spacing w:before="100" w:beforeAutospacing="1" w:after="100" w:afterAutospacing="1" w:line="240" w:lineRule="auto"/>
      <w:jc w:val="center"/>
    </w:pPr>
    <w:rPr>
      <w:rFonts w:ascii="宋体" w:hAnsi="宋体"/>
      <w:sz w:val="20"/>
      <w:szCs w:val="20"/>
    </w:rPr>
  </w:style>
  <w:style w:type="paragraph" w:customStyle="1" w:styleId="209">
    <w:name w:val="Char Char2 Char Char"/>
    <w:basedOn w:val="113"/>
    <w:unhideWhenUsed/>
    <w:qFormat/>
    <w:uiPriority w:val="99"/>
    <w:rPr>
      <w:rFonts w:hint="eastAsia" w:ascii="Tahoma" w:hAnsi="Tahoma"/>
      <w:sz w:val="24"/>
    </w:rPr>
  </w:style>
  <w:style w:type="paragraph" w:customStyle="1" w:styleId="210">
    <w:name w:val="Char Char Char Char Char Char Char Char Char1 Char"/>
    <w:basedOn w:val="113"/>
    <w:qFormat/>
    <w:uiPriority w:val="0"/>
    <w:pPr>
      <w:spacing w:line="360" w:lineRule="auto"/>
    </w:pPr>
    <w:rPr>
      <w:rFonts w:ascii="Tahoma" w:hAnsi="Tahoma"/>
      <w:sz w:val="24"/>
    </w:rPr>
  </w:style>
  <w:style w:type="paragraph" w:customStyle="1" w:styleId="211">
    <w:name w:val="列出段落1"/>
    <w:basedOn w:val="1"/>
    <w:qFormat/>
    <w:uiPriority w:val="0"/>
    <w:pPr>
      <w:ind w:firstLine="420"/>
    </w:pPr>
    <w:rPr>
      <w:rFonts w:ascii="Calibri" w:hAnsi="Calibri"/>
      <w:szCs w:val="22"/>
    </w:rPr>
  </w:style>
  <w:style w:type="paragraph" w:customStyle="1" w:styleId="212">
    <w:name w:val="font10"/>
    <w:basedOn w:val="1"/>
    <w:qFormat/>
    <w:uiPriority w:val="0"/>
    <w:pPr>
      <w:widowControl/>
      <w:spacing w:before="100" w:beforeAutospacing="1" w:after="100" w:afterAutospacing="1" w:line="240" w:lineRule="auto"/>
      <w:jc w:val="left"/>
    </w:pPr>
    <w:rPr>
      <w:b/>
      <w:bCs/>
      <w:sz w:val="20"/>
      <w:szCs w:val="20"/>
    </w:rPr>
  </w:style>
  <w:style w:type="paragraph" w:customStyle="1" w:styleId="213">
    <w:name w:val="xl29"/>
    <w:basedOn w:val="1"/>
    <w:qFormat/>
    <w:uiPriority w:val="0"/>
    <w:pPr>
      <w:widowControl/>
      <w:pBdr>
        <w:top w:val="single" w:color="000000" w:sz="4" w:space="0"/>
      </w:pBdr>
      <w:spacing w:before="100" w:beforeAutospacing="1" w:after="100" w:afterAutospacing="1" w:line="240" w:lineRule="auto"/>
      <w:jc w:val="left"/>
    </w:pPr>
    <w:rPr>
      <w:rFonts w:ascii="宋体" w:hAnsi="宋体"/>
      <w:sz w:val="20"/>
      <w:szCs w:val="20"/>
    </w:rPr>
  </w:style>
  <w:style w:type="paragraph" w:customStyle="1" w:styleId="214">
    <w:name w:val="Personal Name"/>
    <w:basedOn w:val="91"/>
    <w:qFormat/>
    <w:uiPriority w:val="0"/>
    <w:rPr>
      <w:rFonts w:ascii="Impact" w:hAnsi="Impact"/>
      <w:b w:val="0"/>
      <w:caps/>
      <w:color w:val="000000"/>
      <w:sz w:val="28"/>
      <w:szCs w:val="28"/>
    </w:rPr>
  </w:style>
  <w:style w:type="paragraph" w:customStyle="1" w:styleId="215">
    <w:name w:val="+正文"/>
    <w:basedOn w:val="1"/>
    <w:qFormat/>
    <w:uiPriority w:val="0"/>
    <w:pPr>
      <w:spacing w:line="360" w:lineRule="auto"/>
      <w:ind w:firstLine="200"/>
    </w:pPr>
    <w:rPr>
      <w:sz w:val="24"/>
      <w:szCs w:val="28"/>
    </w:rPr>
  </w:style>
  <w:style w:type="paragraph" w:customStyle="1" w:styleId="216">
    <w:name w:val="TOC 标题2"/>
    <w:basedOn w:val="54"/>
    <w:next w:val="1"/>
    <w:qFormat/>
    <w:uiPriority w:val="39"/>
    <w:pPr>
      <w:spacing w:line="578" w:lineRule="auto"/>
      <w:outlineLvl w:val="9"/>
    </w:pPr>
  </w:style>
  <w:style w:type="paragraph" w:customStyle="1" w:styleId="217">
    <w:name w:val="Char Char Char Char"/>
    <w:basedOn w:val="113"/>
    <w:qFormat/>
    <w:uiPriority w:val="0"/>
    <w:pPr>
      <w:spacing w:line="360" w:lineRule="auto"/>
    </w:pPr>
    <w:rPr>
      <w:rFonts w:ascii="Tahoma" w:hAnsi="Tahoma"/>
      <w:sz w:val="24"/>
    </w:rPr>
  </w:style>
  <w:style w:type="paragraph" w:customStyle="1" w:styleId="218">
    <w:name w:val="Char Char Char Char Char Char"/>
    <w:basedOn w:val="113"/>
    <w:qFormat/>
    <w:uiPriority w:val="0"/>
    <w:pPr>
      <w:spacing w:line="360" w:lineRule="auto"/>
    </w:pPr>
    <w:rPr>
      <w:rFonts w:ascii="Tahoma" w:hAnsi="Tahoma"/>
      <w:sz w:val="24"/>
      <w:szCs w:val="20"/>
    </w:rPr>
  </w:style>
  <w:style w:type="paragraph" w:customStyle="1" w:styleId="219">
    <w:name w:val="文章总标题"/>
    <w:basedOn w:val="1"/>
    <w:next w:val="1"/>
    <w:qFormat/>
    <w:uiPriority w:val="0"/>
    <w:pPr>
      <w:widowControl/>
      <w:spacing w:before="566" w:after="544" w:line="566" w:lineRule="atLeast"/>
      <w:jc w:val="center"/>
    </w:pPr>
    <w:rPr>
      <w:rFonts w:ascii="Arial" w:eastAsia="黑体"/>
      <w:color w:val="000000"/>
      <w:sz w:val="54"/>
      <w:szCs w:val="20"/>
    </w:rPr>
  </w:style>
  <w:style w:type="paragraph" w:customStyle="1" w:styleId="220">
    <w:name w:val="纯文本1"/>
    <w:basedOn w:val="1"/>
    <w:qFormat/>
    <w:uiPriority w:val="0"/>
    <w:rPr>
      <w:rFonts w:ascii="宋体" w:hAnsi="Courier New" w:eastAsia="楷体_GB2312"/>
      <w:sz w:val="26"/>
    </w:rPr>
  </w:style>
  <w:style w:type="paragraph" w:customStyle="1" w:styleId="221">
    <w:name w:val="font8"/>
    <w:basedOn w:val="1"/>
    <w:qFormat/>
    <w:uiPriority w:val="0"/>
    <w:pPr>
      <w:widowControl/>
      <w:spacing w:before="100" w:beforeAutospacing="1" w:after="100" w:afterAutospacing="1" w:line="240" w:lineRule="auto"/>
      <w:jc w:val="left"/>
    </w:pPr>
    <w:rPr>
      <w:rFonts w:hint="eastAsia" w:ascii="宋体" w:hAnsi="宋体"/>
      <w:b/>
      <w:bCs/>
      <w:sz w:val="20"/>
      <w:szCs w:val="20"/>
    </w:rPr>
  </w:style>
  <w:style w:type="paragraph" w:customStyle="1" w:styleId="222">
    <w:name w:val="xl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sz w:val="20"/>
      <w:szCs w:val="20"/>
    </w:rPr>
  </w:style>
  <w:style w:type="paragraph" w:customStyle="1" w:styleId="223">
    <w:name w:val="_Style 2"/>
    <w:basedOn w:val="1"/>
    <w:qFormat/>
    <w:uiPriority w:val="34"/>
    <w:pPr>
      <w:widowControl/>
      <w:spacing w:line="240" w:lineRule="auto"/>
      <w:ind w:firstLine="420"/>
      <w:jc w:val="left"/>
    </w:pPr>
    <w:rPr>
      <w:sz w:val="24"/>
      <w:szCs w:val="20"/>
    </w:rPr>
  </w:style>
  <w:style w:type="paragraph" w:customStyle="1" w:styleId="224">
    <w:name w:val="正文 A"/>
    <w:next w:val="225"/>
    <w:qFormat/>
    <w:uiPriority w:val="0"/>
    <w:pPr>
      <w:widowControl w:val="0"/>
      <w:jc w:val="both"/>
    </w:pPr>
    <w:rPr>
      <w:rFonts w:ascii="Calibri" w:hAnsi="Calibri" w:eastAsia="Calibri" w:cs="Calibri"/>
      <w:color w:val="000000"/>
      <w:sz w:val="21"/>
      <w:szCs w:val="21"/>
      <w:lang w:val="en-US" w:eastAsia="zh-CN" w:bidi="ar-SA"/>
    </w:rPr>
  </w:style>
  <w:style w:type="paragraph" w:customStyle="1" w:styleId="225">
    <w:name w:val="段"/>
    <w:next w:val="224"/>
    <w:qFormat/>
    <w:uiPriority w:val="0"/>
    <w:pPr>
      <w:widowControl w:val="0"/>
      <w:ind w:firstLine="200"/>
      <w:jc w:val="both"/>
    </w:pPr>
    <w:rPr>
      <w:rFonts w:ascii="宋体" w:hAnsi="宋体" w:eastAsia="宋体" w:cs="宋体"/>
      <w:color w:val="000000"/>
      <w:sz w:val="21"/>
      <w:szCs w:val="21"/>
      <w:lang w:val="en-US" w:eastAsia="zh-CN" w:bidi="ar-SA"/>
    </w:rPr>
  </w:style>
  <w:style w:type="paragraph" w:customStyle="1" w:styleId="226">
    <w:name w:val="样式 标题 3 + (中文) 黑体 小四 非加粗 段前: 7.8 磅 段后: 0 磅 行距: 固定值 20 磅"/>
    <w:basedOn w:val="108"/>
    <w:qFormat/>
    <w:uiPriority w:val="0"/>
    <w:pPr>
      <w:spacing w:before="0" w:after="0" w:line="400" w:lineRule="exact"/>
    </w:pPr>
    <w:rPr>
      <w:rFonts w:cs="宋体"/>
      <w:b/>
      <w:bCs/>
    </w:rPr>
  </w:style>
  <w:style w:type="paragraph" w:customStyle="1" w:styleId="227">
    <w:name w:val="列出段落2"/>
    <w:basedOn w:val="1"/>
    <w:qFormat/>
    <w:uiPriority w:val="0"/>
    <w:pPr>
      <w:spacing w:line="240" w:lineRule="auto"/>
      <w:ind w:firstLine="420"/>
    </w:pPr>
    <w:rPr>
      <w:rFonts w:ascii="Calibri" w:hAnsi="Calibri"/>
      <w:szCs w:val="22"/>
    </w:rPr>
  </w:style>
  <w:style w:type="paragraph" w:customStyle="1" w:styleId="228">
    <w:name w:val="图"/>
    <w:basedOn w:val="1"/>
    <w:qFormat/>
    <w:uiPriority w:val="0"/>
    <w:pPr>
      <w:keepNext/>
      <w:spacing w:before="60" w:after="60" w:line="300" w:lineRule="auto"/>
      <w:jc w:val="center"/>
    </w:pPr>
    <w:rPr>
      <w:spacing w:val="20"/>
      <w:sz w:val="24"/>
      <w:szCs w:val="20"/>
    </w:rPr>
  </w:style>
  <w:style w:type="paragraph" w:customStyle="1" w:styleId="229">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ascii="宋体" w:hAnsi="宋体"/>
      <w:sz w:val="20"/>
      <w:szCs w:val="20"/>
    </w:rPr>
  </w:style>
  <w:style w:type="paragraph" w:customStyle="1" w:styleId="230">
    <w:name w:val="默认段落字体 Para Char Char Char Char Char Char Char Char Char1 Char Char Char Char Char Char Char"/>
    <w:basedOn w:val="113"/>
    <w:qFormat/>
    <w:uiPriority w:val="0"/>
    <w:rPr>
      <w:rFonts w:ascii="Tahoma" w:hAnsi="Tahoma"/>
      <w:sz w:val="24"/>
    </w:rPr>
  </w:style>
  <w:style w:type="paragraph" w:customStyle="1" w:styleId="231">
    <w:name w:val="xl33"/>
    <w:basedOn w:val="1"/>
    <w:qFormat/>
    <w:uiPriority w:val="0"/>
    <w:pPr>
      <w:widowControl/>
      <w:pBdr>
        <w:left w:val="single" w:color="000000" w:sz="4" w:space="0"/>
        <w:bottom w:val="single" w:color="000000" w:sz="4" w:space="0"/>
        <w:right w:val="single" w:color="000000" w:sz="4" w:space="0"/>
      </w:pBdr>
      <w:spacing w:before="100" w:beforeAutospacing="1" w:after="100" w:afterAutospacing="1" w:line="240" w:lineRule="auto"/>
      <w:jc w:val="center"/>
    </w:pPr>
    <w:rPr>
      <w:rFonts w:ascii="宋体" w:hAnsi="宋体"/>
      <w:sz w:val="20"/>
      <w:szCs w:val="20"/>
    </w:rPr>
  </w:style>
  <w:style w:type="paragraph" w:customStyle="1" w:styleId="232">
    <w:name w:val="+▲"/>
    <w:basedOn w:val="215"/>
    <w:qFormat/>
    <w:uiPriority w:val="0"/>
    <w:pPr>
      <w:numPr>
        <w:ilvl w:val="0"/>
        <w:numId w:val="1"/>
      </w:numPr>
      <w:tabs>
        <w:tab w:val="left" w:pos="900"/>
      </w:tabs>
      <w:ind w:firstLine="0"/>
    </w:pPr>
    <w:rPr>
      <w:rFonts w:ascii="Calibri" w:hAnsi="Calibri"/>
      <w:sz w:val="28"/>
    </w:rPr>
  </w:style>
  <w:style w:type="paragraph" w:customStyle="1" w:styleId="233">
    <w:name w:val="样式4"/>
    <w:basedOn w:val="108"/>
    <w:qFormat/>
    <w:uiPriority w:val="0"/>
    <w:rPr>
      <w:rFonts w:eastAsia="Arial"/>
    </w:rPr>
  </w:style>
  <w:style w:type="paragraph" w:customStyle="1" w:styleId="234">
    <w:name w:val="Char Char Char1 Char Char Char Char"/>
    <w:basedOn w:val="1"/>
    <w:qFormat/>
    <w:uiPriority w:val="0"/>
    <w:pPr>
      <w:widowControl/>
      <w:spacing w:after="160" w:line="240" w:lineRule="exact"/>
      <w:jc w:val="left"/>
    </w:pPr>
    <w:rPr>
      <w:sz w:val="24"/>
      <w:szCs w:val="20"/>
    </w:rPr>
  </w:style>
  <w:style w:type="paragraph" w:customStyle="1" w:styleId="235">
    <w:name w:val="表格文字"/>
    <w:basedOn w:val="1"/>
    <w:qFormat/>
    <w:uiPriority w:val="0"/>
    <w:pPr>
      <w:spacing w:line="420" w:lineRule="atLeast"/>
      <w:jc w:val="left"/>
    </w:pPr>
  </w:style>
  <w:style w:type="paragraph" w:customStyle="1" w:styleId="236">
    <w:name w:val="font6"/>
    <w:basedOn w:val="1"/>
    <w:qFormat/>
    <w:uiPriority w:val="0"/>
    <w:pPr>
      <w:widowControl/>
      <w:spacing w:before="100" w:beforeAutospacing="1" w:after="100" w:afterAutospacing="1" w:line="240" w:lineRule="auto"/>
      <w:jc w:val="left"/>
    </w:pPr>
    <w:rPr>
      <w:rFonts w:hint="eastAsia" w:ascii="宋体" w:hAnsi="宋体"/>
      <w:sz w:val="20"/>
      <w:szCs w:val="20"/>
    </w:rPr>
  </w:style>
  <w:style w:type="paragraph" w:customStyle="1" w:styleId="237">
    <w:name w:val="样式2"/>
    <w:basedOn w:val="108"/>
    <w:qFormat/>
    <w:uiPriority w:val="0"/>
  </w:style>
  <w:style w:type="paragraph" w:customStyle="1" w:styleId="238">
    <w:name w:val="列出段落"/>
    <w:basedOn w:val="1"/>
    <w:link w:val="239"/>
    <w:qFormat/>
    <w:uiPriority w:val="99"/>
    <w:pPr>
      <w:ind w:firstLine="420"/>
    </w:pPr>
  </w:style>
  <w:style w:type="character" w:customStyle="1" w:styleId="239">
    <w:name w:val="列出段落 字符"/>
    <w:link w:val="238"/>
    <w:qFormat/>
    <w:uiPriority w:val="99"/>
    <w:rPr>
      <w:rFonts w:ascii="Times New Roman" w:hAnsi="Times New Roman" w:eastAsia="宋体" w:cs="Times New Roman"/>
      <w:kern w:val="0"/>
    </w:rPr>
  </w:style>
  <w:style w:type="paragraph" w:customStyle="1" w:styleId="240">
    <w:name w:val="样式 标题 1 + 黑体 三号 非加粗 居中 段前: 6 磅 段后: 6 磅 行距: 固定值 20 磅"/>
    <w:basedOn w:val="54"/>
    <w:qFormat/>
    <w:uiPriority w:val="0"/>
    <w:pPr>
      <w:spacing w:before="120" w:after="120" w:line="400" w:lineRule="exact"/>
    </w:pPr>
    <w:rPr>
      <w:rFonts w:ascii="黑体" w:hAnsi="黑体" w:eastAsia="黑体" w:cs="宋体"/>
      <w:b w:val="0"/>
      <w:bCs w:val="0"/>
      <w:sz w:val="32"/>
      <w:szCs w:val="20"/>
    </w:rPr>
  </w:style>
  <w:style w:type="paragraph" w:customStyle="1" w:styleId="241">
    <w:name w:val="6'"/>
    <w:basedOn w:val="1"/>
    <w:qFormat/>
    <w:uiPriority w:val="0"/>
    <w:pPr>
      <w:spacing w:line="320" w:lineRule="exact"/>
      <w:jc w:val="center"/>
    </w:pPr>
    <w:rPr>
      <w:spacing w:val="20"/>
    </w:rPr>
  </w:style>
  <w:style w:type="paragraph" w:customStyle="1" w:styleId="242">
    <w:name w:val="Char Char Char Char Char Char Char"/>
    <w:basedOn w:val="1"/>
    <w:qFormat/>
    <w:uiPriority w:val="0"/>
    <w:pPr>
      <w:tabs>
        <w:tab w:val="left" w:pos="840"/>
        <w:tab w:val="left" w:pos="980"/>
      </w:tabs>
      <w:spacing w:line="240" w:lineRule="auto"/>
      <w:ind w:left="980" w:hanging="420"/>
    </w:pPr>
  </w:style>
  <w:style w:type="paragraph" w:customStyle="1" w:styleId="243">
    <w:name w:val="xl22"/>
    <w:basedOn w:val="1"/>
    <w:qFormat/>
    <w:uiPriority w:val="0"/>
    <w:pPr>
      <w:widowControl/>
      <w:spacing w:before="100" w:beforeAutospacing="1" w:after="100" w:afterAutospacing="1" w:line="240" w:lineRule="auto"/>
      <w:jc w:val="center"/>
    </w:pPr>
    <w:rPr>
      <w:rFonts w:ascii="宋体" w:hAnsi="宋体"/>
      <w:sz w:val="20"/>
      <w:szCs w:val="20"/>
    </w:rPr>
  </w:style>
  <w:style w:type="paragraph" w:customStyle="1" w:styleId="244">
    <w:name w:val="xl2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ascii="宋体" w:hAnsi="宋体"/>
      <w:sz w:val="20"/>
      <w:szCs w:val="20"/>
    </w:rPr>
  </w:style>
  <w:style w:type="paragraph" w:customStyle="1" w:styleId="245">
    <w:name w:val="p0"/>
    <w:basedOn w:val="1"/>
    <w:qFormat/>
    <w:uiPriority w:val="0"/>
    <w:pPr>
      <w:widowControl/>
      <w:spacing w:line="240" w:lineRule="auto"/>
    </w:pPr>
    <w:rPr>
      <w:szCs w:val="21"/>
    </w:rPr>
  </w:style>
  <w:style w:type="paragraph" w:customStyle="1" w:styleId="246">
    <w:name w:val="H-TextFormat"/>
    <w:qFormat/>
    <w:uiPriority w:val="0"/>
    <w:rPr>
      <w:rFonts w:ascii="Arial" w:hAnsi="Arial" w:eastAsia="宋体" w:cs="Times New Roman"/>
      <w:sz w:val="22"/>
      <w:lang w:val="en-GB" w:eastAsia="en-US" w:bidi="ar-SA"/>
    </w:rPr>
  </w:style>
  <w:style w:type="paragraph" w:customStyle="1" w:styleId="247">
    <w:name w:val="默认段落字体 Para Char Char Char Char Char Char Char Char Char1 Char Char Char Char"/>
    <w:basedOn w:val="1"/>
    <w:qFormat/>
    <w:uiPriority w:val="0"/>
    <w:pPr>
      <w:spacing w:line="240" w:lineRule="auto"/>
    </w:pPr>
    <w:rPr>
      <w:rFonts w:ascii="Tahoma" w:hAnsi="Tahoma"/>
      <w:sz w:val="24"/>
      <w:szCs w:val="20"/>
    </w:rPr>
  </w:style>
  <w:style w:type="paragraph" w:customStyle="1" w:styleId="248">
    <w:name w:val="xl2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ascii="宋体" w:hAnsi="宋体"/>
      <w:sz w:val="20"/>
      <w:szCs w:val="20"/>
    </w:rPr>
  </w:style>
  <w:style w:type="paragraph" w:customStyle="1" w:styleId="249">
    <w:name w:val="样式1"/>
    <w:basedOn w:val="108"/>
    <w:qFormat/>
    <w:uiPriority w:val="0"/>
    <w:rPr>
      <w:rFonts w:eastAsia="Arial"/>
    </w:rPr>
  </w:style>
  <w:style w:type="paragraph" w:customStyle="1" w:styleId="250">
    <w:name w:val="msonormalcxspmiddle"/>
    <w:basedOn w:val="1"/>
    <w:qFormat/>
    <w:uiPriority w:val="0"/>
    <w:pPr>
      <w:widowControl/>
      <w:spacing w:before="100" w:beforeAutospacing="1" w:after="100" w:afterAutospacing="1" w:line="240" w:lineRule="auto"/>
      <w:jc w:val="left"/>
    </w:pPr>
    <w:rPr>
      <w:rFonts w:ascii="宋体" w:hAnsi="宋体" w:cs="宋体"/>
      <w:sz w:val="24"/>
    </w:rPr>
  </w:style>
  <w:style w:type="paragraph" w:customStyle="1" w:styleId="251">
    <w:name w:val="Char1"/>
    <w:basedOn w:val="1"/>
    <w:qFormat/>
    <w:uiPriority w:val="0"/>
    <w:pPr>
      <w:tabs>
        <w:tab w:val="left" w:pos="360"/>
        <w:tab w:val="left" w:pos="980"/>
      </w:tabs>
      <w:spacing w:line="240" w:lineRule="auto"/>
      <w:ind w:left="980" w:hanging="420"/>
    </w:pPr>
    <w:rPr>
      <w:sz w:val="24"/>
      <w:szCs w:val="20"/>
    </w:rPr>
  </w:style>
  <w:style w:type="paragraph" w:customStyle="1" w:styleId="252">
    <w:name w:val="样式3"/>
    <w:basedOn w:val="108"/>
    <w:qFormat/>
    <w:uiPriority w:val="0"/>
    <w:rPr>
      <w:rFonts w:eastAsia="Arial"/>
    </w:rPr>
  </w:style>
  <w:style w:type="paragraph" w:customStyle="1" w:styleId="253">
    <w:name w:val="默认段落字体 Para Char Char Char Char"/>
    <w:basedOn w:val="1"/>
    <w:qFormat/>
    <w:uiPriority w:val="0"/>
  </w:style>
  <w:style w:type="paragraph" w:customStyle="1" w:styleId="254">
    <w:name w:val="样式 标题 2 + 黑色 行距: 1.5 倍行距"/>
    <w:basedOn w:val="56"/>
    <w:qFormat/>
    <w:uiPriority w:val="0"/>
    <w:pPr>
      <w:spacing w:line="360" w:lineRule="auto"/>
      <w:jc w:val="center"/>
    </w:pPr>
    <w:rPr>
      <w:rFonts w:eastAsia="宋体" w:cs="宋体"/>
      <w:color w:val="000000"/>
    </w:rPr>
  </w:style>
  <w:style w:type="paragraph" w:customStyle="1" w:styleId="255">
    <w:name w:val="xl36"/>
    <w:basedOn w:val="1"/>
    <w:qFormat/>
    <w:uiPriority w:val="0"/>
    <w:pPr>
      <w:widowControl/>
      <w:pBdr>
        <w:left w:val="single" w:color="000000" w:sz="4" w:space="0"/>
        <w:right w:val="single" w:color="000000" w:sz="4" w:space="0"/>
      </w:pBdr>
      <w:spacing w:before="100" w:beforeAutospacing="1" w:after="100" w:afterAutospacing="1" w:line="240" w:lineRule="auto"/>
      <w:jc w:val="center"/>
    </w:pPr>
    <w:rPr>
      <w:rFonts w:ascii="宋体" w:hAnsi="宋体"/>
      <w:sz w:val="20"/>
      <w:szCs w:val="20"/>
    </w:rPr>
  </w:style>
  <w:style w:type="paragraph" w:customStyle="1" w:styleId="256">
    <w:name w:val="font7"/>
    <w:basedOn w:val="1"/>
    <w:qFormat/>
    <w:uiPriority w:val="0"/>
    <w:pPr>
      <w:widowControl/>
      <w:spacing w:before="100" w:beforeAutospacing="1" w:after="100" w:afterAutospacing="1" w:line="240" w:lineRule="auto"/>
      <w:jc w:val="left"/>
    </w:pPr>
    <w:rPr>
      <w:sz w:val="20"/>
      <w:szCs w:val="20"/>
    </w:rPr>
  </w:style>
  <w:style w:type="paragraph" w:customStyle="1" w:styleId="257">
    <w:name w:val="xl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ascii="宋体" w:hAnsi="宋体"/>
      <w:b/>
      <w:bCs/>
      <w:sz w:val="20"/>
      <w:szCs w:val="20"/>
    </w:rPr>
  </w:style>
  <w:style w:type="paragraph" w:customStyle="1" w:styleId="258">
    <w:name w:val="p17"/>
    <w:basedOn w:val="1"/>
    <w:qFormat/>
    <w:uiPriority w:val="0"/>
    <w:pPr>
      <w:widowControl/>
      <w:spacing w:line="360" w:lineRule="auto"/>
    </w:pPr>
    <w:rPr>
      <w:rFonts w:ascii="Arial" w:hAnsi="Arial" w:cs="Arial"/>
      <w:sz w:val="30"/>
      <w:szCs w:val="30"/>
    </w:rPr>
  </w:style>
  <w:style w:type="paragraph" w:customStyle="1" w:styleId="259">
    <w:name w:val="Char1 Char Char Char"/>
    <w:basedOn w:val="1"/>
    <w:qFormat/>
    <w:uiPriority w:val="0"/>
    <w:pPr>
      <w:spacing w:line="240" w:lineRule="auto"/>
    </w:pPr>
    <w:rPr>
      <w:rFonts w:ascii="Tahoma" w:hAnsi="Tahoma"/>
      <w:sz w:val="24"/>
      <w:szCs w:val="20"/>
    </w:rPr>
  </w:style>
  <w:style w:type="paragraph" w:customStyle="1" w:styleId="260">
    <w:name w:val="xl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sz w:val="20"/>
      <w:szCs w:val="20"/>
    </w:rPr>
  </w:style>
  <w:style w:type="paragraph" w:customStyle="1" w:styleId="261">
    <w:name w:val="标题2"/>
    <w:basedOn w:val="85"/>
    <w:qFormat/>
    <w:uiPriority w:val="0"/>
    <w:pPr>
      <w:jc w:val="left"/>
    </w:pPr>
  </w:style>
  <w:style w:type="paragraph" w:customStyle="1" w:styleId="262">
    <w:name w:val="标题 2 + 黑色 行距: 1.5 倍行距"/>
    <w:basedOn w:val="56"/>
    <w:qFormat/>
    <w:uiPriority w:val="0"/>
    <w:pPr>
      <w:spacing w:line="360" w:lineRule="auto"/>
    </w:pPr>
    <w:rPr>
      <w:rFonts w:eastAsia="宋体" w:cs="宋体"/>
      <w:color w:val="000000"/>
      <w:szCs w:val="20"/>
    </w:rPr>
  </w:style>
  <w:style w:type="paragraph" w:customStyle="1" w:styleId="263">
    <w:name w:val="cjk"/>
    <w:basedOn w:val="1"/>
    <w:qFormat/>
    <w:uiPriority w:val="0"/>
    <w:pPr>
      <w:widowControl/>
      <w:spacing w:line="240" w:lineRule="auto"/>
      <w:jc w:val="left"/>
    </w:pPr>
    <w:rPr>
      <w:rFonts w:hint="eastAsia" w:ascii="宋体" w:hAnsi="宋体"/>
      <w:sz w:val="20"/>
      <w:szCs w:val="20"/>
    </w:rPr>
  </w:style>
  <w:style w:type="paragraph" w:customStyle="1" w:styleId="264">
    <w:name w:val="b-b3"/>
    <w:basedOn w:val="108"/>
    <w:next w:val="1"/>
    <w:qFormat/>
    <w:uiPriority w:val="0"/>
    <w:pPr>
      <w:keepNext w:val="0"/>
      <w:keepLines w:val="0"/>
      <w:framePr w:hSpace="180" w:wrap="around" w:vAnchor="text" w:hAnchor="text" w:xAlign="center" w:y="1"/>
      <w:tabs>
        <w:tab w:val="left" w:pos="720"/>
      </w:tabs>
      <w:spacing w:before="0" w:after="0" w:line="240" w:lineRule="auto"/>
      <w:ind w:firstLine="0"/>
      <w:jc w:val="center"/>
      <w:outlineLvl w:val="0"/>
    </w:pPr>
    <w:rPr>
      <w:rFonts w:ascii="Arial" w:hAnsi="Arial" w:eastAsia="宋体" w:cs="Arial"/>
      <w:szCs w:val="24"/>
    </w:rPr>
  </w:style>
  <w:style w:type="paragraph" w:customStyle="1" w:styleId="265">
    <w:name w:val="_Style 1"/>
    <w:basedOn w:val="1"/>
    <w:qFormat/>
    <w:uiPriority w:val="34"/>
    <w:pPr>
      <w:widowControl/>
      <w:spacing w:line="240" w:lineRule="auto"/>
      <w:ind w:firstLine="420"/>
      <w:jc w:val="left"/>
    </w:pPr>
    <w:rPr>
      <w:sz w:val="24"/>
      <w:szCs w:val="20"/>
    </w:rPr>
  </w:style>
  <w:style w:type="paragraph" w:customStyle="1" w:styleId="266">
    <w:name w:val="font9"/>
    <w:basedOn w:val="1"/>
    <w:qFormat/>
    <w:uiPriority w:val="0"/>
    <w:pPr>
      <w:widowControl/>
      <w:spacing w:before="100" w:beforeAutospacing="1" w:after="100" w:afterAutospacing="1" w:line="240" w:lineRule="auto"/>
      <w:jc w:val="left"/>
    </w:pPr>
    <w:rPr>
      <w:sz w:val="20"/>
      <w:szCs w:val="20"/>
    </w:rPr>
  </w:style>
  <w:style w:type="paragraph" w:customStyle="1" w:styleId="267">
    <w:name w:val="xl31"/>
    <w:basedOn w:val="1"/>
    <w:qFormat/>
    <w:uiPriority w:val="0"/>
    <w:pPr>
      <w:widowControl/>
      <w:pBdr>
        <w:bottom w:val="single" w:color="000000" w:sz="4" w:space="0"/>
        <w:right w:val="single" w:color="000000" w:sz="4" w:space="0"/>
      </w:pBdr>
      <w:spacing w:before="100" w:beforeAutospacing="1" w:after="100" w:afterAutospacing="1" w:line="240" w:lineRule="auto"/>
      <w:jc w:val="center"/>
    </w:pPr>
    <w:rPr>
      <w:rFonts w:ascii="宋体" w:hAnsi="宋体"/>
      <w:szCs w:val="20"/>
    </w:rPr>
  </w:style>
  <w:style w:type="paragraph" w:customStyle="1" w:styleId="268">
    <w:name w:val="bt1bt1"/>
    <w:basedOn w:val="54"/>
    <w:qFormat/>
    <w:uiPriority w:val="0"/>
    <w:pPr>
      <w:spacing w:line="240" w:lineRule="auto"/>
    </w:pPr>
    <w:rPr>
      <w:rFonts w:ascii="黑体" w:eastAsia="黑体"/>
      <w:b w:val="0"/>
      <w:sz w:val="36"/>
      <w:szCs w:val="36"/>
    </w:rPr>
  </w:style>
  <w:style w:type="paragraph" w:customStyle="1" w:styleId="269">
    <w:name w:val="NRSection"/>
    <w:basedOn w:val="1"/>
    <w:qFormat/>
    <w:uiPriority w:val="0"/>
    <w:pPr>
      <w:widowControl/>
      <w:spacing w:line="240" w:lineRule="auto"/>
      <w:jc w:val="left"/>
      <w:outlineLvl w:val="4"/>
    </w:pPr>
    <w:rPr>
      <w:b/>
      <w:sz w:val="24"/>
      <w:szCs w:val="20"/>
    </w:rPr>
  </w:style>
  <w:style w:type="paragraph" w:customStyle="1" w:styleId="270">
    <w:name w:val="xl30"/>
    <w:basedOn w:val="1"/>
    <w:qFormat/>
    <w:uiPriority w:val="0"/>
    <w:pPr>
      <w:widowControl/>
      <w:spacing w:before="100" w:beforeAutospacing="1" w:after="100" w:afterAutospacing="1" w:line="240" w:lineRule="auto"/>
      <w:jc w:val="center"/>
    </w:pPr>
    <w:rPr>
      <w:rFonts w:ascii="宋体" w:hAnsi="宋体"/>
      <w:b/>
      <w:bCs/>
      <w:sz w:val="28"/>
      <w:szCs w:val="28"/>
    </w:rPr>
  </w:style>
  <w:style w:type="paragraph" w:customStyle="1" w:styleId="271">
    <w:name w:val="_Style 12"/>
    <w:basedOn w:val="113"/>
    <w:qFormat/>
    <w:uiPriority w:val="0"/>
    <w:pPr>
      <w:spacing w:line="360" w:lineRule="auto"/>
    </w:pPr>
    <w:rPr>
      <w:szCs w:val="20"/>
    </w:rPr>
  </w:style>
  <w:style w:type="paragraph" w:styleId="272">
    <w:name w:val="List Paragraph"/>
    <w:basedOn w:val="1"/>
    <w:qFormat/>
    <w:uiPriority w:val="0"/>
    <w:pPr>
      <w:spacing w:line="240" w:lineRule="auto"/>
      <w:ind w:firstLine="420"/>
    </w:pPr>
    <w:rPr>
      <w:rFonts w:ascii="Calibri" w:hAnsi="Calibri"/>
      <w:szCs w:val="22"/>
    </w:rPr>
  </w:style>
  <w:style w:type="character" w:customStyle="1" w:styleId="273">
    <w:name w:val="纯文本 Char"/>
    <w:qFormat/>
    <w:uiPriority w:val="0"/>
    <w:rPr>
      <w:rFonts w:ascii="宋体" w:hAnsi="Courier New"/>
      <w:sz w:val="28"/>
    </w:rPr>
  </w:style>
  <w:style w:type="character" w:customStyle="1" w:styleId="274">
    <w:name w:val="无间隔 Char"/>
    <w:qFormat/>
    <w:uiPriority w:val="1"/>
    <w:rPr>
      <w:sz w:val="21"/>
      <w:szCs w:val="24"/>
      <w:lang w:val="en-US" w:eastAsia="zh-CN" w:bidi="ar-SA"/>
    </w:rPr>
  </w:style>
  <w:style w:type="paragraph" w:customStyle="1" w:styleId="275">
    <w:name w:val="msonormal"/>
    <w:basedOn w:val="1"/>
    <w:qFormat/>
    <w:uiPriority w:val="0"/>
    <w:pPr>
      <w:widowControl/>
      <w:spacing w:before="100" w:beforeAutospacing="1" w:after="100" w:afterAutospacing="1" w:line="240" w:lineRule="auto"/>
      <w:jc w:val="left"/>
    </w:pPr>
    <w:rPr>
      <w:rFonts w:ascii="宋体" w:hAnsi="宋体" w:cs="宋体"/>
      <w:sz w:val="24"/>
    </w:rPr>
  </w:style>
  <w:style w:type="paragraph" w:customStyle="1" w:styleId="276">
    <w:name w:val="xl65"/>
    <w:basedOn w:val="1"/>
    <w:qFormat/>
    <w:uiPriority w:val="0"/>
    <w:pPr>
      <w:widowControl/>
      <w:spacing w:before="100" w:beforeAutospacing="1" w:after="100" w:afterAutospacing="1" w:line="240" w:lineRule="auto"/>
      <w:jc w:val="center"/>
    </w:pPr>
    <w:rPr>
      <w:rFonts w:ascii="宋体" w:hAnsi="宋体" w:cs="宋体"/>
      <w:sz w:val="28"/>
      <w:szCs w:val="28"/>
    </w:rPr>
  </w:style>
  <w:style w:type="paragraph" w:customStyle="1" w:styleId="277">
    <w:name w:val="xl66"/>
    <w:basedOn w:val="1"/>
    <w:qFormat/>
    <w:uiPriority w:val="0"/>
    <w:pPr>
      <w:widowControl/>
      <w:spacing w:before="100" w:beforeAutospacing="1" w:after="100" w:afterAutospacing="1" w:line="240" w:lineRule="auto"/>
      <w:jc w:val="center"/>
    </w:pPr>
    <w:rPr>
      <w:rFonts w:ascii="宋体" w:hAnsi="宋体" w:cs="宋体"/>
      <w:sz w:val="28"/>
      <w:szCs w:val="28"/>
    </w:rPr>
  </w:style>
  <w:style w:type="paragraph" w:customStyle="1" w:styleId="278">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ascii="仿宋" w:hAnsi="仿宋" w:eastAsia="仿宋" w:cs="宋体"/>
      <w:b/>
      <w:bCs/>
      <w:sz w:val="20"/>
      <w:szCs w:val="20"/>
    </w:rPr>
  </w:style>
  <w:style w:type="paragraph" w:customStyle="1" w:styleId="279">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ascii="仿宋" w:hAnsi="仿宋" w:eastAsia="仿宋" w:cs="宋体"/>
      <w:b/>
      <w:bCs/>
      <w:sz w:val="20"/>
      <w:szCs w:val="20"/>
    </w:rPr>
  </w:style>
  <w:style w:type="paragraph" w:customStyle="1" w:styleId="280">
    <w:name w:val="xl6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ascii="仿宋" w:hAnsi="仿宋" w:eastAsia="仿宋" w:cs="宋体"/>
      <w:sz w:val="20"/>
      <w:szCs w:val="20"/>
    </w:rPr>
  </w:style>
  <w:style w:type="paragraph" w:customStyle="1" w:styleId="281">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ascii="仿宋" w:hAnsi="仿宋" w:eastAsia="仿宋" w:cs="宋体"/>
      <w:sz w:val="20"/>
      <w:szCs w:val="20"/>
    </w:rPr>
  </w:style>
  <w:style w:type="paragraph" w:customStyle="1" w:styleId="282">
    <w:name w:val="xl7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left"/>
    </w:pPr>
    <w:rPr>
      <w:rFonts w:ascii="仿宋" w:hAnsi="仿宋" w:eastAsia="仿宋" w:cs="宋体"/>
      <w:sz w:val="20"/>
      <w:szCs w:val="20"/>
    </w:rPr>
  </w:style>
  <w:style w:type="paragraph" w:customStyle="1" w:styleId="283">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ascii="仿宋" w:hAnsi="仿宋" w:eastAsia="仿宋" w:cs="宋体"/>
      <w:color w:val="FF0000"/>
      <w:sz w:val="20"/>
      <w:szCs w:val="20"/>
    </w:rPr>
  </w:style>
  <w:style w:type="paragraph" w:customStyle="1" w:styleId="284">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ascii="仿宋" w:hAnsi="仿宋" w:eastAsia="仿宋" w:cs="宋体"/>
      <w:color w:val="FF0000"/>
      <w:sz w:val="20"/>
      <w:szCs w:val="20"/>
    </w:rPr>
  </w:style>
  <w:style w:type="character" w:customStyle="1" w:styleId="285">
    <w:name w:val="正文缩进 Char"/>
    <w:qFormat/>
    <w:uiPriority w:val="0"/>
    <w:rPr>
      <w:b/>
      <w:sz w:val="24"/>
    </w:rPr>
  </w:style>
  <w:style w:type="character" w:customStyle="1" w:styleId="286">
    <w:name w:val="脚注文本 Char"/>
    <w:qFormat/>
    <w:uiPriority w:val="0"/>
  </w:style>
  <w:style w:type="character" w:customStyle="1" w:styleId="287">
    <w:name w:val="正文缩进 字符1"/>
    <w:qFormat/>
    <w:uiPriority w:val="99"/>
    <w:rPr>
      <w:sz w:val="21"/>
    </w:rPr>
  </w:style>
  <w:style w:type="character" w:customStyle="1" w:styleId="288">
    <w:name w:val="表 Char Char"/>
    <w:link w:val="289"/>
    <w:qFormat/>
    <w:uiPriority w:val="0"/>
    <w:rPr>
      <w:rFonts w:ascii="宋体" w:hAnsi="宋体" w:cs="宋体"/>
      <w:color w:val="000000"/>
      <w:szCs w:val="22"/>
    </w:rPr>
  </w:style>
  <w:style w:type="paragraph" w:customStyle="1" w:styleId="289">
    <w:name w:val="表"/>
    <w:link w:val="288"/>
    <w:qFormat/>
    <w:uiPriority w:val="0"/>
    <w:pPr>
      <w:jc w:val="center"/>
    </w:pPr>
    <w:rPr>
      <w:rFonts w:ascii="宋体" w:hAnsi="宋体" w:cs="宋体" w:eastAsiaTheme="minorEastAsia"/>
      <w:color w:val="000000"/>
      <w:kern w:val="2"/>
      <w:sz w:val="21"/>
      <w:szCs w:val="22"/>
      <w:lang w:val="en-US" w:eastAsia="zh-CN" w:bidi="ar-SA"/>
    </w:rPr>
  </w:style>
  <w:style w:type="paragraph" w:customStyle="1" w:styleId="290">
    <w:name w:val="正文_41"/>
    <w:basedOn w:val="1"/>
    <w:qFormat/>
    <w:uiPriority w:val="0"/>
    <w:pPr>
      <w:spacing w:line="240" w:lineRule="auto"/>
      <w:jc w:val="left"/>
    </w:pPr>
    <w:rPr>
      <w:sz w:val="44"/>
    </w:rPr>
  </w:style>
  <w:style w:type="paragraph" w:customStyle="1" w:styleId="291">
    <w:name w:val="null3"/>
    <w:qFormat/>
    <w:uiPriority w:val="0"/>
    <w:rPr>
      <w:rFonts w:hint="eastAsia" w:ascii="Calibri" w:hAnsi="Calibri" w:eastAsia="宋体" w:cs="Times New Roman"/>
      <w:lang w:val="en-US" w:eastAsia="zh-CN" w:bidi="ar-SA"/>
    </w:rPr>
  </w:style>
  <w:style w:type="paragraph" w:customStyle="1" w:styleId="292">
    <w:name w:val="普通正文"/>
    <w:qFormat/>
    <w:uiPriority w:val="0"/>
    <w:pPr>
      <w:widowControl w:val="0"/>
      <w:spacing w:before="120" w:after="120" w:line="360" w:lineRule="auto"/>
      <w:ind w:firstLine="480"/>
    </w:pPr>
    <w:rPr>
      <w:rFonts w:ascii="Arial" w:hAnsi="Arial" w:eastAsia="宋体" w:cs="Times New Roman"/>
      <w:sz w:val="24"/>
      <w:szCs w:val="24"/>
      <w:lang w:val="en-US" w:eastAsia="zh-CN" w:bidi="ar-SA"/>
    </w:rPr>
  </w:style>
  <w:style w:type="paragraph" w:customStyle="1" w:styleId="293">
    <w:name w:val="内容样式"/>
    <w:basedOn w:val="1"/>
    <w:unhideWhenUsed/>
    <w:qFormat/>
    <w:uiPriority w:val="0"/>
    <w:pPr>
      <w:widowControl/>
      <w:spacing w:line="460" w:lineRule="exact"/>
      <w:ind w:firstLine="560"/>
      <w:jc w:val="left"/>
    </w:pPr>
    <w:rPr>
      <w:rFonts w:hint="eastAsia" w:ascii="仿宋_GB2312" w:hAnsi="仿宋_GB2312" w:eastAsia="仿宋_GB2312" w:cs="宋体"/>
      <w:sz w:val="28"/>
      <w:szCs w:val="20"/>
    </w:rPr>
  </w:style>
  <w:style w:type="paragraph" w:customStyle="1" w:styleId="294">
    <w:name w:val="Table Paragraph"/>
    <w:basedOn w:val="1"/>
    <w:qFormat/>
    <w:uiPriority w:val="1"/>
  </w:style>
  <w:style w:type="paragraph" w:customStyle="1" w:styleId="295">
    <w:name w:val="Normal_8"/>
    <w:qFormat/>
    <w:uiPriority w:val="0"/>
    <w:rPr>
      <w:rFonts w:ascii="Times New Roman" w:hAnsi="Times New Roman" w:eastAsia="Times New Roman" w:cs="Times New Roman"/>
      <w:sz w:val="24"/>
      <w:szCs w:val="24"/>
      <w:lang w:val="en-US" w:eastAsia="zh-CN" w:bidi="ar-SA"/>
    </w:rPr>
  </w:style>
  <w:style w:type="paragraph" w:customStyle="1" w:styleId="296">
    <w:name w:val="Normal_9"/>
    <w:qFormat/>
    <w:uiPriority w:val="0"/>
    <w:pPr>
      <w:widowControl w:val="0"/>
      <w:jc w:val="both"/>
    </w:pPr>
    <w:rPr>
      <w:rFonts w:ascii="Calibri" w:hAnsi="Calibri" w:eastAsia="宋体" w:cs="Times New Roman"/>
      <w:sz w:val="21"/>
      <w:szCs w:val="22"/>
      <w:lang w:val="en-US" w:eastAsia="zh-CN" w:bidi="ar-SA"/>
    </w:rPr>
  </w:style>
  <w:style w:type="paragraph" w:customStyle="1" w:styleId="297">
    <w:name w:val="正文_1_0_0"/>
    <w:qFormat/>
    <w:uiPriority w:val="0"/>
    <w:pPr>
      <w:widowControl w:val="0"/>
      <w:jc w:val="both"/>
    </w:pPr>
    <w:rPr>
      <w:rFonts w:ascii="Calibri" w:hAnsi="Calibri" w:eastAsia="宋体" w:cs="Times New Roman"/>
      <w:sz w:val="21"/>
      <w:szCs w:val="22"/>
      <w:lang w:val="en-US" w:eastAsia="zh-CN" w:bidi="ar-SA"/>
    </w:rPr>
  </w:style>
  <w:style w:type="character" w:customStyle="1" w:styleId="298">
    <w:name w:val="批注主题 字符1"/>
    <w:basedOn w:val="70"/>
    <w:link w:val="34"/>
    <w:semiHidden/>
    <w:qFormat/>
    <w:uiPriority w:val="99"/>
    <w:rPr>
      <w:rFonts w:ascii="Times New Roman" w:hAnsi="Times New Roman" w:eastAsia="宋体" w:cs="Times New Roman"/>
      <w:b/>
      <w:bCs/>
      <w:kern w:val="0"/>
    </w:rPr>
  </w:style>
  <w:style w:type="paragraph" w:customStyle="1" w:styleId="299">
    <w:name w:val="修订1"/>
    <w:hidden/>
    <w:unhideWhenUsed/>
    <w:qFormat/>
    <w:uiPriority w:val="99"/>
    <w:rPr>
      <w:rFonts w:ascii="Times New Roman" w:hAnsi="Times New Roman" w:eastAsia="宋体" w:cs="Times New Roman"/>
      <w:sz w:val="21"/>
      <w:szCs w:val="24"/>
      <w:lang w:val="en-US" w:eastAsia="zh-CN" w:bidi="ar-SA"/>
    </w:rPr>
  </w:style>
  <w:style w:type="character" w:customStyle="1" w:styleId="300">
    <w:name w:val="样式 仿宋"/>
    <w:basedOn w:val="37"/>
    <w:qFormat/>
    <w:uiPriority w:val="0"/>
    <w:rPr>
      <w:rFonts w:ascii="仿宋" w:hAnsi="仿宋" w:eastAsia="仿宋"/>
      <w:kern w:val="1"/>
    </w:rPr>
  </w:style>
  <w:style w:type="paragraph" w:customStyle="1" w:styleId="301">
    <w:name w:val="修订2"/>
    <w:hidden/>
    <w:unhideWhenUsed/>
    <w:qFormat/>
    <w:uiPriority w:val="99"/>
    <w:rPr>
      <w:rFonts w:ascii="Times New Roman" w:hAnsi="Times New Roman" w:eastAsia="宋体" w:cs="Times New Roman"/>
      <w:sz w:val="21"/>
      <w:szCs w:val="24"/>
      <w:lang w:val="en-US" w:eastAsia="zh-CN" w:bidi="ar-SA"/>
    </w:rPr>
  </w:style>
  <w:style w:type="paragraph" w:customStyle="1" w:styleId="302">
    <w:name w:val="修订3"/>
    <w:hidden/>
    <w:unhideWhenUsed/>
    <w:qFormat/>
    <w:uiPriority w:val="99"/>
    <w:rPr>
      <w:rFonts w:ascii="Times New Roman" w:hAnsi="Times New Roman" w:eastAsia="宋体" w:cs="Times New Roman"/>
      <w:sz w:val="21"/>
      <w:szCs w:val="24"/>
      <w:lang w:val="en-US" w:eastAsia="zh-CN" w:bidi="ar-SA"/>
    </w:rPr>
  </w:style>
  <w:style w:type="paragraph" w:customStyle="1" w:styleId="303">
    <w:name w:val="Revision"/>
    <w:hidden/>
    <w:unhideWhenUsed/>
    <w:qFormat/>
    <w:uiPriority w:val="99"/>
    <w:rPr>
      <w:rFonts w:ascii="Times New Roman" w:hAnsi="Times New Roman" w:eastAsia="宋体" w:cs="Times New Roman"/>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73</Pages>
  <Words>16688</Words>
  <Characters>17761</Characters>
  <Lines>332</Lines>
  <Paragraphs>93</Paragraphs>
  <TotalTime>53</TotalTime>
  <ScaleCrop>false</ScaleCrop>
  <LinksUpToDate>false</LinksUpToDate>
  <CharactersWithSpaces>18032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2026-01-26T02:13:00Z</dcterms:created>
  <dc:creator>爱君 刘</dc:creator>
  <cp:lastModifiedBy>草莓熊</cp:lastModifiedBy>
  <cp:lastPrinted>2026-03-02T06:48:00Z</cp:lastPrinted>
  <dcterms:modified xsi:type="dcterms:W3CDTF">2026-07-27T15:17:28Z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eyJoZGlkIjoiMDliMDdmMDllMDQwOGQ2NGQ5N2FhNjc1OTEwNGI0MDgiLCJ1c2VySWQiOiI2OTIyNjM3NzAifQ==</vt:lpwstr>
  </property>
  <property fmtid="{D5CDD505-2E9C-101B-9397-08002B2CF9AE}" pid="3" name="KSOProductBuildVer">
    <vt:lpwstr>2052-12.1.0.26895</vt:lpwstr>
  </property>
  <property fmtid="{D5CDD505-2E9C-101B-9397-08002B2CF9AE}" pid="4" name="ICV">
    <vt:lpwstr>49C34E51C36445E0B6F324D73F1FAC87_12</vt:lpwstr>
  </property>
</Properties>
</file>