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4"/>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4"/>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4"/>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2026-2027年度常州市肿瘤医院医疗责任险、财产险项目</w:t>
      </w:r>
      <w:r>
        <w:rPr>
          <w:rFonts w:ascii="宋体" w:hAnsi="宋体"/>
          <w:bCs/>
          <w:color w:val="000000"/>
          <w:sz w:val="36"/>
          <w:szCs w:val="36"/>
          <w:highlight w:val="none"/>
        </w:rPr>
      </w:r>
      <w:r/>
    </w:p>
    <w:p>
      <w:pPr>
        <w:pStyle w:val="1074"/>
        <w:ind w:left="2832" w:hanging="1900"/>
        <w:jc w:val="left"/>
        <w:spacing w:line="360" w:lineRule="auto"/>
        <w:tabs>
          <w:tab w:val="left" w:pos="3240" w:leader="none"/>
          <w:tab w:val="left" w:pos="3420" w:leader="none"/>
        </w:tabs>
        <w:rPr>
          <w:rFonts w:hint="eastAsia" w:ascii="宋体" w:hAnsi="宋体" w:eastAsia="宋体" w:cs="Times New Roman"/>
          <w:bCs/>
          <w:color w:val="000000"/>
          <w:sz w:val="36"/>
          <w:szCs w:val="36"/>
          <w:highlight w:val="none"/>
          <w:lang w:eastAsia="zh-CN"/>
        </w:rPr>
      </w:pPr>
      <w:r>
        <w:rPr>
          <w:rFonts w:ascii="宋体" w:hAnsi="宋体"/>
          <w:bCs/>
          <w:color w:val="000000"/>
          <w:sz w:val="36"/>
          <w:szCs w:val="36"/>
          <w:highlight w:val="none"/>
        </w:rPr>
        <w:t xml:space="preserve">项目编号：</w:t>
      </w:r>
      <w:r>
        <w:rPr>
          <w:rFonts w:hint="eastAsia" w:ascii="宋体" w:hAnsi="宋体" w:eastAsia="宋体" w:cs="Times New Roman"/>
          <w:bCs/>
          <w:color w:val="000000"/>
          <w:sz w:val="36"/>
          <w:szCs w:val="36"/>
          <w:highlight w:val="none"/>
          <w:lang w:eastAsia="zh-CN"/>
        </w:rPr>
        <w:t xml:space="preserve">JSZC-320400-CTZB-G2026-0096</w:t>
      </w:r>
      <w:r>
        <w:rPr>
          <w:rFonts w:hint="eastAsia" w:ascii="宋体" w:hAnsi="宋体" w:eastAsia="宋体" w:cs="Times New Roman"/>
          <w:bCs/>
          <w:color w:val="000000"/>
          <w:sz w:val="36"/>
          <w:szCs w:val="36"/>
          <w:highlight w:val="none"/>
          <w:lang w:eastAsia="zh-CN"/>
        </w:rPr>
      </w:r>
      <w:r/>
    </w:p>
    <w:p>
      <w:pPr>
        <w:pStyle w:val="1074"/>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常州市肿瘤医院</w:t>
      </w:r>
      <w:r>
        <w:rPr>
          <w:rFonts w:ascii="宋体" w:hAnsi="宋体"/>
          <w:bCs/>
          <w:color w:val="000000"/>
          <w:sz w:val="36"/>
          <w:szCs w:val="36"/>
          <w:highlight w:val="none"/>
        </w:rPr>
      </w:r>
      <w:r/>
    </w:p>
    <w:p>
      <w:pPr>
        <w:pStyle w:val="1074"/>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4"/>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4"/>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4"/>
        <w:rPr>
          <w:rFonts w:ascii="宋体" w:hAnsi="宋体"/>
          <w:color w:val="000000"/>
          <w:highlight w:val="none"/>
        </w:rPr>
      </w:pPr>
      <w:r>
        <w:rPr>
          <w:rFonts w:ascii="宋体" w:hAnsi="宋体"/>
          <w:color w:val="000000"/>
          <w:highlight w:val="none"/>
        </w:rPr>
      </w:r>
      <w:r/>
    </w:p>
    <w:p>
      <w:pPr>
        <w:pStyle w:val="1074"/>
        <w:rPr>
          <w:rFonts w:ascii="宋体" w:hAnsi="宋体"/>
          <w:color w:val="000000"/>
          <w:highlight w:val="none"/>
        </w:rPr>
      </w:pPr>
      <w:r>
        <w:rPr>
          <w:rFonts w:ascii="宋体" w:hAnsi="宋体"/>
          <w:color w:val="000000"/>
          <w:highlight w:val="none"/>
        </w:rPr>
      </w:r>
      <w:r/>
    </w:p>
    <w:p>
      <w:pPr>
        <w:pStyle w:val="1074"/>
        <w:rPr>
          <w:rFonts w:ascii="宋体" w:hAnsi="宋体"/>
          <w:color w:val="000000"/>
          <w:highlight w:val="none"/>
        </w:rPr>
      </w:pPr>
      <w:r>
        <w:rPr>
          <w:rFonts w:ascii="宋体" w:hAnsi="宋体"/>
          <w:color w:val="000000"/>
          <w:highlight w:val="none"/>
        </w:rPr>
      </w:r>
      <w:r/>
    </w:p>
    <w:p>
      <w:pPr>
        <w:pStyle w:val="1126"/>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9"/>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9"/>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9"/>
          <w:color w:val="000000"/>
          <w:sz w:val="32"/>
          <w:szCs w:val="32"/>
          <w:highlight w:val="none"/>
        </w:rPr>
        <w:t xml:space="preserve">第三章   资</w:t>
      </w:r>
      <w:bookmarkStart w:id="1" w:name="_Hlt100754117"/>
      <w:r>
        <w:rPr>
          <w:rStyle w:val="1149"/>
          <w:color w:val="000000"/>
          <w:sz w:val="32"/>
          <w:szCs w:val="32"/>
          <w:highlight w:val="none"/>
        </w:rPr>
        <w:t xml:space="preserve">格</w:t>
      </w:r>
      <w:bookmarkEnd w:id="1"/>
      <w:r>
        <w:rPr>
          <w:rStyle w:val="1149"/>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9"/>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9"/>
          <w:color w:val="000000"/>
          <w:sz w:val="32"/>
          <w:szCs w:val="32"/>
          <w:highlight w:val="none"/>
        </w:rPr>
        <w:t xml:space="preserve">第五章   采购</w:t>
      </w:r>
      <w:bookmarkStart w:id="2" w:name="_Hlt100754102"/>
      <w:r/>
      <w:bookmarkStart w:id="3" w:name="_Hlt100754103"/>
      <w:r>
        <w:rPr>
          <w:rStyle w:val="1149"/>
          <w:color w:val="000000"/>
          <w:sz w:val="32"/>
          <w:szCs w:val="32"/>
          <w:highlight w:val="none"/>
        </w:rPr>
        <w:t xml:space="preserve">需</w:t>
      </w:r>
      <w:bookmarkEnd w:id="2"/>
      <w:r/>
      <w:bookmarkEnd w:id="3"/>
      <w:r>
        <w:rPr>
          <w:rStyle w:val="1149"/>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9"/>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9"/>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4"/>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2026-2027年度常州市肿瘤医院医疗责任险、财产险项目的潜在投标人应在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12</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6"/>
        <w:ind w:firstLine="643"/>
        <w:jc w:val="left"/>
        <w:spacing w:before="240" w:line="360" w:lineRule="auto"/>
        <w:rPr>
          <w:rFonts w:ascii="仿宋" w:hAnsi="仿宋" w:eastAsia="仿宋"/>
          <w:color w:val="000000"/>
          <w:sz w:val="32"/>
          <w:szCs w:val="32"/>
          <w:highlight w:val="none"/>
        </w:rPr>
      </w:pPr>
      <w:r/>
      <w:bookmarkStart w:id="5" w:name="_Toc35393621"/>
      <w:r/>
      <w:bookmarkStart w:id="6" w:name="_Toc28359002"/>
      <w:r/>
      <w:bookmarkStart w:id="7" w:name="_Toc28359079"/>
      <w:r/>
      <w:bookmarkStart w:id="8" w:name="_Toc35393790"/>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lang w:eastAsia="zh-CN"/>
        </w:rPr>
        <w:t xml:space="preserve">JSZC-320400-CTZB-G2026-0096</w:t>
      </w:r>
      <w:r>
        <w:rPr>
          <w:rFonts w:hint="eastAsia" w:ascii="仿宋" w:hAnsi="仿宋" w:eastAsia="仿宋"/>
          <w:color w:val="000000"/>
          <w:sz w:val="32"/>
          <w:szCs w:val="32"/>
          <w:highlight w:val="none"/>
          <w:lang w:eastAsia="zh-CN"/>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2026-2027年度常州市肿瘤医院医疗责任险、财产险项目</w:t>
      </w:r>
      <w:r>
        <w:rPr>
          <w:rFonts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130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rPr>
        <w:t xml:space="preserve">1075787</w:t>
      </w:r>
      <w:r>
        <w:rPr>
          <w:rFonts w:ascii="仿宋" w:hAnsi="仿宋" w:eastAsia="仿宋"/>
          <w:color w:val="000000"/>
          <w:sz w:val="32"/>
          <w:szCs w:val="32"/>
          <w:highlight w:val="none"/>
        </w:rPr>
        <w:t xml:space="preserve">元</w:t>
      </w:r>
      <w:r>
        <w:rPr>
          <w:rFonts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hint="eastAsia" w:ascii="仿宋" w:hAnsi="仿宋" w:eastAsia="仿宋"/>
          <w:color w:val="000000"/>
          <w:sz w:val="32"/>
          <w:szCs w:val="32"/>
          <w:highlight w:val="none"/>
        </w:rPr>
        <w:t xml:space="preserve">为构建和谐医患关系，创建“平安医院”，进一步建立完善医疗风险分担机制和医疗纠纷一体化处理模式，拟采购202</w:t>
      </w:r>
      <w:r>
        <w:rPr>
          <w:rFonts w:hint="eastAsia" w:ascii="仿宋" w:hAnsi="仿宋" w:eastAsia="仿宋"/>
          <w:color w:val="000000"/>
          <w:sz w:val="32"/>
          <w:szCs w:val="32"/>
          <w:highlight w:val="none"/>
          <w:lang w:val="en-US" w:eastAsia="zh-CN"/>
        </w:rPr>
        <w:t xml:space="preserve">6</w:t>
      </w:r>
      <w:r>
        <w:rPr>
          <w:rFonts w:hint="eastAsia" w:ascii="仿宋" w:hAnsi="仿宋" w:eastAsia="仿宋"/>
          <w:color w:val="000000"/>
          <w:sz w:val="32"/>
          <w:szCs w:val="32"/>
          <w:highlight w:val="none"/>
        </w:rPr>
        <w:t xml:space="preserve">-202</w:t>
      </w:r>
      <w:r>
        <w:rPr>
          <w:rFonts w:hint="eastAsia" w:ascii="仿宋" w:hAnsi="仿宋" w:eastAsia="仿宋"/>
          <w:color w:val="000000"/>
          <w:sz w:val="32"/>
          <w:szCs w:val="32"/>
          <w:highlight w:val="none"/>
          <w:lang w:val="en-US" w:eastAsia="zh-CN"/>
        </w:rPr>
        <w:t xml:space="preserve">7</w:t>
      </w:r>
      <w:r>
        <w:rPr>
          <w:rFonts w:hint="eastAsia" w:ascii="仿宋" w:hAnsi="仿宋" w:eastAsia="仿宋"/>
          <w:color w:val="000000"/>
          <w:sz w:val="32"/>
          <w:szCs w:val="32"/>
          <w:highlight w:val="none"/>
        </w:rPr>
        <w:t xml:space="preserve">年度常州市肿瘤医院医疗责任险、财产险。</w:t>
      </w:r>
      <w:r>
        <w:rPr>
          <w:rFonts w:hint="eastAsia"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bCs/>
          <w:color w:val="000000"/>
          <w:sz w:val="32"/>
          <w:szCs w:val="32"/>
          <w:highlight w:val="none"/>
          <w:lang w:val="en-US" w:eastAsia="zh-CN"/>
        </w:rPr>
        <w:t xml:space="preserve">本项目由采购人委托的第三方保险经纪公司制定详细实施方案并经采购人确认后负责具体实施。</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合同履行期限：自2026年04月23日零时起，至2027年04月22日24时止。</w:t>
      </w:r>
      <w:r>
        <w:rPr>
          <w:rFonts w:ascii="仿宋" w:hAnsi="仿宋" w:eastAsia="仿宋"/>
          <w:color w:val="000000"/>
          <w:sz w:val="32"/>
          <w:szCs w:val="32"/>
          <w:highlight w:val="none"/>
          <w:u w:val="singl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10" w:name="_Toc35393791"/>
      <w:r/>
      <w:bookmarkStart w:id="11" w:name="_Toc28359003"/>
      <w:r/>
      <w:bookmarkStart w:id="12" w:name="_Toc28359080"/>
      <w:r/>
      <w:bookmarkStart w:id="13" w:name="_Toc35393622"/>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4"/>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w:t>
      </w:r>
      <w:r>
        <w:rPr>
          <w:rFonts w:hint="eastAsia" w:ascii="仿宋" w:hAnsi="仿宋" w:eastAsia="仿宋"/>
          <w:color w:val="000000"/>
          <w:sz w:val="32"/>
          <w:szCs w:val="32"/>
          <w:highlight w:val="none"/>
          <w:lang w:eastAsia="zh-CN"/>
        </w:rPr>
        <w:t xml:space="preserve">□</w:t>
      </w:r>
      <w:r>
        <w:rPr>
          <w:rFonts w:ascii="仿宋" w:hAnsi="仿宋" w:eastAsia="仿宋"/>
          <w:color w:val="000000"/>
          <w:sz w:val="32"/>
          <w:szCs w:val="32"/>
          <w:highlight w:val="none"/>
        </w:rPr>
        <w:t xml:space="preserve">中小 □小微企业  采购。即：</w:t>
      </w:r>
      <w:r>
        <w:rPr>
          <w:rFonts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   □否；</w:t>
      </w:r>
      <w:r>
        <w:rPr>
          <w:rFonts w:ascii="仿宋" w:hAnsi="仿宋" w:eastAsia="仿宋"/>
          <w:color w:val="000000"/>
          <w:sz w:val="32"/>
          <w:szCs w:val="32"/>
          <w:highlight w:val="none"/>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4"/>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hint="eastAsia" w:ascii="仿宋" w:hAnsi="仿宋" w:eastAsia="仿宋"/>
          <w:color w:val="000000"/>
          <w:sz w:val="32"/>
          <w:szCs w:val="32"/>
          <w:highlight w:val="none"/>
        </w:rPr>
        <w:t xml:space="preserve">经国家金融监督管理总局（原中国银行保险监督管理委员会）批准的具有承保资质的财产保险公司。如分支机构参与投标的，需提供总公司项目授权书并承诺由总公司承担民事责任，格式自拟。</w:t>
      </w:r>
      <w:r>
        <w:rPr>
          <w:rFonts w:hint="eastAsia" w:ascii="仿宋" w:hAnsi="仿宋" w:eastAsia="仿宋"/>
          <w:color w:val="000000"/>
          <w:sz w:val="32"/>
          <w:szCs w:val="32"/>
          <w:highlight w:val="none"/>
        </w:rPr>
      </w:r>
      <w:r/>
    </w:p>
    <w:p>
      <w:pPr>
        <w:pStyle w:val="1074"/>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注：</w:t>
      </w:r>
      <w:r>
        <w:rPr>
          <w:rFonts w:hint="eastAsia" w:ascii="仿宋" w:hAnsi="仿宋" w:eastAsia="仿宋"/>
          <w:color w:val="000000"/>
          <w:sz w:val="32"/>
          <w:szCs w:val="32"/>
          <w:highlight w:val="none"/>
          <w:lang w:eastAsia="zh-CN"/>
        </w:rPr>
        <w:t xml:space="preserve">以联合体形式投标的，联合体各方</w:t>
      </w:r>
      <w:r>
        <w:rPr>
          <w:rFonts w:hint="eastAsia" w:ascii="仿宋" w:hAnsi="仿宋" w:eastAsia="仿宋"/>
          <w:color w:val="000000"/>
          <w:sz w:val="32"/>
          <w:szCs w:val="32"/>
          <w:highlight w:val="none"/>
          <w:lang w:val="en-US" w:eastAsia="zh-CN"/>
        </w:rPr>
        <w:t xml:space="preserve">均须满足本项目“申请人的资格要求”，并提交以下相关材料：①联合体协议书；②联合体各成员营业执照副本；③联合体各成员资质证书等。同一联合体成员不得同时与两家及以上主体组成联合体参与本项目投标，否则将取消所有涉及该主体的联合体投标资格。</w:t>
      </w:r>
      <w:r>
        <w:rPr>
          <w:rFonts w:hint="eastAsia" w:ascii="仿宋" w:hAnsi="仿宋" w:eastAsia="仿宋"/>
          <w:color w:val="000000"/>
          <w:sz w:val="32"/>
          <w:szCs w:val="32"/>
          <w:highlight w:val="none"/>
          <w:lang w:val="en-US" w:eastAsia="zh-CN"/>
        </w:rPr>
      </w:r>
      <w:r/>
    </w:p>
    <w:p>
      <w:pPr>
        <w:pStyle w:val="1076"/>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623"/>
      <w:r/>
      <w:bookmarkStart w:id="17" w:name="_Toc35393792"/>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07</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22</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07</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29</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4"/>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4"/>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6"/>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4"/>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12</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4"/>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22" w:name="_Toc35393794"/>
      <w:r/>
      <w:bookmarkStart w:id="23" w:name="_Toc35393625"/>
      <w:r/>
      <w:bookmarkStart w:id="24" w:name="_Toc28359084"/>
      <w:r/>
      <w:bookmarkStart w:id="25" w:name="_Toc28359007"/>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4"/>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4"/>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4"/>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6"/>
        <w:ind w:firstLine="643"/>
        <w:jc w:val="left"/>
        <w:spacing w:before="0" w:line="360" w:lineRule="auto"/>
        <w:rPr>
          <w:rFonts w:ascii="仿宋" w:hAnsi="仿宋" w:eastAsia="仿宋"/>
          <w:color w:val="000000"/>
          <w:sz w:val="32"/>
          <w:szCs w:val="32"/>
          <w:highlight w:val="none"/>
        </w:rPr>
      </w:pPr>
      <w:r/>
      <w:bookmarkStart w:id="28" w:name="_Toc28359008"/>
      <w:r/>
      <w:bookmarkStart w:id="29" w:name="_Toc35393796"/>
      <w:r/>
      <w:bookmarkStart w:id="30" w:name="_Toc28359085"/>
      <w:r/>
      <w:bookmarkStart w:id="31" w:name="_Toc35393627"/>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4"/>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称：常州市肿瘤医院</w:t>
      </w:r>
      <w:r>
        <w:rPr>
          <w:rFonts w:hint="eastAsia"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址：常州市新北区红河路68号</w:t>
      </w:r>
      <w:r>
        <w:rPr>
          <w:rFonts w:hint="eastAsia"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联系方式：刘女士</w:t>
      </w:r>
      <w:r>
        <w:rPr>
          <w:rFonts w:hint="eastAsia" w:ascii="仿宋" w:hAnsi="仿宋" w:eastAsia="仿宋"/>
          <w:color w:val="000000"/>
          <w:sz w:val="32"/>
          <w:szCs w:val="32"/>
          <w:highlight w:val="none"/>
          <w:lang w:val="en-US" w:eastAsia="zh-CN"/>
        </w:rPr>
        <w:t xml:space="preserve"> 0519-69807043</w:t>
      </w:r>
      <w:r>
        <w:rPr>
          <w:rFonts w:hint="eastAsia" w:ascii="仿宋" w:hAnsi="仿宋" w:eastAsia="仿宋"/>
          <w:color w:val="000000"/>
          <w:sz w:val="32"/>
          <w:szCs w:val="32"/>
          <w:highlight w:val="none"/>
        </w:rPr>
      </w:r>
      <w:r/>
    </w:p>
    <w:p>
      <w:pPr>
        <w:pStyle w:val="1074"/>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4"/>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4"/>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7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4"/>
        <w:ind w:firstLine="640"/>
        <w:jc w:val="center"/>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4"/>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353873938"/>
      <w:r/>
      <w:bookmarkStart w:id="37" w:name="_Toc226965856"/>
      <w:r/>
      <w:bookmarkStart w:id="38" w:name="_Toc127161488"/>
      <w:r/>
      <w:bookmarkStart w:id="39" w:name="_Toc127151777"/>
      <w:r/>
      <w:bookmarkStart w:id="40" w:name="_Toc99301420"/>
      <w:r/>
      <w:bookmarkStart w:id="41" w:name="_Toc195842950"/>
      <w:r/>
      <w:bookmarkStart w:id="42" w:name="_Toc512937850"/>
      <w:r/>
      <w:bookmarkStart w:id="43" w:name="_Toc353825548"/>
      <w:r/>
      <w:bookmarkStart w:id="44" w:name="_Toc305158854"/>
      <w:r/>
      <w:bookmarkStart w:id="45" w:name="_Toc305158928"/>
      <w:r/>
      <w:bookmarkStart w:id="46" w:name="_Toc150774783"/>
      <w:r/>
      <w:bookmarkStart w:id="47" w:name="_Toc265228423"/>
      <w:r/>
      <w:bookmarkStart w:id="48" w:name="_Toc264969275"/>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6"/>
        <w:spacing w:before="0" w:line="360" w:lineRule="auto"/>
        <w:tabs>
          <w:tab w:val="center" w:pos="4592" w:leader="none"/>
          <w:tab w:val="left" w:pos="7860" w:leader="none"/>
        </w:tabs>
        <w:rPr>
          <w:rFonts w:ascii="宋体" w:hAnsi="宋体" w:eastAsia="宋体"/>
          <w:color w:val="000000"/>
          <w:sz w:val="28"/>
          <w:highlight w:val="none"/>
        </w:rPr>
      </w:pPr>
      <w:r/>
      <w:bookmarkStart w:id="49" w:name="_Toc226337215"/>
      <w:r/>
      <w:bookmarkStart w:id="50" w:name="_Toc150774724"/>
      <w:r/>
      <w:bookmarkStart w:id="51" w:name="_Toc164351613"/>
      <w:r/>
      <w:bookmarkStart w:id="52" w:name="_Toc164608633"/>
      <w:r/>
      <w:bookmarkStart w:id="53" w:name="_Toc127151720"/>
      <w:r/>
      <w:bookmarkStart w:id="54" w:name="_Toc150774619"/>
      <w:r/>
      <w:bookmarkStart w:id="55" w:name="_Toc150509270"/>
      <w:r/>
      <w:bookmarkStart w:id="56" w:name="_Toc150480757"/>
      <w:r/>
      <w:bookmarkStart w:id="57" w:name="_Toc127151519"/>
      <w:r/>
      <w:bookmarkStart w:id="58" w:name="_Toc151193907"/>
      <w:r/>
      <w:bookmarkStart w:id="59" w:name="_Toc151193761"/>
      <w:r/>
      <w:bookmarkStart w:id="60" w:name="_Toc151193617"/>
      <w:r/>
      <w:bookmarkStart w:id="61" w:name="_Toc164229214"/>
      <w:r/>
      <w:bookmarkStart w:id="62" w:name="_Toc151190146"/>
      <w:r/>
      <w:bookmarkStart w:id="63" w:name="_Toc226965709"/>
      <w:r/>
      <w:bookmarkStart w:id="64" w:name="_Toc149720812"/>
      <w:r/>
      <w:bookmarkStart w:id="65" w:name="_Toc151193689"/>
      <w:r/>
      <w:bookmarkStart w:id="66" w:name="_Toc164608788"/>
      <w:r/>
      <w:bookmarkStart w:id="67" w:name="_Toc164229360"/>
      <w:r/>
      <w:bookmarkStart w:id="68" w:name="_Toc520356144"/>
      <w:r/>
      <w:bookmarkStart w:id="69" w:name="_Toc226965792"/>
      <w:r/>
      <w:bookmarkStart w:id="70" w:name="_Toc195842884"/>
      <w:r/>
      <w:bookmarkStart w:id="71" w:name="_Toc226309763"/>
      <w:r/>
      <w:bookmarkStart w:id="72" w:name="_Toc151193833"/>
      <w:r/>
      <w:bookmarkStart w:id="73" w:name="_Toc127161433"/>
      <w:r/>
      <w:bookmarkStart w:id="74" w:name="_Toc142311021"/>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4"/>
        <w:jc w:val="center"/>
        <w:rPr>
          <w:rFonts w:ascii="宋体" w:hAnsi="宋体"/>
          <w:b/>
          <w:color w:val="000000"/>
          <w:sz w:val="28"/>
          <w:szCs w:val="28"/>
          <w:highlight w:val="none"/>
        </w:rPr>
      </w:pPr>
      <w:r>
        <w:rPr>
          <w:rFonts w:ascii="宋体" w:hAnsi="宋体"/>
          <w:b/>
          <w:color w:val="000000"/>
          <w:sz w:val="28"/>
          <w:szCs w:val="28"/>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3"/>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3"/>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4"/>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4"/>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3"/>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本项目采购标的对应的中小企业划分标准所属行业：其他未列明行业。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4"/>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4"/>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w:t>
            </w:r>
            <w:r>
              <w:rPr>
                <w:rFonts w:hint="eastAsia"/>
                <w:color w:val="000000"/>
                <w:sz w:val="24"/>
                <w:highlight w:val="none"/>
              </w:rPr>
              <w:t xml:space="preserve">适用 </w:t>
            </w:r>
            <w:r>
              <w:rPr>
                <w:rFonts w:hint="eastAsia" w:ascii="宋体" w:hAnsi="宋体" w:cs="宋体"/>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076"/>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07</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30</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4"/>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因采购人预算金额包含代理费，本项目向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numPr>
                <w:ilvl w:val="0"/>
                <w:numId w:val="8"/>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p>
            <w:pPr>
              <w:pStyle w:val="1074"/>
              <w:ind w:firstLine="480"/>
              <w:jc w:val="lef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中标人</w:t>
            </w:r>
            <w:r>
              <w:rPr>
                <w:rFonts w:hint="eastAsia" w:ascii="宋体" w:hAnsi="宋体" w:cs="宋体"/>
                <w:color w:val="000000"/>
                <w:sz w:val="24"/>
                <w:highlight w:val="none"/>
              </w:rPr>
              <w:t xml:space="preserve">须按其</w:t>
            </w:r>
            <w:r>
              <w:rPr>
                <w:rFonts w:hint="eastAsia" w:ascii="宋体" w:hAnsi="宋体" w:cs="宋体"/>
                <w:color w:val="000000"/>
                <w:sz w:val="24"/>
                <w:highlight w:val="none"/>
                <w:lang w:val="en-US" w:eastAsia="zh-CN"/>
              </w:rPr>
              <w:t xml:space="preserve">中标</w:t>
            </w:r>
            <w:r>
              <w:rPr>
                <w:rFonts w:hint="eastAsia" w:ascii="宋体" w:hAnsi="宋体" w:cs="宋体"/>
                <w:color w:val="000000"/>
                <w:sz w:val="24"/>
                <w:highlight w:val="none"/>
              </w:rPr>
              <w:t xml:space="preserve">金额的0.</w:t>
            </w:r>
            <w:r>
              <w:rPr>
                <w:rFonts w:ascii="宋体" w:hAnsi="宋体" w:cs="宋体"/>
                <w:color w:val="000000"/>
                <w:sz w:val="24"/>
                <w:highlight w:val="none"/>
              </w:rPr>
              <w:t xml:space="preserve">9</w:t>
            </w:r>
            <w:r>
              <w:rPr>
                <w:rFonts w:hint="eastAsia" w:ascii="宋体" w:hAnsi="宋体" w:cs="宋体"/>
                <w:color w:val="000000"/>
                <w:sz w:val="24"/>
                <w:highlight w:val="none"/>
              </w:rPr>
              <w:t xml:space="preserve">%计算并支付代理费。代理费按上述计算方法不足人民币3000元的，按人民币3000元收取。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4"/>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4"/>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4"/>
        <w:jc w:val="center"/>
        <w:spacing w:before="240" w:after="240"/>
        <w:rPr>
          <w:rFonts w:hint="eastAsia" w:ascii="宋体" w:hAnsi="宋体" w:cs="宋体"/>
          <w:b/>
          <w:color w:val="000000"/>
          <w:sz w:val="28"/>
          <w:szCs w:val="28"/>
          <w:highlight w:val="none"/>
        </w:rPr>
      </w:pPr>
      <w:r/>
      <w:bookmarkStart w:id="75" w:name="_Toc195842882"/>
      <w:r/>
      <w:bookmarkStart w:id="76" w:name="_Toc226337213"/>
      <w:r/>
      <w:bookmarkStart w:id="77" w:name="_Toc353873662"/>
      <w:r/>
      <w:bookmarkStart w:id="78" w:name="_Toc264969207"/>
      <w:r/>
      <w:bookmarkStart w:id="79" w:name="_Toc353873932"/>
      <w:r/>
      <w:bookmarkStart w:id="80" w:name="_Toc142311019"/>
      <w:r/>
      <w:bookmarkStart w:id="81" w:name="_Toc305158859"/>
      <w:r/>
      <w:bookmarkStart w:id="82" w:name="_Toc305158785"/>
      <w:r/>
      <w:bookmarkStart w:id="83" w:name="_Toc150774722"/>
      <w:r/>
      <w:bookmarkStart w:id="84" w:name="_Toc226965790"/>
      <w:r/>
      <w:bookmarkStart w:id="85" w:name="_Toc150480755"/>
      <w:r/>
      <w:bookmarkStart w:id="86" w:name="_Toc127151517"/>
      <w:r/>
      <w:bookmarkStart w:id="87" w:name="_Toc265228355"/>
      <w:r/>
      <w:bookmarkStart w:id="88" w:name="_Toc353825542"/>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6"/>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226965708"/>
      <w:r/>
      <w:bookmarkStart w:id="92" w:name="_Toc151193906"/>
      <w:r/>
      <w:bookmarkStart w:id="93" w:name="_Toc151190145"/>
      <w:r/>
      <w:bookmarkStart w:id="94" w:name="_Toc226309762"/>
      <w:r/>
      <w:bookmarkStart w:id="95" w:name="_Toc142311020"/>
      <w:r/>
      <w:bookmarkStart w:id="96" w:name="_Toc264969208"/>
      <w:r/>
      <w:bookmarkStart w:id="97" w:name="_Toc150480756"/>
      <w:r/>
      <w:bookmarkStart w:id="98" w:name="_Toc305158860"/>
      <w:r/>
      <w:bookmarkStart w:id="99" w:name="_Toc195842883"/>
      <w:r/>
      <w:bookmarkStart w:id="100" w:name="_Toc265228356"/>
      <w:r/>
      <w:bookmarkStart w:id="101" w:name="_Toc226965791"/>
      <w:r/>
      <w:bookmarkStart w:id="102" w:name="_Toc305158786"/>
      <w:r/>
      <w:bookmarkStart w:id="103" w:name="_Toc151193760"/>
      <w:r/>
      <w:bookmarkStart w:id="104" w:name="_Toc150774723"/>
      <w:r/>
      <w:bookmarkStart w:id="105" w:name="_Toc226337214"/>
      <w:r/>
      <w:bookmarkStart w:id="106" w:name="_Toc150774618"/>
      <w:r/>
      <w:bookmarkStart w:id="107" w:name="_Toc151193832"/>
      <w:r/>
      <w:bookmarkStart w:id="108" w:name="_Toc151193688"/>
      <w:r/>
      <w:bookmarkStart w:id="109" w:name="_Toc151193616"/>
      <w:r/>
      <w:bookmarkStart w:id="110" w:name="_Toc150509269"/>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264969209"/>
      <w:r/>
      <w:bookmarkStart w:id="112" w:name="_Toc305158861"/>
      <w:r/>
      <w:bookmarkStart w:id="113" w:name="_Toc265228357"/>
      <w:r/>
      <w:bookmarkStart w:id="114" w:name="_Toc305158787"/>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305158788"/>
      <w:r/>
      <w:bookmarkStart w:id="116" w:name="_Toc150774725"/>
      <w:r/>
      <w:bookmarkStart w:id="117" w:name="_Toc164229361"/>
      <w:r/>
      <w:bookmarkStart w:id="118" w:name="_Toc164608634"/>
      <w:r/>
      <w:bookmarkStart w:id="119" w:name="_Toc164608789"/>
      <w:r/>
      <w:bookmarkStart w:id="120" w:name="_Toc151193690"/>
      <w:r/>
      <w:bookmarkStart w:id="121" w:name="_Toc226965710"/>
      <w:r/>
      <w:bookmarkStart w:id="122" w:name="_Toc142311022"/>
      <w:r/>
      <w:bookmarkStart w:id="123" w:name="_Toc164229215"/>
      <w:r/>
      <w:bookmarkStart w:id="124" w:name="_Toc265228358"/>
      <w:r/>
      <w:bookmarkStart w:id="125" w:name="_Toc305158862"/>
      <w:r/>
      <w:bookmarkStart w:id="126" w:name="_Toc149720813"/>
      <w:r/>
      <w:bookmarkStart w:id="127" w:name="_Toc150509271"/>
      <w:r/>
      <w:bookmarkStart w:id="128" w:name="_Toc127151520"/>
      <w:r/>
      <w:bookmarkStart w:id="129" w:name="_Toc151190147"/>
      <w:r/>
      <w:bookmarkStart w:id="130" w:name="_Toc226309764"/>
      <w:r/>
      <w:bookmarkStart w:id="131" w:name="_Toc151193618"/>
      <w:r/>
      <w:bookmarkStart w:id="132" w:name="_Toc226337216"/>
      <w:r/>
      <w:bookmarkStart w:id="133" w:name="_Toc127161434"/>
      <w:r/>
      <w:bookmarkStart w:id="134" w:name="_Toc264969210"/>
      <w:r/>
      <w:bookmarkStart w:id="135" w:name="_Toc151193834"/>
      <w:r/>
      <w:bookmarkStart w:id="136" w:name="_Toc164351614"/>
      <w:r/>
      <w:bookmarkStart w:id="137" w:name="_Toc151193762"/>
      <w:r/>
      <w:bookmarkStart w:id="138" w:name="_Toc150774620"/>
      <w:r/>
      <w:bookmarkStart w:id="139" w:name="_Toc150480758"/>
      <w:r/>
      <w:bookmarkStart w:id="140" w:name="_Toc127151721"/>
      <w:r/>
      <w:bookmarkStart w:id="141" w:name="_Toc226965793"/>
      <w:r/>
      <w:bookmarkStart w:id="142" w:name="_Toc151193908"/>
      <w:r/>
      <w:bookmarkStart w:id="143" w:name="_Toc195842885"/>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42311024"/>
      <w:r/>
      <w:bookmarkStart w:id="145" w:name="_Toc151190149"/>
      <w:r/>
      <w:bookmarkStart w:id="146" w:name="_Toc265228360"/>
      <w:r/>
      <w:bookmarkStart w:id="147" w:name="_Toc150774622"/>
      <w:r/>
      <w:bookmarkStart w:id="148" w:name="_Toc151193836"/>
      <w:r/>
      <w:bookmarkStart w:id="149" w:name="_Toc226965795"/>
      <w:r/>
      <w:bookmarkStart w:id="150" w:name="_Toc264969212"/>
      <w:r/>
      <w:bookmarkStart w:id="151" w:name="_Toc305158790"/>
      <w:r/>
      <w:bookmarkStart w:id="152" w:name="_Toc151193764"/>
      <w:r/>
      <w:bookmarkStart w:id="153" w:name="_Toc151193620"/>
      <w:r/>
      <w:bookmarkStart w:id="154" w:name="_Toc226309766"/>
      <w:r/>
      <w:bookmarkStart w:id="155" w:name="_Toc150509273"/>
      <w:r/>
      <w:bookmarkStart w:id="156" w:name="_Toc151193910"/>
      <w:r/>
      <w:bookmarkStart w:id="157" w:name="_Toc520356146"/>
      <w:r/>
      <w:bookmarkStart w:id="158" w:name="_Toc226337218"/>
      <w:r/>
      <w:bookmarkStart w:id="159" w:name="_Toc150480760"/>
      <w:r/>
      <w:bookmarkStart w:id="160" w:name="_Toc151193692"/>
      <w:r/>
      <w:bookmarkStart w:id="161" w:name="_Toc305158864"/>
      <w:r/>
      <w:bookmarkStart w:id="162" w:name="_Toc127151522"/>
      <w:r/>
      <w:bookmarkStart w:id="163" w:name="_Toc150774727"/>
      <w:r/>
      <w:bookmarkStart w:id="164" w:name="_Toc195842887"/>
      <w:r/>
      <w:bookmarkStart w:id="165" w:name="_Toc226965712"/>
      <w:r>
        <w:rPr>
          <w:rFonts w:hint="eastAsia" w:ascii="宋体" w:hAnsi="宋体" w:cs="宋体"/>
          <w:color w:val="000000"/>
          <w:sz w:val="28"/>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4"/>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8"/>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4"/>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4"/>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4"/>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6"/>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27161437"/>
      <w:r/>
      <w:bookmarkStart w:id="168" w:name="_Toc150774623"/>
      <w:r/>
      <w:bookmarkStart w:id="169" w:name="_Toc226309767"/>
      <w:r/>
      <w:bookmarkStart w:id="170" w:name="_Toc149720816"/>
      <w:r/>
      <w:bookmarkStart w:id="171" w:name="_Toc164608792"/>
      <w:r/>
      <w:bookmarkStart w:id="172" w:name="_Toc195842888"/>
      <w:r/>
      <w:bookmarkStart w:id="173" w:name="_Toc151193765"/>
      <w:r/>
      <w:bookmarkStart w:id="174" w:name="_Toc164608637"/>
      <w:r/>
      <w:bookmarkStart w:id="175" w:name="_Toc264969213"/>
      <w:r/>
      <w:bookmarkStart w:id="176" w:name="_Toc127151724"/>
      <w:r/>
      <w:bookmarkStart w:id="177" w:name="_Toc151190150"/>
      <w:r/>
      <w:bookmarkStart w:id="178" w:name="_Toc151193911"/>
      <w:r/>
      <w:bookmarkStart w:id="179" w:name="_Toc226965713"/>
      <w:r/>
      <w:bookmarkStart w:id="180" w:name="_Toc305158865"/>
      <w:r/>
      <w:bookmarkStart w:id="181" w:name="_Toc305158791"/>
      <w:r/>
      <w:bookmarkStart w:id="182" w:name="_Toc226337219"/>
      <w:r/>
      <w:bookmarkStart w:id="183" w:name="_Toc127151523"/>
      <w:r/>
      <w:bookmarkStart w:id="184" w:name="_Toc265228361"/>
      <w:r/>
      <w:bookmarkStart w:id="185" w:name="_Toc151193837"/>
      <w:r/>
      <w:bookmarkStart w:id="186" w:name="_Toc164351617"/>
      <w:r/>
      <w:bookmarkStart w:id="187" w:name="_Toc520356147"/>
      <w:r/>
      <w:bookmarkStart w:id="188" w:name="_Toc151193621"/>
      <w:r/>
      <w:bookmarkStart w:id="189" w:name="_Toc151193693"/>
      <w:r/>
      <w:bookmarkStart w:id="190" w:name="_Toc164229218"/>
      <w:r/>
      <w:bookmarkStart w:id="191" w:name="_Toc226965796"/>
      <w:r/>
      <w:bookmarkStart w:id="192" w:name="_Toc150774728"/>
      <w:r/>
      <w:bookmarkStart w:id="193" w:name="_Toc164229364"/>
      <w:r/>
      <w:bookmarkStart w:id="194" w:name="_Toc150509274"/>
      <w:r/>
      <w:bookmarkStart w:id="195" w:name="_Toc142311025"/>
      <w:r/>
      <w:bookmarkStart w:id="196" w:name="_Toc150480761"/>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197" w:name="_Toc305158868"/>
      <w:r/>
      <w:bookmarkStart w:id="198" w:name="_Toc226965716"/>
      <w:r/>
      <w:bookmarkStart w:id="199" w:name="_Toc151193840"/>
      <w:r/>
      <w:bookmarkStart w:id="200" w:name="_Toc151193696"/>
      <w:r/>
      <w:bookmarkStart w:id="201" w:name="_Toc195842891"/>
      <w:r/>
      <w:bookmarkStart w:id="202" w:name="_Toc226309770"/>
      <w:r/>
      <w:bookmarkStart w:id="203" w:name="_Toc151193624"/>
      <w:r/>
      <w:bookmarkStart w:id="204" w:name="_Toc265228364"/>
      <w:r/>
      <w:bookmarkStart w:id="205" w:name="_Toc142311028"/>
      <w:r/>
      <w:bookmarkStart w:id="206" w:name="_Toc305158794"/>
      <w:r/>
      <w:bookmarkStart w:id="207" w:name="_Toc150509277"/>
      <w:r/>
      <w:bookmarkStart w:id="208" w:name="_Toc226965799"/>
      <w:r/>
      <w:bookmarkStart w:id="209" w:name="_Toc127151526"/>
      <w:r/>
      <w:bookmarkStart w:id="210" w:name="_Toc516367020"/>
      <w:r/>
      <w:bookmarkStart w:id="211" w:name="_Toc150480764"/>
      <w:r/>
      <w:bookmarkStart w:id="212" w:name="_Toc151193768"/>
      <w:r/>
      <w:bookmarkStart w:id="213" w:name="_Toc150774731"/>
      <w:r/>
      <w:bookmarkStart w:id="214" w:name="_Toc150774626"/>
      <w:r/>
      <w:bookmarkStart w:id="215" w:name="_Toc151190153"/>
      <w:r/>
      <w:bookmarkStart w:id="216" w:name="_Toc520356150"/>
      <w:r/>
      <w:bookmarkStart w:id="217" w:name="_Toc264969216"/>
      <w:r/>
      <w:bookmarkStart w:id="218" w:name="_Toc151193914"/>
      <w:r/>
      <w:bookmarkStart w:id="219" w:name="_Toc226337222"/>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95842892"/>
      <w:r/>
      <w:bookmarkStart w:id="221" w:name="_Toc151193697"/>
      <w:r/>
      <w:bookmarkStart w:id="222" w:name="_Toc164608641"/>
      <w:r/>
      <w:bookmarkStart w:id="223" w:name="_Toc265228365"/>
      <w:r/>
      <w:bookmarkStart w:id="224" w:name="_Toc150774627"/>
      <w:r/>
      <w:bookmarkStart w:id="225" w:name="_Toc150774732"/>
      <w:r/>
      <w:bookmarkStart w:id="226" w:name="_Toc164608796"/>
      <w:r/>
      <w:bookmarkStart w:id="227" w:name="_Toc142311029"/>
      <w:r/>
      <w:bookmarkStart w:id="228" w:name="_Toc151193769"/>
      <w:r/>
      <w:bookmarkStart w:id="229" w:name="_Toc164229368"/>
      <w:r/>
      <w:bookmarkStart w:id="230" w:name="_Toc264969217"/>
      <w:r/>
      <w:bookmarkStart w:id="231" w:name="_Toc226337223"/>
      <w:r/>
      <w:bookmarkStart w:id="232" w:name="_Toc150509278"/>
      <w:r/>
      <w:bookmarkStart w:id="233" w:name="_Toc127161441"/>
      <w:r/>
      <w:bookmarkStart w:id="234" w:name="_Toc226965717"/>
      <w:r/>
      <w:bookmarkStart w:id="235" w:name="_Toc305158869"/>
      <w:r/>
      <w:bookmarkStart w:id="236" w:name="_Toc127151527"/>
      <w:r/>
      <w:bookmarkStart w:id="237" w:name="_Toc151193841"/>
      <w:r/>
      <w:bookmarkStart w:id="238" w:name="_Toc164351621"/>
      <w:r/>
      <w:bookmarkStart w:id="239" w:name="_Toc151193915"/>
      <w:r/>
      <w:bookmarkStart w:id="240" w:name="_Toc149720820"/>
      <w:r/>
      <w:bookmarkStart w:id="241" w:name="_Toc305158795"/>
      <w:r/>
      <w:bookmarkStart w:id="242" w:name="_Toc151193625"/>
      <w:r/>
      <w:bookmarkStart w:id="243" w:name="_Toc516367021"/>
      <w:r/>
      <w:bookmarkStart w:id="244" w:name="_Toc150480765"/>
      <w:r/>
      <w:bookmarkStart w:id="245" w:name="_Toc164229222"/>
      <w:r/>
      <w:bookmarkStart w:id="246" w:name="_Toc127151728"/>
      <w:r/>
      <w:bookmarkStart w:id="247" w:name="_Toc151190154"/>
      <w:r/>
      <w:bookmarkStart w:id="248" w:name="_Toc520356151"/>
      <w:r/>
      <w:bookmarkStart w:id="249" w:name="_Toc226309771"/>
      <w:r/>
      <w:bookmarkStart w:id="250" w:name="_Toc226965800"/>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27151528"/>
      <w:r/>
      <w:bookmarkStart w:id="252" w:name="_Toc264969218"/>
      <w:r/>
      <w:bookmarkStart w:id="253" w:name="_Toc149720821"/>
      <w:r/>
      <w:bookmarkStart w:id="254" w:name="_Toc195842893"/>
      <w:r/>
      <w:bookmarkStart w:id="255" w:name="_Toc164351622"/>
      <w:r/>
      <w:bookmarkStart w:id="256" w:name="_Toc150509279"/>
      <w:r/>
      <w:bookmarkStart w:id="257" w:name="_Toc127151729"/>
      <w:r/>
      <w:bookmarkStart w:id="258" w:name="_Ref467306676"/>
      <w:r/>
      <w:bookmarkStart w:id="259" w:name="_Toc516367022"/>
      <w:r/>
      <w:bookmarkStart w:id="260" w:name="_Ref467306195"/>
      <w:r/>
      <w:bookmarkStart w:id="261" w:name="_Toc226965801"/>
      <w:r/>
      <w:bookmarkStart w:id="262" w:name="_Toc305158796"/>
      <w:r/>
      <w:bookmarkStart w:id="263" w:name="_Toc150774628"/>
      <w:r/>
      <w:bookmarkStart w:id="264" w:name="_Toc150480766"/>
      <w:r/>
      <w:bookmarkStart w:id="265" w:name="_Toc164608642"/>
      <w:r/>
      <w:bookmarkStart w:id="266" w:name="_Toc520356152"/>
      <w:r/>
      <w:bookmarkStart w:id="267" w:name="_Toc151193626"/>
      <w:r/>
      <w:bookmarkStart w:id="268" w:name="_Toc265228366"/>
      <w:r/>
      <w:bookmarkStart w:id="269" w:name="_Toc142311030"/>
      <w:r/>
      <w:bookmarkStart w:id="270" w:name="_Toc164229369"/>
      <w:r/>
      <w:bookmarkStart w:id="271" w:name="_Toc151190155"/>
      <w:r/>
      <w:bookmarkStart w:id="272" w:name="_Toc226337224"/>
      <w:r/>
      <w:bookmarkStart w:id="273" w:name="_Toc151193770"/>
      <w:r/>
      <w:bookmarkStart w:id="274" w:name="_Toc164608797"/>
      <w:r/>
      <w:bookmarkStart w:id="275" w:name="_Toc151193842"/>
      <w:r/>
      <w:bookmarkStart w:id="276" w:name="_Toc151193698"/>
      <w:r/>
      <w:bookmarkStart w:id="277" w:name="_Toc150774733"/>
      <w:r/>
      <w:bookmarkStart w:id="278" w:name="_Toc305158870"/>
      <w:r/>
      <w:bookmarkStart w:id="279" w:name="_Toc151193916"/>
      <w:r/>
      <w:bookmarkStart w:id="280" w:name="_Toc226965718"/>
      <w:r/>
      <w:bookmarkStart w:id="281" w:name="_Toc127161442"/>
      <w:r/>
      <w:bookmarkStart w:id="282" w:name="_Toc226309772"/>
      <w:r/>
      <w:bookmarkStart w:id="283" w:name="_Toc164229223"/>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64229225"/>
      <w:r/>
      <w:bookmarkStart w:id="286" w:name="_Toc151193628"/>
      <w:r/>
      <w:bookmarkStart w:id="287" w:name="_Toc164229371"/>
      <w:r/>
      <w:bookmarkStart w:id="288" w:name="_Toc127151731"/>
      <w:r/>
      <w:bookmarkStart w:id="289" w:name="_Toc150480768"/>
      <w:r/>
      <w:bookmarkStart w:id="290" w:name="_Toc151193918"/>
      <w:r/>
      <w:bookmarkStart w:id="291" w:name="_Toc151193844"/>
      <w:r/>
      <w:bookmarkStart w:id="292" w:name="_Toc127151530"/>
      <w:r/>
      <w:bookmarkStart w:id="293" w:name="_Toc150509281"/>
      <w:r/>
      <w:bookmarkStart w:id="294" w:name="_Toc127161444"/>
      <w:r/>
      <w:bookmarkStart w:id="295" w:name="_Toc520356155"/>
      <w:r/>
      <w:bookmarkStart w:id="296" w:name="_Toc149720823"/>
      <w:r/>
      <w:bookmarkStart w:id="297" w:name="_Toc150774630"/>
      <w:r/>
      <w:bookmarkStart w:id="298" w:name="_Toc150774735"/>
      <w:r/>
      <w:bookmarkStart w:id="299" w:name="_Toc164608799"/>
      <w:r/>
      <w:bookmarkStart w:id="300" w:name="_Toc195842895"/>
      <w:r/>
      <w:bookmarkStart w:id="301" w:name="_Toc151193772"/>
      <w:r/>
      <w:bookmarkStart w:id="302" w:name="_Toc164351624"/>
      <w:r/>
      <w:bookmarkStart w:id="303" w:name="_Toc142311032"/>
      <w:r/>
      <w:bookmarkStart w:id="304" w:name="_Toc164608644"/>
      <w:r/>
      <w:bookmarkStart w:id="305" w:name="_Toc151193700"/>
      <w:r/>
      <w:bookmarkStart w:id="306" w:name="_Toc151190157"/>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64608800"/>
      <w:r/>
      <w:bookmarkStart w:id="308" w:name="_Toc226965721"/>
      <w:r/>
      <w:bookmarkStart w:id="309" w:name="_Toc195842896"/>
      <w:r/>
      <w:bookmarkStart w:id="310" w:name="_Toc127151531"/>
      <w:r/>
      <w:bookmarkStart w:id="311" w:name="_Toc226337227"/>
      <w:r/>
      <w:bookmarkStart w:id="312" w:name="_Toc149720824"/>
      <w:r/>
      <w:bookmarkStart w:id="313" w:name="_Toc520356156"/>
      <w:r/>
      <w:bookmarkStart w:id="314" w:name="_Toc164608645"/>
      <w:r/>
      <w:bookmarkStart w:id="315" w:name="_Toc164229372"/>
      <w:r/>
      <w:bookmarkStart w:id="316" w:name="_Toc127161445"/>
      <w:r/>
      <w:bookmarkStart w:id="317" w:name="_Toc150774736"/>
      <w:r/>
      <w:bookmarkStart w:id="318" w:name="_Toc151193773"/>
      <w:r/>
      <w:bookmarkStart w:id="319" w:name="_Toc150509282"/>
      <w:r/>
      <w:bookmarkStart w:id="320" w:name="_Toc151193701"/>
      <w:r/>
      <w:bookmarkStart w:id="321" w:name="_Ref467306513"/>
      <w:r/>
      <w:bookmarkStart w:id="322" w:name="_Toc150774631"/>
      <w:r/>
      <w:bookmarkStart w:id="323" w:name="_Toc226309775"/>
      <w:r/>
      <w:bookmarkStart w:id="324" w:name="_Toc164351625"/>
      <w:r/>
      <w:bookmarkStart w:id="325" w:name="_Toc151190158"/>
      <w:r/>
      <w:bookmarkStart w:id="326" w:name="_Toc150480769"/>
      <w:r/>
      <w:bookmarkStart w:id="327" w:name="_Toc305158799"/>
      <w:r/>
      <w:bookmarkStart w:id="328" w:name="_Toc265228369"/>
      <w:r/>
      <w:bookmarkStart w:id="329" w:name="_Toc151193919"/>
      <w:r/>
      <w:bookmarkStart w:id="330" w:name="_Toc127151732"/>
      <w:r/>
      <w:bookmarkStart w:id="331" w:name="_Toc305158873"/>
      <w:r/>
      <w:bookmarkStart w:id="332" w:name="_Toc164229226"/>
      <w:r/>
      <w:bookmarkStart w:id="333" w:name="_Toc226965804"/>
      <w:r/>
      <w:bookmarkStart w:id="334" w:name="_Toc264969221"/>
      <w:r/>
      <w:bookmarkStart w:id="335" w:name="_Toc142311033"/>
      <w:r/>
      <w:bookmarkStart w:id="336" w:name="_Toc151193629"/>
      <w:r/>
      <w:bookmarkStart w:id="337" w:name="_Toc151193845"/>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4"/>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226309776"/>
      <w:r/>
      <w:bookmarkStart w:id="339" w:name="_Toc226965722"/>
      <w:r/>
      <w:bookmarkStart w:id="340" w:name="_Toc150509283"/>
      <w:r/>
      <w:bookmarkStart w:id="341" w:name="_Toc305158800"/>
      <w:r/>
      <w:bookmarkStart w:id="342" w:name="_Toc226337228"/>
      <w:r/>
      <w:bookmarkStart w:id="343" w:name="_Toc142311034"/>
      <w:r/>
      <w:bookmarkStart w:id="344" w:name="_Toc164229373"/>
      <w:r/>
      <w:bookmarkStart w:id="345" w:name="_Toc127161446"/>
      <w:r/>
      <w:bookmarkStart w:id="346" w:name="_Toc127151733"/>
      <w:r/>
      <w:bookmarkStart w:id="347" w:name="_Toc195842897"/>
      <w:r/>
      <w:bookmarkStart w:id="348" w:name="_Toc151193920"/>
      <w:r/>
      <w:bookmarkStart w:id="349" w:name="_Toc164351626"/>
      <w:r/>
      <w:bookmarkStart w:id="350" w:name="_Toc150774632"/>
      <w:r/>
      <w:bookmarkStart w:id="351" w:name="_Toc151193774"/>
      <w:r/>
      <w:bookmarkStart w:id="352" w:name="_Toc127151532"/>
      <w:r/>
      <w:bookmarkStart w:id="353" w:name="_Toc265228370"/>
      <w:r/>
      <w:bookmarkStart w:id="354" w:name="_Toc164608801"/>
      <w:r/>
      <w:bookmarkStart w:id="355" w:name="_Toc264969222"/>
      <w:r/>
      <w:bookmarkStart w:id="356" w:name="_Toc305158874"/>
      <w:r/>
      <w:bookmarkStart w:id="357" w:name="_Toc520356157"/>
      <w:r/>
      <w:bookmarkStart w:id="358" w:name="_Toc164229227"/>
      <w:r/>
      <w:bookmarkStart w:id="359" w:name="_Toc226965805"/>
      <w:r/>
      <w:bookmarkStart w:id="360" w:name="_Toc150480770"/>
      <w:r/>
      <w:bookmarkStart w:id="361" w:name="_Toc151193702"/>
      <w:r/>
      <w:bookmarkStart w:id="362" w:name="_Toc164608646"/>
      <w:r/>
      <w:bookmarkStart w:id="363" w:name="_Toc149720825"/>
      <w:r/>
      <w:bookmarkStart w:id="364" w:name="_Toc151193630"/>
      <w:r/>
      <w:bookmarkStart w:id="365" w:name="_Toc150774737"/>
      <w:r/>
      <w:bookmarkStart w:id="366" w:name="_Toc151193846"/>
      <w:r/>
      <w:bookmarkStart w:id="367" w:name="_Toc151190159"/>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226309777"/>
      <w:r/>
      <w:bookmarkStart w:id="369" w:name="_Toc520356158"/>
      <w:r/>
      <w:bookmarkStart w:id="370" w:name="_Toc151193847"/>
      <w:r/>
      <w:bookmarkStart w:id="371" w:name="_Toc164351627"/>
      <w:r/>
      <w:bookmarkStart w:id="372" w:name="_Toc164608647"/>
      <w:r/>
      <w:bookmarkStart w:id="373" w:name="_Toc127151533"/>
      <w:r/>
      <w:bookmarkStart w:id="374" w:name="_Toc127161447"/>
      <w:r/>
      <w:bookmarkStart w:id="375" w:name="_Toc164229374"/>
      <w:r/>
      <w:bookmarkStart w:id="376" w:name="_Toc151193775"/>
      <w:r/>
      <w:bookmarkStart w:id="377" w:name="_Toc150480771"/>
      <w:r/>
      <w:bookmarkStart w:id="378" w:name="_Toc149720826"/>
      <w:r/>
      <w:bookmarkStart w:id="379" w:name="_Toc127151734"/>
      <w:r/>
      <w:bookmarkStart w:id="380" w:name="_Toc164608802"/>
      <w:r/>
      <w:bookmarkStart w:id="381" w:name="_Toc226965723"/>
      <w:r/>
      <w:bookmarkStart w:id="382" w:name="_Toc151193703"/>
      <w:r/>
      <w:bookmarkStart w:id="383" w:name="_Toc226965806"/>
      <w:r/>
      <w:bookmarkStart w:id="384" w:name="_Toc142311035"/>
      <w:r/>
      <w:bookmarkStart w:id="385" w:name="_Toc305158875"/>
      <w:r/>
      <w:bookmarkStart w:id="386" w:name="_Toc150774633"/>
      <w:r/>
      <w:bookmarkStart w:id="387" w:name="_Toc305158801"/>
      <w:r/>
      <w:bookmarkStart w:id="388" w:name="_Toc264969223"/>
      <w:r/>
      <w:bookmarkStart w:id="389" w:name="_Toc151193921"/>
      <w:r/>
      <w:bookmarkStart w:id="390" w:name="_Toc195842898"/>
      <w:r/>
      <w:bookmarkStart w:id="391" w:name="_Toc151190160"/>
      <w:r/>
      <w:bookmarkStart w:id="392" w:name="_Toc265228371"/>
      <w:r/>
      <w:bookmarkStart w:id="393" w:name="_Toc150774738"/>
      <w:r/>
      <w:bookmarkStart w:id="394" w:name="_Toc226337229"/>
      <w:r/>
      <w:bookmarkStart w:id="395" w:name="_Toc164229228"/>
      <w:r/>
      <w:bookmarkStart w:id="396" w:name="_Toc151193631"/>
      <w:r/>
      <w:bookmarkStart w:id="397" w:name="_Toc150509284"/>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226965807"/>
      <w:r/>
      <w:bookmarkStart w:id="399" w:name="_Toc226309778"/>
      <w:r/>
      <w:bookmarkStart w:id="400" w:name="_Toc142311036"/>
      <w:r/>
      <w:bookmarkStart w:id="401" w:name="_Toc151193704"/>
      <w:r/>
      <w:bookmarkStart w:id="402" w:name="_Toc150509285"/>
      <w:r/>
      <w:bookmarkStart w:id="403" w:name="_Toc150774634"/>
      <w:r/>
      <w:bookmarkStart w:id="404" w:name="_Toc264969224"/>
      <w:r/>
      <w:bookmarkStart w:id="405" w:name="_Toc150774739"/>
      <w:r/>
      <w:bookmarkStart w:id="406" w:name="_Toc305158876"/>
      <w:r/>
      <w:bookmarkStart w:id="407" w:name="_Toc520356159"/>
      <w:r/>
      <w:bookmarkStart w:id="408" w:name="_Toc151193922"/>
      <w:r/>
      <w:bookmarkStart w:id="409" w:name="_Toc150480772"/>
      <w:r/>
      <w:bookmarkStart w:id="410" w:name="_Toc226965724"/>
      <w:r/>
      <w:bookmarkStart w:id="411" w:name="_Toc127151534"/>
      <w:r/>
      <w:bookmarkStart w:id="412" w:name="_Toc151193632"/>
      <w:r/>
      <w:bookmarkStart w:id="413" w:name="_Toc226337230"/>
      <w:r/>
      <w:bookmarkStart w:id="414" w:name="_Toc265228372"/>
      <w:r/>
      <w:bookmarkStart w:id="415" w:name="_Toc305158802"/>
      <w:r/>
      <w:bookmarkStart w:id="416" w:name="_Toc151193848"/>
      <w:r/>
      <w:bookmarkStart w:id="417" w:name="_Toc195842899"/>
      <w:r/>
      <w:bookmarkStart w:id="418" w:name="_Toc151193776"/>
      <w:r/>
      <w:bookmarkStart w:id="419" w:name="_Toc151190161"/>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4"/>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6"/>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51193849"/>
      <w:r/>
      <w:bookmarkStart w:id="421" w:name="_Toc151193705"/>
      <w:r/>
      <w:bookmarkStart w:id="422" w:name="_Toc149720828"/>
      <w:r/>
      <w:bookmarkStart w:id="423" w:name="_Toc164351629"/>
      <w:r/>
      <w:bookmarkStart w:id="424" w:name="_Toc305158803"/>
      <w:r/>
      <w:bookmarkStart w:id="425" w:name="_Toc195842900"/>
      <w:r/>
      <w:bookmarkStart w:id="426" w:name="_Toc150774740"/>
      <w:r/>
      <w:bookmarkStart w:id="427" w:name="_Toc226309779"/>
      <w:r/>
      <w:bookmarkStart w:id="428" w:name="_Toc226965808"/>
      <w:r/>
      <w:bookmarkStart w:id="429" w:name="_Toc150774635"/>
      <w:r/>
      <w:bookmarkStart w:id="430" w:name="_Toc264969225"/>
      <w:r/>
      <w:bookmarkStart w:id="431" w:name="_Toc164229376"/>
      <w:r/>
      <w:bookmarkStart w:id="432" w:name="_Toc164608649"/>
      <w:r/>
      <w:bookmarkStart w:id="433" w:name="_Toc226337231"/>
      <w:r/>
      <w:bookmarkStart w:id="434" w:name="_Toc150509286"/>
      <w:r/>
      <w:bookmarkStart w:id="435" w:name="_Toc226965725"/>
      <w:r/>
      <w:bookmarkStart w:id="436" w:name="_Toc151193923"/>
      <w:r/>
      <w:bookmarkStart w:id="437" w:name="_Toc142311037"/>
      <w:r/>
      <w:bookmarkStart w:id="438" w:name="_Toc164608804"/>
      <w:r/>
      <w:bookmarkStart w:id="439" w:name="_Toc520356160"/>
      <w:r/>
      <w:bookmarkStart w:id="440" w:name="_Toc164229230"/>
      <w:r/>
      <w:bookmarkStart w:id="441" w:name="_Toc150480773"/>
      <w:r/>
      <w:bookmarkStart w:id="442" w:name="_Toc265228373"/>
      <w:r/>
      <w:bookmarkStart w:id="443" w:name="_Toc151193777"/>
      <w:r/>
      <w:bookmarkStart w:id="444" w:name="_Toc151190162"/>
      <w:r/>
      <w:bookmarkStart w:id="445" w:name="_Toc305158877"/>
      <w:r/>
      <w:bookmarkStart w:id="446" w:name="_Toc127151736"/>
      <w:r/>
      <w:bookmarkStart w:id="447" w:name="_Toc127161449"/>
      <w:r/>
      <w:bookmarkStart w:id="448" w:name="_Toc127151535"/>
      <w:r/>
      <w:bookmarkStart w:id="449" w:name="_Toc151193633"/>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520356161"/>
      <w:r/>
      <w:bookmarkStart w:id="451" w:name="_Toc265228374"/>
      <w:r/>
      <w:bookmarkStart w:id="452" w:name="_Toc305158878"/>
      <w:r/>
      <w:bookmarkStart w:id="453" w:name="_Toc226309780"/>
      <w:r/>
      <w:bookmarkStart w:id="454" w:name="_Toc127151737"/>
      <w:r/>
      <w:bookmarkStart w:id="455" w:name="_Toc164608650"/>
      <w:r/>
      <w:bookmarkStart w:id="456" w:name="_Toc127151536"/>
      <w:r/>
      <w:bookmarkStart w:id="457" w:name="_Toc149720829"/>
      <w:r/>
      <w:bookmarkStart w:id="458" w:name="_Toc150480774"/>
      <w:r/>
      <w:bookmarkStart w:id="459" w:name="_Toc127161450"/>
      <w:r/>
      <w:bookmarkStart w:id="460" w:name="_Toc151193924"/>
      <w:r/>
      <w:bookmarkStart w:id="461" w:name="_Toc142311038"/>
      <w:r/>
      <w:bookmarkStart w:id="462" w:name="_Toc150774741"/>
      <w:r/>
      <w:bookmarkStart w:id="463" w:name="_Toc164229231"/>
      <w:r/>
      <w:bookmarkStart w:id="464" w:name="_Toc150509287"/>
      <w:r/>
      <w:bookmarkStart w:id="465" w:name="_Toc226965809"/>
      <w:r/>
      <w:bookmarkStart w:id="466" w:name="_Toc226965726"/>
      <w:r/>
      <w:bookmarkStart w:id="467" w:name="_Toc151190163"/>
      <w:r/>
      <w:bookmarkStart w:id="468" w:name="_Toc150774636"/>
      <w:r/>
      <w:bookmarkStart w:id="469" w:name="_Toc226337232"/>
      <w:r/>
      <w:bookmarkStart w:id="470" w:name="_Toc151193706"/>
      <w:r/>
      <w:bookmarkStart w:id="471" w:name="_Toc151193634"/>
      <w:r/>
      <w:bookmarkStart w:id="472" w:name="_Toc164608805"/>
      <w:r/>
      <w:bookmarkStart w:id="473" w:name="_Toc264969226"/>
      <w:r/>
      <w:bookmarkStart w:id="474" w:name="_Toc164229377"/>
      <w:r/>
      <w:bookmarkStart w:id="475" w:name="_Toc305158804"/>
      <w:r/>
      <w:bookmarkStart w:id="476" w:name="_Toc151193778"/>
      <w:r/>
      <w:bookmarkStart w:id="477" w:name="_Toc195842901"/>
      <w:r/>
      <w:bookmarkStart w:id="478" w:name="_Toc151193850"/>
      <w:r/>
      <w:bookmarkStart w:id="479" w:name="_Toc164351630"/>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51193925"/>
      <w:r/>
      <w:bookmarkStart w:id="481" w:name="_Toc164229232"/>
      <w:r/>
      <w:bookmarkStart w:id="482" w:name="_Toc164351631"/>
      <w:r/>
      <w:bookmarkStart w:id="483" w:name="_Toc127161451"/>
      <w:r/>
      <w:bookmarkStart w:id="484" w:name="_Toc226337233"/>
      <w:r/>
      <w:bookmarkStart w:id="485" w:name="_Toc150774637"/>
      <w:r/>
      <w:bookmarkStart w:id="486" w:name="_Toc164229378"/>
      <w:r/>
      <w:bookmarkStart w:id="487" w:name="_Toc305158805"/>
      <w:r/>
      <w:bookmarkStart w:id="488" w:name="_Toc151193779"/>
      <w:r/>
      <w:bookmarkStart w:id="489" w:name="_Toc127151738"/>
      <w:r/>
      <w:bookmarkStart w:id="490" w:name="_Toc226965727"/>
      <w:r/>
      <w:bookmarkStart w:id="491" w:name="_Toc265228375"/>
      <w:r/>
      <w:bookmarkStart w:id="492" w:name="_Toc264969227"/>
      <w:r/>
      <w:bookmarkStart w:id="493" w:name="_Toc151193707"/>
      <w:r/>
      <w:bookmarkStart w:id="494" w:name="_Toc142311039"/>
      <w:r/>
      <w:bookmarkStart w:id="495" w:name="_Toc150509288"/>
      <w:r/>
      <w:bookmarkStart w:id="496" w:name="_Toc127151537"/>
      <w:r/>
      <w:bookmarkStart w:id="497" w:name="_Toc151190164"/>
      <w:r/>
      <w:bookmarkStart w:id="498" w:name="_Toc305158879"/>
      <w:r/>
      <w:bookmarkStart w:id="499" w:name="_Toc149720830"/>
      <w:r/>
      <w:bookmarkStart w:id="500" w:name="_Toc164608651"/>
      <w:r/>
      <w:bookmarkStart w:id="501" w:name="_Toc151193851"/>
      <w:r/>
      <w:bookmarkStart w:id="502" w:name="_Toc150480775"/>
      <w:r/>
      <w:bookmarkStart w:id="503" w:name="_Toc520356162"/>
      <w:r/>
      <w:bookmarkStart w:id="504" w:name="_Toc226965810"/>
      <w:r/>
      <w:bookmarkStart w:id="505" w:name="_Toc195842902"/>
      <w:r/>
      <w:bookmarkStart w:id="506" w:name="_Toc150774742"/>
      <w:r/>
      <w:bookmarkStart w:id="507" w:name="_Toc226309781"/>
      <w:r/>
      <w:bookmarkStart w:id="508" w:name="_Toc151193635"/>
      <w:r/>
      <w:bookmarkStart w:id="509" w:name="_Toc164608806"/>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510" w:name="_Toc142311040"/>
      <w:r/>
      <w:bookmarkStart w:id="511" w:name="_Toc226965728"/>
      <w:r/>
      <w:bookmarkStart w:id="512" w:name="_Toc150774638"/>
      <w:r/>
      <w:bookmarkStart w:id="513" w:name="_Toc151193636"/>
      <w:r/>
      <w:bookmarkStart w:id="514" w:name="_Toc226965811"/>
      <w:r/>
      <w:bookmarkStart w:id="515" w:name="_Toc305158806"/>
      <w:r/>
      <w:bookmarkStart w:id="516" w:name="_Toc305158880"/>
      <w:r/>
      <w:bookmarkStart w:id="517" w:name="_Toc127151538"/>
      <w:r/>
      <w:bookmarkStart w:id="518" w:name="_Toc150480776"/>
      <w:r/>
      <w:bookmarkStart w:id="519" w:name="_Toc265228376"/>
      <w:r/>
      <w:bookmarkStart w:id="520" w:name="_Toc151190165"/>
      <w:r/>
      <w:bookmarkStart w:id="521" w:name="_Toc195842903"/>
      <w:r/>
      <w:bookmarkStart w:id="522" w:name="_Toc226337234"/>
      <w:r/>
      <w:bookmarkStart w:id="523" w:name="_Toc264969228"/>
      <w:r/>
      <w:bookmarkStart w:id="524" w:name="_Toc151193780"/>
      <w:r/>
      <w:bookmarkStart w:id="525" w:name="_Toc150509289"/>
      <w:r/>
      <w:bookmarkStart w:id="526" w:name="_Toc151193708"/>
      <w:r/>
      <w:bookmarkStart w:id="527" w:name="_Toc520356163"/>
      <w:r/>
      <w:bookmarkStart w:id="528" w:name="_Toc150774743"/>
      <w:r/>
      <w:bookmarkStart w:id="529" w:name="_Toc226309782"/>
      <w:r/>
      <w:bookmarkStart w:id="530" w:name="_Toc151193852"/>
      <w:r/>
      <w:bookmarkStart w:id="531" w:name="_Toc151193926"/>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520356164"/>
      <w:r/>
      <w:bookmarkStart w:id="533" w:name="_Toc226337235"/>
      <w:r/>
      <w:bookmarkStart w:id="534" w:name="_Toc127161453"/>
      <w:r/>
      <w:bookmarkStart w:id="535" w:name="_Toc151193781"/>
      <w:r/>
      <w:bookmarkStart w:id="536" w:name="_Toc127151539"/>
      <w:r/>
      <w:bookmarkStart w:id="537" w:name="_Toc305158807"/>
      <w:r/>
      <w:bookmarkStart w:id="538" w:name="_Toc150774744"/>
      <w:r/>
      <w:bookmarkStart w:id="539" w:name="_Toc265228377"/>
      <w:r/>
      <w:bookmarkStart w:id="540" w:name="_Toc164608808"/>
      <w:r/>
      <w:bookmarkStart w:id="541" w:name="_Toc164229234"/>
      <w:r/>
      <w:bookmarkStart w:id="542" w:name="_Toc151193853"/>
      <w:r/>
      <w:bookmarkStart w:id="543" w:name="_Toc127151740"/>
      <w:r/>
      <w:bookmarkStart w:id="544" w:name="_Toc305158881"/>
      <w:r/>
      <w:bookmarkStart w:id="545" w:name="_Toc151193927"/>
      <w:r/>
      <w:bookmarkStart w:id="546" w:name="_Toc149720832"/>
      <w:r/>
      <w:bookmarkStart w:id="547" w:name="_Toc150774639"/>
      <w:r/>
      <w:bookmarkStart w:id="548" w:name="_Toc151190166"/>
      <w:r/>
      <w:bookmarkStart w:id="549" w:name="_Toc226965729"/>
      <w:r/>
      <w:bookmarkStart w:id="550" w:name="_Toc164351633"/>
      <w:r/>
      <w:bookmarkStart w:id="551" w:name="_Toc164608653"/>
      <w:r/>
      <w:bookmarkStart w:id="552" w:name="_Toc151193637"/>
      <w:r/>
      <w:bookmarkStart w:id="553" w:name="_Toc195842904"/>
      <w:r/>
      <w:bookmarkStart w:id="554" w:name="_Toc151193709"/>
      <w:r/>
      <w:bookmarkStart w:id="555" w:name="_Toc142311041"/>
      <w:r/>
      <w:bookmarkStart w:id="556" w:name="_Toc264969229"/>
      <w:r/>
      <w:bookmarkStart w:id="557" w:name="_Toc150509290"/>
      <w:r/>
      <w:bookmarkStart w:id="558" w:name="_Toc164229380"/>
      <w:r/>
      <w:bookmarkStart w:id="559" w:name="_Toc226965812"/>
      <w:r/>
      <w:bookmarkStart w:id="560" w:name="_Toc226309783"/>
      <w:r/>
      <w:bookmarkStart w:id="561" w:name="_Toc150480777"/>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4"/>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4"/>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264969230"/>
      <w:r/>
      <w:bookmarkStart w:id="564" w:name="_Toc164351634"/>
      <w:r/>
      <w:bookmarkStart w:id="565" w:name="_Toc150774640"/>
      <w:r/>
      <w:bookmarkStart w:id="566" w:name="_Toc127151540"/>
      <w:r/>
      <w:bookmarkStart w:id="567" w:name="_Toc305158882"/>
      <w:r/>
      <w:bookmarkStart w:id="568" w:name="_Toc226309784"/>
      <w:r/>
      <w:bookmarkStart w:id="569" w:name="_Toc226337236"/>
      <w:r/>
      <w:bookmarkStart w:id="570" w:name="_Toc151193782"/>
      <w:r/>
      <w:bookmarkStart w:id="571" w:name="_Toc150774745"/>
      <w:r/>
      <w:bookmarkStart w:id="572" w:name="_Toc127161454"/>
      <w:r/>
      <w:bookmarkStart w:id="573" w:name="_Toc265228378"/>
      <w:r/>
      <w:bookmarkStart w:id="574" w:name="_Toc226965813"/>
      <w:r/>
      <w:bookmarkStart w:id="575" w:name="_Toc127151741"/>
      <w:r/>
      <w:bookmarkStart w:id="576" w:name="_Toc150480778"/>
      <w:r/>
      <w:bookmarkStart w:id="577" w:name="_Toc151193854"/>
      <w:r/>
      <w:bookmarkStart w:id="578" w:name="_Toc149720833"/>
      <w:r/>
      <w:bookmarkStart w:id="579" w:name="_Toc150509291"/>
      <w:r/>
      <w:bookmarkStart w:id="580" w:name="_Toc305158808"/>
      <w:r/>
      <w:bookmarkStart w:id="581" w:name="_Toc164608809"/>
      <w:r/>
      <w:bookmarkStart w:id="582" w:name="_Toc195842905"/>
      <w:r/>
      <w:bookmarkStart w:id="583" w:name="_Toc142311042"/>
      <w:r/>
      <w:bookmarkStart w:id="584" w:name="_Toc164608654"/>
      <w:r/>
      <w:bookmarkStart w:id="585" w:name="_Toc226965730"/>
      <w:r/>
      <w:bookmarkStart w:id="586" w:name="_Toc151193638"/>
      <w:r/>
      <w:bookmarkStart w:id="587" w:name="_Toc151193710"/>
      <w:r/>
      <w:bookmarkStart w:id="588" w:name="_Toc151190167"/>
      <w:r/>
      <w:bookmarkStart w:id="589" w:name="_Toc151193928"/>
      <w:r/>
      <w:bookmarkStart w:id="590" w:name="_Toc164229235"/>
      <w:r/>
      <w:bookmarkStart w:id="591" w:name="_Toc164229381"/>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4"/>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594" w:name="_Toc226965818"/>
      <w:r/>
      <w:bookmarkStart w:id="595" w:name="_Toc264969235"/>
      <w:r/>
      <w:bookmarkStart w:id="596" w:name="_Toc226337241"/>
      <w:r/>
      <w:bookmarkStart w:id="597" w:name="_Toc305158887"/>
      <w:r/>
      <w:bookmarkStart w:id="598" w:name="_Toc150774645"/>
      <w:r/>
      <w:bookmarkStart w:id="599" w:name="_Toc142311047"/>
      <w:r/>
      <w:bookmarkStart w:id="600" w:name="_Toc151193715"/>
      <w:r/>
      <w:bookmarkStart w:id="601" w:name="_Toc151193787"/>
      <w:r/>
      <w:bookmarkStart w:id="602" w:name="_Toc151193859"/>
      <w:r/>
      <w:bookmarkStart w:id="603" w:name="_Toc150480783"/>
      <w:r/>
      <w:bookmarkStart w:id="604" w:name="_Toc305158813"/>
      <w:r/>
      <w:bookmarkStart w:id="605" w:name="_Toc151190172"/>
      <w:r/>
      <w:bookmarkStart w:id="606" w:name="_Toc151193643"/>
      <w:r/>
      <w:bookmarkStart w:id="607" w:name="_Toc127151545"/>
      <w:r/>
      <w:bookmarkStart w:id="608" w:name="_Toc150509296"/>
      <w:r/>
      <w:bookmarkStart w:id="609" w:name="_Toc151193933"/>
      <w:r/>
      <w:bookmarkStart w:id="610" w:name="_Toc226965735"/>
      <w:r/>
      <w:bookmarkStart w:id="611" w:name="_Toc195842910"/>
      <w:r/>
      <w:bookmarkStart w:id="612" w:name="_Toc265228383"/>
      <w:r/>
      <w:bookmarkStart w:id="613" w:name="_Toc226309789"/>
      <w:r/>
      <w:bookmarkStart w:id="614" w:name="_Toc150774750"/>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305158889"/>
      <w:r/>
      <w:bookmarkStart w:id="616" w:name="_Toc151193717"/>
      <w:r/>
      <w:bookmarkStart w:id="617" w:name="_Toc150509298"/>
      <w:r/>
      <w:bookmarkStart w:id="618" w:name="_Toc164608816"/>
      <w:r/>
      <w:bookmarkStart w:id="619" w:name="_Toc195842912"/>
      <w:r/>
      <w:bookmarkStart w:id="620" w:name="_Toc164229388"/>
      <w:r/>
      <w:bookmarkStart w:id="621" w:name="_Toc164608661"/>
      <w:r/>
      <w:bookmarkStart w:id="622" w:name="_Toc151190174"/>
      <w:r/>
      <w:bookmarkStart w:id="623" w:name="_Toc164351641"/>
      <w:r/>
      <w:bookmarkStart w:id="624" w:name="_Toc265228385"/>
      <w:r/>
      <w:bookmarkStart w:id="625" w:name="_Toc127151547"/>
      <w:r/>
      <w:bookmarkStart w:id="626" w:name="_Toc150774647"/>
      <w:r/>
      <w:bookmarkStart w:id="627" w:name="_Toc151193861"/>
      <w:r/>
      <w:bookmarkStart w:id="628" w:name="_Toc149720840"/>
      <w:r/>
      <w:bookmarkStart w:id="629" w:name="_Toc151193645"/>
      <w:r/>
      <w:bookmarkStart w:id="630" w:name="_Toc150774752"/>
      <w:r/>
      <w:bookmarkStart w:id="631" w:name="_Toc226337243"/>
      <w:r/>
      <w:bookmarkStart w:id="632" w:name="_Toc151193935"/>
      <w:r/>
      <w:bookmarkStart w:id="633" w:name="_Toc226309791"/>
      <w:r/>
      <w:bookmarkStart w:id="634" w:name="_Toc127151748"/>
      <w:r/>
      <w:bookmarkStart w:id="635" w:name="_Toc151193789"/>
      <w:r/>
      <w:bookmarkStart w:id="636" w:name="_Toc305158815"/>
      <w:r/>
      <w:bookmarkStart w:id="637" w:name="_Toc164229242"/>
      <w:r/>
      <w:bookmarkStart w:id="638" w:name="_Toc264969237"/>
      <w:r/>
      <w:bookmarkStart w:id="639" w:name="_Toc226965820"/>
      <w:r/>
      <w:bookmarkStart w:id="640" w:name="_Toc142311049"/>
      <w:r/>
      <w:bookmarkStart w:id="641" w:name="_Toc150480785"/>
      <w:r/>
      <w:bookmarkStart w:id="642" w:name="_Toc226965737"/>
      <w:r/>
      <w:bookmarkStart w:id="643" w:name="_Toc127161461"/>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95842914"/>
      <w:r/>
      <w:bookmarkStart w:id="645" w:name="_Toc226965739"/>
      <w:r/>
      <w:bookmarkStart w:id="646" w:name="_Toc150774649"/>
      <w:r/>
      <w:bookmarkStart w:id="647" w:name="_Toc164351643"/>
      <w:r/>
      <w:bookmarkStart w:id="648" w:name="_Toc127151750"/>
      <w:r/>
      <w:bookmarkStart w:id="649" w:name="_Toc151193937"/>
      <w:r/>
      <w:bookmarkStart w:id="650" w:name="_Toc305158817"/>
      <w:r/>
      <w:bookmarkStart w:id="651" w:name="_Toc264969239"/>
      <w:r/>
      <w:bookmarkStart w:id="652" w:name="_Ref467307090"/>
      <w:r/>
      <w:bookmarkStart w:id="653" w:name="_Toc520356176"/>
      <w:r/>
      <w:bookmarkStart w:id="654" w:name="_Ref467306425"/>
      <w:r/>
      <w:bookmarkStart w:id="655" w:name="_Toc226309793"/>
      <w:r/>
      <w:bookmarkStart w:id="656" w:name="_Toc150774754"/>
      <w:r/>
      <w:bookmarkStart w:id="657" w:name="_Toc151193719"/>
      <w:r/>
      <w:bookmarkStart w:id="658" w:name="_Toc127151549"/>
      <w:r/>
      <w:bookmarkStart w:id="659" w:name="_Toc151193647"/>
      <w:r/>
      <w:bookmarkStart w:id="660" w:name="_Toc150509300"/>
      <w:r/>
      <w:bookmarkStart w:id="661" w:name="_Toc305158891"/>
      <w:r/>
      <w:bookmarkStart w:id="662" w:name="_Toc142311051"/>
      <w:r/>
      <w:bookmarkStart w:id="663" w:name="_Toc127161463"/>
      <w:r/>
      <w:bookmarkStart w:id="664" w:name="_Toc226965822"/>
      <w:r/>
      <w:bookmarkStart w:id="665" w:name="_Toc164608818"/>
      <w:r/>
      <w:bookmarkStart w:id="666" w:name="_Toc150480787"/>
      <w:r/>
      <w:bookmarkStart w:id="667" w:name="_Toc149720842"/>
      <w:r/>
      <w:bookmarkStart w:id="668" w:name="_Toc151193791"/>
      <w:r/>
      <w:bookmarkStart w:id="669" w:name="_Toc164608663"/>
      <w:r/>
      <w:bookmarkStart w:id="670" w:name="_Toc265228387"/>
      <w:r/>
      <w:bookmarkStart w:id="671" w:name="_Toc164229390"/>
      <w:r/>
      <w:bookmarkStart w:id="672" w:name="_Toc151190176"/>
      <w:r/>
      <w:bookmarkStart w:id="673" w:name="_Toc151193863"/>
      <w:r/>
      <w:bookmarkStart w:id="674" w:name="_Toc164229244"/>
      <w:r/>
      <w:bookmarkStart w:id="675" w:name="_Toc226337245"/>
      <w:r>
        <w:rPr>
          <w:rFonts w:hint="eastAsia" w:ascii="宋体" w:hAnsi="宋体" w:cs="宋体"/>
          <w:b/>
          <w:color w:val="000000"/>
          <w:sz w:val="24"/>
          <w:highlight w:val="none"/>
        </w:rPr>
        <w:t xml:space="preserve">中标公告与中标通知书</w:t>
      </w:r>
      <w:bookmarkEnd w:id="650"/>
      <w:r/>
      <w:bookmarkEnd w:id="661"/>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4"/>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64351644"/>
      <w:r/>
      <w:bookmarkStart w:id="677" w:name="_Toc305158818"/>
      <w:r/>
      <w:bookmarkStart w:id="678" w:name="_Toc164229245"/>
      <w:r/>
      <w:bookmarkStart w:id="679" w:name="_Toc305158892"/>
      <w:r/>
      <w:bookmarkStart w:id="680" w:name="_Toc150509301"/>
      <w:r/>
      <w:bookmarkStart w:id="681" w:name="_Toc226309794"/>
      <w:r/>
      <w:bookmarkStart w:id="682" w:name="_Toc164229391"/>
      <w:r/>
      <w:bookmarkStart w:id="683" w:name="_Toc150774650"/>
      <w:r/>
      <w:bookmarkStart w:id="684" w:name="_Toc151193720"/>
      <w:r/>
      <w:bookmarkStart w:id="685" w:name="_Toc226965740"/>
      <w:r/>
      <w:bookmarkStart w:id="686" w:name="_Toc226965823"/>
      <w:r/>
      <w:bookmarkStart w:id="687" w:name="_Toc164608664"/>
      <w:r/>
      <w:bookmarkStart w:id="688" w:name="_Toc265228388"/>
      <w:r/>
      <w:bookmarkStart w:id="689" w:name="_Toc151193648"/>
      <w:r/>
      <w:bookmarkStart w:id="690" w:name="_Toc127161464"/>
      <w:r/>
      <w:bookmarkStart w:id="691" w:name="_Ref467307062"/>
      <w:r/>
      <w:bookmarkStart w:id="692" w:name="_Toc151193864"/>
      <w:r/>
      <w:bookmarkStart w:id="693" w:name="_Ref467306377"/>
      <w:r/>
      <w:bookmarkStart w:id="694" w:name="_Toc195842915"/>
      <w:r/>
      <w:bookmarkStart w:id="695" w:name="_Toc150774755"/>
      <w:r/>
      <w:bookmarkStart w:id="696" w:name="_Toc151193792"/>
      <w:r/>
      <w:bookmarkStart w:id="697" w:name="_Toc164608819"/>
      <w:r/>
      <w:bookmarkStart w:id="698" w:name="_Toc264969240"/>
      <w:r/>
      <w:bookmarkStart w:id="699" w:name="_Toc127151751"/>
      <w:r/>
      <w:bookmarkStart w:id="700" w:name="_Toc150480788"/>
      <w:r/>
      <w:bookmarkStart w:id="701" w:name="_Toc151190177"/>
      <w:r/>
      <w:bookmarkStart w:id="702" w:name="_Toc142311052"/>
      <w:r/>
      <w:bookmarkStart w:id="703" w:name="_Ref467306978"/>
      <w:r/>
      <w:bookmarkStart w:id="704" w:name="_Toc520356175"/>
      <w:r/>
      <w:bookmarkStart w:id="705" w:name="_Ref467307204"/>
      <w:r/>
      <w:bookmarkStart w:id="706" w:name="_Toc151193938"/>
      <w:r/>
      <w:bookmarkStart w:id="707" w:name="_Toc226337246"/>
      <w:r/>
      <w:bookmarkStart w:id="708" w:name="_Toc127151550"/>
      <w:r/>
      <w:bookmarkStart w:id="709" w:name="_Toc149720843"/>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4"/>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9"/>
          <w:rFonts w:hint="eastAsia" w:ascii="宋体" w:hAnsi="宋体" w:cs="宋体"/>
          <w:color w:val="000000"/>
          <w:highlight w:val="none"/>
        </w:rPr>
        <w:t xml:space="preserve">http://gk</w:t>
      </w:r>
      <w:bookmarkStart w:id="710" w:name="_Hlt100654014"/>
      <w:r>
        <w:rPr>
          <w:rStyle w:val="1149"/>
          <w:rFonts w:hint="eastAsia" w:ascii="宋体" w:hAnsi="宋体" w:cs="宋体"/>
          <w:color w:val="000000"/>
          <w:highlight w:val="none"/>
        </w:rPr>
        <w:t xml:space="preserve">s</w:t>
      </w:r>
      <w:bookmarkEnd w:id="710"/>
      <w:r>
        <w:rPr>
          <w:rStyle w:val="1149"/>
          <w:rFonts w:hint="eastAsia" w:ascii="宋体" w:hAnsi="宋体" w:cs="宋体"/>
          <w:color w:val="000000"/>
          <w:highlight w:val="none"/>
        </w:rPr>
        <w:t xml:space="preserve">.m</w:t>
      </w:r>
      <w:bookmarkStart w:id="711" w:name="_Hlt100653993"/>
      <w:r/>
      <w:bookmarkStart w:id="712" w:name="_Hlt100653994"/>
      <w:r>
        <w:rPr>
          <w:rStyle w:val="1149"/>
          <w:rFonts w:hint="eastAsia" w:ascii="宋体" w:hAnsi="宋体" w:cs="宋体"/>
          <w:color w:val="000000"/>
          <w:highlight w:val="none"/>
        </w:rPr>
        <w:t xml:space="preserve">o</w:t>
      </w:r>
      <w:bookmarkEnd w:id="711"/>
      <w:r/>
      <w:bookmarkEnd w:id="712"/>
      <w:r>
        <w:rPr>
          <w:rStyle w:val="1149"/>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4"/>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jc w:val="center"/>
        <w:spacing w:line="360" w:lineRule="auto"/>
        <w:rPr>
          <w:rFonts w:hint="eastAsia" w:ascii="宋体" w:hAnsi="宋体" w:cs="宋体"/>
          <w:b/>
          <w:color w:val="000000"/>
          <w:sz w:val="36"/>
          <w:szCs w:val="36"/>
          <w:highlight w:val="none"/>
        </w:rPr>
        <w:outlineLvl w:val="0"/>
      </w:pPr>
      <w:r/>
      <w:bookmarkStart w:id="713" w:name="_Toc305158822"/>
      <w:r/>
      <w:bookmarkStart w:id="714" w:name="_Toc265228392"/>
      <w:r/>
      <w:bookmarkStart w:id="715" w:name="_Toc226337250"/>
      <w:r/>
      <w:bookmarkStart w:id="716" w:name="_Toc305158896"/>
      <w:r/>
      <w:bookmarkStart w:id="717" w:name="_Toc150774759"/>
      <w:r/>
      <w:bookmarkStart w:id="718" w:name="_Toc353873664"/>
      <w:r/>
      <w:bookmarkStart w:id="719" w:name="_Toc142311056"/>
      <w:r/>
      <w:bookmarkStart w:id="720" w:name="_Toc264969244"/>
      <w:r/>
      <w:bookmarkStart w:id="721" w:name="_Toc226965827"/>
      <w:r/>
      <w:bookmarkStart w:id="722" w:name="_Toc127151554"/>
      <w:r/>
      <w:bookmarkStart w:id="723" w:name="_Toc353825544"/>
      <w:r/>
      <w:bookmarkStart w:id="724" w:name="_Toc150480792"/>
      <w:r/>
      <w:bookmarkStart w:id="725" w:name="_Toc353873934"/>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4"/>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4"/>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4"/>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4"/>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4"/>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226965858"/>
      <w:r/>
      <w:bookmarkStart w:id="732" w:name="_Toc127161490"/>
      <w:r/>
      <w:bookmarkStart w:id="733" w:name="_Toc353825550"/>
      <w:r/>
      <w:bookmarkStart w:id="734" w:name="_Toc35387394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4"/>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4"/>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4"/>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226337237"/>
      <w:r/>
      <w:bookmarkStart w:id="738" w:name="_Toc150509292"/>
      <w:r/>
      <w:bookmarkStart w:id="739" w:name="_Toc164351635"/>
      <w:r/>
      <w:bookmarkStart w:id="740" w:name="_Toc305158809"/>
      <w:r/>
      <w:bookmarkStart w:id="741" w:name="_Toc265228379"/>
      <w:r/>
      <w:bookmarkStart w:id="742" w:name="_Toc151193639"/>
      <w:r/>
      <w:bookmarkStart w:id="743" w:name="_Toc127151541"/>
      <w:r/>
      <w:bookmarkStart w:id="744" w:name="_Toc164608655"/>
      <w:r/>
      <w:bookmarkStart w:id="745" w:name="_Toc127151742"/>
      <w:r/>
      <w:bookmarkStart w:id="746" w:name="_Toc150480779"/>
      <w:r/>
      <w:bookmarkStart w:id="747" w:name="_Toc305158883"/>
      <w:r/>
      <w:bookmarkStart w:id="748" w:name="_Toc164608810"/>
      <w:r/>
      <w:bookmarkStart w:id="749" w:name="_Toc164229382"/>
      <w:r/>
      <w:bookmarkStart w:id="750" w:name="_Toc150774641"/>
      <w:r/>
      <w:bookmarkStart w:id="751" w:name="_Toc149720834"/>
      <w:r/>
      <w:bookmarkStart w:id="752" w:name="_Toc150774746"/>
      <w:r/>
      <w:bookmarkStart w:id="753" w:name="_Toc127161455"/>
      <w:r/>
      <w:bookmarkStart w:id="754" w:name="_Toc151193929"/>
      <w:r/>
      <w:bookmarkStart w:id="755" w:name="_Toc151193783"/>
      <w:r/>
      <w:bookmarkStart w:id="756" w:name="_Toc151193711"/>
      <w:r/>
      <w:bookmarkStart w:id="757" w:name="_Toc142311043"/>
      <w:r/>
      <w:bookmarkStart w:id="758" w:name="_Toc151190168"/>
      <w:r/>
      <w:bookmarkStart w:id="759" w:name="_Toc226309785"/>
      <w:r/>
      <w:bookmarkStart w:id="760" w:name="_Toc226965731"/>
      <w:r/>
      <w:bookmarkStart w:id="761" w:name="_Toc195842906"/>
      <w:r/>
      <w:bookmarkStart w:id="762" w:name="_Toc264969231"/>
      <w:r/>
      <w:bookmarkStart w:id="763" w:name="_Toc151193855"/>
      <w:r/>
      <w:bookmarkStart w:id="764" w:name="_Toc164229236"/>
      <w:r/>
      <w:bookmarkStart w:id="765" w:name="_Toc226965814"/>
      <w:r/>
      <w:bookmarkStart w:id="766" w:name="_Toc353873941"/>
      <w:r/>
      <w:bookmarkStart w:id="767" w:name="_Toc353825551"/>
      <w:r/>
      <w:bookmarkStart w:id="768" w:name="_Toc127151555"/>
      <w:r/>
      <w:bookmarkStart w:id="769" w:name="_Toc353873935"/>
      <w:r/>
      <w:bookmarkStart w:id="770" w:name="_Toc353873665"/>
      <w:r/>
      <w:bookmarkStart w:id="771" w:name="_Toc353825545"/>
      <w:r/>
      <w:bookmarkStart w:id="772" w:name="_Toc264969245"/>
      <w:r/>
      <w:bookmarkStart w:id="773" w:name="_Toc150774760"/>
      <w:r/>
      <w:bookmarkStart w:id="774" w:name="_Toc142311057"/>
      <w:r/>
      <w:bookmarkStart w:id="775" w:name="_Toc226337251"/>
      <w:r/>
      <w:bookmarkStart w:id="776" w:name="_Toc265228393"/>
      <w:r/>
      <w:bookmarkStart w:id="777" w:name="_Toc305158823"/>
      <w:r/>
      <w:bookmarkStart w:id="778" w:name="_Toc150480793"/>
      <w:r/>
      <w:bookmarkStart w:id="779" w:name="_Toc305158897"/>
      <w:r/>
      <w:bookmarkStart w:id="780" w:name="_Toc195842920"/>
      <w:r/>
      <w:bookmarkStart w:id="781" w:name="_Toc226965828"/>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4"/>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4"/>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4"/>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4"/>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226965819"/>
      <w:r/>
      <w:bookmarkStart w:id="784" w:name="_Toc164229241"/>
      <w:r/>
      <w:bookmarkStart w:id="785" w:name="_Toc305158888"/>
      <w:r/>
      <w:bookmarkStart w:id="786" w:name="_Toc226965736"/>
      <w:r/>
      <w:bookmarkStart w:id="787" w:name="_Toc164608815"/>
      <w:r/>
      <w:bookmarkStart w:id="788" w:name="_Toc151193934"/>
      <w:r/>
      <w:bookmarkStart w:id="789" w:name="_Toc150480784"/>
      <w:r/>
      <w:bookmarkStart w:id="790" w:name="_Toc151193644"/>
      <w:r/>
      <w:bookmarkStart w:id="791" w:name="_Toc151193716"/>
      <w:r/>
      <w:bookmarkStart w:id="792" w:name="_Toc305158814"/>
      <w:r/>
      <w:bookmarkStart w:id="793" w:name="_Toc164229387"/>
      <w:r/>
      <w:bookmarkStart w:id="794" w:name="_Toc142311048"/>
      <w:r/>
      <w:bookmarkStart w:id="795" w:name="_Toc226309790"/>
      <w:r/>
      <w:bookmarkStart w:id="796" w:name="_Toc150509297"/>
      <w:r/>
      <w:bookmarkStart w:id="797" w:name="_Toc151193788"/>
      <w:r/>
      <w:bookmarkStart w:id="798" w:name="_Toc164351640"/>
      <w:r/>
      <w:bookmarkStart w:id="799" w:name="_Toc150774646"/>
      <w:r/>
      <w:bookmarkStart w:id="800" w:name="_Toc265228384"/>
      <w:r/>
      <w:bookmarkStart w:id="801" w:name="_Toc127151546"/>
      <w:r/>
      <w:bookmarkStart w:id="802" w:name="_Toc164608660"/>
      <w:r/>
      <w:bookmarkStart w:id="803" w:name="_Toc264969236"/>
      <w:r/>
      <w:bookmarkStart w:id="804" w:name="_Toc195842911"/>
      <w:r/>
      <w:bookmarkStart w:id="805" w:name="_Ref467307010"/>
      <w:r/>
      <w:bookmarkStart w:id="806" w:name="_Toc150774751"/>
      <w:r/>
      <w:bookmarkStart w:id="807" w:name="_Toc127161460"/>
      <w:r/>
      <w:bookmarkStart w:id="808" w:name="_Toc226337242"/>
      <w:r/>
      <w:bookmarkStart w:id="809" w:name="_Toc149720839"/>
      <w:r/>
      <w:bookmarkStart w:id="810" w:name="_Toc127151747"/>
      <w:r/>
      <w:bookmarkStart w:id="811" w:name="_Toc520356170"/>
      <w:r/>
      <w:bookmarkStart w:id="812" w:name="_Toc151193860"/>
      <w:r/>
      <w:bookmarkStart w:id="813" w:name="_Toc151190173"/>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3"/>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3"/>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4"/>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4"/>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4"/>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113"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1"/>
        <w:gridCol w:w="1801"/>
        <w:gridCol w:w="611"/>
        <w:gridCol w:w="4172"/>
        <w:gridCol w:w="2303"/>
      </w:tblGrid>
      <w:tr>
        <w:trPr/>
        <w:tc>
          <w:tcPr>
            <w:tcW w:w="611" w:type="dxa"/>
            <w:vAlign w:val="center"/>
            <w:textDirection w:val="lrTb"/>
            <w:noWrap w:val="false"/>
          </w:tcPr>
          <w:p>
            <w:pPr>
              <w:pStyle w:val="1074"/>
              <w:ind w:firstLine="28"/>
              <w:jc w:val="center"/>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1801" w:type="dxa"/>
            <w:vAlign w:val="center"/>
            <w:textDirection w:val="lrTb"/>
            <w:noWrap w:val="false"/>
          </w:tcPr>
          <w:p>
            <w:pPr>
              <w:pStyle w:val="1074"/>
              <w:ind w:firstLine="28"/>
              <w:jc w:val="center"/>
              <w:rPr>
                <w:rFonts w:ascii="宋体" w:hAnsi="宋体"/>
                <w:b/>
                <w:color w:val="000000"/>
                <w:sz w:val="24"/>
                <w:highlight w:val="none"/>
              </w:rPr>
            </w:pPr>
            <w:r>
              <w:rPr>
                <w:rFonts w:ascii="宋体" w:hAnsi="宋体"/>
                <w:b/>
                <w:color w:val="000000"/>
                <w:sz w:val="24"/>
                <w:highlight w:val="none"/>
              </w:rPr>
              <w:t xml:space="preserve">评分因素</w:t>
            </w:r>
            <w:r>
              <w:rPr>
                <w:rFonts w:ascii="宋体" w:hAnsi="宋体"/>
                <w:b/>
                <w:color w:val="000000"/>
                <w:sz w:val="24"/>
                <w:highlight w:val="none"/>
              </w:rPr>
            </w:r>
            <w:r/>
          </w:p>
        </w:tc>
        <w:tc>
          <w:tcPr>
            <w:tcW w:w="611" w:type="dxa"/>
            <w:vAlign w:val="center"/>
            <w:textDirection w:val="lrTb"/>
            <w:noWrap w:val="false"/>
          </w:tcPr>
          <w:p>
            <w:pPr>
              <w:pStyle w:val="1074"/>
              <w:ind w:firstLine="28"/>
              <w:jc w:val="center"/>
              <w:rPr>
                <w:rFonts w:ascii="宋体" w:hAnsi="宋体"/>
                <w:b/>
                <w:color w:val="000000"/>
                <w:sz w:val="24"/>
                <w:highlight w:val="none"/>
              </w:rPr>
            </w:pPr>
            <w:r>
              <w:rPr>
                <w:rFonts w:ascii="宋体" w:hAnsi="宋体"/>
                <w:b/>
                <w:color w:val="000000"/>
                <w:sz w:val="24"/>
                <w:highlight w:val="none"/>
              </w:rPr>
              <w:t xml:space="preserve">分值</w:t>
            </w:r>
            <w:r>
              <w:rPr>
                <w:rFonts w:ascii="宋体" w:hAnsi="宋体"/>
                <w:b/>
                <w:color w:val="000000"/>
                <w:sz w:val="24"/>
                <w:highlight w:val="none"/>
              </w:rPr>
            </w:r>
            <w:r/>
          </w:p>
        </w:tc>
        <w:tc>
          <w:tcPr>
            <w:tcW w:w="4172" w:type="dxa"/>
            <w:vAlign w:val="center"/>
            <w:textDirection w:val="lrTb"/>
            <w:noWrap w:val="false"/>
          </w:tcPr>
          <w:p>
            <w:pPr>
              <w:pStyle w:val="1074"/>
              <w:ind w:firstLine="28"/>
              <w:jc w:val="center"/>
              <w:rPr>
                <w:rFonts w:ascii="宋体" w:hAnsi="宋体"/>
                <w:b/>
                <w:color w:val="000000"/>
                <w:sz w:val="24"/>
                <w:highlight w:val="none"/>
              </w:rPr>
            </w:pPr>
            <w:r>
              <w:rPr>
                <w:rFonts w:ascii="宋体" w:hAnsi="宋体"/>
                <w:b/>
                <w:color w:val="000000"/>
                <w:sz w:val="24"/>
                <w:highlight w:val="none"/>
              </w:rPr>
              <w:t xml:space="preserve">评分标准</w:t>
            </w:r>
            <w:r>
              <w:rPr>
                <w:rFonts w:ascii="宋体" w:hAnsi="宋体"/>
                <w:b/>
                <w:color w:val="000000"/>
                <w:sz w:val="24"/>
                <w:highlight w:val="none"/>
              </w:rPr>
            </w:r>
            <w:r/>
          </w:p>
        </w:tc>
        <w:tc>
          <w:tcPr>
            <w:tcW w:w="2303" w:type="dxa"/>
            <w:vAlign w:val="center"/>
            <w:textDirection w:val="lrTb"/>
            <w:noWrap w:val="false"/>
          </w:tcPr>
          <w:p>
            <w:pPr>
              <w:pStyle w:val="1318"/>
              <w:spacing w:before="0" w:after="0" w:line="240" w:lineRule="auto"/>
              <w:rPr>
                <w:rFonts w:ascii="宋体" w:hAnsi="宋体" w:eastAsia="宋体"/>
                <w:color w:val="000000"/>
                <w:szCs w:val="24"/>
                <w:highlight w:val="none"/>
              </w:rPr>
            </w:pPr>
            <w:r>
              <w:rPr>
                <w:rFonts w:ascii="宋体" w:hAnsi="宋体" w:eastAsia="宋体"/>
                <w:color w:val="000000"/>
                <w:szCs w:val="24"/>
                <w:highlight w:val="none"/>
              </w:rPr>
              <w:t xml:space="preserve">说明</w:t>
            </w:r>
            <w:r>
              <w:rPr>
                <w:rFonts w:ascii="宋体" w:hAnsi="宋体" w:eastAsia="宋体"/>
                <w:color w:val="000000"/>
                <w:szCs w:val="24"/>
                <w:highlight w:val="none"/>
              </w:rPr>
            </w:r>
            <w:r/>
          </w:p>
        </w:tc>
      </w:tr>
      <w:tr>
        <w:trPr>
          <w:trHeight w:val="631"/>
        </w:trPr>
        <w:tc>
          <w:tcPr>
            <w:tcW w:w="611" w:type="dxa"/>
            <w:vAlign w:val="center"/>
            <w:textDirection w:val="lrTb"/>
            <w:noWrap w:val="false"/>
          </w:tcPr>
          <w:p>
            <w:pPr>
              <w:pStyle w:val="1074"/>
              <w:ind w:firstLine="28"/>
              <w:jc w:val="center"/>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r>
            <w:r/>
          </w:p>
        </w:tc>
        <w:tc>
          <w:tcPr>
            <w:tcW w:w="180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价格分</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10</w:t>
            </w:r>
            <w:r>
              <w:rPr>
                <w:rFonts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ascii="宋体" w:hAnsi="宋体"/>
                <w:color w:val="000000"/>
                <w:sz w:val="24"/>
                <w:highlight w:val="none"/>
              </w:rPr>
            </w:pPr>
            <w:r>
              <w:rPr>
                <w:rFonts w:ascii="宋体" w:hAnsi="宋体"/>
                <w:color w:val="000000"/>
                <w:sz w:val="24"/>
                <w:highlight w:val="none"/>
              </w:rPr>
              <w:t xml:space="preserve">满足招标文件要求且投标价格最低的投标报价为评标基准价，其价格分为满分。其他投标人的价格分统一按照下列公式计算：</w:t>
            </w:r>
            <w:r>
              <w:rPr>
                <w:rFonts w:ascii="宋体" w:hAnsi="宋体"/>
                <w:color w:val="000000"/>
                <w:sz w:val="24"/>
                <w:highlight w:val="none"/>
              </w:rPr>
            </w:r>
            <w:r/>
          </w:p>
          <w:p>
            <w:pPr>
              <w:pStyle w:val="1074"/>
              <w:ind w:firstLine="0"/>
              <w:keepLines w:val="0"/>
              <w:keepNext w:val="0"/>
              <w:pageBreakBefore w:val="0"/>
              <w:widowControl w:val="off"/>
              <w:rPr>
                <w:rFonts w:ascii="宋体" w:hAnsi="宋体"/>
                <w:color w:val="000000"/>
                <w:sz w:val="24"/>
                <w:highlight w:val="none"/>
              </w:rPr>
            </w:pPr>
            <w:r>
              <w:rPr>
                <w:rFonts w:ascii="宋体" w:hAnsi="宋体"/>
                <w:color w:val="000000"/>
                <w:sz w:val="24"/>
                <w:highlight w:val="none"/>
              </w:rPr>
              <w:t xml:space="preserve">投标报价得分＝（评标基准价/投标报价）×分值。</w:t>
            </w:r>
            <w:r>
              <w:rPr>
                <w:rFonts w:ascii="宋体" w:hAnsi="宋体"/>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hint="eastAsia" w:ascii="宋体" w:hAnsi="宋体"/>
                <w:color w:val="000000"/>
                <w:sz w:val="24"/>
                <w:highlight w:val="none"/>
              </w:rPr>
              <w:t xml:space="preserve">此处投标报价指经过报价修正，及</w:t>
            </w:r>
            <w:r>
              <w:rPr>
                <w:rFonts w:ascii="宋体" w:hAnsi="宋体"/>
                <w:color w:val="000000"/>
                <w:sz w:val="24"/>
                <w:highlight w:val="none"/>
              </w:rPr>
              <w:t xml:space="preserve">因落实政府采购政策进行价格调整</w:t>
            </w:r>
            <w:r>
              <w:rPr>
                <w:rFonts w:hint="eastAsia" w:ascii="宋体" w:hAnsi="宋体"/>
                <w:color w:val="000000"/>
                <w:sz w:val="24"/>
                <w:highlight w:val="none"/>
              </w:rPr>
              <w:t xml:space="preserve">后</w:t>
            </w:r>
            <w:r>
              <w:rPr>
                <w:rFonts w:ascii="宋体" w:hAnsi="宋体"/>
                <w:color w:val="000000"/>
                <w:sz w:val="24"/>
                <w:highlight w:val="none"/>
              </w:rPr>
              <w:t xml:space="preserve">的</w:t>
            </w:r>
            <w:r>
              <w:rPr>
                <w:rFonts w:hint="eastAsia" w:ascii="宋体" w:hAnsi="宋体"/>
                <w:color w:val="000000"/>
                <w:sz w:val="24"/>
                <w:highlight w:val="none"/>
              </w:rPr>
              <w:t xml:space="preserve">报价</w:t>
            </w:r>
            <w:r>
              <w:rPr>
                <w:rFonts w:ascii="宋体" w:hAnsi="宋体"/>
                <w:color w:val="000000"/>
                <w:sz w:val="24"/>
                <w:highlight w:val="none"/>
              </w:rPr>
              <w:t xml:space="preserve">，详见第</w:t>
            </w:r>
            <w:r>
              <w:rPr>
                <w:rFonts w:hint="eastAsia" w:ascii="宋体" w:hAnsi="宋体"/>
                <w:color w:val="000000"/>
                <w:sz w:val="24"/>
                <w:highlight w:val="none"/>
              </w:rPr>
              <w:t xml:space="preserve">三</w:t>
            </w:r>
            <w:r>
              <w:rPr>
                <w:rFonts w:ascii="宋体" w:hAnsi="宋体"/>
                <w:color w:val="000000"/>
                <w:sz w:val="24"/>
                <w:highlight w:val="none"/>
              </w:rPr>
              <w:t xml:space="preserve">章《评标方法和评标标准》</w:t>
            </w: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及</w:t>
            </w:r>
            <w:r>
              <w:rPr>
                <w:rFonts w:ascii="宋体" w:hAnsi="宋体"/>
                <w:color w:val="000000"/>
                <w:sz w:val="24"/>
                <w:highlight w:val="none"/>
              </w:rPr>
              <w:t xml:space="preserve">2.5。</w:t>
            </w: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80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主观分</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43</w:t>
            </w:r>
            <w:r>
              <w:rPr>
                <w:rFonts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ascii="宋体" w:hAnsi="宋体"/>
                <w:color w:val="000000"/>
                <w:sz w:val="24"/>
                <w:highlight w:val="none"/>
              </w:rPr>
            </w:pPr>
            <w:r>
              <w:rPr>
                <w:rFonts w:ascii="宋体" w:hAnsi="宋体"/>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2.1</w:t>
            </w:r>
            <w:r>
              <w:rPr>
                <w:rFonts w:ascii="宋体" w:hAnsi="宋体"/>
                <w:color w:val="000000"/>
                <w:sz w:val="24"/>
                <w:highlight w:val="none"/>
              </w:rPr>
            </w:r>
            <w:r/>
          </w:p>
        </w:tc>
        <w:tc>
          <w:tcPr>
            <w:tcW w:w="180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服务团队方案</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6</w:t>
            </w:r>
            <w:r>
              <w:rPr>
                <w:rFonts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结合本招标文件采购需求组建日常服务团队。</w:t>
            </w:r>
            <w:r>
              <w:rPr>
                <w:rFonts w:hint="eastAsia" w:ascii="宋体" w:hAnsi="宋体" w:eastAsia="宋体" w:cs="宋体"/>
                <w:color w:val="000000"/>
                <w:sz w:val="24"/>
                <w:szCs w:val="24"/>
                <w:highlight w:val="none"/>
              </w:rPr>
            </w:r>
            <w:r/>
          </w:p>
          <w:p>
            <w:pPr>
              <w:pStyle w:val="1074"/>
              <w:ind w:firstLine="0"/>
              <w:keepLines w:val="0"/>
              <w:keepNext w:val="0"/>
              <w:pageBreakBefore w:val="0"/>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相关分析指标包括：承保环节负责人及理赔环节负责人；成员项目经验，服务团队职责明晰；提供投诉监督方式；利用经营网点配合团队提供服务等内容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74"/>
              <w:ind w:firstLine="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方案符合采购需求、团队建设合理、可操作性强的，得6分；</w:t>
            </w:r>
            <w:r>
              <w:rPr>
                <w:rFonts w:hint="eastAsia" w:ascii="宋体" w:hAnsi="宋体" w:eastAsia="宋体" w:cs="宋体"/>
                <w:color w:val="000000"/>
                <w:sz w:val="24"/>
                <w:szCs w:val="24"/>
                <w:highlight w:val="none"/>
              </w:rPr>
            </w:r>
            <w:r/>
          </w:p>
          <w:p>
            <w:pPr>
              <w:pStyle w:val="1074"/>
              <w:ind w:firstLine="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方案较符合采购需求、团队建设较合理、有一定可操作性的得4分；</w:t>
            </w:r>
            <w:r>
              <w:rPr>
                <w:rFonts w:hint="eastAsia" w:ascii="宋体" w:hAnsi="宋体" w:eastAsia="宋体" w:cs="宋体"/>
                <w:color w:val="000000"/>
                <w:sz w:val="24"/>
                <w:szCs w:val="24"/>
                <w:highlight w:val="none"/>
              </w:rPr>
            </w:r>
            <w:r/>
          </w:p>
          <w:p>
            <w:pPr>
              <w:pStyle w:val="1074"/>
              <w:ind w:firstLine="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方案与采购需求有差异、团队建设不尽合理、可操作性一般的，得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74"/>
              <w:ind w:firstLine="0"/>
              <w:keepLines w:val="0"/>
              <w:keepNext w:val="0"/>
              <w:pageBreakBefore w:val="0"/>
              <w:widowControl w:val="off"/>
              <w:rPr>
                <w:rFonts w:ascii="宋体" w:hAnsi="宋体"/>
                <w:color w:val="000000"/>
                <w:sz w:val="24"/>
                <w:highlight w:val="none"/>
              </w:rPr>
            </w:pPr>
            <w:r>
              <w:rPr>
                <w:rFonts w:hint="eastAsia" w:ascii="宋体" w:hAnsi="宋体" w:eastAsia="宋体" w:cs="宋体"/>
                <w:color w:val="000000"/>
                <w:sz w:val="24"/>
                <w:szCs w:val="24"/>
                <w:highlight w:val="none"/>
              </w:rPr>
              <w:t xml:space="preserve">未提供方案的不得分。</w:t>
            </w:r>
            <w:r>
              <w:rPr>
                <w:rFonts w:ascii="宋体" w:hAnsi="宋体"/>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p>
            <w:pPr>
              <w:pStyle w:val="1074"/>
              <w:rPr>
                <w:color w:val="000000"/>
                <w:sz w:val="21"/>
                <w:szCs w:val="24"/>
                <w:highlight w:val="none"/>
                <w:lang w:val="en-US" w:eastAsia="zh-CN" w:bidi="ar-SA"/>
              </w:rPr>
            </w:pPr>
            <w:r>
              <w:rPr>
                <w:color w:val="000000"/>
                <w:sz w:val="21"/>
                <w:szCs w:val="24"/>
                <w:highlight w:val="none"/>
                <w:lang w:val="en-US" w:eastAsia="zh-CN" w:bidi="ar-SA"/>
              </w:rPr>
            </w:r>
            <w:r/>
          </w:p>
          <w:p>
            <w:pPr>
              <w:pStyle w:val="1074"/>
              <w:rPr>
                <w:color w:val="000000"/>
                <w:highlight w:val="none"/>
                <w:lang w:val="en-US" w:eastAsia="zh-CN"/>
              </w:rPr>
            </w:pPr>
            <w:r>
              <w:rPr>
                <w:color w:val="000000"/>
                <w:highlight w:val="none"/>
                <w:lang w:val="en-US" w:eastAsia="zh-CN"/>
              </w:rPr>
            </w:r>
            <w:r/>
          </w:p>
          <w:p>
            <w:pPr>
              <w:pStyle w:val="1074"/>
              <w:jc w:val="center"/>
              <w:rPr>
                <w:color w:val="000000"/>
                <w:highlight w:val="none"/>
                <w:lang w:val="en-US" w:eastAsia="zh-CN"/>
              </w:rPr>
            </w:pPr>
            <w:r>
              <w:rPr>
                <w:color w:val="000000"/>
                <w:highlight w:val="none"/>
                <w:lang w:val="en-US" w:eastAsia="zh-CN"/>
              </w:rPr>
            </w:r>
            <w:r/>
          </w:p>
        </w:tc>
      </w:tr>
      <w:tr>
        <w:trPr/>
        <w:tc>
          <w:tcPr>
            <w:tcW w:w="611" w:type="dxa"/>
            <w:vAlign w:val="center"/>
            <w:textDirection w:val="lrTb"/>
            <w:noWrap w:val="false"/>
          </w:tcPr>
          <w:p>
            <w:pPr>
              <w:pStyle w:val="1074"/>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2.2</w:t>
            </w:r>
            <w:r>
              <w:rPr>
                <w:rFonts w:ascii="宋体" w:hAnsi="宋体" w:eastAsia="宋体"/>
                <w:color w:val="000000"/>
                <w:sz w:val="24"/>
                <w:highlight w:val="none"/>
                <w:lang w:val="en-US" w:eastAsia="zh-CN"/>
              </w:rPr>
            </w:r>
            <w:r/>
          </w:p>
        </w:tc>
        <w:tc>
          <w:tcPr>
            <w:tcW w:w="180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承保服务方案</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8</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rPr>
              <w:t xml:space="preserve">结合本招标文件采购需求，制定合理内部承保方案</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相关分析指标包括：依法合规核保；准确及时出单；投保服务便捷、高效等内容。</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方案符合采购需求、设计合理、可操作性强的，得8分；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方案较符合采购需求、设计较合理、有一定可操作性的，得5分；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方案与采购需求有差异、设计不尽合理、可操作性一般的，得2分；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ascii="宋体" w:hAnsi="宋体"/>
                <w:color w:val="000000"/>
                <w:sz w:val="24"/>
                <w:highlight w:val="none"/>
              </w:rPr>
            </w:pPr>
            <w:r>
              <w:rPr>
                <w:rFonts w:hint="eastAsia" w:ascii="宋体" w:hAnsi="宋体" w:eastAsia="宋体" w:cs="Times New Roman"/>
                <w:color w:val="000000"/>
                <w:sz w:val="24"/>
                <w:highlight w:val="none"/>
              </w:rPr>
              <w:t xml:space="preserve">未提供方案的不得分。</w:t>
            </w:r>
            <w:r>
              <w:rPr>
                <w:rFonts w:ascii="宋体" w:hAnsi="宋体"/>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2.3</w:t>
            </w:r>
            <w:r>
              <w:rPr>
                <w:rFonts w:ascii="宋体" w:hAnsi="宋体" w:eastAsia="宋体"/>
                <w:color w:val="000000"/>
                <w:sz w:val="24"/>
                <w:highlight w:val="none"/>
                <w:lang w:val="en-US" w:eastAsia="zh-CN"/>
              </w:rPr>
            </w:r>
            <w:r/>
          </w:p>
        </w:tc>
        <w:tc>
          <w:tcPr>
            <w:tcW w:w="180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理赔服务方案</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8</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结合本招标文件采购需求，提供高效理赔服务。</w:t>
            </w:r>
            <w:r>
              <w:rPr>
                <w:rFonts w:hint="eastAsia" w:ascii="宋体" w:hAnsi="宋体" w:eastAsia="宋体" w:cs="宋体"/>
                <w:color w:val="000000"/>
                <w:sz w:val="24"/>
                <w:szCs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相关分析指标包括：理赔服务流程；限时支付承诺；持续完善的措施等内容。</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方案符合采购需求、设计合理、可操作性强的，得8分；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方案较符合采购需求、设计较合理、有一定可操作性的，得5分；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方案与采购需求有差异、设计不尽合理、可操作性一般的，得2分；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ascii="宋体" w:hAnsi="宋体"/>
                <w:color w:val="000000"/>
                <w:sz w:val="24"/>
                <w:highlight w:val="none"/>
              </w:rPr>
            </w:pPr>
            <w:r>
              <w:rPr>
                <w:rFonts w:hint="eastAsia" w:ascii="宋体" w:hAnsi="宋体" w:eastAsia="宋体" w:cs="Times New Roman"/>
                <w:color w:val="000000"/>
                <w:sz w:val="24"/>
                <w:highlight w:val="none"/>
              </w:rPr>
              <w:t xml:space="preserve">未提供方案的不得分。</w:t>
            </w:r>
            <w:r>
              <w:rPr>
                <w:rFonts w:ascii="宋体" w:hAnsi="宋体"/>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2.4</w:t>
            </w:r>
            <w:r>
              <w:rPr>
                <w:rFonts w:ascii="宋体" w:hAnsi="宋体"/>
                <w:color w:val="000000"/>
                <w:sz w:val="24"/>
                <w:highlight w:val="none"/>
                <w:lang w:val="en-US" w:eastAsia="zh-CN"/>
              </w:rPr>
            </w:r>
            <w:r/>
          </w:p>
        </w:tc>
        <w:tc>
          <w:tcPr>
            <w:tcW w:w="1801" w:type="dxa"/>
            <w:vAlign w:val="center"/>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t xml:space="preserve">重大、疑难案件服务方案</w:t>
            </w: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6</w:t>
            </w:r>
            <w:r>
              <w:rPr>
                <w:rFonts w:ascii="宋体" w:hAnsi="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投标人根据自身对项目的理解设计重大、疑难案件服务方案（重大、疑难案件指赔偿金额30万以上或在媒体、人群等公众舆论面等播撒或责任界定困难的案件）。</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服务方案针对性、完善性、科学性、可行性强的，得6分；                                        </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方案完善性、科学性、可行性一般的，得4分；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方案不完整、针对性、科学性、可行性欠缺的，得2分；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未提供方案的不得分。</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2.5</w:t>
            </w:r>
            <w:r>
              <w:rPr>
                <w:rFonts w:ascii="宋体" w:hAnsi="宋体"/>
                <w:color w:val="000000"/>
                <w:sz w:val="24"/>
                <w:highlight w:val="none"/>
                <w:lang w:val="en-US" w:eastAsia="zh-CN"/>
              </w:rPr>
            </w:r>
            <w:r/>
          </w:p>
        </w:tc>
        <w:tc>
          <w:tcPr>
            <w:tcW w:w="1801" w:type="dxa"/>
            <w:vAlign w:val="center"/>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t xml:space="preserve">项目管理方案</w:t>
            </w: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5</w:t>
            </w:r>
            <w:r>
              <w:rPr>
                <w:rFonts w:ascii="宋体" w:hAnsi="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rPr>
              <w:t xml:space="preserve">结合本招标文件采购需求，制定合理方案，配合采购人做好各项日常管理。 </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相关分析指标包括：配合采购人、采购人委托的第三方保险经纪公司做好各项日常监督管理；向采购人委托的第三方保险经纪公司提供本项目各类数据，包括但不仅限于接报案明细、结案明细表；每年配合采购人进行绩效考评等内容。</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方案符合采购需求、设计合理、可操作性强的，得5分；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方案较符合采购需求、设计较合理、有一定可操作性的，得3分；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方案与采购需求有差异、设计不尽合理、可操作性一般的，得1分；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Times New Roman"/>
                <w:color w:val="000000"/>
                <w:sz w:val="24"/>
                <w:highlight w:val="none"/>
              </w:rPr>
              <w:t xml:space="preserve">未提供方案的不得分。</w:t>
            </w:r>
            <w:r>
              <w:rPr>
                <w:rFonts w:hint="eastAsia" w:ascii="宋体" w:hAnsi="宋体" w:eastAsia="宋体" w:cs="宋体"/>
                <w:color w:val="000000"/>
                <w:sz w:val="24"/>
                <w:szCs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2.6</w:t>
            </w:r>
            <w:r>
              <w:rPr>
                <w:rFonts w:ascii="宋体" w:hAnsi="宋体"/>
                <w:color w:val="000000"/>
                <w:sz w:val="24"/>
                <w:highlight w:val="none"/>
                <w:lang w:val="en-US" w:eastAsia="zh-CN"/>
              </w:rPr>
            </w:r>
            <w:r/>
          </w:p>
        </w:tc>
        <w:tc>
          <w:tcPr>
            <w:tcW w:w="1801" w:type="dxa"/>
            <w:vAlign w:val="center"/>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t xml:space="preserve">增值方案</w:t>
            </w: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6</w:t>
            </w:r>
            <w:r>
              <w:rPr>
                <w:rFonts w:ascii="宋体" w:hAnsi="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根据各投标人提供的扩展增值方案从对增值内容的合理性、实用性、对本项目的针对性、实际操作性进行综合比较： </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方案符合采购需求、设计合理、实用性强、有针对性强、可操作性强的，得</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方案较符合采购需求、设计较合理、有一定实用性、有一定针对性、有一定可操作性的，得</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方案与采购需求有差异、设计不尽合理、可操作性一般的，得</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未提供增值方案的不得分。</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2.7</w:t>
            </w:r>
            <w:r>
              <w:rPr>
                <w:rFonts w:ascii="宋体" w:hAnsi="宋体"/>
                <w:color w:val="000000"/>
                <w:sz w:val="24"/>
                <w:highlight w:val="none"/>
                <w:lang w:val="en-US" w:eastAsia="zh-CN"/>
              </w:rPr>
            </w:r>
            <w:r/>
          </w:p>
        </w:tc>
        <w:tc>
          <w:tcPr>
            <w:tcW w:w="1801" w:type="dxa"/>
            <w:vAlign w:val="center"/>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t xml:space="preserve">合同履约</w:t>
            </w: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4</w:t>
            </w:r>
            <w:r>
              <w:rPr>
                <w:rFonts w:ascii="宋体" w:hAnsi="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根据《常州市政府采购供应商信用管理暂行办法》（常财规〔2017〕6号）第5条“供应商在参与政府采购活动中有下列情形之一的，属于失信行为: 第（十三）拒绝履行合同义务的; 第（十四）未按合同规定履行合同义务，造成不良后果的”及相关失信记录、惩戒规定，结合本保险项目的特殊情况，对诚信履约主要包括但不限于如何做到应赔尽赔，发生拖赔惜赔等违约情况后的处罚措施，进行全面阐述并做相关承诺的得4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1074"/>
              <w:ind w:firstLine="0"/>
              <w:keepLines w:val="0"/>
              <w:keepNext w:val="0"/>
              <w:pageBreakBefore w:val="0"/>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阐述或承诺较全面的得2.5分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1074"/>
              <w:ind w:firstLine="0"/>
              <w:keepLines w:val="0"/>
              <w:keepNext w:val="0"/>
              <w:pageBreakBefore w:val="0"/>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阐述或承诺不全面的得1分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未阐述和承诺的不得分。</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80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客观分</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47</w:t>
            </w:r>
            <w:r>
              <w:rPr>
                <w:rFonts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ascii="宋体" w:hAnsi="宋体"/>
                <w:color w:val="000000"/>
                <w:sz w:val="24"/>
                <w:highlight w:val="none"/>
              </w:rPr>
            </w:pPr>
            <w:r>
              <w:rPr>
                <w:rFonts w:ascii="宋体" w:hAnsi="宋体"/>
                <w:color w:val="000000"/>
                <w:sz w:val="24"/>
                <w:highlight w:val="none"/>
              </w:rPr>
            </w:r>
            <w:r/>
          </w:p>
        </w:tc>
        <w:tc>
          <w:tcPr>
            <w:tcW w:w="2303" w:type="dxa"/>
            <w:vAlign w:val="center"/>
            <w:textDirection w:val="lrTb"/>
            <w:noWrap w:val="false"/>
          </w:tcPr>
          <w:p>
            <w:pPr>
              <w:pStyle w:val="1074"/>
              <w:ind w:left="-38"/>
              <w:rPr>
                <w:rFonts w:ascii="宋体" w:hAnsi="宋体"/>
                <w:color w:val="000000"/>
                <w:sz w:val="24"/>
                <w:highlight w:val="none"/>
              </w:rPr>
            </w:pP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3.1</w:t>
            </w:r>
            <w:r>
              <w:rPr>
                <w:rFonts w:ascii="宋体" w:hAnsi="宋体"/>
                <w:color w:val="000000"/>
                <w:sz w:val="24"/>
                <w:highlight w:val="none"/>
              </w:rPr>
            </w:r>
            <w:r/>
          </w:p>
        </w:tc>
        <w:tc>
          <w:tcPr>
            <w:tcW w:w="180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体系认证</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ascii="宋体" w:hAnsi="宋体"/>
                <w:color w:val="000000"/>
                <w:sz w:val="24"/>
                <w:highlight w:val="none"/>
              </w:rPr>
            </w:pPr>
            <w:r>
              <w:rPr>
                <w:rFonts w:hint="eastAsia" w:ascii="宋体" w:hAnsi="宋体" w:eastAsia="宋体" w:cs="Times New Roman"/>
                <w:color w:val="000000"/>
                <w:sz w:val="24"/>
                <w:highlight w:val="none"/>
              </w:rPr>
              <w:t xml:space="preserve">投标人所属总公司具有有效的质量管理体系、环境管理体系、信息安全管理体系认证证书的，每提供一项证书得1分，最高得3分。</w:t>
            </w:r>
            <w:r>
              <w:rPr>
                <w:rFonts w:ascii="宋体" w:hAnsi="宋体"/>
                <w:color w:val="000000"/>
                <w:sz w:val="24"/>
                <w:highlight w:val="none"/>
              </w:rPr>
            </w:r>
            <w:r/>
          </w:p>
        </w:tc>
        <w:tc>
          <w:tcPr>
            <w:tcW w:w="2303" w:type="dxa"/>
            <w:vAlign w:val="center"/>
            <w:textDirection w:val="lrTb"/>
            <w:noWrap w:val="false"/>
          </w:tcPr>
          <w:p>
            <w:pPr>
              <w:pStyle w:val="1074"/>
              <w:ind w:left="-38"/>
              <w:jc w:val="left"/>
              <w:rPr>
                <w:rFonts w:ascii="宋体" w:hAnsi="宋体"/>
                <w:color w:val="000000"/>
                <w:sz w:val="24"/>
                <w:highlight w:val="none"/>
              </w:rPr>
            </w:pPr>
            <w:r>
              <w:rPr>
                <w:rFonts w:hint="eastAsia" w:ascii="宋体" w:hAnsi="宋体" w:eastAsia="宋体" w:cs="Times New Roman"/>
                <w:b/>
                <w:bCs/>
                <w:color w:val="000000"/>
                <w:sz w:val="24"/>
                <w:highlight w:val="none"/>
              </w:rPr>
              <w:t xml:space="preserve">提供证书扫描件。</w:t>
            </w: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3.2</w:t>
            </w:r>
            <w:r>
              <w:rPr>
                <w:rFonts w:ascii="宋体" w:hAnsi="宋体" w:eastAsia="宋体"/>
                <w:color w:val="000000"/>
                <w:sz w:val="24"/>
                <w:highlight w:val="none"/>
                <w:lang w:val="en-US" w:eastAsia="zh-CN"/>
              </w:rPr>
            </w:r>
            <w:r/>
          </w:p>
        </w:tc>
        <w:tc>
          <w:tcPr>
            <w:tcW w:w="1801" w:type="dxa"/>
            <w:vAlign w:val="center"/>
            <w:textDirection w:val="lrTb"/>
            <w:noWrap w:val="false"/>
          </w:tcPr>
          <w:p>
            <w:pPr>
              <w:pStyle w:val="1074"/>
              <w:ind w:firstLine="28"/>
              <w:jc w:val="center"/>
              <w:rPr>
                <w:rFonts w:ascii="宋体" w:hAnsi="宋体"/>
                <w:color w:val="000000"/>
                <w:sz w:val="24"/>
                <w:highlight w:val="none"/>
              </w:rPr>
            </w:pPr>
            <w:r>
              <w:rPr>
                <w:rFonts w:hint="eastAsia" w:ascii="宋体" w:hAnsi="宋体"/>
                <w:color w:val="000000"/>
                <w:sz w:val="24"/>
                <w:highlight w:val="none"/>
              </w:rPr>
              <w:t xml:space="preserve">风险综合评级</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8</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投标人</w:t>
            </w:r>
            <w:r>
              <w:rPr>
                <w:rFonts w:hint="eastAsia" w:ascii="宋体" w:hAnsi="宋体" w:eastAsia="宋体" w:cs="Times New Roman"/>
                <w:color w:val="000000"/>
                <w:sz w:val="24"/>
                <w:highlight w:val="none"/>
                <w:lang w:val="en-US" w:eastAsia="zh-CN"/>
              </w:rPr>
              <w:t xml:space="preserve">所属</w:t>
            </w:r>
            <w:r>
              <w:rPr>
                <w:rFonts w:hint="eastAsia" w:ascii="宋体" w:hAnsi="宋体" w:eastAsia="宋体" w:cs="Times New Roman"/>
                <w:color w:val="000000"/>
                <w:sz w:val="24"/>
                <w:highlight w:val="none"/>
              </w:rPr>
              <w:t xml:space="preserve">总公司风险评级：</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根据各投标人总公司202</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年第</w:t>
            </w:r>
            <w:r>
              <w:rPr>
                <w:rFonts w:hint="eastAsia" w:ascii="宋体" w:hAnsi="宋体" w:cs="Times New Roman"/>
                <w:color w:val="000000"/>
                <w:sz w:val="24"/>
                <w:highlight w:val="none"/>
                <w:lang w:val="en-US" w:eastAsia="zh-CN"/>
              </w:rPr>
              <w:t xml:space="preserve">一</w:t>
            </w:r>
            <w:r>
              <w:rPr>
                <w:rFonts w:hint="eastAsia" w:ascii="宋体" w:hAnsi="宋体" w:eastAsia="宋体" w:cs="Times New Roman"/>
                <w:color w:val="000000"/>
                <w:sz w:val="24"/>
                <w:highlight w:val="none"/>
              </w:rPr>
              <w:t xml:space="preserve">季度偿付能力报告摘要中最近季度风险综合评级进行评分：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ascii="宋体" w:hAnsi="宋体"/>
                <w:color w:val="000000"/>
                <w:sz w:val="24"/>
                <w:highlight w:val="none"/>
              </w:rPr>
            </w:pPr>
            <w:r>
              <w:rPr>
                <w:rFonts w:hint="eastAsia" w:ascii="宋体" w:hAnsi="宋体" w:eastAsia="宋体" w:cs="Times New Roman"/>
                <w:color w:val="000000"/>
                <w:sz w:val="24"/>
                <w:highlight w:val="none"/>
              </w:rPr>
              <w:t xml:space="preserve">风险综合评级达到AAA类得8分，AA类得6分，A类得4分，BBB类得2分，BB类及以下不得分。 </w:t>
            </w:r>
            <w:r>
              <w:rPr>
                <w:rFonts w:ascii="宋体" w:hAnsi="宋体"/>
                <w:color w:val="000000"/>
                <w:sz w:val="24"/>
                <w:highlight w:val="none"/>
              </w:rPr>
            </w:r>
            <w:r/>
          </w:p>
        </w:tc>
        <w:tc>
          <w:tcPr>
            <w:tcW w:w="2303" w:type="dxa"/>
            <w:vAlign w:val="center"/>
            <w:textDirection w:val="lrTb"/>
            <w:noWrap w:val="false"/>
          </w:tcPr>
          <w:p>
            <w:pPr>
              <w:pStyle w:val="1074"/>
              <w:ind w:left="-38"/>
              <w:jc w:val="left"/>
              <w:rPr>
                <w:rFonts w:ascii="宋体" w:hAnsi="宋体"/>
                <w:color w:val="000000"/>
                <w:sz w:val="24"/>
                <w:highlight w:val="none"/>
              </w:rPr>
            </w:pPr>
            <w:r>
              <w:rPr>
                <w:rFonts w:hint="eastAsia" w:ascii="宋体" w:hAnsi="宋体" w:eastAsia="宋体" w:cs="Times New Roman"/>
                <w:b/>
                <w:bCs/>
                <w:color w:val="000000"/>
                <w:sz w:val="24"/>
                <w:highlight w:val="none"/>
              </w:rPr>
              <w:t xml:space="preserve">提供中国保险行业协会官网信息披露栏中202</w:t>
            </w:r>
            <w:r>
              <w:rPr>
                <w:rFonts w:hint="eastAsia" w:ascii="宋体" w:hAnsi="宋体" w:cs="Times New Roman"/>
                <w:b/>
                <w:bCs/>
                <w:color w:val="000000"/>
                <w:sz w:val="24"/>
                <w:highlight w:val="none"/>
                <w:lang w:val="en-US" w:eastAsia="zh-CN"/>
              </w:rPr>
              <w:t xml:space="preserve">6</w:t>
            </w:r>
            <w:r>
              <w:rPr>
                <w:rFonts w:hint="eastAsia" w:ascii="宋体" w:hAnsi="宋体" w:eastAsia="宋体" w:cs="Times New Roman"/>
                <w:b/>
                <w:bCs/>
                <w:color w:val="000000"/>
                <w:sz w:val="24"/>
                <w:highlight w:val="none"/>
              </w:rPr>
              <w:t xml:space="preserve">年第</w:t>
            </w:r>
            <w:r>
              <w:rPr>
                <w:rFonts w:hint="eastAsia" w:ascii="宋体" w:hAnsi="宋体" w:cs="Times New Roman"/>
                <w:b/>
                <w:bCs/>
                <w:color w:val="000000"/>
                <w:sz w:val="24"/>
                <w:highlight w:val="none"/>
                <w:lang w:val="en-US" w:eastAsia="zh-CN"/>
              </w:rPr>
              <w:t xml:space="preserve">一</w:t>
            </w:r>
            <w:r>
              <w:rPr>
                <w:rFonts w:hint="eastAsia" w:ascii="宋体" w:hAnsi="宋体" w:eastAsia="宋体" w:cs="Times New Roman"/>
                <w:b/>
                <w:bCs/>
                <w:color w:val="000000"/>
                <w:sz w:val="24"/>
                <w:highlight w:val="none"/>
              </w:rPr>
              <w:t xml:space="preserve">季度偿付能力报告摘要扫描件或复印件。</w:t>
            </w:r>
            <w:r>
              <w:rPr>
                <w:rFonts w:ascii="宋体" w:hAnsi="宋体"/>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3.3</w:t>
            </w:r>
            <w:r>
              <w:rPr>
                <w:rFonts w:ascii="宋体" w:hAnsi="宋体"/>
                <w:color w:val="000000"/>
                <w:sz w:val="24"/>
                <w:highlight w:val="none"/>
                <w:lang w:val="en-US" w:eastAsia="zh-CN"/>
              </w:rPr>
            </w:r>
            <w:r/>
          </w:p>
        </w:tc>
        <w:tc>
          <w:tcPr>
            <w:tcW w:w="1801" w:type="dxa"/>
            <w:vAlign w:val="center"/>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t xml:space="preserve">综合偿付能力</w:t>
            </w: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8</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投标人所属总公司综合偿付能力：</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根据202</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年第</w:t>
            </w:r>
            <w:r>
              <w:rPr>
                <w:rFonts w:hint="eastAsia" w:ascii="宋体" w:hAnsi="宋体" w:cs="Times New Roman"/>
                <w:color w:val="000000"/>
                <w:sz w:val="24"/>
                <w:highlight w:val="none"/>
                <w:lang w:val="en-US" w:eastAsia="zh-CN"/>
              </w:rPr>
              <w:t xml:space="preserve">一</w:t>
            </w:r>
            <w:r>
              <w:rPr>
                <w:rFonts w:hint="eastAsia" w:ascii="宋体" w:hAnsi="宋体" w:eastAsia="宋体" w:cs="Times New Roman"/>
                <w:color w:val="000000"/>
                <w:sz w:val="24"/>
                <w:highlight w:val="none"/>
              </w:rPr>
              <w:t xml:space="preserve">季度各供应商总公司综合偿付能力充足率进行评分：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综合偿付能力充足率≥250%，得8分；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250%＞综合偿付能力充足率≥200%，得5分；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200%＞综合偿付能力充足率≥150%，得2分；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150%＞综合偿付能力充足率的不得分。</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提供中国保险行业协会官网信息披露栏中202</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年第</w:t>
            </w:r>
            <w:r>
              <w:rPr>
                <w:rFonts w:hint="eastAsia" w:ascii="宋体" w:hAnsi="宋体" w:cs="Times New Roman"/>
                <w:color w:val="000000"/>
                <w:sz w:val="24"/>
                <w:highlight w:val="none"/>
                <w:lang w:val="en-US" w:eastAsia="zh-CN"/>
              </w:rPr>
              <w:t xml:space="preserve">一</w:t>
            </w:r>
            <w:r>
              <w:rPr>
                <w:rFonts w:hint="eastAsia" w:ascii="宋体" w:hAnsi="宋体" w:eastAsia="宋体" w:cs="Times New Roman"/>
                <w:color w:val="000000"/>
                <w:sz w:val="24"/>
                <w:highlight w:val="none"/>
              </w:rPr>
              <w:t xml:space="preserve">季度偿付能力报告摘要扫描件或复印件。</w:t>
            </w:r>
            <w:r>
              <w:rPr>
                <w:rFonts w:hint="eastAsia" w:ascii="宋体" w:hAnsi="宋体" w:eastAsia="宋体" w:cs="Times New Roman"/>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3.4</w:t>
            </w:r>
            <w:r>
              <w:rPr>
                <w:rFonts w:ascii="宋体" w:hAnsi="宋体"/>
                <w:color w:val="000000"/>
                <w:sz w:val="24"/>
                <w:highlight w:val="none"/>
                <w:lang w:val="en-US" w:eastAsia="zh-CN"/>
              </w:rPr>
            </w:r>
            <w:r/>
          </w:p>
        </w:tc>
        <w:tc>
          <w:tcPr>
            <w:tcW w:w="180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投标人或其当地的分支机构202</w:t>
            </w:r>
            <w:r>
              <w:rPr>
                <w:rFonts w:hint="eastAsia" w:ascii="宋体" w:hAnsi="宋体"/>
                <w:color w:val="000000"/>
                <w:sz w:val="24"/>
                <w:highlight w:val="none"/>
                <w:lang w:val="en-US" w:eastAsia="zh-CN"/>
              </w:rPr>
              <w:t xml:space="preserve">3</w:t>
            </w:r>
            <w:r>
              <w:rPr>
                <w:rFonts w:hint="eastAsia" w:ascii="宋体" w:hAnsi="宋体" w:eastAsia="宋体"/>
                <w:color w:val="000000"/>
                <w:sz w:val="24"/>
                <w:highlight w:val="none"/>
                <w:lang w:val="en-US" w:eastAsia="zh-CN"/>
              </w:rPr>
              <w:t xml:space="preserve">年1月1日以来类似险种的承保经验</w:t>
            </w:r>
            <w:r>
              <w:rPr>
                <w:rFonts w:hint="eastAsia" w:ascii="宋体" w:hAnsi="宋体" w:eastAsia="宋体"/>
                <w:color w:val="000000"/>
                <w:sz w:val="24"/>
                <w:highlight w:val="none"/>
                <w:lang w:val="en-US" w:eastAsia="zh-CN"/>
              </w:rPr>
            </w:r>
            <w:r/>
          </w:p>
        </w:tc>
        <w:tc>
          <w:tcPr>
            <w:tcW w:w="611" w:type="dxa"/>
            <w:vAlign w:val="center"/>
            <w:textDirection w:val="lrTb"/>
            <w:noWrap w:val="false"/>
          </w:tcPr>
          <w:p>
            <w:pPr>
              <w:pStyle w:val="1074"/>
              <w:ind w:firstLine="28"/>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10</w:t>
            </w:r>
            <w:r>
              <w:rPr>
                <w:rFonts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有财产综合险业务的，每有一单得1分，最高得2分；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有机器损坏险业务的，每有一单得1分，最高得2分；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有医疗责任保险业务的，每有一单得1分，最高得6分；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本项最高得10分。</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提供202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年1月1日以来的保险合同或保单的扫描件。</w:t>
            </w:r>
            <w:r>
              <w:rPr>
                <w:rFonts w:hint="eastAsia" w:ascii="宋体" w:hAnsi="宋体" w:eastAsia="宋体" w:cs="Times New Roman"/>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3.5</w:t>
            </w:r>
            <w:r>
              <w:rPr>
                <w:rFonts w:ascii="宋体" w:hAnsi="宋体"/>
                <w:color w:val="000000"/>
                <w:sz w:val="24"/>
                <w:highlight w:val="none"/>
                <w:lang w:val="en-US" w:eastAsia="zh-CN"/>
              </w:rPr>
            </w:r>
            <w:r/>
          </w:p>
        </w:tc>
        <w:tc>
          <w:tcPr>
            <w:tcW w:w="1801" w:type="dxa"/>
            <w:vAlign w:val="center"/>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t xml:space="preserve">投标人或其当地的分支机构202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年1月1日以来机关事业单位项目承保经验</w:t>
            </w: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8</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202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年1月1日以来机关事业单位项目承保经验，每有一项得2分，本项最高得8分。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注：若提供的业绩与3.4项所列业绩重复，则对应重复业绩本项不予计分。</w:t>
            </w: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提供202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年1月1日以来的保险合同或保险单扫描件（同一项目不同年度算一个业绩）。</w:t>
            </w:r>
            <w:r>
              <w:rPr>
                <w:rFonts w:hint="eastAsia" w:ascii="宋体" w:hAnsi="宋体" w:eastAsia="宋体" w:cs="Times New Roman"/>
                <w:color w:val="000000"/>
                <w:sz w:val="24"/>
                <w:highlight w:val="none"/>
              </w:rPr>
            </w:r>
            <w:r/>
          </w:p>
        </w:tc>
      </w:tr>
      <w:tr>
        <w:trPr>
          <w:trHeight w:val="3475"/>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3.6</w:t>
            </w:r>
            <w:r>
              <w:rPr>
                <w:rFonts w:ascii="宋体" w:hAnsi="宋体"/>
                <w:color w:val="000000"/>
                <w:sz w:val="24"/>
                <w:highlight w:val="none"/>
                <w:lang w:val="en-US" w:eastAsia="zh-CN"/>
              </w:rPr>
            </w:r>
            <w:r/>
          </w:p>
        </w:tc>
        <w:tc>
          <w:tcPr>
            <w:tcW w:w="1801" w:type="dxa"/>
            <w:vAlign w:val="center"/>
            <w:vMerge w:val="restart"/>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t xml:space="preserve">服务保障能力</w:t>
            </w: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电话服务保障：</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1、投标人具有7*24小时电话服务的能力，具备一条服务专线的得2分。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2、承诺中标30日内为本项目开设专属7*24服务电话的得1分。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本项目最高2分。</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提供与运营公司签订的协议或其他证明材料复印件或承诺函加盖公章。</w:t>
            </w:r>
            <w:r>
              <w:rPr>
                <w:rFonts w:hint="eastAsia" w:ascii="宋体" w:hAnsi="宋体" w:eastAsia="宋体" w:cs="Times New Roman"/>
                <w:color w:val="000000"/>
                <w:sz w:val="24"/>
                <w:highlight w:val="none"/>
              </w:rPr>
            </w:r>
            <w:r/>
          </w:p>
          <w:p>
            <w:pPr>
              <w:pStyle w:val="1074"/>
              <w:ind w:left="-38"/>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投标人以分公司名义投标的，认可其总公司电话服务保障能力。未提供的或资料不全的或无效的不得分。</w:t>
            </w:r>
            <w:r>
              <w:rPr>
                <w:rFonts w:hint="eastAsia" w:ascii="宋体" w:hAnsi="宋体" w:eastAsia="宋体" w:cs="Times New Roman"/>
                <w:color w:val="000000"/>
                <w:sz w:val="24"/>
                <w:highlight w:val="none"/>
              </w:rPr>
            </w:r>
            <w:r/>
          </w:p>
        </w:tc>
      </w:tr>
      <w:tr>
        <w:trPr/>
        <w:tc>
          <w:tcPr>
            <w:tcW w:w="611" w:type="dxa"/>
            <w:vAlign w:val="center"/>
            <w:textDirection w:val="lrTb"/>
            <w:noWrap w:val="false"/>
          </w:tcPr>
          <w:p>
            <w:pPr>
              <w:pStyle w:val="1074"/>
              <w:ind w:firstLine="28"/>
              <w:jc w:val="center"/>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tcW w:w="1801" w:type="dxa"/>
            <w:vAlign w:val="center"/>
            <w:vMerge w:val="continue"/>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服务网点保障：</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1.投标人在项目所在地设有服务网点得2分。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2.承诺中标30日内在项目所在地设置服务网点的得1分。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本项目最高2分。</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所设网点有效的营业执照和保险业务许可证原件扫描件或承诺函加盖公章，未提供的或资料不全的或无效的不得分。</w:t>
            </w:r>
            <w:r>
              <w:rPr>
                <w:rFonts w:hint="eastAsia" w:ascii="宋体" w:hAnsi="宋体" w:eastAsia="宋体" w:cs="Times New Roman"/>
                <w:color w:val="000000"/>
                <w:sz w:val="24"/>
                <w:highlight w:val="none"/>
              </w:rPr>
            </w:r>
            <w:r/>
          </w:p>
        </w:tc>
      </w:tr>
      <w:tr>
        <w:trPr/>
        <w:tc>
          <w:tcPr>
            <w:tcW w:w="611" w:type="dxa"/>
            <w:vAlign w:val="center"/>
            <w:textDirection w:val="lrTb"/>
            <w:noWrap w:val="false"/>
          </w:tcPr>
          <w:p>
            <w:pPr>
              <w:pStyle w:val="1074"/>
              <w:ind w:firstLine="28"/>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3.7</w:t>
            </w:r>
            <w:r>
              <w:rPr>
                <w:rFonts w:ascii="宋体" w:hAnsi="宋体"/>
                <w:color w:val="000000"/>
                <w:sz w:val="24"/>
                <w:highlight w:val="none"/>
                <w:lang w:val="en-US" w:eastAsia="zh-CN"/>
              </w:rPr>
            </w:r>
            <w:r/>
          </w:p>
        </w:tc>
        <w:tc>
          <w:tcPr>
            <w:tcW w:w="1801" w:type="dxa"/>
            <w:vAlign w:val="center"/>
            <w:textDirection w:val="lrTb"/>
            <w:noWrap w:val="false"/>
          </w:tcPr>
          <w:p>
            <w:pPr>
              <w:pStyle w:val="1074"/>
              <w:ind w:firstLine="28"/>
              <w:jc w:val="center"/>
              <w:rPr>
                <w:rFonts w:hint="eastAsia" w:ascii="宋体" w:hAnsi="宋体"/>
                <w:color w:val="000000"/>
                <w:sz w:val="24"/>
                <w:highlight w:val="none"/>
              </w:rPr>
            </w:pPr>
            <w:r>
              <w:rPr>
                <w:rFonts w:hint="eastAsia" w:ascii="宋体" w:hAnsi="宋体"/>
                <w:color w:val="000000"/>
                <w:sz w:val="24"/>
                <w:highlight w:val="none"/>
              </w:rPr>
              <w:t xml:space="preserve">项目负责人</w:t>
            </w:r>
            <w:r>
              <w:rPr>
                <w:rFonts w:hint="eastAsia" w:ascii="宋体" w:hAnsi="宋体"/>
                <w:color w:val="000000"/>
                <w:sz w:val="24"/>
                <w:highlight w:val="none"/>
              </w:rPr>
            </w:r>
            <w:r/>
          </w:p>
        </w:tc>
        <w:tc>
          <w:tcPr>
            <w:tcW w:w="611" w:type="dxa"/>
            <w:vAlign w:val="center"/>
            <w:textDirection w:val="lrTb"/>
            <w:noWrap w:val="false"/>
          </w:tcPr>
          <w:p>
            <w:pPr>
              <w:pStyle w:val="1074"/>
              <w:ind w:firstLine="28"/>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6</w:t>
            </w:r>
            <w:r>
              <w:rPr>
                <w:rFonts w:hint="eastAsia" w:ascii="宋体" w:hAnsi="宋体" w:eastAsia="宋体"/>
                <w:color w:val="000000"/>
                <w:sz w:val="24"/>
                <w:highlight w:val="none"/>
                <w:lang w:val="en-US" w:eastAsia="zh-CN"/>
              </w:rPr>
            </w:r>
            <w:r/>
          </w:p>
        </w:tc>
        <w:tc>
          <w:tcPr>
            <w:tcW w:w="4172" w:type="dxa"/>
            <w:vAlign w:val="center"/>
            <w:textDirection w:val="lrTb"/>
            <w:noWrap w:val="false"/>
          </w:tcPr>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拟派项目负责人，50周岁以内，（须为投标单位正式职工） </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（1）具有本科或以上学历得2分。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（2）具有中级及以上职称的得2分。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（3）具备5年（含）以上保险从业经历的得2分。</w:t>
            </w:r>
            <w:r>
              <w:rPr>
                <w:rFonts w:hint="eastAsia" w:ascii="宋体" w:hAnsi="宋体" w:eastAsia="宋体" w:cs="Times New Roman"/>
                <w:color w:val="000000"/>
                <w:sz w:val="24"/>
                <w:highlight w:val="none"/>
              </w:rPr>
            </w:r>
            <w:r/>
          </w:p>
          <w:p>
            <w:pPr>
              <w:pStyle w:val="1074"/>
              <w:ind w:firstLine="0"/>
              <w:keepLines w:val="0"/>
              <w:keepNext w:val="0"/>
              <w:pageBreakBefore w:val="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本项目最高6分。</w:t>
            </w:r>
            <w:r>
              <w:rPr>
                <w:rFonts w:hint="eastAsia" w:ascii="宋体" w:hAnsi="宋体" w:eastAsia="宋体" w:cs="Times New Roman"/>
                <w:color w:val="000000"/>
                <w:sz w:val="24"/>
                <w:highlight w:val="none"/>
              </w:rPr>
            </w:r>
            <w:r/>
          </w:p>
        </w:tc>
        <w:tc>
          <w:tcPr>
            <w:tcW w:w="2303" w:type="dxa"/>
            <w:vAlign w:val="center"/>
            <w:textDirection w:val="lrTb"/>
            <w:noWrap w:val="false"/>
          </w:tcPr>
          <w:p>
            <w:pPr>
              <w:pStyle w:val="1074"/>
              <w:ind w:left="-38"/>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提供证书扫描件、加盖</w:t>
            </w:r>
            <w:r>
              <w:rPr>
                <w:rFonts w:hint="eastAsia" w:ascii="宋体" w:hAnsi="宋体" w:eastAsia="宋体" w:cs="Times New Roman"/>
                <w:color w:val="000000"/>
                <w:sz w:val="24"/>
                <w:highlight w:val="none"/>
                <w:lang w:val="en-US" w:eastAsia="zh-CN"/>
              </w:rPr>
              <w:t xml:space="preserve">投标</w:t>
            </w:r>
            <w:r>
              <w:rPr>
                <w:rFonts w:hint="eastAsia" w:ascii="宋体" w:hAnsi="宋体" w:eastAsia="宋体" w:cs="Times New Roman"/>
                <w:color w:val="000000"/>
                <w:sz w:val="24"/>
                <w:highlight w:val="none"/>
              </w:rPr>
              <w:t xml:space="preserve">单位公章的保险从业经历证明材料扫描件，并提供投标人202</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月-202</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年</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月为其缴纳的社保证明否则不得分。未按要求提供不得分。</w:t>
            </w:r>
            <w:r>
              <w:rPr>
                <w:rFonts w:hint="eastAsia" w:ascii="宋体" w:hAnsi="宋体" w:eastAsia="宋体" w:cs="Times New Roman"/>
                <w:color w:val="000000"/>
                <w:sz w:val="24"/>
                <w:highlight w:val="none"/>
              </w:rPr>
            </w:r>
            <w:r/>
          </w:p>
        </w:tc>
      </w:tr>
      <w:tr>
        <w:trPr/>
        <w:tc>
          <w:tcPr>
            <w:gridSpan w:val="2"/>
            <w:tcW w:w="2412" w:type="dxa"/>
            <w:vAlign w:val="center"/>
            <w:textDirection w:val="lrTb"/>
            <w:noWrap w:val="false"/>
          </w:tcPr>
          <w:p>
            <w:pPr>
              <w:pStyle w:val="1074"/>
              <w:ind w:firstLine="28"/>
              <w:jc w:val="center"/>
              <w:rPr>
                <w:rFonts w:ascii="宋体" w:hAnsi="宋体"/>
                <w:color w:val="000000"/>
                <w:sz w:val="24"/>
                <w:highlight w:val="none"/>
              </w:rPr>
            </w:pPr>
            <w:r>
              <w:rPr>
                <w:rFonts w:ascii="宋体" w:hAnsi="宋体"/>
                <w:color w:val="000000"/>
                <w:sz w:val="24"/>
                <w:highlight w:val="none"/>
              </w:rPr>
              <w:t xml:space="preserve">合计</w:t>
            </w:r>
            <w:r>
              <w:rPr>
                <w:rFonts w:ascii="宋体" w:hAnsi="宋体"/>
                <w:color w:val="000000"/>
                <w:sz w:val="24"/>
                <w:highlight w:val="none"/>
              </w:rPr>
            </w:r>
            <w:r/>
          </w:p>
        </w:tc>
        <w:tc>
          <w:tcPr>
            <w:tcW w:w="611" w:type="dxa"/>
            <w:vAlign w:val="center"/>
            <w:textDirection w:val="lrTb"/>
            <w:noWrap w:val="false"/>
          </w:tcPr>
          <w:p>
            <w:pPr>
              <w:pStyle w:val="1074"/>
              <w:ind w:firstLine="28"/>
              <w:jc w:val="center"/>
              <w:rPr>
                <w:rFonts w:ascii="宋体" w:hAnsi="宋体"/>
                <w:color w:val="000000"/>
                <w:sz w:val="24"/>
                <w:highlight w:val="none"/>
              </w:rPr>
            </w:pPr>
            <w:r>
              <w:rPr>
                <w:rFonts w:ascii="宋体" w:hAnsi="宋体"/>
                <w:color w:val="000000"/>
                <w:sz w:val="24"/>
                <w:highlight w:val="none"/>
              </w:rPr>
              <w:t xml:space="preserve">100</w:t>
            </w:r>
            <w:r>
              <w:rPr>
                <w:rFonts w:ascii="宋体" w:hAnsi="宋体"/>
                <w:color w:val="000000"/>
                <w:sz w:val="24"/>
                <w:highlight w:val="none"/>
              </w:rPr>
            </w:r>
            <w:r/>
          </w:p>
        </w:tc>
        <w:tc>
          <w:tcPr>
            <w:gridSpan w:val="2"/>
            <w:tcW w:w="6475" w:type="dxa"/>
            <w:vAlign w:val="center"/>
            <w:textDirection w:val="lrTb"/>
            <w:noWrap w:val="false"/>
          </w:tcPr>
          <w:p>
            <w:pPr>
              <w:pStyle w:val="1074"/>
              <w:rPr>
                <w:rFonts w:ascii="宋体" w:hAnsi="宋体"/>
                <w:color w:val="000000"/>
                <w:sz w:val="24"/>
                <w:highlight w:val="none"/>
              </w:rPr>
            </w:pPr>
            <w:r>
              <w:rPr>
                <w:rFonts w:ascii="宋体" w:hAnsi="宋体"/>
                <w:color w:val="000000"/>
                <w:sz w:val="24"/>
                <w:highlight w:val="none"/>
              </w:rPr>
            </w:r>
            <w:r/>
          </w:p>
        </w:tc>
      </w:tr>
    </w:tbl>
    <w:p>
      <w:pPr>
        <w:pStyle w:val="1074"/>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4" w:name="_Toc99301424"/>
      <w:r>
        <w:rPr>
          <w:rFonts w:ascii="宋体" w:hAnsi="宋体"/>
          <w:b/>
          <w:color w:val="000000"/>
          <w:sz w:val="36"/>
          <w:szCs w:val="36"/>
          <w:highlight w:val="none"/>
        </w:rPr>
        <w:t xml:space="preserve">第五章   采购需求</w:t>
      </w:r>
      <w:bookmarkEnd w:id="814"/>
      <w:r>
        <w:rPr>
          <w:rFonts w:ascii="宋体" w:hAnsi="宋体"/>
          <w:b/>
          <w:color w:val="000000"/>
          <w:sz w:val="36"/>
          <w:szCs w:val="36"/>
          <w:highlight w:val="none"/>
        </w:rPr>
      </w:r>
      <w:r/>
    </w:p>
    <w:p>
      <w:pPr>
        <w:pStyle w:val="1074"/>
        <w:contextualSpacing/>
        <w:spacing w:line="360" w:lineRule="auto"/>
        <w:rPr>
          <w:rFonts w:ascii="宋体" w:hAnsi="宋体"/>
          <w:color w:val="000000"/>
          <w:sz w:val="24"/>
          <w:highlight w:val="none"/>
        </w:rPr>
      </w:pPr>
      <w:r>
        <w:rPr>
          <w:rFonts w:ascii="宋体" w:hAnsi="宋体"/>
          <w:color w:val="000000"/>
          <w:sz w:val="24"/>
          <w:highlight w:val="none"/>
        </w:rPr>
      </w:r>
      <w:r/>
    </w:p>
    <w:p>
      <w:pPr>
        <w:pStyle w:val="1330"/>
        <w:numPr>
          <w:ilvl w:val="0"/>
          <w:numId w:val="0"/>
        </w:numPr>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rPr>
        <w:t xml:space="preserve">项目背景</w:t>
      </w:r>
      <w:r>
        <w:rPr>
          <w:rFonts w:ascii="宋体" w:hAnsi="宋体"/>
          <w:b/>
          <w:color w:val="000000"/>
          <w:sz w:val="24"/>
          <w:szCs w:val="24"/>
          <w:highlight w:val="none"/>
        </w:rPr>
      </w:r>
      <w:r/>
    </w:p>
    <w:p>
      <w:pPr>
        <w:pStyle w:val="1074"/>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为构建和谐医患关系，创建“平安医院”，进一步建立完善医疗风险分担机制和医疗纠纷一体化处理模式，拟采购202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-202</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年度常州市肿瘤医院医疗责任险、财产险。</w:t>
      </w:r>
      <w:r>
        <w:rPr>
          <w:rFonts w:hint="eastAsia" w:ascii="宋体" w:hAnsi="宋体"/>
          <w:bCs/>
          <w:color w:val="000000"/>
          <w:sz w:val="24"/>
          <w:highlight w:val="none"/>
        </w:rPr>
      </w:r>
      <w:r/>
    </w:p>
    <w:p>
      <w:pPr>
        <w:pStyle w:val="1074"/>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本项目由采购人委托的第三方保险经纪公司制定详细实施方案并经采购人确认后负责具体实施。</w:t>
      </w:r>
      <w:r>
        <w:rPr>
          <w:rFonts w:hint="eastAsia" w:ascii="宋体" w:hAnsi="宋体"/>
          <w:bCs/>
          <w:color w:val="000000"/>
          <w:sz w:val="24"/>
          <w:highlight w:val="none"/>
        </w:rPr>
      </w:r>
      <w:r/>
    </w:p>
    <w:p>
      <w:pPr>
        <w:pStyle w:val="1330"/>
        <w:numPr>
          <w:ilvl w:val="0"/>
          <w:numId w:val="0"/>
        </w:numPr>
        <w:contextualSpacing/>
        <w:ind w:left="-2" w:firstLine="482"/>
        <w:spacing w:line="360" w:lineRule="auto"/>
        <w:tabs>
          <w:tab w:val="left" w:pos="567" w:leader="none"/>
        </w:tabs>
        <w:rPr>
          <w:rFonts w:ascii="宋体" w:hAnsi="宋体"/>
          <w:b/>
          <w:color w:val="000000"/>
          <w:sz w:val="24"/>
          <w:szCs w:val="24"/>
          <w:highlight w:val="none"/>
          <w:lang w:val="en-US"/>
        </w:rPr>
      </w:pPr>
      <w:r>
        <w:rPr>
          <w:rFonts w:ascii="宋体" w:hAnsi="宋体"/>
          <w:b/>
          <w:color w:val="000000"/>
          <w:sz w:val="24"/>
          <w:szCs w:val="24"/>
          <w:highlight w:val="none"/>
          <w:lang w:val="en-US" w:eastAsia="zh-CN" w:bidi="ar-SA"/>
        </w:rPr>
        <w:t xml:space="preserve">二、</w:t>
      </w:r>
      <w:r>
        <w:rPr>
          <w:rFonts w:hint="eastAsia" w:ascii="宋体" w:hAnsi="宋体"/>
          <w:b/>
          <w:color w:val="000000"/>
          <w:sz w:val="24"/>
          <w:szCs w:val="24"/>
          <w:highlight w:val="none"/>
          <w:lang w:val="en-US" w:eastAsia="zh-CN"/>
        </w:rPr>
        <w:t xml:space="preserve">项目内容及要求</w:t>
      </w:r>
      <w:r>
        <w:rPr>
          <w:rFonts w:ascii="宋体" w:hAnsi="宋体"/>
          <w:b/>
          <w:color w:val="000000"/>
          <w:sz w:val="24"/>
          <w:szCs w:val="24"/>
          <w:highlight w:val="none"/>
          <w:lang w:val="en-US"/>
        </w:rPr>
      </w:r>
      <w:r/>
    </w:p>
    <w:p>
      <w:pPr>
        <w:pStyle w:val="1074"/>
        <w:ind w:firstLine="560"/>
        <w:spacing w:line="440" w:lineRule="exac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（一）服务要求</w:t>
      </w:r>
      <w:r>
        <w:rPr>
          <w:rFonts w:hint="eastAsia" w:ascii="宋体" w:hAnsi="宋体" w:eastAsia="宋体" w:cs="宋体"/>
          <w:bCs/>
          <w:color w:val="000000"/>
          <w:sz w:val="24"/>
          <w:szCs w:val="24"/>
          <w:highlight w:val="none"/>
        </w:rPr>
      </w:r>
      <w:r/>
    </w:p>
    <w:p>
      <w:pPr>
        <w:pStyle w:val="1074"/>
        <w:ind w:right="210" w:firstLine="48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1.中标保险人在本项目承保理赔工作中，严格遵守国家法律法规、行业监管规定，廉洁自律、依法合规经营。</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b/>
          <w:bCs/>
          <w:color w:val="000000"/>
          <w:spacing w:val="2"/>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pacing w:val="2"/>
          <w:sz w:val="24"/>
          <w:szCs w:val="24"/>
          <w:highlight w:val="none"/>
          <w:lang w:val="en-US" w:eastAsia="zh-CN"/>
        </w:rPr>
        <w:t xml:space="preserve">2.</w:t>
      </w:r>
      <w:r>
        <w:rPr>
          <w:rFonts w:hint="eastAsia" w:ascii="宋体" w:hAnsi="宋体" w:eastAsia="宋体" w:cs="宋体"/>
          <w:b/>
          <w:bCs/>
          <w:color w:val="000000"/>
          <w:spacing w:val="2"/>
          <w:sz w:val="24"/>
          <w:szCs w:val="24"/>
          <w:highlight w:val="none"/>
        </w:rPr>
        <w:t xml:space="preserve">投标文件中医疗责任保险（附加医疗机构场所责任险、附加医务人员遭受伤害责任保险）、财产险（包括财产综合险、机器设备损坏险）的保险条款及费率，在中标后30日内向国家金融监督管理总局（原中国银行保险监督管理委员会）报备。</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val="en-US" w:eastAsia="zh-CN"/>
        </w:rPr>
        <w:t xml:space="preserve">提供承诺函</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eastAsia="zh-CN"/>
        </w:rPr>
      </w:r>
      <w:r/>
    </w:p>
    <w:p>
      <w:pPr>
        <w:pStyle w:val="1074"/>
        <w:ind w:left="-4" w:firstLine="428"/>
        <w:spacing w:line="440" w:lineRule="exact"/>
        <w:rPr>
          <w:rFonts w:hint="eastAsia" w:ascii="宋体" w:hAnsi="宋体" w:eastAsia="宋体" w:cs="宋体"/>
          <w:b/>
          <w:bCs/>
          <w:color w:val="000000"/>
          <w:spacing w:val="2"/>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pacing w:val="2"/>
          <w:sz w:val="24"/>
          <w:szCs w:val="24"/>
          <w:highlight w:val="none"/>
          <w:lang w:val="en-US" w:eastAsia="zh-CN"/>
        </w:rPr>
        <w:t xml:space="preserve">3.本保险项目所涉保险责任自202</w:t>
      </w:r>
      <w:r>
        <w:rPr>
          <w:rFonts w:hint="eastAsia" w:ascii="宋体" w:hAnsi="宋体" w:cs="宋体"/>
          <w:b/>
          <w:bCs/>
          <w:color w:val="000000"/>
          <w:spacing w:val="2"/>
          <w:sz w:val="24"/>
          <w:szCs w:val="24"/>
          <w:highlight w:val="none"/>
          <w:lang w:val="en-US" w:eastAsia="zh-CN"/>
        </w:rPr>
        <w:t xml:space="preserve">6</w:t>
      </w:r>
      <w:r>
        <w:rPr>
          <w:rFonts w:hint="eastAsia" w:ascii="宋体" w:hAnsi="宋体" w:eastAsia="宋体" w:cs="宋体"/>
          <w:b/>
          <w:bCs/>
          <w:color w:val="000000"/>
          <w:spacing w:val="2"/>
          <w:sz w:val="24"/>
          <w:szCs w:val="24"/>
          <w:highlight w:val="none"/>
          <w:lang w:val="en-US" w:eastAsia="zh-CN"/>
        </w:rPr>
        <w:t xml:space="preserve">年04月23日零时起，自上述期限起发生合同约定的符合采购需求的保险事故均由承保保险公司承担理赔责任。</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val="en-US" w:eastAsia="zh-CN"/>
        </w:rPr>
        <w:t xml:space="preserve">提供承诺函</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val="en-US" w:eastAsia="zh-CN"/>
        </w:rPr>
      </w:r>
      <w:r/>
    </w:p>
    <w:p>
      <w:pPr>
        <w:pStyle w:val="1074"/>
        <w:ind w:left="-4" w:firstLine="428"/>
        <w:spacing w:line="440" w:lineRule="exact"/>
        <w:rPr>
          <w:rFonts w:ascii="宋体" w:hAnsi="宋体" w:eastAsia="宋体" w:cs="宋体"/>
          <w:b/>
          <w:bCs/>
          <w:color w:val="000000"/>
          <w:spacing w:val="2"/>
          <w:sz w:val="24"/>
          <w:szCs w:val="24"/>
          <w:highlight w:val="none"/>
          <w:lang w:val="en-US" w:eastAsia="zh-CN"/>
        </w:rPr>
      </w:pPr>
      <w:r>
        <w:rPr>
          <w:rFonts w:hint="eastAsia" w:ascii="宋体" w:hAnsi="宋体" w:eastAsia="宋体" w:cs="宋体"/>
          <w:b/>
          <w:bCs/>
          <w:color w:val="000000"/>
          <w:spacing w:val="2"/>
          <w:sz w:val="24"/>
          <w:szCs w:val="24"/>
          <w:highlight w:val="none"/>
          <w:lang w:val="en-US" w:eastAsia="zh-CN"/>
        </w:rPr>
        <w:t xml:space="preserve">保单应按年度签订。对中途投保不足一年的，应按实际投保天数计算（日保费=年保险费÷365天）。</w:t>
      </w:r>
      <w:r>
        <w:rPr>
          <w:rFonts w:ascii="宋体" w:hAnsi="宋体" w:eastAsia="宋体" w:cs="宋体"/>
          <w:b/>
          <w:bCs/>
          <w:color w:val="000000"/>
          <w:spacing w:val="2"/>
          <w:sz w:val="24"/>
          <w:szCs w:val="24"/>
          <w:highlight w:val="none"/>
          <w:lang w:val="en-US" w:eastAsia="zh-CN"/>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4</w:t>
      </w:r>
      <w:r>
        <w:rPr>
          <w:rFonts w:hint="eastAsia" w:ascii="宋体" w:hAnsi="宋体" w:eastAsia="宋体" w:cs="宋体"/>
          <w:color w:val="000000"/>
          <w:spacing w:val="2"/>
          <w:sz w:val="24"/>
          <w:szCs w:val="24"/>
          <w:highlight w:val="none"/>
        </w:rPr>
        <w:t xml:space="preserve">.投保服务</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采购人委托的第三方保险经纪公司上门收集投保人相关投保资料，保险人在收到完整投保资料后5个工作日内完成核保、出具保单、发票（或缴费通知书）。采购人委托的第三方保险经纪公司上门将保险单正本件、保费票据及时交给投保人。</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.理赔服务</w:t>
      </w:r>
      <w:r>
        <w:rPr>
          <w:rFonts w:hint="eastAsia" w:ascii="宋体" w:hAnsi="宋体" w:eastAsia="宋体" w:cs="宋体"/>
          <w:color w:val="000000"/>
          <w:spacing w:val="2"/>
          <w:sz w:val="24"/>
          <w:szCs w:val="24"/>
          <w:highlight w:val="none"/>
        </w:rPr>
      </w:r>
      <w:r/>
    </w:p>
    <w:p>
      <w:pPr>
        <w:pStyle w:val="1074"/>
        <w:ind w:firstLine="488"/>
        <w:spacing w:line="360" w:lineRule="auto"/>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.1发生保险事故后，</w:t>
      </w:r>
      <w:r>
        <w:rPr>
          <w:rFonts w:hint="eastAsia" w:ascii="宋体" w:hAnsi="宋体" w:eastAsia="宋体" w:cs="宋体"/>
          <w:color w:val="000000"/>
          <w:spacing w:val="2"/>
          <w:sz w:val="24"/>
          <w:szCs w:val="24"/>
          <w:highlight w:val="none"/>
        </w:rPr>
        <w:fldChar w:fldCharType="begin"/>
      </w:r>
      <w:r>
        <w:rPr>
          <w:rFonts w:hint="eastAsia" w:ascii="宋体" w:hAnsi="宋体" w:eastAsia="宋体" w:cs="宋体"/>
          <w:color w:val="000000"/>
          <w:spacing w:val="2"/>
          <w:sz w:val="24"/>
          <w:szCs w:val="24"/>
          <w:highlight w:val="none"/>
        </w:rPr>
        <w:instrText xml:space="preserve"> = 1 \* GB3 \* MERGEFORMAT </w:instrText>
      </w:r>
      <w:r>
        <w:rPr>
          <w:rFonts w:hint="eastAsia" w:ascii="宋体" w:hAnsi="宋体" w:eastAsia="宋体" w:cs="宋体"/>
          <w:color w:val="000000"/>
          <w:spacing w:val="2"/>
          <w:sz w:val="24"/>
          <w:szCs w:val="24"/>
          <w:highlight w:val="none"/>
        </w:rPr>
        <w:fldChar w:fldCharType="separate"/>
      </w:r>
      <w:r>
        <w:rPr>
          <w:rFonts w:hint="eastAsia" w:ascii="宋体" w:hAnsi="宋体" w:eastAsia="宋体" w:cs="宋体"/>
          <w:color w:val="000000"/>
          <w:spacing w:val="2"/>
          <w:sz w:val="24"/>
          <w:szCs w:val="24"/>
          <w:highlight w:val="none"/>
        </w:rPr>
        <w:t xml:space="preserve">①</w:t>
      </w:r>
      <w:r>
        <w:rPr>
          <w:rFonts w:hint="eastAsia" w:ascii="宋体" w:hAnsi="宋体" w:eastAsia="宋体" w:cs="宋体"/>
          <w:color w:val="000000"/>
          <w:spacing w:val="2"/>
          <w:sz w:val="24"/>
          <w:szCs w:val="24"/>
          <w:highlight w:val="none"/>
        </w:rPr>
        <w:fldChar w:fldCharType="end"/>
      </w:r>
      <w:r>
        <w:rPr>
          <w:rFonts w:hint="eastAsia" w:ascii="宋体" w:hAnsi="宋体" w:eastAsia="宋体" w:cs="宋体"/>
          <w:color w:val="000000"/>
          <w:spacing w:val="2"/>
          <w:sz w:val="24"/>
          <w:szCs w:val="24"/>
          <w:highlight w:val="none"/>
        </w:rPr>
        <w:t xml:space="preserve">被保险人及时向采购人委托的第三方保险经纪公司报案；</w:t>
      </w:r>
      <w:r>
        <w:rPr>
          <w:rFonts w:hint="eastAsia" w:ascii="宋体" w:hAnsi="宋体" w:eastAsia="宋体" w:cs="宋体"/>
          <w:color w:val="000000"/>
          <w:spacing w:val="2"/>
          <w:sz w:val="24"/>
          <w:szCs w:val="24"/>
          <w:highlight w:val="none"/>
        </w:rPr>
        <w:fldChar w:fldCharType="begin"/>
      </w:r>
      <w:r>
        <w:rPr>
          <w:rFonts w:hint="eastAsia" w:ascii="宋体" w:hAnsi="宋体" w:eastAsia="宋体" w:cs="宋体"/>
          <w:color w:val="000000"/>
          <w:spacing w:val="2"/>
          <w:sz w:val="24"/>
          <w:szCs w:val="24"/>
          <w:highlight w:val="none"/>
        </w:rPr>
        <w:instrText xml:space="preserve"> = 2 \* GB3 \* MERGEFORMAT </w:instrText>
      </w:r>
      <w:r>
        <w:rPr>
          <w:rFonts w:hint="eastAsia" w:ascii="宋体" w:hAnsi="宋体" w:eastAsia="宋体" w:cs="宋体"/>
          <w:color w:val="000000"/>
          <w:spacing w:val="2"/>
          <w:sz w:val="24"/>
          <w:szCs w:val="24"/>
          <w:highlight w:val="none"/>
        </w:rPr>
        <w:fldChar w:fldCharType="separate"/>
      </w:r>
      <w:r>
        <w:rPr>
          <w:rFonts w:hint="eastAsia" w:ascii="宋体" w:hAnsi="宋体" w:eastAsia="宋体" w:cs="宋体"/>
          <w:color w:val="000000"/>
          <w:spacing w:val="2"/>
          <w:sz w:val="24"/>
          <w:szCs w:val="24"/>
          <w:highlight w:val="none"/>
        </w:rPr>
        <w:t xml:space="preserve">②</w:t>
      </w:r>
      <w:r>
        <w:rPr>
          <w:rFonts w:hint="eastAsia" w:ascii="宋体" w:hAnsi="宋体" w:eastAsia="宋体" w:cs="宋体"/>
          <w:color w:val="000000"/>
          <w:spacing w:val="2"/>
          <w:sz w:val="24"/>
          <w:szCs w:val="24"/>
          <w:highlight w:val="none"/>
        </w:rPr>
        <w:fldChar w:fldCharType="end"/>
      </w:r>
      <w:r>
        <w:rPr>
          <w:rFonts w:hint="eastAsia" w:ascii="宋体" w:hAnsi="宋体" w:eastAsia="宋体" w:cs="宋体"/>
          <w:color w:val="000000"/>
          <w:spacing w:val="2"/>
          <w:sz w:val="24"/>
          <w:szCs w:val="24"/>
          <w:highlight w:val="none"/>
        </w:rPr>
        <w:t xml:space="preserve">采购人委托的第三方保险经纪公司及时将相关被保险人的理赔申请材料送达保险人；</w:t>
      </w:r>
      <w:r>
        <w:rPr>
          <w:rFonts w:hint="eastAsia" w:ascii="宋体" w:hAnsi="宋体" w:eastAsia="宋体" w:cs="宋体"/>
          <w:color w:val="000000"/>
          <w:spacing w:val="2"/>
          <w:sz w:val="24"/>
          <w:szCs w:val="24"/>
          <w:highlight w:val="none"/>
        </w:rPr>
        <w:fldChar w:fldCharType="begin"/>
      </w:r>
      <w:r>
        <w:rPr>
          <w:rFonts w:hint="eastAsia" w:ascii="宋体" w:hAnsi="宋体" w:eastAsia="宋体" w:cs="宋体"/>
          <w:color w:val="000000"/>
          <w:spacing w:val="2"/>
          <w:sz w:val="24"/>
          <w:szCs w:val="24"/>
          <w:highlight w:val="none"/>
        </w:rPr>
        <w:instrText xml:space="preserve"> = 3 \* GB3 \* MERGEFORMAT </w:instrText>
      </w:r>
      <w:r>
        <w:rPr>
          <w:rFonts w:hint="eastAsia" w:ascii="宋体" w:hAnsi="宋体" w:eastAsia="宋体" w:cs="宋体"/>
          <w:color w:val="000000"/>
          <w:spacing w:val="2"/>
          <w:sz w:val="24"/>
          <w:szCs w:val="24"/>
          <w:highlight w:val="none"/>
        </w:rPr>
        <w:fldChar w:fldCharType="separate"/>
      </w:r>
      <w:r>
        <w:rPr>
          <w:rFonts w:hint="eastAsia" w:ascii="宋体" w:hAnsi="宋体" w:eastAsia="宋体" w:cs="宋体"/>
          <w:color w:val="000000"/>
          <w:spacing w:val="2"/>
          <w:sz w:val="24"/>
          <w:szCs w:val="24"/>
          <w:highlight w:val="none"/>
        </w:rPr>
        <w:t xml:space="preserve">③</w:t>
      </w:r>
      <w:r>
        <w:rPr>
          <w:rFonts w:hint="eastAsia" w:ascii="宋体" w:hAnsi="宋体" w:eastAsia="宋体" w:cs="宋体"/>
          <w:color w:val="000000"/>
          <w:spacing w:val="2"/>
          <w:sz w:val="24"/>
          <w:szCs w:val="24"/>
          <w:highlight w:val="none"/>
        </w:rPr>
        <w:fldChar w:fldCharType="end"/>
      </w:r>
      <w:r>
        <w:rPr>
          <w:rFonts w:hint="eastAsia" w:ascii="宋体" w:hAnsi="宋体" w:eastAsia="宋体" w:cs="宋体"/>
          <w:color w:val="000000"/>
          <w:spacing w:val="2"/>
          <w:sz w:val="24"/>
          <w:szCs w:val="24"/>
          <w:highlight w:val="none"/>
        </w:rPr>
        <w:t xml:space="preserve">保险人在收到案件理赔申请后，根据条款及相关特别约定，按其工作流程审核相关材料并在特别约定的时限内提出处理意见，材料齐全后及时结案并足额理赔；④保险人在完成每个理赔案例后5个工作日内，将赔付款项的付款凭证（如：银行出具的汇款凭证）提交给被保险人，由被保险人存档以备查。</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2除非有合理和足够的证据证明，保险人不得以任何理由推卸、拖延甚至拒绝被保险人索赔的要求，否则其行为构成违约，并须承担违约责任。保险人未按特别约定相关条款的要求完成赔付的，在减去约定结案天数后按赔偿金额的0.657‰/日×实际滞纳天数计算滞纳金赔付给被保险人，并承担由此造成的其他损失。</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.3若因工程施工、抢险需要或者因诊疗、抢救病人的机器设备急需立即维修，导致被保险人因特殊情况无法报案或无法及时报案，有材料证明事故属于本保险项目保障范围的，保险人应当正常理赔。</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.4被保险人应尽可能为保险人、公估人调查和取证工作保留事故现场；对无法留待保险人、公估人查勘的事故现场，被保险人应尽可能留下照片、录像、文字记录供保险人审核之用。</w:t>
      </w:r>
      <w:r>
        <w:rPr>
          <w:rFonts w:hint="eastAsia" w:ascii="宋体" w:hAnsi="宋体" w:eastAsia="宋体" w:cs="宋体"/>
          <w:color w:val="000000"/>
          <w:spacing w:val="2"/>
          <w:sz w:val="24"/>
          <w:szCs w:val="24"/>
          <w:highlight w:val="none"/>
        </w:rPr>
      </w:r>
      <w:r/>
    </w:p>
    <w:p>
      <w:pPr>
        <w:pStyle w:val="1074"/>
        <w:numPr>
          <w:ilvl w:val="0"/>
          <w:numId w:val="0"/>
        </w:numPr>
        <w:ind w:left="0" w:firstLine="482"/>
        <w:spacing w:line="440" w:lineRule="exact"/>
        <w:rPr>
          <w:rFonts w:hint="eastAsia" w:ascii="宋体" w:hAnsi="宋体" w:cs="宋体"/>
          <w:color w:val="000000"/>
          <w:spacing w:val="2"/>
          <w:sz w:val="24"/>
          <w:szCs w:val="24"/>
          <w:highlight w:val="none"/>
          <w:lang w:val="en-US" w:eastAsia="zh-CN"/>
        </w:rPr>
      </w:pPr>
      <w:r>
        <w:rPr>
          <w:rFonts w:hint="eastAsia" w:ascii="宋体" w:hAnsi="宋体" w:cs="宋体"/>
          <w:color w:val="000000"/>
          <w:spacing w:val="2"/>
          <w:sz w:val="24"/>
          <w:szCs w:val="24"/>
          <w:highlight w:val="none"/>
          <w:lang w:val="en-US" w:eastAsia="zh-CN" w:bidi="ar-SA"/>
        </w:rPr>
        <w:t xml:space="preserve">6.</w:t>
      </w:r>
      <w:r>
        <w:rPr>
          <w:rFonts w:hint="eastAsia" w:ascii="宋体" w:hAnsi="宋体" w:cs="宋体"/>
          <w:color w:val="000000"/>
          <w:spacing w:val="2"/>
          <w:sz w:val="24"/>
          <w:szCs w:val="24"/>
          <w:highlight w:val="none"/>
          <w:lang w:val="en-US" w:eastAsia="zh-CN"/>
        </w:rPr>
        <w:t xml:space="preserve">联合体</w:t>
      </w:r>
      <w:r>
        <w:rPr>
          <w:rFonts w:hint="eastAsia" w:ascii="宋体" w:hAnsi="宋体" w:cs="宋体"/>
          <w:color w:val="000000"/>
          <w:spacing w:val="2"/>
          <w:sz w:val="24"/>
          <w:szCs w:val="24"/>
          <w:highlight w:val="none"/>
          <w:lang w:val="en-US" w:eastAsia="zh-CN"/>
        </w:rPr>
      </w:r>
      <w:r/>
    </w:p>
    <w:p>
      <w:pPr>
        <w:pStyle w:val="1074"/>
        <w:ind w:firstLine="488"/>
        <w:jc w:val="left"/>
        <w:spacing w:line="360" w:lineRule="auto"/>
        <w:rPr>
          <w:rFonts w:ascii="宋体" w:hAnsi="宋体" w:cs="宋体"/>
          <w:color w:val="000000"/>
          <w:spacing w:val="2"/>
          <w:sz w:val="24"/>
          <w:szCs w:val="24"/>
          <w:highlight w:val="none"/>
          <w:lang w:val="en-US" w:eastAsia="zh-CN"/>
        </w:rPr>
      </w:pPr>
      <w:r>
        <w:rPr>
          <w:rFonts w:hint="eastAsia" w:ascii="宋体" w:hAnsi="宋体" w:cs="宋体"/>
          <w:color w:val="000000"/>
          <w:spacing w:val="2"/>
          <w:sz w:val="24"/>
          <w:szCs w:val="24"/>
          <w:highlight w:val="none"/>
          <w:lang w:val="en-US" w:eastAsia="zh-CN"/>
        </w:rPr>
        <w:t xml:space="preserve">6.1</w:t>
      </w:r>
      <w:r>
        <w:rPr>
          <w:rFonts w:hint="eastAsia" w:ascii="Times New Roman" w:hAnsi="Times New Roman"/>
          <w:color w:val="000000"/>
          <w:spacing w:val="2"/>
          <w:sz w:val="24"/>
          <w:highlight w:val="none"/>
        </w:rPr>
        <w:t xml:space="preserve">如以联合体投标的中标人，由中标联合体牵头人与其他联合体共同签订共保协议，并上报采购人备案，此协议作为保险合同组成部分。联合共保协议不应违反本项目的招标文件、投标文件、保险协议及后续保险合同文件的规定和约定，联合体内部分歧的解决，应以不影响本采购人的保险利益为前提，任何联合体共保成员之间产生的利益矛盾与采购人无关。</w:t>
      </w:r>
      <w:r>
        <w:rPr>
          <w:rFonts w:ascii="宋体" w:hAnsi="宋体" w:cs="宋体"/>
          <w:color w:val="000000"/>
          <w:spacing w:val="2"/>
          <w:sz w:val="24"/>
          <w:szCs w:val="24"/>
          <w:highlight w:val="none"/>
          <w:lang w:val="en-US" w:eastAsia="zh-CN"/>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7</w:t>
      </w:r>
      <w:r>
        <w:rPr>
          <w:rFonts w:hint="eastAsia" w:ascii="宋体" w:hAnsi="宋体" w:eastAsia="宋体" w:cs="宋体"/>
          <w:color w:val="000000"/>
          <w:spacing w:val="2"/>
          <w:sz w:val="24"/>
          <w:szCs w:val="24"/>
          <w:highlight w:val="none"/>
        </w:rPr>
        <w:t xml:space="preserve">.监督管理</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7</w:t>
      </w:r>
      <w:r>
        <w:rPr>
          <w:rFonts w:hint="eastAsia" w:ascii="宋体" w:hAnsi="宋体" w:eastAsia="宋体" w:cs="宋体"/>
          <w:color w:val="000000"/>
          <w:spacing w:val="2"/>
          <w:sz w:val="24"/>
          <w:szCs w:val="24"/>
          <w:highlight w:val="none"/>
        </w:rPr>
        <w:t xml:space="preserve">.1为了整个承保机制顺利运行，中标保险人必须定期与采购人委托的第三方保险经纪公司汇总项目运行情况（包括但不仅限于报案、查勘、理赔等）。中标保险人于每月5日将上月结案明细以邮件形式发送给采购人委托的第三方保险经纪公司。按照规定提交各类报表、案件汇总、支付赔款凭证等，协助采购人委托的第三方保险经纪公司做好各项工作。</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7</w:t>
      </w:r>
      <w:r>
        <w:rPr>
          <w:rFonts w:hint="eastAsia" w:ascii="宋体" w:hAnsi="宋体" w:eastAsia="宋体" w:cs="宋体"/>
          <w:color w:val="000000"/>
          <w:spacing w:val="2"/>
          <w:sz w:val="24"/>
          <w:szCs w:val="24"/>
          <w:highlight w:val="none"/>
        </w:rPr>
        <w:t xml:space="preserve">.2保险人在合同有效期内，应接受采购人和采购人委托的第三方保险经纪公司的监督管理。中标保险人非因不可抗力未履行招标文件、投标文件和合同规定的义务，一经查实，采购人将根据《常州市政府采购供应商信用管理暂行办法》（常财规〔2017〕6号）相关规定报请财政部门按照规定予以中标人行政处罚或失信记录。造成采购人或投保人损失的将启动诉讼程序，要求中标保险人承担相关损失赔偿责任。</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8</w:t>
      </w:r>
      <w:r>
        <w:rPr>
          <w:rFonts w:hint="eastAsia" w:ascii="宋体" w:hAnsi="宋体" w:eastAsia="宋体" w:cs="宋体"/>
          <w:color w:val="000000"/>
          <w:spacing w:val="2"/>
          <w:sz w:val="24"/>
          <w:szCs w:val="24"/>
          <w:highlight w:val="none"/>
        </w:rPr>
        <w:t xml:space="preserve">.保险经纪服务</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保险经纪服务费由</w:t>
      </w:r>
      <w:r>
        <w:rPr>
          <w:rFonts w:hint="eastAsia" w:ascii="宋体" w:hAnsi="宋体" w:eastAsia="宋体" w:cs="宋体"/>
          <w:color w:val="000000"/>
          <w:spacing w:val="2"/>
          <w:sz w:val="24"/>
          <w:szCs w:val="24"/>
          <w:highlight w:val="none"/>
          <w:lang w:val="en-US" w:eastAsia="zh-CN"/>
        </w:rPr>
        <w:t xml:space="preserve">成交供应商</w:t>
      </w:r>
      <w:r>
        <w:rPr>
          <w:rFonts w:hint="eastAsia" w:ascii="宋体" w:hAnsi="宋体" w:eastAsia="宋体" w:cs="宋体"/>
          <w:color w:val="000000"/>
          <w:spacing w:val="2"/>
          <w:sz w:val="24"/>
          <w:szCs w:val="24"/>
          <w:highlight w:val="none"/>
        </w:rPr>
        <w:t xml:space="preserve">每年按医责险</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val="en-US" w:eastAsia="zh-CN"/>
        </w:rPr>
        <w:t xml:space="preserve">财产险</w:t>
      </w:r>
      <w:r>
        <w:rPr>
          <w:rFonts w:hint="eastAsia" w:ascii="宋体" w:hAnsi="宋体" w:eastAsia="宋体" w:cs="宋体"/>
          <w:color w:val="000000"/>
          <w:spacing w:val="2"/>
          <w:sz w:val="24"/>
          <w:szCs w:val="24"/>
          <w:highlight w:val="none"/>
        </w:rPr>
        <w:t xml:space="preserve">含税保费的</w:t>
      </w:r>
      <w:r>
        <w:rPr>
          <w:rFonts w:hint="eastAsia" w:ascii="宋体" w:hAnsi="宋体" w:eastAsia="宋体" w:cs="宋体"/>
          <w:color w:val="000000"/>
          <w:spacing w:val="2"/>
          <w:sz w:val="24"/>
          <w:szCs w:val="24"/>
          <w:highlight w:val="none"/>
          <w:lang w:val="en-US" w:eastAsia="zh-CN"/>
        </w:rPr>
        <w:t xml:space="preserve">7.8</w:t>
      </w:r>
      <w:r>
        <w:rPr>
          <w:rFonts w:hint="eastAsia" w:ascii="宋体" w:hAnsi="宋体" w:eastAsia="宋体" w:cs="宋体"/>
          <w:color w:val="000000"/>
          <w:spacing w:val="2"/>
          <w:sz w:val="24"/>
          <w:szCs w:val="24"/>
          <w:highlight w:val="none"/>
        </w:rPr>
        <w:t xml:space="preserve">%支付，采购人委托的第三方保险经纪公司全额出具发票。</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成交供应商在收到经纪公司开具的发票后，10个工作日内支付相关费用，保险人超时未支付的，按照发票</w:t>
      </w:r>
      <w:r>
        <w:rPr>
          <w:rFonts w:hint="eastAsia" w:ascii="宋体" w:hAnsi="宋体" w:eastAsia="宋体" w:cs="宋体"/>
          <w:color w:val="000000"/>
          <w:spacing w:val="2"/>
          <w:sz w:val="24"/>
          <w:szCs w:val="24"/>
          <w:highlight w:val="none"/>
        </w:rPr>
        <w:t xml:space="preserve">金额的0.657‰/日×实际滞纳天数计算滞纳金赔付给</w:t>
      </w:r>
      <w:r>
        <w:rPr>
          <w:rFonts w:hint="eastAsia" w:ascii="宋体" w:hAnsi="宋体" w:eastAsia="宋体" w:cs="宋体"/>
          <w:color w:val="000000"/>
          <w:spacing w:val="2"/>
          <w:sz w:val="24"/>
          <w:szCs w:val="24"/>
          <w:highlight w:val="none"/>
          <w:lang w:val="en-US" w:eastAsia="zh-CN"/>
        </w:rPr>
        <w:t xml:space="preserve">保险经纪公司。若因保险公司逾期付款引发诉讼，案件受理费、保全费、合理的律师费等 “法律费用” 由保险公司承担。</w:t>
      </w:r>
      <w:r>
        <w:rPr>
          <w:rFonts w:hint="eastAsia" w:ascii="宋体" w:hAnsi="宋体" w:eastAsia="宋体" w:cs="宋体"/>
          <w:color w:val="000000"/>
          <w:spacing w:val="2"/>
          <w:sz w:val="24"/>
          <w:szCs w:val="24"/>
          <w:highlight w:val="none"/>
        </w:rPr>
      </w:r>
      <w:r/>
    </w:p>
    <w:p>
      <w:pPr>
        <w:pStyle w:val="1074"/>
        <w:ind w:firstLine="560"/>
        <w:spacing w:line="44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（二）关于合同</w:t>
      </w:r>
      <w:r>
        <w:rPr>
          <w:rFonts w:hint="eastAsia" w:ascii="宋体" w:hAnsi="宋体" w:eastAsia="宋体" w:cs="宋体"/>
          <w:b/>
          <w:bCs w:val="0"/>
          <w:color w:val="000000"/>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1.采购合同。中标人应在中标通知书发出之日起30天内与采购人签署采购合同。招标文件、中标人的投标文件及招标过程中有关澄清、承诺文件均应构成合同的组成部分。</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2.保险合同。投保人与保险人签订保险合同。保险单、批单、会议纪要和双方往来函电等构成保险合同，构成保险合同的所有文件被认为是一个整体。如条文含义不明确时，按保险法有关规定办理。当出现矛盾时，以本招标文件、投标文件及采购合同为准。</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3.采购人、投保人委托采购人委托的第三方保险经纪公司对中标保险公司的合同履行情况进行监督。对中标保险公司非因不可抗力未履行招标文件、投标文件和合同规定的义务，一经查实，采购人委托的第三方保险经纪公司将根据具体情况提请采购人做出相应处理，或启动诉讼追究中标保险公司承担相关损失赔偿责任（包括但不仅限于律师费）。</w:t>
      </w:r>
      <w:r>
        <w:rPr>
          <w:rFonts w:hint="eastAsia" w:ascii="宋体" w:hAnsi="宋体" w:eastAsia="宋体" w:cs="宋体"/>
          <w:color w:val="000000"/>
          <w:spacing w:val="2"/>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（三）保密约定</w:t>
      </w:r>
      <w:r>
        <w:rPr>
          <w:rFonts w:hint="eastAsia" w:ascii="宋体" w:hAnsi="宋体" w:eastAsia="宋体" w:cs="宋体"/>
          <w:color w:val="000000"/>
          <w:sz w:val="24"/>
          <w:szCs w:val="24"/>
          <w:highlight w:val="none"/>
        </w:rPr>
      </w:r>
      <w:r/>
    </w:p>
    <w:p>
      <w:pPr>
        <w:pStyle w:val="1074"/>
        <w:ind w:right="210"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任何一方对其获知的本合同涉及的所有有形、无形的信息及资料（包括但不仅限于中标保险公司及投保人的往来书面文字文件、电子邮件及信息、电子资料、保险合同、保险费率、保险方案、理赔数据材料等）中另一方的商业秘密负有保密义务。</w:t>
      </w:r>
      <w:r>
        <w:rPr>
          <w:rFonts w:hint="eastAsia" w:ascii="宋体" w:hAnsi="宋体" w:eastAsia="宋体" w:cs="宋体"/>
          <w:color w:val="000000"/>
          <w:sz w:val="24"/>
          <w:szCs w:val="24"/>
          <w:highlight w:val="none"/>
        </w:rPr>
      </w:r>
      <w:r/>
    </w:p>
    <w:p>
      <w:pPr>
        <w:pStyle w:val="1074"/>
        <w:ind w:right="210" w:firstLine="420"/>
        <w:spacing w:line="44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2.除非法律、法规另有规定或得到本合同之另一方的书面许可，任何一方不得向第三方泄露前款规定的商业秘密。保密期限自任何一方获知该商业秘密之日起至本条规定的秘密成为公众信息之日止。</w:t>
      </w:r>
      <w:r>
        <w:rPr>
          <w:rFonts w:hint="eastAsia" w:ascii="宋体" w:hAnsi="宋体" w:eastAsia="宋体" w:cs="宋体"/>
          <w:b/>
          <w:bCs/>
          <w:color w:val="000000"/>
          <w:sz w:val="24"/>
          <w:szCs w:val="24"/>
          <w:highlight w:val="none"/>
        </w:rPr>
      </w:r>
      <w:r/>
    </w:p>
    <w:p>
      <w:pPr>
        <w:pStyle w:val="1074"/>
        <w:ind w:firstLine="560"/>
        <w:spacing w:line="440" w:lineRule="exac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（四）争议解决方式</w:t>
      </w:r>
      <w:r>
        <w:rPr>
          <w:rFonts w:hint="eastAsia" w:ascii="宋体" w:hAnsi="宋体" w:eastAsia="宋体" w:cs="宋体"/>
          <w:bCs/>
          <w:color w:val="000000"/>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有关本协议的争议应通过友好协商解决。如果协商不成，依法向采购人住所地人民法院提起诉讼。</w:t>
      </w:r>
      <w:r>
        <w:rPr>
          <w:rFonts w:hint="eastAsia" w:ascii="宋体" w:hAnsi="宋体" w:eastAsia="宋体" w:cs="宋体"/>
          <w:color w:val="000000"/>
          <w:spacing w:val="2"/>
          <w:sz w:val="24"/>
          <w:szCs w:val="24"/>
          <w:highlight w:val="none"/>
        </w:rPr>
      </w:r>
      <w:r/>
    </w:p>
    <w:p>
      <w:pPr>
        <w:pStyle w:val="1074"/>
        <w:ind w:firstLine="560"/>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★主要承保条件</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投标人承诺完全响应主要承保条件，格式自拟</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（Ⅰ）医疗机构医疗责任险（附加医疗机构场所责任险、医务人员遭受伤害责任保险）项目</w:t>
      </w:r>
      <w:r>
        <w:rPr>
          <w:rFonts w:hint="eastAsia" w:ascii="宋体" w:hAnsi="宋体" w:eastAsia="宋体" w:cs="宋体"/>
          <w:color w:val="000000"/>
          <w:sz w:val="24"/>
          <w:szCs w:val="24"/>
          <w:highlight w:val="none"/>
        </w:rPr>
      </w:r>
      <w:r/>
    </w:p>
    <w:p>
      <w:pPr>
        <w:pStyle w:val="1328"/>
        <w:ind w:firstLine="643"/>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1．医疗责任保险</w:t>
      </w:r>
      <w:r>
        <w:rPr>
          <w:rFonts w:hint="eastAsia" w:ascii="宋体" w:hAnsi="宋体" w:eastAsia="宋体" w:cs="宋体"/>
          <w:b/>
          <w:bCs/>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投保人：常州市肿瘤医院。</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被保险人：常州市肿瘤医院。</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保险期限：202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年04月23日零时—202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年04月22日二十四时。</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追溯期</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本保险为期内索赔，追溯期为5年。</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追溯期自20</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年4月23日零时起至202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年4月22日二十四时止。</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经人民法院追认的医患纠纷赔偿在本保险期限内保险人同样负责赔偿。</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在患者连续住院就诊并首次向被保险人提出索赔日在本保险起始日之后的医患纠纷，保险人负责纠纷的赔偿。</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当年度（包括追溯期内发生的纠纷）的赔款纳入实际赔偿年度累计赔偿限额计算。</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年度保费：（根据中标人报价）。</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 </w:t>
      </w:r>
      <w:r>
        <w:rPr>
          <w:rFonts w:hint="eastAsia" w:ascii="宋体" w:hAnsi="宋体" w:eastAsia="宋体" w:cs="宋体"/>
          <w:color w:val="000000"/>
          <w:sz w:val="24"/>
          <w:szCs w:val="24"/>
          <w:highlight w:val="none"/>
        </w:rPr>
        <w:t xml:space="preserve"> 保险责任</w:t>
      </w:r>
      <w:r>
        <w:rPr>
          <w:rFonts w:hint="eastAsia" w:ascii="宋体" w:hAnsi="宋体" w:eastAsia="宋体" w:cs="宋体"/>
          <w:b/>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1.6.1 </w:t>
      </w:r>
      <w:r>
        <w:rPr>
          <w:rFonts w:hint="eastAsia" w:ascii="宋体" w:hAnsi="宋体" w:eastAsia="宋体" w:cs="宋体"/>
          <w:b/>
          <w:color w:val="000000"/>
          <w:sz w:val="24"/>
          <w:szCs w:val="24"/>
          <w:highlight w:val="none"/>
        </w:rPr>
        <w:t xml:space="preserve"> </w:t>
      </w:r>
      <w:r>
        <w:rPr>
          <w:rFonts w:hint="eastAsia" w:ascii="宋体" w:hAnsi="宋体" w:eastAsia="宋体" w:cs="宋体"/>
          <w:bCs/>
          <w:color w:val="000000"/>
          <w:sz w:val="24"/>
          <w:szCs w:val="24"/>
          <w:highlight w:val="none"/>
        </w:rPr>
        <w:t xml:space="preserve">在保险单列明的保险期间或追溯期及承保区域范围内，在保险单中载明的被保险人的医务人员（以下简称投保医务人员）在诊疗活动中</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包括互联网诊疗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因执业过失和被保险人因法人过失造成患者人身损害或者财产损失，在本保险期间内，由患者或其近亲属首次向被保险人提出索赔申请，依法应由被保险人承担民事赔偿责任时，保险人按照本保险合同的约定负责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1.6.2  保险责任范围内的事故发生后，必要的法律费用，包括但不仅限于事故鉴定费、查勘费、取证费、差旅费、仲裁或诉讼费、案件受理费、律师费等，保险人按照本保险合同的约定负责赔偿。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  扩展责任</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1.7.1 在保险单列明的保险期间或追溯期及承保区域范围内，被保险人的投保医务人员在诊疗护理活动中，因下列情形造成患者人身损害，在本保险期间内，由患者或其近亲属首次向被保险人提出索赔申请，依法应由被保险人承担民事赔偿责任时，保险人按照本保险合同的约定负责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（1）在诊疗护理过程中，由于病情或患者体质特殊而发生的难以预料或在预料之中但难以防范的不良后果；</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（2）按照正常的技术规范操作，仍然发生难以避免的并发症或者治疗意外；</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（3）应用现有医学科学技术，仍然发生无法预料或难以防范的不良后果；</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（4）在危急情况下为抢救危重患者生命而采取的紧急措施所造成的不良后果；</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（5）因药品、消毒药剂、医疗器械的缺陷，或者输入不合格的血液，或药品不良反应造成患者损害。</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1.7.2外聘（外请）医疗专家医疗责任扩展条款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1.7.2.1本条款约定，在本保险合同列明的保险期间或追溯期内及承保区域范围内，被保险人外聘（外请）医疗专家在诊疗活动中因职业过失造成患者人身损害，在本保险期间内，由患者或其近亲属首次向被保险人提出索赔申请，依法应由被保险人承担民事赔偿责任时，保险人按照本保险合同的约定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1.7.2.2外聘（外请）医疗专家保费条款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
          <w:bCs/>
          <w:color w:val="000000"/>
          <w:sz w:val="24"/>
          <w:szCs w:val="24"/>
          <w:highlight w:val="none"/>
          <w:u w:val="single"/>
        </w:rPr>
      </w:pPr>
      <w:r>
        <w:rPr>
          <w:rFonts w:hint="eastAsia" w:ascii="宋体" w:hAnsi="宋体" w:eastAsia="宋体" w:cs="宋体"/>
          <w:bCs/>
          <w:color w:val="000000"/>
          <w:sz w:val="24"/>
          <w:szCs w:val="24"/>
          <w:highlight w:val="none"/>
        </w:rPr>
        <w:t xml:space="preserve">本条款约定，为响应卫生多点执业、提高基层医疗机构的医疗诊疗水平，外聘（外请）医疗专家的保费不再按照具体的人员数量的多少收取，投保人、被保险人也无需向保险人提供外聘（外请）医疗专家的具体名单进行投保；此类保费由投标人在投标报价时予以酌情考虑，包含在总的医疗责任险保费报价中。</w:t>
      </w:r>
      <w:r>
        <w:rPr>
          <w:rFonts w:hint="eastAsia" w:ascii="宋体" w:hAnsi="宋体" w:eastAsia="宋体" w:cs="宋体"/>
          <w:b/>
          <w:bCs/>
          <w:color w:val="000000"/>
          <w:sz w:val="24"/>
          <w:szCs w:val="24"/>
          <w:highlight w:val="none"/>
          <w:u w:val="singl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  责任免除</w:t>
      </w:r>
      <w:r>
        <w:rPr>
          <w:rFonts w:hint="eastAsia" w:ascii="宋体" w:hAnsi="宋体" w:eastAsia="宋体" w:cs="宋体"/>
          <w:b/>
          <w:bCs/>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1.8.1  下列原因造成的损失、费用和责任，保险人不负责赔偿：</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（1）被保险人或其投保医务人员的故意行为、犯罪行为和非执业行为；</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（2）战争、敌对行为、军事行动、武装冲突、恐怖活动、罢工、骚乱、暴动、盗窃、抢劫；</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（3）核反应、核子辐射和放射性污染。但使用放射器材治疗发生的赔偿责任，不在此限；</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（4）地震、海啸、雷击、暴雨、洪水等自然灾害。</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1.8.2  下列情形造成的损失、费用和责任，保险人不负责赔偿：</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（1）未经国家有关部门认定合格的医务人员进行的诊疗工作；</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（2）临床试验性检查、治疗以及其它不以治疗为目的的诊疗活动造成患者的人身损害，包括但不仅限于整形美容、健康体检；</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（3）被保险人或其投保医务人员从事未经国家有关部门许可的诊疗工作；</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（4）被保险人或其投保医务人员被吊销执业许可或被取消执业资格以及受停业、停职处分后仍继续进行诊疗工作；</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（5）被保险人投保医务人员在饮酒、吸毒或药剂麻醉状态下进行诊疗工作；</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（6）被保险人或其投保医务人员使用未经国家有关部门批准使用的药品、消毒药剂和医疗器械，但经国家有关部门批准进行临床实验所使用的药品、消毒药剂、医疗器械不在此限；</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（7）被保险人或其投保医务人员在正当的诊断、治疗范围外使用麻醉药品、医疗用毒性药品、精神药品和放射性药品；</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（8）患者或者其近亲属不配合医疗机构进行符合诊疗规范的诊疗，被保险人及其医务人员没有过错的。</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1.8.3  下列损失、费用和责任，保险人不负责赔偿</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（1）被保险人医务人员或其代表的人身伤亡；</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（2）直接或间接由于计算机2000年问题引起的损失；</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（3）罚款、罚金或惩罚性赔偿；</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（4）投保医务人员自终止在被保险人的营业处所内工作之后所发生的任何损失、费用和责任。</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  赔偿限额</w:t>
      </w:r>
      <w:r>
        <w:rPr>
          <w:rFonts w:hint="eastAsia" w:ascii="宋体" w:hAnsi="宋体" w:eastAsia="宋体" w:cs="宋体"/>
          <w:b/>
          <w:bCs/>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1.9.1</w:t>
      </w:r>
      <w:r>
        <w:rPr>
          <w:rFonts w:hint="eastAsia" w:ascii="宋体" w:hAnsi="宋体" w:eastAsia="宋体" w:cs="宋体"/>
          <w:b/>
          <w:bCs/>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3523"/>
        <w:gridCol w:w="3554"/>
      </w:tblGrid>
      <w:tr>
        <w:trPr>
          <w:trHeight w:val="507"/>
        </w:trPr>
        <w:tc>
          <w:tcPr>
            <w:tcW w:w="1190" w:type="dxa"/>
            <w:vAlign w:val="center"/>
            <w:textDirection w:val="lrTb"/>
            <w:noWrap w:val="false"/>
          </w:tcPr>
          <w:p>
            <w:pPr>
              <w:pStyle w:val="1074"/>
              <w:ind w:firstLine="411"/>
              <w:jc w:val="cente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医疗机构</w:t>
            </w:r>
            <w:r>
              <w:rPr>
                <w:rFonts w:hint="eastAsia" w:ascii="宋体" w:hAnsi="宋体" w:eastAsia="宋体" w:cs="宋体"/>
                <w:bCs/>
                <w:color w:val="000000"/>
                <w:sz w:val="24"/>
                <w:szCs w:val="24"/>
                <w:highlight w:val="none"/>
              </w:rPr>
            </w:r>
            <w:r/>
          </w:p>
        </w:tc>
        <w:tc>
          <w:tcPr>
            <w:tcW w:w="1896" w:type="dxa"/>
            <w:vAlign w:val="center"/>
            <w:textDirection w:val="lrTb"/>
            <w:noWrap w:val="false"/>
          </w:tcPr>
          <w:p>
            <w:pPr>
              <w:pStyle w:val="1074"/>
              <w:jc w:val="center"/>
              <w:spacing w:line="440" w:lineRule="exact"/>
              <w:rPr>
                <w:rFonts w:hint="eastAsia" w:ascii="宋体" w:hAnsi="宋体" w:eastAsia="宋体" w:cs="宋体"/>
                <w:bCs/>
                <w:color w:val="000000"/>
                <w:sz w:val="24"/>
                <w:szCs w:val="24"/>
                <w:highlight w:val="none"/>
              </w:rPr>
            </w:pPr>
            <w:r/>
            <w:bookmarkStart w:id="815" w:name="OLE_LINK4"/>
            <w:r>
              <w:rPr>
                <w:rFonts w:hint="eastAsia" w:ascii="宋体" w:hAnsi="宋体" w:eastAsia="宋体" w:cs="宋体"/>
                <w:bCs/>
                <w:color w:val="000000"/>
                <w:sz w:val="24"/>
                <w:szCs w:val="24"/>
                <w:highlight w:val="none"/>
              </w:rPr>
              <w:t xml:space="preserve">年度累计赔偿</w:t>
            </w:r>
            <w:bookmarkEnd w:id="815"/>
            <w:r>
              <w:rPr>
                <w:rFonts w:hint="eastAsia" w:ascii="宋体" w:hAnsi="宋体" w:eastAsia="宋体" w:cs="宋体"/>
                <w:bCs/>
                <w:color w:val="000000"/>
                <w:sz w:val="24"/>
                <w:szCs w:val="24"/>
                <w:highlight w:val="none"/>
              </w:rPr>
              <w:t xml:space="preserve">限额（万元/年）</w:t>
            </w:r>
            <w:r>
              <w:rPr>
                <w:rFonts w:hint="eastAsia" w:ascii="宋体" w:hAnsi="宋体" w:eastAsia="宋体" w:cs="宋体"/>
                <w:bCs/>
                <w:color w:val="000000"/>
                <w:sz w:val="24"/>
                <w:szCs w:val="24"/>
                <w:highlight w:val="none"/>
              </w:rPr>
            </w:r>
            <w:r/>
          </w:p>
        </w:tc>
        <w:tc>
          <w:tcPr>
            <w:tcW w:w="1912" w:type="dxa"/>
            <w:vAlign w:val="center"/>
            <w:textDirection w:val="lrTb"/>
            <w:noWrap w:val="false"/>
          </w:tcPr>
          <w:p>
            <w:pPr>
              <w:pStyle w:val="1074"/>
              <w:jc w:val="cente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每人每次赔偿限额（万元/年）</w:t>
            </w:r>
            <w:r>
              <w:rPr>
                <w:rFonts w:hint="eastAsia" w:ascii="宋体" w:hAnsi="宋体" w:eastAsia="宋体" w:cs="宋体"/>
                <w:bCs/>
                <w:color w:val="000000"/>
                <w:sz w:val="24"/>
                <w:szCs w:val="24"/>
                <w:highlight w:val="none"/>
              </w:rPr>
            </w:r>
            <w:r/>
          </w:p>
        </w:tc>
      </w:tr>
      <w:tr>
        <w:trPr/>
        <w:tc>
          <w:tcPr>
            <w:tcW w:w="1190" w:type="dxa"/>
            <w:vAlign w:val="top"/>
            <w:textDirection w:val="lrTb"/>
            <w:noWrap w:val="false"/>
          </w:tcPr>
          <w:p>
            <w:pPr>
              <w:pStyle w:val="1074"/>
              <w:jc w:val="center"/>
              <w:spacing w:line="440" w:lineRule="exact"/>
              <w:rPr>
                <w:rFonts w:hint="eastAsia" w:ascii="宋体" w:hAnsi="宋体" w:eastAsia="宋体" w:cs="宋体"/>
                <w:bCs/>
                <w:color w:val="000000"/>
                <w:sz w:val="24"/>
                <w:szCs w:val="24"/>
                <w:highlight w:val="none"/>
              </w:rPr>
            </w:pPr>
            <w:r/>
            <w:bookmarkStart w:id="816" w:name="_Hlk180586196"/>
            <w:r>
              <w:rPr>
                <w:rFonts w:hint="eastAsia" w:ascii="宋体" w:hAnsi="宋体" w:eastAsia="宋体" w:cs="宋体"/>
                <w:bCs/>
                <w:color w:val="000000"/>
                <w:sz w:val="24"/>
                <w:szCs w:val="24"/>
                <w:highlight w:val="none"/>
              </w:rPr>
              <w:t xml:space="preserve">常州市肿瘤医院</w:t>
            </w:r>
            <w:r>
              <w:rPr>
                <w:rFonts w:hint="eastAsia" w:ascii="宋体" w:hAnsi="宋体" w:eastAsia="宋体" w:cs="宋体"/>
                <w:bCs/>
                <w:color w:val="000000"/>
                <w:sz w:val="24"/>
                <w:szCs w:val="24"/>
                <w:highlight w:val="none"/>
              </w:rPr>
            </w:r>
            <w:r/>
          </w:p>
        </w:tc>
        <w:tc>
          <w:tcPr>
            <w:tcW w:w="1896" w:type="dxa"/>
            <w:vAlign w:val="center"/>
            <w:textDirection w:val="lrTb"/>
            <w:noWrap w:val="false"/>
          </w:tcPr>
          <w:p>
            <w:pPr>
              <w:pStyle w:val="1074"/>
              <w:jc w:val="center"/>
              <w:widowControl/>
              <w:rPr>
                <w:rFonts w:ascii="宋体" w:hAnsi="宋体" w:eastAsia="宋体" w:cs="宋体"/>
                <w:b/>
                <w:color w:val="000000"/>
                <w:sz w:val="24"/>
                <w:szCs w:val="24"/>
                <w:highlight w:val="none"/>
                <w:u w:val="single"/>
                <w:lang w:val="en-US" w:eastAsia="zh-CN"/>
              </w:rPr>
            </w:pPr>
            <w:r>
              <w:rPr>
                <w:rFonts w:hint="eastAsia" w:ascii="宋体" w:hAnsi="宋体" w:cs="宋体"/>
                <w:color w:val="000000"/>
                <w:sz w:val="24"/>
                <w:szCs w:val="24"/>
                <w:highlight w:val="none"/>
                <w:lang w:val="en-US" w:eastAsia="zh-CN"/>
              </w:rPr>
              <w:t xml:space="preserve">94.5</w:t>
            </w:r>
            <w:r>
              <w:rPr>
                <w:rFonts w:ascii="宋体" w:hAnsi="宋体" w:eastAsia="宋体" w:cs="宋体"/>
                <w:b/>
                <w:color w:val="000000"/>
                <w:sz w:val="24"/>
                <w:szCs w:val="24"/>
                <w:highlight w:val="none"/>
                <w:u w:val="single"/>
                <w:lang w:val="en-US" w:eastAsia="zh-CN"/>
              </w:rPr>
            </w:r>
            <w:r/>
          </w:p>
        </w:tc>
        <w:tc>
          <w:tcPr>
            <w:tcW w:w="1912" w:type="dxa"/>
            <w:vAlign w:val="top"/>
            <w:textDirection w:val="lrTb"/>
            <w:noWrap w:val="false"/>
          </w:tcPr>
          <w:p>
            <w:pPr>
              <w:pStyle w:val="1074"/>
              <w:ind w:firstLine="411"/>
              <w:jc w:val="center"/>
              <w:spacing w:line="440" w:lineRule="exact"/>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40</w:t>
            </w:r>
            <w:r>
              <w:rPr>
                <w:rFonts w:ascii="宋体" w:hAnsi="宋体" w:eastAsia="宋体" w:cs="宋体"/>
                <w:bCs/>
                <w:color w:val="000000"/>
                <w:sz w:val="24"/>
                <w:szCs w:val="24"/>
                <w:highlight w:val="none"/>
                <w:lang w:val="en-US" w:eastAsia="zh-CN"/>
              </w:rPr>
            </w:r>
            <w:r/>
          </w:p>
        </w:tc>
      </w:tr>
    </w:tbl>
    <w:p>
      <w:pPr>
        <w:pStyle w:val="1074"/>
        <w:ind w:firstLine="411"/>
        <w:spacing w:line="440" w:lineRule="exact"/>
        <w:rPr>
          <w:rFonts w:hint="eastAsia" w:ascii="宋体" w:hAnsi="宋体" w:eastAsia="宋体" w:cs="宋体"/>
          <w:bCs/>
          <w:color w:val="000000"/>
          <w:sz w:val="24"/>
          <w:szCs w:val="24"/>
          <w:highlight w:val="none"/>
        </w:rPr>
      </w:pPr>
      <w:r/>
      <w:bookmarkEnd w:id="816"/>
      <w:r>
        <w:rPr>
          <w:rFonts w:hint="eastAsia" w:ascii="宋体" w:hAnsi="宋体" w:eastAsia="宋体" w:cs="宋体"/>
          <w:bCs/>
          <w:color w:val="000000"/>
          <w:sz w:val="24"/>
          <w:szCs w:val="24"/>
          <w:highlight w:val="none"/>
        </w:rPr>
        <w:t xml:space="preserve">1.9.2  精神损害每人责任限额：为医疗责任保险每人次责任限额的30%，包含在医疗责任保险每人次责任限额内。</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1.9.3  法律费用累计赔偿限额：为医疗责任保险单载明年度累计赔偿限额的10%。</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其中：每人次赔偿限额为实际发生赔偿金额的10%。</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1.9.4  对属于保险责任范围内的医患民事纠纷，保险人依据常州市医患纠纷人民调解委员会（</w:t>
      </w:r>
      <w:r>
        <w:rPr>
          <w:rFonts w:hint="eastAsia" w:ascii="宋体" w:hAnsi="宋体" w:eastAsia="宋体" w:cs="宋体"/>
          <w:bCs/>
          <w:color w:val="000000"/>
          <w:sz w:val="24"/>
          <w:szCs w:val="24"/>
          <w:highlight w:val="none"/>
        </w:rPr>
        <w:t xml:space="preserve">调处中心</w:t>
      </w:r>
      <w:r>
        <w:rPr>
          <w:rFonts w:hint="eastAsia" w:ascii="宋体" w:hAnsi="宋体" w:eastAsia="宋体" w:cs="宋体"/>
          <w:color w:val="000000"/>
          <w:sz w:val="24"/>
          <w:szCs w:val="24"/>
          <w:highlight w:val="none"/>
        </w:rPr>
        <w:t xml:space="preserve">）的“人民调解协议书”、人民法院的生效法律文书（包括调解书、裁、判文书），在约定赔偿限额内向被保险人（或患方）足额赔偿。</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 xml:space="preserve">1.10  免赔额或免赔率：本医疗责任保险无免赔额或免赔率。</w:t>
      </w:r>
      <w:r>
        <w:rPr>
          <w:rFonts w:hint="eastAsia" w:ascii="宋体" w:hAnsi="宋体" w:eastAsia="宋体" w:cs="宋体"/>
          <w:b/>
          <w:bCs/>
          <w:color w:val="000000"/>
          <w:sz w:val="24"/>
          <w:szCs w:val="24"/>
          <w:highlight w:val="none"/>
          <w:u w:val="singl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1.11  理赔约定</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  纠纷处置</w:t>
      </w:r>
      <w:r>
        <w:rPr>
          <w:rFonts w:hint="eastAsia" w:ascii="宋体" w:hAnsi="宋体" w:eastAsia="宋体" w:cs="宋体"/>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根据《医疗纠纷预防和处理条例》、《江苏省医疗纠纷预防与处理条例》规定，发生医疗纠纷，医患双方可向常州市医患纠纷人民调解委员会（调处中心）申请调解或向人民法院提起诉讼。</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因属于保险责任范围内的医患民事纠纷发生诉讼、仲裁时，被保险人根据《医疗纠纷预防和处理条例》、《江苏省医疗纠纷预防与处理条例》规定处理有关诉讼、仲裁事宜。诉讼结束后及时将案件结果及法院判裁文书交付保险人。</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出险时间：常州市医患纠纷人民调解委员会（调处中心）或人民法院明确医患双方责任、理赔金额的时间，即常州市医患纠纷人民调解委员会（调处中心）出具的“人民调解协议书”或人民法院出具的生效法律文书（包括调解书、裁、判文书）的落款时间。</w:t>
      </w:r>
      <w:r>
        <w:rPr>
          <w:rFonts w:hint="eastAsia" w:ascii="宋体" w:hAnsi="宋体" w:eastAsia="宋体" w:cs="宋体"/>
          <w:bCs/>
          <w:color w:val="000000"/>
          <w:sz w:val="24"/>
          <w:szCs w:val="24"/>
          <w:highlight w:val="none"/>
        </w:rPr>
      </w:r>
      <w:r/>
    </w:p>
    <w:p>
      <w:pPr>
        <w:pStyle w:val="1074"/>
        <w:ind w:right="211"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1.11.2  理赔依据</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lang w:eastAsia="zh-CN"/>
        </w:rPr>
      </w:pPr>
      <w:r>
        <w:rPr>
          <w:rFonts w:hint="eastAsia" w:ascii="宋体" w:hAnsi="宋体" w:eastAsia="宋体" w:cs="宋体"/>
          <w:b/>
          <w:bCs w:val="0"/>
          <w:color w:val="000000"/>
          <w:sz w:val="24"/>
          <w:szCs w:val="24"/>
          <w:highlight w:val="none"/>
        </w:rPr>
        <w:t xml:space="preserve">常州市医患纠纷人民调解委员会（调处中心）的“人民调解协议书”或人民法院的生效法律文书（包括调解书、裁、判文书）。保险人充分尊重并认可常州市医患纠纷人民调解委员会（调处中心）、人民法院的调解或裁、判结论。</w:t>
      </w:r>
      <w:r>
        <w:rPr>
          <w:rFonts w:hint="eastAsia" w:ascii="宋体" w:hAnsi="宋体" w:eastAsia="宋体" w:cs="宋体"/>
          <w:bCs/>
          <w:color w:val="000000"/>
          <w:sz w:val="24"/>
          <w:szCs w:val="24"/>
          <w:highlight w:val="none"/>
          <w:lang w:eastAsia="zh-CN"/>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1.11.3  赔偿方式 </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
          <w:bCs/>
          <w:color w:val="000000"/>
          <w:sz w:val="24"/>
          <w:szCs w:val="24"/>
          <w:highlight w:val="none"/>
          <w:u w:val="single"/>
        </w:rPr>
      </w:pPr>
      <w:r>
        <w:rPr>
          <w:rFonts w:hint="eastAsia" w:ascii="宋体" w:hAnsi="宋体" w:eastAsia="宋体" w:cs="宋体"/>
          <w:bCs/>
          <w:color w:val="000000"/>
          <w:sz w:val="24"/>
          <w:szCs w:val="24"/>
          <w:highlight w:val="none"/>
        </w:rPr>
        <w:t xml:space="preserve">保险人遵照《保险法》第65条之规定“保险人对责任保险的被保险人给第三者造成的损害，可以依照法律的规定或者合同的约定，直接向该第三者赔偿保险金”，直接赔付给患者或其代理人，</w:t>
      </w:r>
      <w:r>
        <w:rPr>
          <w:rFonts w:hint="eastAsia" w:ascii="宋体" w:hAnsi="宋体" w:eastAsia="宋体" w:cs="宋体"/>
          <w:bCs/>
          <w:color w:val="000000"/>
          <w:sz w:val="24"/>
          <w:szCs w:val="24"/>
          <w:highlight w:val="none"/>
          <w:lang w:val="en-US" w:eastAsia="zh-CN"/>
        </w:rPr>
        <w:t xml:space="preserve">或应医疗机构的要求</w:t>
      </w:r>
      <w:r>
        <w:rPr>
          <w:rFonts w:hint="eastAsia" w:ascii="宋体" w:hAnsi="宋体" w:eastAsia="宋体" w:cs="宋体"/>
          <w:bCs/>
          <w:color w:val="000000"/>
          <w:sz w:val="24"/>
          <w:szCs w:val="24"/>
          <w:highlight w:val="none"/>
        </w:rPr>
        <w:t xml:space="preserve">向被保险人赔偿。</w:t>
      </w:r>
      <w:r>
        <w:rPr>
          <w:rFonts w:hint="eastAsia" w:ascii="宋体" w:hAnsi="宋体" w:eastAsia="宋体" w:cs="宋体"/>
          <w:b/>
          <w:bCs/>
          <w:color w:val="000000"/>
          <w:sz w:val="24"/>
          <w:szCs w:val="24"/>
          <w:highlight w:val="none"/>
          <w:u w:val="single"/>
        </w:rPr>
      </w:r>
      <w:r/>
    </w:p>
    <w:p>
      <w:pPr>
        <w:pStyle w:val="1074"/>
        <w:ind w:firstLine="413"/>
        <w:spacing w:line="440" w:lineRule="exact"/>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1.11.4  理赔材料</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被保险人须提供的理赔材料：</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索赔申请</w:t>
      </w:r>
      <w:r>
        <w:rPr>
          <w:rFonts w:hint="eastAsia" w:ascii="宋体" w:hAnsi="宋体" w:eastAsia="宋体" w:cs="宋体"/>
          <w:bCs/>
          <w:color w:val="000000"/>
          <w:sz w:val="24"/>
          <w:szCs w:val="24"/>
          <w:highlight w:val="none"/>
        </w:rPr>
        <w:t xml:space="preserve">书；</w:t>
      </w:r>
      <w:r>
        <w:rPr>
          <w:rFonts w:hint="eastAsia" w:ascii="宋体" w:hAnsi="宋体" w:eastAsia="宋体" w:cs="宋体"/>
          <w:bCs/>
          <w:color w:val="000000"/>
          <w:sz w:val="24"/>
          <w:szCs w:val="24"/>
          <w:highlight w:val="none"/>
        </w:rPr>
      </w:r>
      <w:r/>
    </w:p>
    <w:p>
      <w:pPr>
        <w:pStyle w:val="1074"/>
        <w:ind w:right="211"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医患纠纷</w:t>
      </w:r>
      <w:r>
        <w:rPr>
          <w:rFonts w:hint="eastAsia" w:ascii="宋体" w:hAnsi="宋体" w:eastAsia="宋体" w:cs="宋体"/>
          <w:bCs/>
          <w:color w:val="000000"/>
          <w:sz w:val="24"/>
          <w:szCs w:val="24"/>
          <w:highlight w:val="none"/>
        </w:rPr>
        <w:t xml:space="preserve">人民调解书或人民法院生效法律文书；</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（3）医患纠纷</w:t>
      </w:r>
      <w:r>
        <w:rPr>
          <w:rFonts w:hint="eastAsia" w:ascii="宋体" w:hAnsi="宋体" w:eastAsia="宋体" w:cs="宋体"/>
          <w:bCs/>
          <w:color w:val="000000"/>
          <w:sz w:val="24"/>
          <w:szCs w:val="24"/>
          <w:highlight w:val="none"/>
          <w:lang w:val="en-US" w:eastAsia="zh-CN"/>
        </w:rPr>
        <w:t xml:space="preserve">情况</w:t>
      </w:r>
      <w:r>
        <w:rPr>
          <w:rFonts w:hint="eastAsia" w:ascii="宋体" w:hAnsi="宋体" w:eastAsia="宋体" w:cs="宋体"/>
          <w:bCs/>
          <w:color w:val="000000"/>
          <w:sz w:val="24"/>
          <w:szCs w:val="24"/>
          <w:highlight w:val="none"/>
        </w:rPr>
        <w:t xml:space="preserve">确认表；</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（4）医方授权委托书；</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（5）患方授权委托书及受托人身份证明；</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（6）患方身份证明（包括未成年人在内的限制民事行为能力人或无民事行为能力人须提供其监护人身份证明），患者死亡的须提供医学死亡证明或户口注销证明（复印件）；</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（7）患者本人或委托代理人银行卡复印件；</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（8）委托转账支付授权书；</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（9）当事医护人员执业证书、资格证书；</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（10）病历材料，包括：门诊病历、出院记录、手术记录、涉及医药费赔偿的需提供医疗费票据；</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（11）医院医疗事件调查登记表；</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（12）保险人直接向被保险人支付的，被保险人需提供已将理赔款支付给患者或其代理人的凭证：收条、照片、银行转账凭证。</w:t>
      </w:r>
      <w:r>
        <w:rPr>
          <w:rFonts w:hint="eastAsia" w:ascii="宋体" w:hAnsi="宋体" w:eastAsia="宋体" w:cs="宋体"/>
          <w:bCs/>
          <w:color w:val="000000"/>
          <w:sz w:val="24"/>
          <w:szCs w:val="24"/>
          <w:highlight w:val="none"/>
        </w:rPr>
      </w:r>
      <w:r/>
    </w:p>
    <w:p>
      <w:pPr>
        <w:pStyle w:val="1074"/>
        <w:ind w:firstLine="413"/>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1.11.5  赔偿期限</w:t>
      </w:r>
      <w:r>
        <w:rPr>
          <w:rFonts w:hint="eastAsia" w:ascii="宋体" w:hAnsi="宋体" w:eastAsia="宋体" w:cs="宋体"/>
          <w:b/>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（1）每人赔偿金额在贰万元以内（包括贰万元）的，保险人在收到完整理赔材料的3个工作日内完成赔付。</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（2）每人赔偿金额超过贰万元的，保险人在收到完整理赔材料的7个工作日内完成赔付。</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超过期限未向采购人委托的第三方保险经纪公司发出结案通知的，在减去约定结案天数后按赔偿金额的0.657‰/日×实际滞纳天数计算滞纳金赔付给被保险人；如保险人在约定结案期限内发出“拒赔通知”经诉讼后人民法院判决保险人仍需承担赔偿责任的，除承担相应标的的赔偿及上述滞纳金外，保险人另需承担被保险人其他相关的损失（</w:t>
      </w:r>
      <w:r>
        <w:rPr>
          <w:rFonts w:hint="eastAsia" w:ascii="宋体" w:hAnsi="宋体" w:eastAsia="宋体" w:cs="宋体"/>
          <w:color w:val="000000"/>
          <w:sz w:val="24"/>
          <w:szCs w:val="24"/>
          <w:highlight w:val="none"/>
        </w:rPr>
        <w:t xml:space="preserve">包括但不仅限于鉴定费、调查取证费、律师费等</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74"/>
        <w:ind w:firstLine="413"/>
        <w:spacing w:line="440" w:lineRule="exact"/>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1.11.6  后续费用</w:t>
      </w:r>
      <w:r>
        <w:rPr>
          <w:rFonts w:hint="eastAsia" w:ascii="宋体" w:hAnsi="宋体" w:eastAsia="宋体" w:cs="宋体"/>
          <w:bCs/>
          <w:color w:val="000000"/>
          <w:sz w:val="24"/>
          <w:szCs w:val="24"/>
          <w:highlight w:val="none"/>
        </w:rPr>
        <w:t xml:space="preserve">：经医患双方协商确实不能确定后续费用金额的（包括但不仅限于后续治疗费、护理费、残疾赔偿金等），保险人根据常州市医患纠纷人民调解委员会（调处中心）出具“人民调解书”或人民法院出具的生效法律文书（包括调解书、裁、判文书）进行赔付后，本赔案不作结（销）案处理，待医患双方另行确定后续费用金额后，依据常州市医患纠纷人民调解委员会（调处中心）出具“人民调解书”或人民法院出具的生效法律文书（包括调解书、裁、判文书）再作赔付。赔偿金额不得超过保险合同约定的每人赔偿限额。</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  赔偿项目、范围和标准以《中华人民共和国民法典》、《最高人民法院关于审理人身损害赔偿案件若干问题的解释》等相关法律规定为准。</w:t>
      </w:r>
      <w:r>
        <w:rPr>
          <w:rFonts w:hint="eastAsia" w:ascii="宋体" w:hAnsi="宋体" w:eastAsia="宋体" w:cs="宋体"/>
          <w:bCs/>
          <w:color w:val="000000"/>
          <w:sz w:val="24"/>
          <w:szCs w:val="24"/>
          <w:highlight w:val="none"/>
        </w:rPr>
      </w:r>
      <w:r/>
    </w:p>
    <w:p>
      <w:pPr>
        <w:pStyle w:val="1074"/>
        <w:ind w:firstLine="413"/>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1.11.</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  鉴定：</w:t>
      </w:r>
      <w:r>
        <w:rPr>
          <w:rFonts w:hint="eastAsia" w:ascii="宋体" w:hAnsi="宋体" w:eastAsia="宋体" w:cs="宋体"/>
          <w:bCs/>
          <w:color w:val="000000"/>
          <w:sz w:val="24"/>
          <w:szCs w:val="24"/>
          <w:highlight w:val="none"/>
        </w:rPr>
        <w:t xml:space="preserve">若患者受到损害情况能够对照《人体损伤致残程度分级》（2016）、《人身损害误工期、护理期、营养期评定规范》（GA/T 1193-2014）得出明确的伤残等级、三期评定结论且经常州市医患纠纷人民调解委员会（调处中心）或人民法院确认后可以不必再通过权威部门进行伤残鉴定、三期评定等；若经过权威部门鉴定的，则以权威部门鉴定的为准。</w:t>
      </w:r>
      <w:r>
        <w:rPr>
          <w:rFonts w:hint="eastAsia" w:ascii="宋体" w:hAnsi="宋体" w:eastAsia="宋体" w:cs="宋体"/>
          <w:b/>
          <w:color w:val="000000"/>
          <w:sz w:val="24"/>
          <w:szCs w:val="24"/>
          <w:highlight w:val="none"/>
        </w:rPr>
      </w:r>
      <w:r/>
    </w:p>
    <w:p>
      <w:pPr>
        <w:pStyle w:val="1074"/>
        <w:ind w:right="211"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1.12  医疗机构床位、手术台数、人员的增减</w:t>
      </w:r>
      <w:r>
        <w:rPr>
          <w:rFonts w:hint="eastAsia" w:ascii="宋体" w:hAnsi="宋体" w:eastAsia="宋体" w:cs="宋体"/>
          <w:b/>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1 \* GB3 \* MERGEFORMAT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color w:val="000000"/>
          <w:sz w:val="24"/>
          <w:szCs w:val="24"/>
          <w:highlight w:val="none"/>
        </w:rPr>
        <w:t xml:space="preserve">①</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床位基准保险费：450元/床位/年。</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bCs/>
          <w:color w:val="000000"/>
          <w:sz w:val="24"/>
          <w:szCs w:val="24"/>
          <w:highlight w:val="none"/>
        </w:rPr>
        <w:t xml:space="preserve">住院病人手术人次基准保险费：50元/人次。</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bCs/>
          <w:color w:val="000000"/>
          <w:sz w:val="24"/>
          <w:szCs w:val="24"/>
          <w:highlight w:val="none"/>
        </w:rPr>
        <w:t xml:space="preserve">医务人员基准保险费：</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肿瘤医院手术科室医师1000元/人/年、非手术科室医师500元/人/年、护士及医技、药剂科室人员300元/人/年。</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为了简化操作，保险期间内医疗机构床位、手术台数发生变动不调整保费。保险期间内，医护人员发生变动，按岗位类别对应人员保费标准及实际天数计收或退还保费。</w:t>
      </w:r>
      <w:r>
        <w:rPr>
          <w:rFonts w:hint="eastAsia" w:ascii="宋体" w:hAnsi="宋体" w:eastAsia="宋体" w:cs="宋体"/>
          <w:b/>
          <w:bCs/>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1.13  保险人、被保险人、采购人委托的第三方保险经纪公司职责</w:t>
      </w:r>
      <w:r>
        <w:rPr>
          <w:rFonts w:hint="eastAsia" w:ascii="宋体" w:hAnsi="宋体" w:eastAsia="宋体" w:cs="宋体"/>
          <w:b/>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1.13.1  保险人：严格执行保险合同约定；投保或理赔材料齐全以后，快速做好出单或赔偿工作；严格执行理赔时限；每月底与采购人委托的第三方保险经纪公司核对理赔数据，并及时出具相关统计表。</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1.13.2  被保险人：及时提供投保资料并交付保险费，切实组织好本单位的投保工作；及时、真实地提供理赔材料；严格执行保险合同约定；认真执行相关法律法规，规范医疗行为。 </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1.13.3  采购人委托的第三方保险经纪公司：认真履行委托人委托事项，及时搜集数据、制定方案；及时办理被保险人相关保险事务；在取得完整理赔材料后，审定保险责任归属并向保险人报案；督促保险人快速理赔；根据委托和约定，定期将保险开展情况及各项相关真实数据以报表形式报送委托人。</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1.14 </w:t>
      </w:r>
      <w:r>
        <w:rPr>
          <w:rFonts w:hint="eastAsia" w:ascii="宋体" w:hAnsi="宋体" w:eastAsia="宋体" w:cs="宋体"/>
          <w:b/>
          <w:color w:val="000000"/>
          <w:sz w:val="24"/>
          <w:szCs w:val="24"/>
          <w:highlight w:val="none"/>
        </w:rPr>
        <w:t xml:space="preserve"> </w:t>
      </w:r>
      <w:r>
        <w:rPr>
          <w:rFonts w:hint="eastAsia" w:ascii="宋体" w:hAnsi="宋体" w:eastAsia="宋体" w:cs="宋体"/>
          <w:bCs/>
          <w:color w:val="000000"/>
          <w:sz w:val="24"/>
          <w:szCs w:val="24"/>
          <w:highlight w:val="none"/>
        </w:rPr>
        <w:t xml:space="preserve">为了更好的发挥公立医疗机构联合体防御风险的作用，根据苏医改办发〔2017〕15号《关于进一步推进医疗联合体建设和发展的实施意见》文件中有关鼓励通过专科共建、临床带教、业务指导、科研和项目协作、开设联合病房等方式，促进医联体内医疗机构医师的有序流动的精神，根据常州市卫生健康委员会要求，自2017年7月1日起常州市公立医疗机构医联体内部所有注册投保的医、护、技人员名单予以共享。</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  保险机构保险条款中与本方案保险责任、扩展责任、责任免除、出险处理、理赔材料等不一致的以本方案规定为准。</w:t>
      </w:r>
      <w:r>
        <w:rPr>
          <w:rFonts w:hint="eastAsia" w:ascii="宋体" w:hAnsi="宋体" w:eastAsia="宋体" w:cs="宋体"/>
          <w:b/>
          <w:color w:val="000000"/>
          <w:sz w:val="24"/>
          <w:szCs w:val="24"/>
          <w:highlight w:val="none"/>
        </w:rPr>
      </w:r>
      <w:r/>
    </w:p>
    <w:p>
      <w:pPr>
        <w:pStyle w:val="1074"/>
        <w:ind w:left="42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2．附加场所责任险</w:t>
      </w:r>
      <w:r>
        <w:rPr>
          <w:rFonts w:hint="eastAsia" w:ascii="宋体" w:hAnsi="宋体" w:eastAsia="宋体" w:cs="宋体"/>
          <w:b/>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2.1  投保人</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常州市肿瘤医院。</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2.2  被保险人</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常州市肿瘤医院。</w:t>
      </w:r>
      <w:r>
        <w:rPr>
          <w:rFonts w:hint="eastAsia" w:ascii="宋体" w:hAnsi="宋体" w:eastAsia="宋体" w:cs="宋体"/>
          <w:bCs/>
          <w:color w:val="000000"/>
          <w:sz w:val="24"/>
          <w:szCs w:val="24"/>
          <w:highlight w:val="none"/>
        </w:rPr>
      </w:r>
      <w:r/>
    </w:p>
    <w:p>
      <w:pPr>
        <w:pStyle w:val="1074"/>
        <w:ind w:right="211" w:firstLine="422"/>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2.3  保险期间</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年04 月23日零时</w:t>
      </w:r>
      <w:r>
        <w:rPr>
          <w:rFonts w:hint="eastAsia" w:ascii="宋体" w:hAnsi="宋体" w:eastAsia="宋体" w:cs="宋体"/>
          <w:color w:val="000000"/>
          <w:sz w:val="24"/>
          <w:szCs w:val="24"/>
          <w:highlight w:val="none"/>
          <w:lang w:val="en-US" w:eastAsia="zh-CN"/>
        </w:rPr>
        <w:t xml:space="preserve">起</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年04月22日二十四时</w:t>
      </w:r>
      <w:r>
        <w:rPr>
          <w:rFonts w:hint="eastAsia" w:ascii="宋体" w:hAnsi="宋体" w:eastAsia="宋体" w:cs="宋体"/>
          <w:color w:val="000000"/>
          <w:sz w:val="24"/>
          <w:szCs w:val="24"/>
          <w:highlight w:val="none"/>
          <w:lang w:val="en-US" w:eastAsia="zh-CN"/>
        </w:rPr>
        <w:t xml:space="preserve">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保险责任</w:t>
      </w:r>
      <w:r>
        <w:rPr>
          <w:rFonts w:hint="eastAsia" w:ascii="宋体" w:hAnsi="宋体" w:eastAsia="宋体" w:cs="宋体"/>
          <w:b/>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险责任：在保险单明细表列明的保险期间及承保区域范围内，由于包括但不限于下列原因导致第三者（含患者）的人身伤害或财产损失，依法应由被保险人承担民事赔偿责任时，保险人根据本附加保险合同的约定负责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（1）被保险医疗机构的公共设施存在缺陷；</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（2）被保险医疗机构内的公共设施管理不善或操作、维护不当；</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（3）被保险医疗机构范围内的火灾或爆炸；</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（4）被保险医疗机构提供的食品引发食物中毒或其他食源性疾患。</w:t>
      </w:r>
      <w:r>
        <w:rPr>
          <w:rFonts w:hint="eastAsia" w:ascii="宋体" w:hAnsi="宋体" w:eastAsia="宋体" w:cs="宋体"/>
          <w:bCs/>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2.5  赔偿限额</w:t>
      </w:r>
      <w:r>
        <w:rPr>
          <w:rFonts w:hint="eastAsia" w:ascii="宋体" w:hAnsi="宋体" w:eastAsia="宋体" w:cs="宋体"/>
          <w:b/>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bookmarkStart w:id="817" w:name="OLE_LINK13"/>
      <w:r>
        <w:rPr>
          <w:rFonts w:hint="eastAsia" w:ascii="宋体" w:hAnsi="宋体" w:eastAsia="宋体" w:cs="宋体"/>
          <w:color w:val="000000"/>
          <w:sz w:val="24"/>
          <w:szCs w:val="24"/>
          <w:highlight w:val="none"/>
        </w:rPr>
        <w:t xml:space="preserve">每人每次事故赔偿限额：</w:t>
      </w:r>
      <w:r>
        <w:rPr>
          <w:rFonts w:hint="eastAsia" w:ascii="宋体" w:hAnsi="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医疗机构年度累计赔偿限额：</w:t>
      </w:r>
      <w:r>
        <w:rPr>
          <w:rFonts w:hint="eastAsia" w:ascii="宋体" w:hAnsi="宋体" w:cs="宋体"/>
          <w:color w:val="000000"/>
          <w:sz w:val="24"/>
          <w:szCs w:val="24"/>
          <w:highlight w:val="none"/>
          <w:lang w:val="en-US" w:eastAsia="zh-CN"/>
        </w:rPr>
        <w:t xml:space="preserve">200</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bookmarkEnd w:id="817"/>
      <w:r>
        <w:rPr>
          <w:rFonts w:hint="eastAsia" w:ascii="宋体" w:hAnsi="宋体" w:eastAsia="宋体" w:cs="宋体"/>
          <w:bCs/>
          <w:color w:val="000000"/>
          <w:sz w:val="24"/>
          <w:szCs w:val="24"/>
          <w:highlight w:val="none"/>
        </w:rPr>
        <w:t xml:space="preserve">2.6  本附加保险无免赔额或免赔率。</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  理赔依据：为常州市医患纠纷人民调解委员会（调处中心）出具的“纠纷调解协议书”或人民法院的生效法律文书（包括调解书、裁、判文书）。</w:t>
      </w:r>
      <w:r>
        <w:rPr>
          <w:rFonts w:hint="eastAsia" w:ascii="宋体" w:hAnsi="宋体" w:eastAsia="宋体" w:cs="宋体"/>
          <w:bCs/>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2.8  赔偿期限</w:t>
      </w:r>
      <w:r>
        <w:rPr>
          <w:rFonts w:hint="eastAsia" w:ascii="宋体" w:hAnsi="宋体" w:eastAsia="宋体" w:cs="宋体"/>
          <w:b/>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2.8.1  每人赔偿金额在贰万元以内（包括贰万元）的，保险人在收到完整理赔材料的3个工作日内完成赔付。</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2.8.2  每人赔偿金额超过贰万元的，保险人在收到完整理赔材料的7个工作日内完成赔付。</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2.8.3 如超过期限未向采购人委托的第三方保险经纪公司发出结案通知的，在减去约定结案天数后按赔偿金额的0.657‰/日×实际滞纳天数计算滞纳金赔付给被保险人；如保险人在约定结案期限内发出“拒赔通知”经诉讼后人民法院判决保险人仍需承担赔偿责任的，除承担相应标的赔偿外，保险人另需承担被保险人其他相关的损失（</w:t>
      </w:r>
      <w:r>
        <w:rPr>
          <w:rFonts w:hint="eastAsia" w:ascii="宋体" w:hAnsi="宋体" w:eastAsia="宋体" w:cs="宋体"/>
          <w:color w:val="000000"/>
          <w:sz w:val="24"/>
          <w:szCs w:val="24"/>
          <w:highlight w:val="none"/>
        </w:rPr>
        <w:t xml:space="preserve">包括但不仅限于鉴定费、调查取证费、律师费等</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74"/>
        <w:ind w:firstLine="422"/>
        <w:spacing w:line="440" w:lineRule="exact"/>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2.9  赔偿方式 </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保险人遵照《保险法》第65条之规定原则上直接赔付给伤者，或根据</w:t>
      </w:r>
      <w:r>
        <w:rPr>
          <w:rFonts w:hint="eastAsia" w:ascii="宋体" w:hAnsi="宋体" w:eastAsia="宋体" w:cs="宋体"/>
          <w:color w:val="000000"/>
          <w:sz w:val="24"/>
          <w:szCs w:val="24"/>
          <w:highlight w:val="none"/>
          <w:lang w:val="en-US" w:eastAsia="zh-CN"/>
        </w:rPr>
        <w:t xml:space="preserve">医疗机构</w:t>
      </w:r>
      <w:r>
        <w:rPr>
          <w:rFonts w:hint="eastAsia" w:ascii="宋体" w:hAnsi="宋体" w:eastAsia="宋体" w:cs="宋体"/>
          <w:color w:val="000000"/>
          <w:sz w:val="24"/>
          <w:szCs w:val="24"/>
          <w:highlight w:val="none"/>
        </w:rPr>
        <w:t xml:space="preserve">的要求向被保险人赔偿。</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2.10  理赔材料</w:t>
      </w:r>
      <w:r>
        <w:rPr>
          <w:rFonts w:hint="eastAsia" w:ascii="宋体" w:hAnsi="宋体" w:eastAsia="宋体" w:cs="宋体"/>
          <w:b/>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被保险人须提供的理赔材料：</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索赔申请</w:t>
      </w:r>
      <w:r>
        <w:rPr>
          <w:rFonts w:hint="eastAsia" w:ascii="宋体" w:hAnsi="宋体" w:eastAsia="宋体" w:cs="宋体"/>
          <w:bCs/>
          <w:color w:val="000000"/>
          <w:sz w:val="24"/>
          <w:szCs w:val="24"/>
          <w:highlight w:val="none"/>
        </w:rPr>
        <w:t xml:space="preserve">书；</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（2）人民调解书或相关人民法院法律文书；</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（3）事故确认表；</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（4）医方授权委托书；</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（5）伤者授权委托书及受托人身份证明；</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（6）伤者身份证明（包括未成年人在内的限制民事行为能力人或无民事行为能力人须提供其监护人身份证明），伤者死亡的须提供医学死亡证明或户口注销证明（复印件）；</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（7）伤者本人或委托代理人银行卡复印件；</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（8）委托转账支付授权书；</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（9）病历材料，包括：门诊病历、出院记录、手术记录、涉及医药费赔偿的需提供医疗费票据；</w:t>
      </w:r>
      <w:r>
        <w:rPr>
          <w:rFonts w:hint="eastAsia" w:ascii="宋体" w:hAnsi="宋体" w:eastAsia="宋体" w:cs="宋体"/>
          <w:bCs/>
          <w:color w:val="000000"/>
          <w:sz w:val="24"/>
          <w:szCs w:val="24"/>
          <w:highlight w:val="none"/>
        </w:rPr>
      </w:r>
      <w:r/>
    </w:p>
    <w:p>
      <w:pPr>
        <w:pStyle w:val="1074"/>
        <w:ind w:firstLine="41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（10）保险人直接向被保险人支付的，被保险人需提供已将理赔款支付给伤者或其代理人的凭证：收条、照片、银行转账凭证。</w:t>
      </w:r>
      <w:r>
        <w:rPr>
          <w:rFonts w:hint="eastAsia" w:ascii="宋体" w:hAnsi="宋体" w:eastAsia="宋体" w:cs="宋体"/>
          <w:bCs/>
          <w:color w:val="000000"/>
          <w:sz w:val="24"/>
          <w:szCs w:val="24"/>
          <w:highlight w:val="none"/>
        </w:rPr>
      </w:r>
      <w:r/>
    </w:p>
    <w:p>
      <w:pPr>
        <w:pStyle w:val="1074"/>
        <w:ind w:firstLine="413"/>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2.11  本附加险方案未约定事项，以主险方案为准；保险机构保险条款中与本方案保险责任、扩展责任、责任免除、出险处理、理赔材料等不一致的以本方案规定为准。</w:t>
      </w:r>
      <w:r>
        <w:rPr>
          <w:rFonts w:hint="eastAsia" w:ascii="宋体" w:hAnsi="宋体" w:eastAsia="宋体" w:cs="宋体"/>
          <w:b/>
          <w:color w:val="000000"/>
          <w:sz w:val="24"/>
          <w:szCs w:val="24"/>
          <w:highlight w:val="none"/>
        </w:rPr>
      </w:r>
      <w:r/>
    </w:p>
    <w:p>
      <w:pPr>
        <w:pStyle w:val="1074"/>
        <w:ind w:firstLine="643"/>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3．附加医务人员遭受伤害责任保险</w:t>
      </w:r>
      <w:r>
        <w:rPr>
          <w:rFonts w:hint="eastAsia" w:ascii="宋体" w:hAnsi="宋体" w:eastAsia="宋体" w:cs="宋体"/>
          <w:b/>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3.1  投保人</w:t>
      </w:r>
      <w:r>
        <w:rPr>
          <w:rFonts w:hint="eastAsia" w:ascii="宋体" w:hAnsi="宋体" w:eastAsia="宋体" w:cs="宋体"/>
          <w:color w:val="000000"/>
          <w:sz w:val="24"/>
          <w:szCs w:val="24"/>
          <w:highlight w:val="none"/>
        </w:rPr>
        <w:t xml:space="preserve">：常州市肿瘤医院。</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3.2  被保险人</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常州市肿瘤医院。</w:t>
      </w:r>
      <w:r>
        <w:rPr>
          <w:rFonts w:hint="eastAsia" w:ascii="宋体" w:hAnsi="宋体" w:eastAsia="宋体" w:cs="宋体"/>
          <w:bCs/>
          <w:color w:val="000000"/>
          <w:sz w:val="24"/>
          <w:szCs w:val="24"/>
          <w:highlight w:val="none"/>
        </w:rPr>
      </w:r>
      <w:r/>
    </w:p>
    <w:p>
      <w:pPr>
        <w:pStyle w:val="1074"/>
        <w:ind w:right="211" w:firstLine="422"/>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3.3  保险期间</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年04 月23日零时</w:t>
      </w:r>
      <w:r>
        <w:rPr>
          <w:rFonts w:hint="eastAsia" w:ascii="宋体" w:hAnsi="宋体" w:eastAsia="宋体" w:cs="宋体"/>
          <w:color w:val="000000"/>
          <w:sz w:val="24"/>
          <w:szCs w:val="24"/>
          <w:highlight w:val="none"/>
          <w:lang w:val="en-US" w:eastAsia="zh-CN"/>
        </w:rPr>
        <w:t xml:space="preserve">起</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年04月22日二十四时</w:t>
      </w:r>
      <w:r>
        <w:rPr>
          <w:rFonts w:hint="eastAsia" w:ascii="宋体" w:hAnsi="宋体" w:eastAsia="宋体" w:cs="宋体"/>
          <w:color w:val="000000"/>
          <w:sz w:val="24"/>
          <w:szCs w:val="24"/>
          <w:highlight w:val="none"/>
          <w:lang w:val="en-US" w:eastAsia="zh-CN"/>
        </w:rPr>
        <w:t xml:space="preserve">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3.4  保险责任：</w:t>
      </w:r>
      <w:r>
        <w:rPr>
          <w:rFonts w:hint="eastAsia" w:ascii="宋体" w:hAnsi="宋体" w:eastAsia="宋体" w:cs="宋体"/>
          <w:bCs/>
          <w:color w:val="000000"/>
          <w:sz w:val="24"/>
          <w:szCs w:val="24"/>
          <w:highlight w:val="none"/>
        </w:rPr>
        <w:t xml:space="preserve">在本保险合同列明的保险期间及承保区域范围内，被保险人的投保医务人员在从事与其资格相符的诊疗活动及医患纠纷处置过程中，因产生医疗纠纷而遭受患方的故意伤害，造成其人身伤害，依法应由被保险人承担民事赔偿责任时，保险人根据本附加保险合同的约定负责赔偿。</w:t>
      </w:r>
      <w:r>
        <w:rPr>
          <w:rFonts w:hint="eastAsia" w:ascii="宋体" w:hAnsi="宋体" w:eastAsia="宋体" w:cs="宋体"/>
          <w:bCs/>
          <w:color w:val="000000"/>
          <w:sz w:val="24"/>
          <w:szCs w:val="24"/>
          <w:highlight w:val="none"/>
        </w:rPr>
      </w:r>
      <w:r/>
    </w:p>
    <w:p>
      <w:pPr>
        <w:pStyle w:val="1074"/>
        <w:ind w:firstLine="481"/>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3.5  责任免除</w:t>
      </w:r>
      <w:r>
        <w:rPr>
          <w:rFonts w:hint="eastAsia" w:ascii="宋体" w:hAnsi="宋体" w:eastAsia="宋体" w:cs="宋体"/>
          <w:b/>
          <w:color w:val="000000"/>
          <w:sz w:val="24"/>
          <w:szCs w:val="24"/>
          <w:highlight w:val="none"/>
        </w:rPr>
      </w:r>
      <w:r/>
    </w:p>
    <w:p>
      <w:pPr>
        <w:pStyle w:val="1074"/>
        <w:ind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由于下列各项引起的损失或责任，保险人不负责赔偿：</w:t>
      </w:r>
      <w:r>
        <w:rPr>
          <w:rFonts w:hint="eastAsia" w:ascii="宋体" w:hAnsi="宋体" w:eastAsia="宋体" w:cs="宋体"/>
          <w:bCs/>
          <w:color w:val="000000"/>
          <w:sz w:val="24"/>
          <w:szCs w:val="24"/>
          <w:highlight w:val="none"/>
        </w:rPr>
      </w:r>
      <w:r/>
    </w:p>
    <w:p>
      <w:pPr>
        <w:pStyle w:val="1074"/>
        <w:ind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（1）由于被保险人的投保医务人员自残、自杀、违法行为所致的人身伤害；</w:t>
      </w:r>
      <w:r>
        <w:rPr>
          <w:rFonts w:hint="eastAsia" w:ascii="宋体" w:hAnsi="宋体" w:eastAsia="宋体" w:cs="宋体"/>
          <w:bCs/>
          <w:color w:val="000000"/>
          <w:sz w:val="24"/>
          <w:szCs w:val="24"/>
          <w:highlight w:val="none"/>
        </w:rPr>
      </w:r>
      <w:r/>
    </w:p>
    <w:p>
      <w:pPr>
        <w:pStyle w:val="1074"/>
        <w:ind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（2）被保险人的投保医务人员因非职业原因而受酒精或药剂的影响所导致的伤残或死亡；</w:t>
      </w:r>
      <w:r>
        <w:rPr>
          <w:rFonts w:hint="eastAsia" w:ascii="宋体" w:hAnsi="宋体" w:eastAsia="宋体" w:cs="宋体"/>
          <w:bCs/>
          <w:color w:val="000000"/>
          <w:sz w:val="24"/>
          <w:szCs w:val="24"/>
          <w:highlight w:val="none"/>
        </w:rPr>
      </w:r>
      <w:r/>
    </w:p>
    <w:p>
      <w:pPr>
        <w:pStyle w:val="1074"/>
        <w:ind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（3）被保险人直接或指使他人对其投保医务人员故意实施的人身伤害；</w:t>
      </w:r>
      <w:r>
        <w:rPr>
          <w:rFonts w:hint="eastAsia" w:ascii="宋体" w:hAnsi="宋体" w:eastAsia="宋体" w:cs="宋体"/>
          <w:bCs/>
          <w:color w:val="000000"/>
          <w:sz w:val="24"/>
          <w:szCs w:val="24"/>
          <w:highlight w:val="none"/>
        </w:rPr>
      </w:r>
      <w:r/>
    </w:p>
    <w:p>
      <w:pPr>
        <w:pStyle w:val="1074"/>
        <w:ind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（4）被保险人对其承包商所雇佣雇员的责任；</w:t>
      </w:r>
      <w:r>
        <w:rPr>
          <w:rFonts w:hint="eastAsia" w:ascii="宋体" w:hAnsi="宋体" w:eastAsia="宋体" w:cs="宋体"/>
          <w:bCs/>
          <w:color w:val="000000"/>
          <w:sz w:val="24"/>
          <w:szCs w:val="24"/>
          <w:highlight w:val="none"/>
        </w:rPr>
      </w:r>
      <w:r/>
    </w:p>
    <w:p>
      <w:pPr>
        <w:pStyle w:val="1074"/>
        <w:ind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（5）被保险人对其投保医务人员的精神损害赔偿责任；</w:t>
      </w:r>
      <w:r>
        <w:rPr>
          <w:rFonts w:hint="eastAsia" w:ascii="宋体" w:hAnsi="宋体" w:eastAsia="宋体" w:cs="宋体"/>
          <w:bCs/>
          <w:color w:val="000000"/>
          <w:sz w:val="24"/>
          <w:szCs w:val="24"/>
          <w:highlight w:val="none"/>
        </w:rPr>
      </w:r>
      <w:r/>
    </w:p>
    <w:p>
      <w:pPr>
        <w:pStyle w:val="1074"/>
        <w:ind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（6）除保险单另有约定外，被保险人的投保医务人员在中华人民共和国境外及港、澳、台地区所发生的人身伤害。</w:t>
      </w:r>
      <w:r>
        <w:rPr>
          <w:rFonts w:hint="eastAsia" w:ascii="宋体" w:hAnsi="宋体" w:eastAsia="宋体" w:cs="宋体"/>
          <w:bCs/>
          <w:color w:val="000000"/>
          <w:sz w:val="24"/>
          <w:szCs w:val="24"/>
          <w:highlight w:val="none"/>
        </w:rPr>
      </w:r>
      <w:r/>
    </w:p>
    <w:p>
      <w:pPr>
        <w:pStyle w:val="1074"/>
        <w:ind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对于任何财产损失及任何间接损失，保险人不负责赔偿。</w:t>
      </w:r>
      <w:r>
        <w:rPr>
          <w:rFonts w:hint="eastAsia" w:ascii="宋体" w:hAnsi="宋体" w:eastAsia="宋体" w:cs="宋体"/>
          <w:bCs/>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3.6  赔偿项目及限额</w:t>
      </w:r>
      <w:r>
        <w:rPr>
          <w:rFonts w:hint="eastAsia" w:ascii="宋体" w:hAnsi="宋体" w:eastAsia="宋体" w:cs="宋体"/>
          <w:b/>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  </w:t>
      </w:r>
      <w:bookmarkStart w:id="818" w:name="OLE_LINK15"/>
      <w:r/>
      <w:bookmarkStart w:id="819" w:name="OLE_LINK16"/>
      <w:r>
        <w:rPr>
          <w:rFonts w:hint="eastAsia" w:ascii="宋体" w:hAnsi="宋体" w:eastAsia="宋体" w:cs="宋体"/>
          <w:color w:val="000000"/>
          <w:sz w:val="24"/>
          <w:szCs w:val="24"/>
          <w:highlight w:val="none"/>
        </w:rPr>
        <w:t xml:space="preserve">医疗机构年度累计赔偿限额：500万元</w:t>
      </w:r>
      <w:bookmarkEnd w:id="818"/>
      <w:r/>
      <w:bookmarkEnd w:id="81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3.6.2  </w:t>
      </w:r>
      <w:bookmarkStart w:id="820" w:name="OLE_LINK18"/>
      <w:r>
        <w:rPr>
          <w:rFonts w:hint="eastAsia" w:ascii="宋体" w:hAnsi="宋体" w:eastAsia="宋体" w:cs="宋体"/>
          <w:color w:val="000000"/>
          <w:sz w:val="24"/>
          <w:szCs w:val="24"/>
          <w:highlight w:val="none"/>
        </w:rPr>
        <w:t xml:space="preserve">人员身故赔偿限额：</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万元/人。</w:t>
      </w:r>
      <w:bookmarkEnd w:id="820"/>
      <w:r>
        <w:rPr>
          <w:rFonts w:hint="eastAsia" w:ascii="宋体" w:hAnsi="宋体" w:eastAsia="宋体" w:cs="宋体"/>
          <w:color w:val="000000"/>
          <w:sz w:val="24"/>
          <w:szCs w:val="24"/>
          <w:highlight w:val="none"/>
        </w:rPr>
      </w:r>
      <w:r/>
    </w:p>
    <w:p>
      <w:pPr>
        <w:pStyle w:val="1074"/>
        <w:ind w:firstLine="420"/>
        <w:jc w:val="left"/>
        <w:spacing w:line="440" w:lineRule="exact"/>
        <w:tabs>
          <w:tab w:val="left" w:pos="22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3.6.3  </w:t>
      </w:r>
      <w:bookmarkStart w:id="821" w:name="OLE_LINK20"/>
      <w:r>
        <w:rPr>
          <w:rFonts w:hint="eastAsia" w:ascii="宋体" w:hAnsi="宋体" w:eastAsia="宋体" w:cs="宋体"/>
          <w:color w:val="000000"/>
          <w:sz w:val="24"/>
          <w:szCs w:val="24"/>
          <w:highlight w:val="none"/>
        </w:rPr>
        <w:t xml:space="preserve">人员残疾赔偿限额</w:t>
      </w:r>
      <w:bookmarkEnd w:id="821"/>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万元/人/年。</w:t>
      </w:r>
      <w:r>
        <w:rPr>
          <w:rFonts w:hint="eastAsia" w:ascii="宋体" w:hAnsi="宋体" w:eastAsia="宋体" w:cs="宋体"/>
          <w:color w:val="000000"/>
          <w:sz w:val="24"/>
          <w:szCs w:val="24"/>
          <w:highlight w:val="none"/>
        </w:rPr>
      </w:r>
      <w:r/>
    </w:p>
    <w:p>
      <w:pPr>
        <w:pStyle w:val="1074"/>
        <w:ind w:firstLine="496"/>
        <w:jc w:val="left"/>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根据《劳动能力鉴定 职工工伤与职业病致残等级》（GB/T16180-2014）所对应的伤残等级与下列“伤残等级赔偿限额比例表”相对应的比例乘以每人伤残赔偿限额所得金额进行赔偿。</w:t>
      </w:r>
      <w:r>
        <w:rPr>
          <w:rFonts w:hint="eastAsia" w:ascii="宋体" w:hAnsi="宋体" w:eastAsia="宋体" w:cs="宋体"/>
          <w:bCs/>
          <w:color w:val="000000"/>
          <w:sz w:val="24"/>
          <w:szCs w:val="24"/>
          <w:highlight w:val="none"/>
        </w:rPr>
      </w:r>
      <w:r/>
    </w:p>
    <w:tbl>
      <w:tblPr>
        <w:tblW w:w="5000" w:type="pct"/>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2338"/>
        <w:gridCol w:w="6764"/>
      </w:tblGrid>
      <w:tr>
        <w:trPr>
          <w:trHeight w:val="3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02" w:type="dxa"/>
            <w:vAlign w:val="center"/>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伤残等级赔偿限额比例表</w:t>
            </w:r>
            <w:r>
              <w:rPr>
                <w:rFonts w:hint="eastAsia" w:ascii="宋体" w:hAnsi="宋体" w:eastAsia="宋体" w:cs="宋体"/>
                <w:bCs/>
                <w:color w:val="000000"/>
                <w:sz w:val="24"/>
                <w:szCs w:val="24"/>
                <w:highlight w:val="none"/>
              </w:rPr>
            </w:r>
            <w:r/>
          </w:p>
        </w:tc>
      </w:tr>
      <w:tr>
        <w:trPr>
          <w:trHeight w:val="2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伤残等级</w:t>
            </w:r>
            <w:r>
              <w:rPr>
                <w:rFonts w:hint="eastAsia" w:ascii="宋体" w:hAnsi="宋体" w:eastAsia="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比例</w:t>
            </w:r>
            <w:r>
              <w:rPr>
                <w:rFonts w:hint="eastAsia" w:ascii="宋体" w:hAnsi="宋体" w:eastAsia="宋体" w:cs="宋体"/>
                <w:bCs/>
                <w:color w:val="000000"/>
                <w:sz w:val="24"/>
                <w:szCs w:val="24"/>
                <w:highlight w:val="none"/>
              </w:rPr>
            </w:r>
            <w:r/>
          </w:p>
        </w:tc>
      </w:tr>
      <w:tr>
        <w:trP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一级</w:t>
            </w:r>
            <w:r>
              <w:rPr>
                <w:rFonts w:hint="eastAsia" w:ascii="宋体" w:hAnsi="宋体" w:eastAsia="宋体" w:cs="宋体"/>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100%</w:t>
            </w:r>
            <w:r>
              <w:rPr>
                <w:rFonts w:hint="eastAsia" w:ascii="宋体" w:hAnsi="宋体" w:eastAsia="宋体" w:cs="宋体"/>
                <w:bCs/>
                <w:color w:val="000000"/>
                <w:sz w:val="24"/>
                <w:szCs w:val="24"/>
                <w:highlight w:val="none"/>
              </w:rPr>
            </w:r>
            <w:r/>
          </w:p>
        </w:tc>
      </w:tr>
      <w:tr>
        <w:trP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二级</w:t>
            </w:r>
            <w:r>
              <w:rPr>
                <w:rFonts w:hint="eastAsia" w:ascii="宋体" w:hAnsi="宋体" w:eastAsia="宋体" w:cs="宋体"/>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90%</w:t>
            </w:r>
            <w:r>
              <w:rPr>
                <w:rFonts w:hint="eastAsia" w:ascii="宋体" w:hAnsi="宋体" w:eastAsia="宋体" w:cs="宋体"/>
                <w:bCs/>
                <w:color w:val="000000"/>
                <w:sz w:val="24"/>
                <w:szCs w:val="24"/>
                <w:highlight w:val="none"/>
              </w:rPr>
            </w:r>
            <w:r/>
          </w:p>
        </w:tc>
      </w:tr>
      <w:tr>
        <w:trP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三级</w:t>
            </w:r>
            <w:r>
              <w:rPr>
                <w:rFonts w:hint="eastAsia" w:ascii="宋体" w:hAnsi="宋体" w:eastAsia="宋体" w:cs="宋体"/>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80%</w:t>
            </w:r>
            <w:r>
              <w:rPr>
                <w:rFonts w:hint="eastAsia" w:ascii="宋体" w:hAnsi="宋体" w:eastAsia="宋体" w:cs="宋体"/>
                <w:bCs/>
                <w:color w:val="000000"/>
                <w:sz w:val="24"/>
                <w:szCs w:val="24"/>
                <w:highlight w:val="none"/>
              </w:rPr>
            </w:r>
            <w:r/>
          </w:p>
        </w:tc>
      </w:tr>
      <w:tr>
        <w:trP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四级</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70%</w:t>
            </w:r>
            <w:r>
              <w:rPr>
                <w:rFonts w:hint="eastAsia" w:ascii="宋体" w:hAnsi="宋体" w:eastAsia="宋体" w:cs="宋体"/>
                <w:bCs/>
                <w:color w:val="000000"/>
                <w:sz w:val="24"/>
                <w:szCs w:val="24"/>
                <w:highlight w:val="none"/>
              </w:rPr>
            </w:r>
            <w:r/>
          </w:p>
        </w:tc>
      </w:tr>
      <w:tr>
        <w:trP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五级</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60%</w:t>
            </w:r>
            <w:r>
              <w:rPr>
                <w:rFonts w:hint="eastAsia" w:ascii="宋体" w:hAnsi="宋体" w:eastAsia="宋体" w:cs="宋体"/>
                <w:bCs/>
                <w:color w:val="000000"/>
                <w:sz w:val="24"/>
                <w:szCs w:val="24"/>
                <w:highlight w:val="none"/>
              </w:rPr>
            </w:r>
            <w:r/>
          </w:p>
        </w:tc>
      </w:tr>
      <w:tr>
        <w:trPr>
          <w:trHeight w:val="1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六级</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50%</w:t>
            </w:r>
            <w:r>
              <w:rPr>
                <w:rFonts w:hint="eastAsia" w:ascii="宋体" w:hAnsi="宋体" w:eastAsia="宋体" w:cs="宋体"/>
                <w:bCs/>
                <w:color w:val="000000"/>
                <w:sz w:val="24"/>
                <w:szCs w:val="24"/>
                <w:highlight w:val="none"/>
              </w:rPr>
            </w:r>
            <w:r/>
          </w:p>
        </w:tc>
      </w:tr>
      <w:tr>
        <w:trP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七级</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40%</w:t>
            </w:r>
            <w:r>
              <w:rPr>
                <w:rFonts w:hint="eastAsia" w:ascii="宋体" w:hAnsi="宋体" w:eastAsia="宋体" w:cs="宋体"/>
                <w:bCs/>
                <w:color w:val="000000"/>
                <w:sz w:val="24"/>
                <w:szCs w:val="24"/>
                <w:highlight w:val="none"/>
              </w:rPr>
            </w:r>
            <w:r/>
          </w:p>
        </w:tc>
      </w:tr>
      <w:tr>
        <w:trP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八级</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w:t>
            </w:r>
            <w:r>
              <w:rPr>
                <w:rFonts w:hint="eastAsia" w:ascii="宋体" w:hAnsi="宋体" w:eastAsia="宋体" w:cs="宋体"/>
                <w:bCs/>
                <w:color w:val="000000"/>
                <w:sz w:val="24"/>
                <w:szCs w:val="24"/>
                <w:highlight w:val="none"/>
              </w:rPr>
            </w:r>
            <w:r/>
          </w:p>
        </w:tc>
      </w:tr>
      <w:tr>
        <w:trP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九级</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w:t>
            </w:r>
            <w:r>
              <w:rPr>
                <w:rFonts w:hint="eastAsia" w:ascii="宋体" w:hAnsi="宋体" w:eastAsia="宋体" w:cs="宋体"/>
                <w:bCs/>
                <w:color w:val="000000"/>
                <w:sz w:val="24"/>
                <w:szCs w:val="24"/>
                <w:highlight w:val="none"/>
              </w:rPr>
            </w:r>
            <w:r/>
          </w:p>
        </w:tc>
      </w:tr>
      <w:tr>
        <w:trP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dxa"/>
            <w:vAlign w:val="bottom"/>
            <w:textDirection w:val="lrTb"/>
            <w:noWrap w:val="false"/>
          </w:tcPr>
          <w:p>
            <w:pPr>
              <w:pStyle w:val="1074"/>
              <w:ind w:firstLine="496"/>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十级</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dxa"/>
            <w:vAlign w:val="bottom"/>
            <w:textDirection w:val="lrTb"/>
            <w:noWrap w:val="false"/>
          </w:tcPr>
          <w:p>
            <w:pPr>
              <w:pStyle w:val="1074"/>
              <w:ind w:firstLine="493"/>
              <w:jc w:val="center"/>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w:t>
            </w:r>
            <w:r>
              <w:rPr>
                <w:rFonts w:hint="eastAsia" w:ascii="宋体" w:hAnsi="宋体" w:eastAsia="宋体" w:cs="宋体"/>
                <w:bCs/>
                <w:color w:val="000000"/>
                <w:sz w:val="24"/>
                <w:szCs w:val="24"/>
                <w:highlight w:val="none"/>
              </w:rPr>
            </w:r>
            <w:r/>
          </w:p>
        </w:tc>
      </w:tr>
    </w:tbl>
    <w:p>
      <w:pPr>
        <w:pStyle w:val="1074"/>
        <w:ind w:right="211"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3.6.4</w:t>
      </w:r>
      <w:r>
        <w:rPr>
          <w:rFonts w:hint="eastAsia" w:ascii="宋体" w:hAnsi="宋体" w:eastAsia="宋体" w:cs="宋体"/>
          <w:b/>
          <w:bCs/>
          <w:color w:val="000000"/>
          <w:sz w:val="24"/>
          <w:szCs w:val="24"/>
          <w:highlight w:val="none"/>
        </w:rPr>
        <w:t xml:space="preserve">本附加险赔偿份额不计算在各医疗机构医疗责任保险主险年度累计赔偿限额中，应另行计算。</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3.7  本附加保险无免赔额或免赔率。</w:t>
      </w:r>
      <w:r>
        <w:rPr>
          <w:rFonts w:hint="eastAsia" w:ascii="宋体" w:hAnsi="宋体" w:eastAsia="宋体" w:cs="宋体"/>
          <w:b/>
          <w:color w:val="000000"/>
          <w:sz w:val="24"/>
          <w:szCs w:val="24"/>
          <w:highlight w:val="none"/>
        </w:rPr>
      </w:r>
      <w:r/>
    </w:p>
    <w:p>
      <w:pPr>
        <w:pStyle w:val="1074"/>
        <w:ind w:firstLine="496"/>
        <w:jc w:val="left"/>
        <w:spacing w:line="440" w:lineRule="exact"/>
        <w:tabs>
          <w:tab w:val="left" w:pos="22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3.8  理赔材料</w:t>
      </w:r>
      <w:r>
        <w:rPr>
          <w:rFonts w:hint="eastAsia" w:ascii="宋体" w:hAnsi="宋体" w:eastAsia="宋体" w:cs="宋体"/>
          <w:b/>
          <w:color w:val="000000"/>
          <w:sz w:val="24"/>
          <w:szCs w:val="24"/>
          <w:highlight w:val="none"/>
        </w:rPr>
      </w:r>
      <w:r/>
    </w:p>
    <w:p>
      <w:pPr>
        <w:pStyle w:val="1074"/>
        <w:ind w:left="496"/>
        <w:jc w:val="left"/>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索赔申请</w:t>
      </w:r>
      <w:r>
        <w:rPr>
          <w:rFonts w:hint="eastAsia" w:ascii="宋体" w:hAnsi="宋体" w:eastAsia="宋体" w:cs="宋体"/>
          <w:bCs/>
          <w:color w:val="000000"/>
          <w:sz w:val="24"/>
          <w:szCs w:val="24"/>
          <w:highlight w:val="none"/>
        </w:rPr>
        <w:t xml:space="preserve">书；</w:t>
      </w:r>
      <w:r>
        <w:rPr>
          <w:rFonts w:hint="eastAsia" w:ascii="宋体" w:hAnsi="宋体" w:eastAsia="宋体" w:cs="宋体"/>
          <w:bCs/>
          <w:color w:val="000000"/>
          <w:sz w:val="24"/>
          <w:szCs w:val="24"/>
          <w:highlight w:val="none"/>
        </w:rPr>
      </w:r>
      <w:r/>
    </w:p>
    <w:p>
      <w:pPr>
        <w:pStyle w:val="1074"/>
        <w:ind w:left="496"/>
        <w:jc w:val="left"/>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（2）公安部门出具的报案证明；</w:t>
      </w:r>
      <w:r>
        <w:rPr>
          <w:rFonts w:hint="eastAsia" w:ascii="宋体" w:hAnsi="宋体" w:eastAsia="宋体" w:cs="宋体"/>
          <w:bCs/>
          <w:color w:val="000000"/>
          <w:sz w:val="24"/>
          <w:szCs w:val="24"/>
          <w:highlight w:val="none"/>
        </w:rPr>
      </w:r>
      <w:r/>
    </w:p>
    <w:p>
      <w:pPr>
        <w:pStyle w:val="1074"/>
        <w:ind w:left="496"/>
        <w:jc w:val="left"/>
        <w:spacing w:line="440" w:lineRule="exact"/>
        <w:tabs>
          <w:tab w:val="left" w:pos="22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（3）造成残疾的，应提供鉴定机构出具的鉴定书；</w:t>
      </w:r>
      <w:r>
        <w:rPr>
          <w:rFonts w:hint="eastAsia" w:ascii="宋体" w:hAnsi="宋体" w:eastAsia="宋体" w:cs="宋体"/>
          <w:bCs/>
          <w:color w:val="000000"/>
          <w:sz w:val="24"/>
          <w:szCs w:val="24"/>
          <w:highlight w:val="none"/>
        </w:rPr>
      </w:r>
      <w:r/>
    </w:p>
    <w:p>
      <w:pPr>
        <w:pStyle w:val="1074"/>
        <w:ind w:left="496"/>
        <w:jc w:val="left"/>
        <w:spacing w:line="440" w:lineRule="exact"/>
        <w:tabs>
          <w:tab w:val="left" w:pos="2256" w:leader="none"/>
          <w:tab w:val="left" w:pos="65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（4）造成死亡的，应提供死亡证明、户籍注销证明。</w:t>
      </w:r>
      <w:r>
        <w:rPr>
          <w:rFonts w:hint="eastAsia" w:ascii="宋体" w:hAnsi="宋体" w:eastAsia="宋体" w:cs="宋体"/>
          <w:bCs/>
          <w:color w:val="000000"/>
          <w:sz w:val="24"/>
          <w:szCs w:val="24"/>
          <w:highlight w:val="none"/>
        </w:rPr>
      </w:r>
      <w:r/>
    </w:p>
    <w:p>
      <w:pPr>
        <w:pStyle w:val="1074"/>
        <w:ind w:firstLine="413"/>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3.9  本附加险方案未约定事项，以主险方案为准；保险机构保险条款中与本方案保险责任、扩展责任、责任免除、出险处理、理赔材料等不一致的以本方案规定为准。</w:t>
      </w:r>
      <w:r>
        <w:rPr>
          <w:rFonts w:hint="eastAsia" w:ascii="宋体" w:hAnsi="宋体" w:eastAsia="宋体" w:cs="宋体"/>
          <w:b/>
          <w:color w:val="000000"/>
          <w:sz w:val="24"/>
          <w:szCs w:val="24"/>
          <w:highlight w:val="none"/>
        </w:rPr>
      </w:r>
      <w:r/>
    </w:p>
    <w:p>
      <w:pPr>
        <w:pStyle w:val="1074"/>
        <w:ind w:firstLine="56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（Ⅱ）医疗机构财产险项目</w:t>
      </w:r>
      <w:r>
        <w:rPr>
          <w:rFonts w:hint="eastAsia" w:ascii="宋体" w:hAnsi="宋体" w:eastAsia="宋体" w:cs="宋体"/>
          <w:color w:val="000000"/>
          <w:sz w:val="24"/>
          <w:szCs w:val="24"/>
          <w:highlight w:val="none"/>
        </w:rPr>
      </w:r>
      <w:r/>
    </w:p>
    <w:p>
      <w:pPr>
        <w:pStyle w:val="1074"/>
        <w:ind w:firstLine="64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1.财产综合险</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投保人：常州市肿瘤医院。</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被保险人：常州市肿瘤医院。</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保险标的：保险合同载明地址中的财产（扣除机动车辆）。</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w:t>
      </w:r>
      <w:r>
        <w:rPr>
          <w:rFonts w:hint="eastAsia" w:ascii="宋体" w:hAnsi="宋体" w:eastAsia="宋体" w:cs="宋体"/>
          <w:b w:val="0"/>
          <w:bCs w:val="0"/>
          <w:color w:val="000000"/>
          <w:sz w:val="24"/>
          <w:szCs w:val="24"/>
          <w:highlight w:val="none"/>
        </w:rPr>
        <w:t xml:space="preserve">保险期间：</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年04 月23日零时—202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年04月22日二十四时。</w:t>
      </w:r>
      <w:r>
        <w:rPr>
          <w:rFonts w:hint="eastAsia" w:ascii="宋体" w:hAnsi="宋体" w:eastAsia="宋体" w:cs="宋体"/>
          <w:color w:val="000000"/>
          <w:sz w:val="24"/>
          <w:szCs w:val="24"/>
          <w:highlight w:val="none"/>
        </w:rPr>
      </w:r>
      <w:r/>
    </w:p>
    <w:p>
      <w:pPr>
        <w:pStyle w:val="1074"/>
        <w:ind w:right="211" w:firstLine="420"/>
        <w:jc w:val="left"/>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1.5  保险金额：</w:t>
      </w:r>
      <w:r>
        <w:rPr>
          <w:rFonts w:hint="eastAsia" w:ascii="宋体" w:hAnsi="宋体" w:cs="宋体"/>
          <w:color w:val="000000"/>
          <w:sz w:val="24"/>
          <w:szCs w:val="24"/>
          <w:highlight w:val="none"/>
          <w:lang w:val="en-US" w:eastAsia="zh-CN"/>
        </w:rPr>
        <w:t xml:space="preserve">详见附件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  保险责任</w:t>
      </w:r>
      <w:r>
        <w:rPr>
          <w:rFonts w:hint="eastAsia" w:ascii="宋体" w:hAnsi="宋体" w:eastAsia="宋体" w:cs="宋体"/>
          <w:b/>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1.6.1  在保险期间内，由于下列原因造成保险标的的损失，保险人按照本保险合同的约定负责赔偿：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（1）火灾、爆炸；</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雷击、暴雨、洪水、暴风、龙卷风、冰雹、台风、飓风、暴雪、冰凌、突发性滑坡、崩塌、泥石流、地面突然下陷下沉；</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（3）飞行物体及其他空中运行物体坠落。</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前款原因造成的保险事故发生时，为抢救保险标的或防止灾害蔓延，采取必要的、合理的措施而造成保险标的的损失，保险人按照本保险合同的约定也负责赔偿。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1.6.2  被保险人拥有财产所有权的自用的供电、供水、供气设备因保险事故遭受损坏，引起停电、停水、停气以致造成保险标的直接损失，保险人按照本保险合同的约定也负责赔偿。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1.6.3  保险事故发生后，被保险人为防止或减少保险标的的损失所支付的必要的、合理的费用，保险人按照本保险合同的约定也负责赔偿。</w:t>
      </w:r>
      <w:r>
        <w:rPr>
          <w:rFonts w:hint="eastAsia" w:ascii="宋体" w:hAnsi="宋体" w:eastAsia="宋体" w:cs="宋体"/>
          <w:bCs/>
          <w:color w:val="000000"/>
          <w:sz w:val="24"/>
          <w:szCs w:val="24"/>
          <w:highlight w:val="none"/>
        </w:rPr>
      </w:r>
      <w:r/>
    </w:p>
    <w:p>
      <w:pPr>
        <w:pStyle w:val="1074"/>
        <w:ind w:firstLine="422"/>
        <w:spacing w:line="440" w:lineRule="exact"/>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1.7  扩展条款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1.7.1  自动喷淋系统水损条款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本保险扩展承保本保险单明细表中列明的被保险财产因喷淋系统的突然破裂、失灵造成该财产的水损（或水污损失）。</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1.7.2  附加水暖管爆裂保险条款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保险条款对本保险单承保的水暖管因火灾、爆炸、雷击、飞行物体及其他空中运行物体坠落、高压、碰撞、严寒、高温造成水暖管爆裂，致使被保险人的水暖管本身损失以及其他保险财产遭受水淹、浸湿、腐蚀的损失，保险人以本保险单中列明的保险金额为限按实际损失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1.7.3  恶意破坏扩展条款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本保险扩展承保本保险单明细表中列明的保险财产因他人的恶意破坏所致的损失。</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1.7.4  自动恢复保险金额条款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在保险公司对保险单明细表中列明的被保险财产的损失予以赔偿后，原保险金额自动恢复。</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  紧急抢险条款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险事故发生后，被保险人可按照规范要求以及生产与安全需要，立即组织抢险、抢修工作，但被保险人应认真做好相关记录，并在条件许可时对第一现场情况进行拍照或录像。保险人不得以未见到第一现场为由拒赔或少赔。</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1.7.</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广告牌、告示牌及装饰物扩展条款</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在被保险人列明地点及地点之外的，被保险人所有的广告标志及装饰物因主险保险责任范围内的事故造成的财产损失，保险人按照本保险合同的约定负责赔偿。</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 露天及简易建筑内存放财产扩展条款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由于暴风、暴雨、龙卷风、台风、飓风、雷电、冰雹、暴雪、冰凌、洪水造成的存放于露天或简易建筑内的保险标的的损失，保险人按照本保险合同的约定负责赔偿。</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锅炉、压力容器扩展条款</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在本保险合同中载明的保险标的地址内，被保险人所有的或管控的锅炉、压力容器在正常使用过程中，由于下列原因造成自身的损失，保险人按照本保险合同的约定负责赔偿：</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（一）操作不当；</w:t>
      </w:r>
      <w:r>
        <w:rPr>
          <w:rFonts w:hint="eastAsia" w:ascii="宋体" w:hAnsi="宋体" w:eastAsia="宋体" w:cs="宋体"/>
          <w:bCs/>
          <w:color w:val="000000"/>
          <w:sz w:val="24"/>
          <w:szCs w:val="24"/>
          <w:highlight w:val="none"/>
        </w:rPr>
      </w:r>
      <w:r/>
    </w:p>
    <w:p>
      <w:pPr>
        <w:pStyle w:val="1074"/>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（二）爆炸。</w:t>
      </w:r>
      <w:r>
        <w:rPr>
          <w:rFonts w:hint="eastAsia" w:ascii="宋体" w:hAnsi="宋体" w:eastAsia="宋体" w:cs="宋体"/>
          <w:bCs/>
          <w:color w:val="000000"/>
          <w:sz w:val="24"/>
          <w:szCs w:val="24"/>
          <w:highlight w:val="none"/>
        </w:rPr>
      </w:r>
      <w:r/>
    </w:p>
    <w:p>
      <w:pPr>
        <w:pStyle w:val="1074"/>
        <w:ind w:right="211" w:firstLine="480"/>
        <w:spacing w:line="44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1.8  </w:t>
      </w:r>
      <w:r>
        <w:rPr>
          <w:rFonts w:hint="eastAsia" w:ascii="宋体" w:hAnsi="宋体" w:eastAsia="宋体" w:cs="宋体"/>
          <w:b/>
          <w:bCs/>
          <w:color w:val="000000"/>
          <w:sz w:val="24"/>
          <w:szCs w:val="24"/>
          <w:highlight w:val="none"/>
        </w:rPr>
        <w:t xml:space="preserve">责任免除</w:t>
      </w:r>
      <w:r>
        <w:rPr>
          <w:rFonts w:hint="eastAsia" w:ascii="宋体" w:hAnsi="宋体" w:eastAsia="宋体" w:cs="宋体"/>
          <w:b/>
          <w:bCs/>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1.8.1  下列原因造成的损失、费用，保险人不负责赔偿：</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（1）投保人、被保险人及其代表的故意或重大过失行为；</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（2）行政行为或司法行为； </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（3）战争、类似战争行为、敌对行动、军事行动、武装冲突、罢工、骚乱、暴动、政变、谋反、恐怖活动； </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（4）地震、海啸及其次生灾害；</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（5）核辐射、核裂变、核聚变、核污染及其他放射性污染；</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（6）大气污染、土地污染、水污染及其他非放射性污染，但因保险事故造成的非放射性污染不在此限；</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（7）保险标的的内在或潜在缺陷、自然磨损、自然损耗，大气（气候或气温）变化、正常水位变化或其他渐变原因，物质本身变化、霉烂、受潮、鼠咬、虫蛀、鸟啄、氧化、锈蚀、渗漏、自燃、烘焙；</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（8）盗窃、抢劫。</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1.8.2  下列损失、费用，保险人也不负责赔偿：</w:t>
      </w:r>
      <w:r>
        <w:rPr>
          <w:rFonts w:hint="eastAsia" w:ascii="宋体" w:hAnsi="宋体" w:eastAsia="宋体" w:cs="宋体"/>
          <w:b/>
          <w:bCs/>
          <w:color w:val="000000"/>
          <w:sz w:val="24"/>
          <w:szCs w:val="24"/>
          <w:highlight w:val="none"/>
        </w:rPr>
      </w:r>
      <w:r/>
    </w:p>
    <w:p>
      <w:pPr>
        <w:pStyle w:val="1074"/>
        <w:ind w:left="480" w:right="211"/>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（1）保险标的遭受保险事故引起的各种间接损失；</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（2）本保险合同中载明的免赔额。</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  免赔额或免赔率</w:t>
      </w:r>
      <w:r>
        <w:rPr>
          <w:rFonts w:hint="eastAsia" w:ascii="宋体" w:hAnsi="宋体" w:eastAsia="宋体" w:cs="宋体"/>
          <w:b/>
          <w:bCs/>
          <w:color w:val="000000"/>
          <w:sz w:val="24"/>
          <w:szCs w:val="24"/>
          <w:highlight w:val="none"/>
        </w:rPr>
      </w:r>
      <w:r/>
    </w:p>
    <w:p>
      <w:pPr>
        <w:pStyle w:val="1074"/>
        <w:ind w:right="211"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w:t>
      </w:r>
      <w:bookmarkStart w:id="822" w:name="OLE_LINK23"/>
      <w:r>
        <w:rPr>
          <w:rFonts w:hint="eastAsia" w:ascii="宋体" w:hAnsi="宋体" w:eastAsia="宋体" w:cs="宋体"/>
          <w:color w:val="000000"/>
          <w:sz w:val="24"/>
          <w:szCs w:val="24"/>
          <w:highlight w:val="none"/>
        </w:rPr>
        <w:t xml:space="preserve">绝对免赔额：</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0000元/次。</w:t>
      </w:r>
      <w:bookmarkEnd w:id="822"/>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免赔率：无。</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1.10  出险处理</w:t>
      </w:r>
      <w:r>
        <w:rPr>
          <w:rFonts w:hint="eastAsia" w:ascii="宋体" w:hAnsi="宋体" w:eastAsia="宋体" w:cs="宋体"/>
          <w:b/>
          <w:bCs/>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1.10.1  保险人承诺一旦接到被保险人或采购人委托的第三方保险经纪公司出险报案后24小时内到达事故现场进行查勘定损；在定损依据双方都明确条件下出具定损清单并交由被保险人签字认可；保险人根据保险合同约定收全理赔材料后出具案件收讫留置单并予7个工作日内结案，并在赔偿限额内足额支付赔款。</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1.10.2  除非有合理和足够的证据证明，保险人不得以任何理由推卸、拖延甚至拒绝被保险人、采购人委托的第三方保险经纪公司的索赔要求，否则其行为构成违约，并须承担违约责任。保险人未按上述1.10.1要求完成赔付的，按赔偿金额的0.657‰/日×实际滞纳天数计算滞纳金赔付给被保险人，并承担由此造成的其他损失</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包括但不仅限于鉴定费、调查取证费、律师费等</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right="211"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1.10.3  被保险人应尽可能为保险人、公估人调查和取证工作保留事故现场；对无法留待保险人、公估人查勘的事故现场，被保险人应尽可能留下照片、录像、文字记录供保险人审核之用。</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1.11  理赔材料</w:t>
      </w:r>
      <w:r>
        <w:rPr>
          <w:rFonts w:hint="eastAsia" w:ascii="宋体" w:hAnsi="宋体" w:eastAsia="宋体" w:cs="宋体"/>
          <w:b/>
          <w:bCs/>
          <w:color w:val="000000"/>
          <w:sz w:val="24"/>
          <w:szCs w:val="24"/>
          <w:highlight w:val="none"/>
        </w:rPr>
      </w:r>
      <w:r/>
    </w:p>
    <w:p>
      <w:pPr>
        <w:pStyle w:val="1074"/>
        <w:numPr>
          <w:ilvl w:val="0"/>
          <w:numId w:val="15"/>
        </w:num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索赔申请；</w:t>
      </w:r>
      <w:r>
        <w:rPr>
          <w:rFonts w:hint="eastAsia" w:ascii="宋体" w:hAnsi="宋体" w:eastAsia="宋体" w:cs="宋体"/>
          <w:color w:val="000000"/>
          <w:sz w:val="24"/>
          <w:szCs w:val="24"/>
          <w:highlight w:val="none"/>
        </w:rPr>
      </w:r>
      <w:r/>
    </w:p>
    <w:p>
      <w:pPr>
        <w:pStyle w:val="1074"/>
        <w:numPr>
          <w:ilvl w:val="0"/>
          <w:numId w:val="15"/>
        </w:num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事故报告说明；</w:t>
      </w:r>
      <w:r>
        <w:rPr>
          <w:rFonts w:hint="eastAsia" w:ascii="宋体" w:hAnsi="宋体" w:eastAsia="宋体" w:cs="宋体"/>
          <w:color w:val="000000"/>
          <w:sz w:val="24"/>
          <w:szCs w:val="24"/>
          <w:highlight w:val="none"/>
        </w:rPr>
      </w:r>
      <w:r/>
    </w:p>
    <w:p>
      <w:pPr>
        <w:pStyle w:val="1074"/>
        <w:numPr>
          <w:ilvl w:val="0"/>
          <w:numId w:val="15"/>
        </w:num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维修合同、发票原件；</w:t>
      </w:r>
      <w:r>
        <w:rPr>
          <w:rFonts w:hint="eastAsia" w:ascii="宋体" w:hAnsi="宋体" w:eastAsia="宋体" w:cs="宋体"/>
          <w:color w:val="000000"/>
          <w:sz w:val="24"/>
          <w:szCs w:val="24"/>
          <w:highlight w:val="none"/>
        </w:rPr>
      </w:r>
      <w:r/>
    </w:p>
    <w:p>
      <w:pPr>
        <w:pStyle w:val="1074"/>
        <w:numPr>
          <w:ilvl w:val="0"/>
          <w:numId w:val="15"/>
        </w:num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损失清单及金额。</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1.12  保险机构保险条款中与本方案保险责任、扩展责任、责任免除、出险处理、理赔材料等不一致的以本方案规定为准。</w:t>
      </w:r>
      <w:r>
        <w:rPr>
          <w:rFonts w:hint="eastAsia" w:ascii="宋体" w:hAnsi="宋体" w:eastAsia="宋体" w:cs="宋体"/>
          <w:b/>
          <w:color w:val="000000"/>
          <w:sz w:val="24"/>
          <w:szCs w:val="24"/>
          <w:highlight w:val="none"/>
        </w:rPr>
      </w:r>
      <w:r/>
    </w:p>
    <w:p>
      <w:pPr>
        <w:pStyle w:val="1074"/>
        <w:ind w:firstLine="64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2．机器损坏险</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投保人：常州市肿瘤医院。</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被保险人：常州市肿瘤医院。</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保险标的：各医疗机构专用设备、通用设备等（扣除机动车辆）。</w:t>
      </w:r>
      <w:r>
        <w:rPr>
          <w:rFonts w:hint="eastAsia" w:ascii="宋体" w:hAnsi="宋体" w:eastAsia="宋体" w:cs="宋体"/>
          <w:color w:val="000000"/>
          <w:sz w:val="24"/>
          <w:szCs w:val="24"/>
          <w:highlight w:val="none"/>
        </w:rPr>
      </w:r>
      <w:r/>
    </w:p>
    <w:p>
      <w:pPr>
        <w:pStyle w:val="1074"/>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w:t>
      </w:r>
      <w:r>
        <w:rPr>
          <w:rFonts w:hint="eastAsia" w:ascii="宋体" w:hAnsi="宋体" w:eastAsia="宋体" w:cs="宋体"/>
          <w:b/>
          <w:bCs/>
          <w:color w:val="000000"/>
          <w:sz w:val="24"/>
          <w:szCs w:val="24"/>
          <w:highlight w:val="none"/>
        </w:rPr>
        <w:t xml:space="preserve">保险期间</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年04 月23日零时—202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年04月22日二十四时。</w:t>
      </w:r>
      <w:r>
        <w:rPr>
          <w:rFonts w:hint="eastAsia" w:ascii="宋体" w:hAnsi="宋体" w:eastAsia="宋体" w:cs="宋体"/>
          <w:color w:val="000000"/>
          <w:sz w:val="24"/>
          <w:szCs w:val="24"/>
          <w:highlight w:val="none"/>
        </w:rPr>
      </w:r>
      <w:r/>
    </w:p>
    <w:p>
      <w:pPr>
        <w:pStyle w:val="1074"/>
        <w:ind w:right="211" w:firstLine="420"/>
        <w:jc w:val="left"/>
        <w:spacing w:line="44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2.5  保险金额：</w:t>
      </w:r>
      <w:r>
        <w:rPr>
          <w:rFonts w:hint="eastAsia" w:ascii="宋体" w:hAnsi="宋体" w:cs="宋体"/>
          <w:color w:val="000000"/>
          <w:sz w:val="24"/>
          <w:szCs w:val="24"/>
          <w:highlight w:val="none"/>
          <w:lang w:val="en-US" w:eastAsia="zh-CN"/>
        </w:rPr>
        <w:t xml:space="preserve">详见附件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2.6  保险责任</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在保险期间内，因下列原因引起或构成突然的、不可预料的意外事故造成的物质损坏或灭失(以下简称“损失”)，保险人按照本保险合同的约定负责赔偿：</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（1）设计、制造或安装错误、铸造和原材料缺陷；</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（2）工人、技术人员操作错误、缺乏经验、技术不善、疏忽、过失、恶意行为；</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（3）离心力引起的断裂；</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（4）超负荷、超电压、碰线、电弧、漏电、短路、大气放电、感应电及其他电气原因；</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（5）除本条款中“2.8责任免除”规定以外的其他原因。</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保险事故发生后，被保险人为防止或减少保险标的的损失所支付的必要的、合理的费用，保险人按照本保险合同的约定也负责赔偿。</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2.7  扩展条款</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紧急抢险条款</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事故发生后，被保险人可按照规范要求以及生产与安全需要，立即组织抢险、抢修工作，但被保险人应认真做好相关记录，并在条件许可时对第一现场情况进行拍照或录像。保险人不得以未见到第一现场为由拒赔或少赔。</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2.8  责任免除</w:t>
      </w:r>
      <w:r>
        <w:rPr>
          <w:rFonts w:hint="eastAsia" w:ascii="宋体" w:hAnsi="宋体" w:eastAsia="宋体" w:cs="宋体"/>
          <w:b/>
          <w:bCs/>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2.8.1  下列原因造成的损失、费用，保险人不负责赔偿：</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（1）被保险人及其代表的故意行为或重大过失；</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（2）被保险人及其代表已经知道或应该知道的保险机器及其附属设备在本保险开始前已经存在的缺点或缺陷；</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（3）战争、类似战争行为、敌对行为、军事行为、武装冲突、恐怖活动、谋反、政变、罢工、暴动、骚乱；</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（4）政府命令或任何公共当局没收、征用、销毁或毁坏；</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（5）核裂变、核聚变、核武器、核材料、核辐射及放射性污染；</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（6）机器设备运行必然引起的后果，如自然磨损、氧化、腐蚀、锈蚀、孔蚀、锅垢等物理性变化或化学反应；</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（7）由于公共设施部门的限制性供应及故意行为或非意外事故引起的停电、停气、停水；</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（8）火灾、爆炸；</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（9）地震、海啸及其次生灾害；</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（10）雷击、飓风、台风、龙卷风、暴风、暴雨、洪水、冰雹、地崩、山崩、雪崩、火山爆发、地面下陷下沉及其他自然灾害；</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（11）飞机坠毁、飞机部件或飞机物体坠落；</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（12）机动车碰撞；</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（13）水箱、水管爆裂；</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（14）虫蛀、鼠咬、鸟啄。</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2.8.2  下列损失、费用，保险人也不负责赔偿：</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（1）保险事故发生后引起的各种间接损失或费用；</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（2）根据法律或契约应由供货方、制造人、安装人或修理人负责的损失或费用；</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（3）保险机器设备在修复或重置过程中发生的任何变更、性能增加或改进所产生的额外费用；</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（4）本保险合同中载明的免赔额。</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  免赔额或免赔率 </w:t>
      </w:r>
      <w:r>
        <w:rPr>
          <w:rFonts w:hint="eastAsia" w:ascii="宋体" w:hAnsi="宋体" w:eastAsia="宋体" w:cs="宋体"/>
          <w:b/>
          <w:bCs/>
          <w:color w:val="000000"/>
          <w:sz w:val="24"/>
          <w:szCs w:val="24"/>
          <w:highlight w:val="none"/>
        </w:rPr>
      </w:r>
      <w:r/>
    </w:p>
    <w:p>
      <w:pPr>
        <w:pStyle w:val="1074"/>
        <w:ind w:right="211"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w:t>
      </w:r>
      <w:bookmarkStart w:id="823" w:name="OLE_LINK29"/>
      <w:r>
        <w:rPr>
          <w:rFonts w:hint="eastAsia" w:ascii="宋体" w:hAnsi="宋体" w:eastAsia="宋体" w:cs="宋体"/>
          <w:color w:val="000000"/>
          <w:sz w:val="24"/>
          <w:szCs w:val="24"/>
          <w:highlight w:val="none"/>
        </w:rPr>
        <w:t xml:space="preserve">绝对免赔额：</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0000元/次。</w:t>
      </w:r>
      <w:bookmarkEnd w:id="823"/>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免赔率：无。</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2.10  出险处理</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2.10.1  保险人承诺一旦接到被保险人或采购人委托的第三方保险经纪公司出险报案后24小时内到达事故现场进行查勘定损；在定损依据双方都明确条件下出具定损清单并交由被保险人签字认可；保险人根据保险合同约定收全理赔材料后出具案件收讫留置单并予7个工作日内结案并在赔偿限额内足额支付赔款。</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2.10.2  除非有合理和足够的证据证明，保险人不得以任何理由推卸、拖延甚至拒绝被保险人、采购人委托的第三方保险经纪公司的索赔要求，否则其行为构成违约，并须承担违约责任。保险人未按上述2.10.1要求完成赔付的，按赔偿金额的0.657‰/日×实际滞纳天数计算滞纳金赔付给被保险人，并承担由此造成的其他损失</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包括但不仅限于鉴定费、调查取证费、律师费等</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2.10.3  被保险人应尽可能为保险人、公估人调查和取证工作保留事故现场；对无法留待保险人、公估人查勘的事故现场，被保险人应尽可能留下照片、录像、文字记录供保险人审核之用。</w:t>
      </w:r>
      <w:r>
        <w:rPr>
          <w:rFonts w:hint="eastAsia" w:ascii="宋体" w:hAnsi="宋体" w:eastAsia="宋体" w:cs="宋体"/>
          <w:color w:val="000000"/>
          <w:sz w:val="24"/>
          <w:szCs w:val="24"/>
          <w:highlight w:val="none"/>
        </w:rPr>
      </w:r>
      <w:r/>
    </w:p>
    <w:p>
      <w:pPr>
        <w:pStyle w:val="1074"/>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2.11  理赔材料</w:t>
      </w:r>
      <w:r>
        <w:rPr>
          <w:rFonts w:hint="eastAsia" w:ascii="宋体" w:hAnsi="宋体" w:eastAsia="宋体" w:cs="宋体"/>
          <w:b/>
          <w:bCs/>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（1）索赔申请；</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（2）事故报告说明；</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（3）维修合同、发票原件；</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（4）损失清单及金额；</w:t>
      </w:r>
      <w:r>
        <w:rPr>
          <w:rFonts w:hint="eastAsia" w:ascii="宋体" w:hAnsi="宋体" w:eastAsia="宋体" w:cs="宋体"/>
          <w:color w:val="000000"/>
          <w:sz w:val="24"/>
          <w:szCs w:val="24"/>
          <w:highlight w:val="none"/>
        </w:rPr>
      </w:r>
      <w:r/>
    </w:p>
    <w:p>
      <w:pPr>
        <w:pStyle w:val="1074"/>
        <w:numPr>
          <w:ilvl w:val="0"/>
          <w:numId w:val="15"/>
        </w:num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受损标的设备登记记录。</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2.12  保险机构保险条款中与本方案保险责任、扩展责任、责任免除、出险处理、理赔材料等不一致的以本方案规定为准。</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附件提供的相关信息数据只用于保险公司参与本次投标，保险公司不得将本次项目所提供的信息数据向新闻媒体或任一其他方予以公开披露，也不能将本次项目所提供的信息数据用于其他任何目的，保险公司需严格遵守保密义务。</w:t>
      </w:r>
      <w:r>
        <w:rPr>
          <w:rFonts w:hint="eastAsia" w:ascii="宋体" w:hAnsi="宋体" w:eastAsia="宋体" w:cs="宋体"/>
          <w:b/>
          <w:color w:val="000000"/>
          <w:sz w:val="24"/>
          <w:szCs w:val="24"/>
          <w:highlight w:val="none"/>
        </w:rPr>
      </w:r>
      <w:r/>
    </w:p>
    <w:p>
      <w:pPr>
        <w:pStyle w:val="1074"/>
        <w:spacing w:line="440" w:lineRule="exact"/>
        <w:rPr>
          <w:rFonts w:hint="eastAsia"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附件：</w:t>
      </w:r>
      <w:r>
        <w:rPr>
          <w:rFonts w:hint="eastAsia" w:ascii="宋体" w:hAnsi="宋体" w:eastAsia="宋体" w:cs="宋体"/>
          <w:b/>
          <w:color w:val="000000"/>
          <w:sz w:val="24"/>
          <w:szCs w:val="24"/>
          <w:highlight w:val="none"/>
          <w:lang w:val="en-US" w:eastAsia="zh-CN"/>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00"/>
        <w:gridCol w:w="156"/>
        <w:gridCol w:w="781"/>
        <w:gridCol w:w="562"/>
        <w:gridCol w:w="528"/>
        <w:gridCol w:w="691"/>
        <w:gridCol w:w="704"/>
        <w:gridCol w:w="1026"/>
        <w:gridCol w:w="105"/>
        <w:gridCol w:w="981"/>
        <w:gridCol w:w="854"/>
        <w:gridCol w:w="172"/>
        <w:gridCol w:w="1202"/>
        <w:gridCol w:w="1026"/>
      </w:tblGrid>
      <w:tr>
        <w:trPr>
          <w:trHeight w:val="1000"/>
        </w:trPr>
        <w:tc>
          <w:tcPr>
            <w:tcBorders>
              <w:top w:val="single" w:color="000000" w:sz="8" w:space="0"/>
              <w:left w:val="single" w:color="000000" w:sz="8" w:space="0"/>
              <w:bottom w:val="single" w:color="000000" w:sz="8" w:space="0"/>
              <w:right w:val="single" w:color="000000" w:sz="8" w:space="0"/>
            </w:tcBorders>
            <w:tcW w:w="298"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gridSpan w:val="2"/>
            <w:tcBorders>
              <w:top w:val="single" w:color="000000" w:sz="8" w:space="0"/>
              <w:left w:val="single" w:color="000000" w:sz="8" w:space="0"/>
              <w:bottom w:val="single" w:color="000000" w:sz="8" w:space="0"/>
              <w:right w:val="single" w:color="000000" w:sz="8" w:space="0"/>
            </w:tcBorders>
            <w:tcW w:w="937"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医院机构名称</w:t>
            </w:r>
            <w:r>
              <w:rPr>
                <w:rFonts w:hint="eastAsia" w:ascii="宋体" w:hAnsi="宋体" w:eastAsia="宋体" w:cs="宋体"/>
                <w:color w:val="000000"/>
                <w:sz w:val="24"/>
                <w:szCs w:val="24"/>
                <w:highlight w:val="none"/>
              </w:rPr>
            </w:r>
            <w:r/>
          </w:p>
        </w:tc>
        <w:tc>
          <w:tcPr>
            <w:gridSpan w:val="2"/>
            <w:tcBorders>
              <w:top w:val="single" w:color="000000" w:sz="8" w:space="0"/>
              <w:left w:val="single" w:color="000000" w:sz="8" w:space="0"/>
              <w:bottom w:val="single" w:color="000000" w:sz="8" w:space="0"/>
              <w:right w:val="single" w:color="000000" w:sz="8" w:space="0"/>
            </w:tcBorders>
            <w:tcW w:w="1090"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医院级别</w:t>
            </w:r>
            <w:r>
              <w:rPr>
                <w:rFonts w:hint="eastAsia" w:ascii="宋体" w:hAnsi="宋体" w:eastAsia="宋体" w:cs="宋体"/>
                <w:color w:val="000000"/>
                <w:sz w:val="24"/>
                <w:szCs w:val="24"/>
                <w:highlight w:val="none"/>
              </w:rPr>
            </w:r>
            <w:r/>
          </w:p>
        </w:tc>
        <w:tc>
          <w:tcPr>
            <w:gridSpan w:val="2"/>
            <w:tcBorders>
              <w:top w:val="single" w:color="000000" w:sz="8" w:space="0"/>
              <w:left w:val="single" w:color="000000" w:sz="8" w:space="0"/>
              <w:bottom w:val="single" w:color="000000" w:sz="8" w:space="0"/>
              <w:right w:val="single" w:color="000000" w:sz="8" w:space="0"/>
            </w:tcBorders>
            <w:tcW w:w="1395"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临床手术科室医师人数（人）</w:t>
            </w: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503"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临床非手术科室医师人数（人）</w:t>
            </w:r>
            <w:r>
              <w:rPr>
                <w:rFonts w:hint="eastAsia" w:ascii="宋体" w:hAnsi="宋体" w:eastAsia="宋体" w:cs="宋体"/>
                <w:color w:val="000000"/>
                <w:sz w:val="24"/>
                <w:szCs w:val="24"/>
                <w:highlight w:val="none"/>
              </w:rPr>
            </w:r>
            <w:r/>
          </w:p>
        </w:tc>
        <w:tc>
          <w:tcPr>
            <w:gridSpan w:val="2"/>
            <w:tcBorders>
              <w:top w:val="single" w:color="000000" w:sz="8" w:space="0"/>
              <w:left w:val="single" w:color="000000" w:sz="8" w:space="0"/>
              <w:bottom w:val="single" w:color="000000" w:sz="8" w:space="0"/>
              <w:right w:val="single" w:color="000000" w:sz="8" w:space="0"/>
            </w:tcBorders>
            <w:tcW w:w="1086"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护士及医技、药剂科室人数（人）</w:t>
            </w:r>
            <w:r>
              <w:rPr>
                <w:rFonts w:hint="eastAsia" w:ascii="宋体" w:hAnsi="宋体" w:eastAsia="宋体" w:cs="宋体"/>
                <w:color w:val="000000"/>
                <w:sz w:val="24"/>
                <w:szCs w:val="24"/>
                <w:highlight w:val="none"/>
              </w:rPr>
            </w:r>
            <w:r/>
          </w:p>
        </w:tc>
        <w:tc>
          <w:tcPr>
            <w:gridSpan w:val="2"/>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医务人员合计人数（人）</w:t>
            </w: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1097"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床位数（床）</w:t>
            </w:r>
            <w:r>
              <w:rPr>
                <w:rFonts w:hint="eastAsia" w:ascii="宋体" w:hAnsi="宋体" w:eastAsia="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预估手术台数（台）</w:t>
            </w:r>
            <w:r>
              <w:rPr>
                <w:rFonts w:hint="eastAsia" w:ascii="宋体" w:hAnsi="宋体" w:eastAsia="宋体" w:cs="宋体"/>
                <w:color w:val="000000"/>
                <w:sz w:val="24"/>
                <w:szCs w:val="24"/>
                <w:highlight w:val="none"/>
              </w:rPr>
            </w:r>
            <w:r/>
          </w:p>
        </w:tc>
      </w:tr>
      <w:tr>
        <w:trPr>
          <w:trHeight w:val="760"/>
        </w:trPr>
        <w:tc>
          <w:tcPr>
            <w:tcBorders>
              <w:top w:val="none" w:color="000000" w:sz="4" w:space="0"/>
              <w:left w:val="single" w:color="000000" w:sz="8" w:space="0"/>
              <w:bottom w:val="single" w:color="000000" w:sz="8" w:space="0"/>
              <w:right w:val="single" w:color="000000" w:sz="8" w:space="0"/>
            </w:tcBorders>
            <w:tcW w:w="298" w:type="dxa"/>
            <w:vAlign w:val="center"/>
            <w:textDirection w:val="lrTb"/>
            <w:noWrap w:val="false"/>
          </w:tcPr>
          <w:p>
            <w:pPr>
              <w:pStyle w:val="1074"/>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gridSpan w:val="2"/>
            <w:tcBorders>
              <w:top w:val="none" w:color="000000" w:sz="4" w:space="0"/>
              <w:left w:val="single" w:color="000000" w:sz="8" w:space="0"/>
              <w:bottom w:val="single" w:color="000000" w:sz="8" w:space="0"/>
              <w:right w:val="single" w:color="000000" w:sz="8" w:space="0"/>
            </w:tcBorders>
            <w:tcW w:w="937"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肿瘤医院</w:t>
            </w:r>
            <w:r>
              <w:rPr>
                <w:rFonts w:hint="eastAsia" w:ascii="宋体" w:hAnsi="宋体" w:eastAsia="宋体" w:cs="宋体"/>
                <w:color w:val="000000"/>
                <w:sz w:val="24"/>
                <w:szCs w:val="24"/>
                <w:highlight w:val="none"/>
              </w:rPr>
            </w:r>
            <w:r/>
          </w:p>
        </w:tc>
        <w:tc>
          <w:tcPr>
            <w:gridSpan w:val="2"/>
            <w:tcBorders>
              <w:top w:val="none" w:color="000000" w:sz="4" w:space="0"/>
              <w:left w:val="single" w:color="000000" w:sz="8" w:space="0"/>
              <w:bottom w:val="single" w:color="000000" w:sz="8" w:space="0"/>
              <w:right w:val="single" w:color="000000" w:sz="8" w:space="0"/>
            </w:tcBorders>
            <w:tcW w:w="1090" w:type="dxa"/>
            <w:vAlign w:val="center"/>
            <w:textDirection w:val="lrTb"/>
            <w:noWrap w:val="false"/>
          </w:tcPr>
          <w:p>
            <w:pPr>
              <w:pStyle w:val="1074"/>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三级</w:t>
            </w:r>
            <w:r>
              <w:rPr>
                <w:rFonts w:hint="eastAsia" w:ascii="宋体" w:hAnsi="宋体" w:eastAsia="宋体" w:cs="宋体"/>
                <w:color w:val="000000"/>
                <w:sz w:val="24"/>
                <w:szCs w:val="24"/>
                <w:highlight w:val="none"/>
                <w:lang w:val="en-US" w:eastAsia="zh-CN"/>
              </w:rPr>
              <w:t xml:space="preserve">专科</w:t>
            </w:r>
            <w:r>
              <w:rPr>
                <w:rFonts w:hint="eastAsia" w:ascii="宋体" w:hAnsi="宋体" w:eastAsia="宋体" w:cs="宋体"/>
                <w:color w:val="000000"/>
                <w:sz w:val="24"/>
                <w:szCs w:val="24"/>
                <w:highlight w:val="none"/>
                <w:lang w:val="en-US" w:eastAsia="zh-CN"/>
              </w:rPr>
            </w:r>
            <w:r/>
          </w:p>
        </w:tc>
        <w:tc>
          <w:tcPr>
            <w:gridSpan w:val="2"/>
            <w:tcBorders>
              <w:top w:val="none" w:color="000000" w:sz="4" w:space="0"/>
              <w:left w:val="single" w:color="000000" w:sz="8" w:space="0"/>
              <w:bottom w:val="single" w:color="000000" w:sz="8" w:space="0"/>
              <w:right w:val="single" w:color="000000" w:sz="8" w:space="0"/>
            </w:tcBorders>
            <w:tcW w:w="1395" w:type="dxa"/>
            <w:vAlign w:val="center"/>
            <w:textDirection w:val="lrTb"/>
            <w:noWrap w:val="false"/>
          </w:tcPr>
          <w:p>
            <w:pPr>
              <w:pStyle w:val="1074"/>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tc>
        <w:tc>
          <w:tcPr>
            <w:tcBorders>
              <w:top w:val="none" w:color="000000" w:sz="4" w:space="0"/>
              <w:left w:val="single" w:color="000000" w:sz="8" w:space="0"/>
              <w:bottom w:val="single" w:color="000000" w:sz="8" w:space="0"/>
              <w:right w:val="single" w:color="000000" w:sz="8" w:space="0"/>
            </w:tcBorders>
            <w:tcW w:w="503" w:type="dxa"/>
            <w:vAlign w:val="center"/>
            <w:textDirection w:val="lrTb"/>
            <w:noWrap w:val="false"/>
          </w:tcPr>
          <w:p>
            <w:pPr>
              <w:pStyle w:val="1074"/>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14</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gridSpan w:val="2"/>
            <w:tcBorders>
              <w:top w:val="none" w:color="000000" w:sz="4" w:space="0"/>
              <w:left w:val="single" w:color="000000" w:sz="8" w:space="0"/>
              <w:bottom w:val="single" w:color="000000" w:sz="8" w:space="0"/>
              <w:right w:val="single" w:color="000000" w:sz="8" w:space="0"/>
            </w:tcBorders>
            <w:tcW w:w="1086" w:type="dxa"/>
            <w:vAlign w:val="center"/>
            <w:textDirection w:val="lrTb"/>
            <w:noWrap w:val="false"/>
          </w:tcPr>
          <w:p>
            <w:pPr>
              <w:pStyle w:val="1074"/>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28</w:t>
            </w:r>
            <w:r>
              <w:rPr>
                <w:rFonts w:ascii="宋体" w:hAnsi="宋体" w:eastAsia="宋体" w:cs="宋体"/>
                <w:color w:val="000000"/>
                <w:sz w:val="24"/>
                <w:szCs w:val="24"/>
                <w:highlight w:val="none"/>
                <w:lang w:val="en-US" w:eastAsia="zh-CN"/>
              </w:rPr>
            </w:r>
            <w:r/>
          </w:p>
        </w:tc>
        <w:tc>
          <w:tcPr>
            <w:gridSpan w:val="2"/>
            <w:tcBorders>
              <w:top w:val="none" w:color="000000" w:sz="4" w:space="0"/>
              <w:left w:val="single" w:color="000000" w:sz="8" w:space="0"/>
              <w:bottom w:val="single" w:color="000000" w:sz="8" w:space="0"/>
              <w:right w:val="single" w:color="000000" w:sz="8" w:space="0"/>
            </w:tcBorders>
            <w:tcW w:w="1026" w:type="dxa"/>
            <w:vAlign w:val="center"/>
            <w:textDirection w:val="lrTb"/>
            <w:noWrap w:val="false"/>
          </w:tcPr>
          <w:p>
            <w:pPr>
              <w:pStyle w:val="1074"/>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794</w:t>
            </w:r>
            <w:r>
              <w:rPr>
                <w:rFonts w:ascii="宋体" w:hAnsi="宋体" w:eastAsia="宋体" w:cs="宋体"/>
                <w:color w:val="000000"/>
                <w:sz w:val="24"/>
                <w:szCs w:val="24"/>
                <w:highlight w:val="none"/>
                <w:lang w:val="en-US" w:eastAsia="zh-CN"/>
              </w:rPr>
            </w:r>
            <w:r/>
          </w:p>
        </w:tc>
        <w:tc>
          <w:tcPr>
            <w:tcBorders>
              <w:top w:val="none" w:color="000000" w:sz="4" w:space="0"/>
              <w:left w:val="single" w:color="000000" w:sz="8" w:space="0"/>
              <w:bottom w:val="single" w:color="000000" w:sz="8" w:space="0"/>
              <w:right w:val="single" w:color="000000" w:sz="8" w:space="0"/>
            </w:tcBorders>
            <w:tcW w:w="1097"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750</w:t>
            </w:r>
            <w:r>
              <w:rPr>
                <w:rFonts w:hint="eastAsia" w:ascii="宋体" w:hAnsi="宋体" w:eastAsia="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789" w:type="dxa"/>
            <w:vAlign w:val="center"/>
            <w:textDirection w:val="lrTb"/>
            <w:noWrap w:val="false"/>
          </w:tcPr>
          <w:p>
            <w:pPr>
              <w:pStyle w:val="107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r>
      <w:tr>
        <w:trPr>
          <w:trHeight w:val="693"/>
        </w:trPr>
        <w:tc>
          <w:tcPr>
            <w:gridSpan w:val="14"/>
            <w:tcBorders>
              <w:top w:val="single" w:color="000000" w:sz="4" w:space="0"/>
              <w:left w:val="single" w:color="000000" w:sz="4" w:space="0"/>
              <w:bottom w:val="single" w:color="000000" w:sz="4" w:space="0"/>
              <w:right w:val="single" w:color="000000" w:sz="4" w:space="0"/>
            </w:tcBorders>
            <w:tcW w:w="9288"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rPr>
              <w:t xml:space="preserve">常州市市区公立医疗机构拟投保财产综合险数据</w:t>
            </w:r>
            <w:r>
              <w:rPr>
                <w:rFonts w:hint="eastAsia" w:ascii="宋体" w:hAnsi="宋体" w:eastAsia="宋体" w:cs="宋体"/>
                <w:color w:val="000000"/>
                <w:sz w:val="24"/>
                <w:szCs w:val="24"/>
                <w:highlight w:val="none"/>
              </w:rPr>
            </w:r>
            <w:r/>
          </w:p>
        </w:tc>
      </w:tr>
      <w:tr>
        <w:trPr>
          <w:trHeight w:val="720"/>
        </w:trPr>
        <w:tc>
          <w:tcPr>
            <w:gridSpan w:val="2"/>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rPr>
              <w:t xml:space="preserve">医疗机构名称</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rPr>
              <w:t xml:space="preserve">地址（多地址需列明）</w:t>
            </w: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rPr>
              <w:t xml:space="preserve">固定资产（单位：万元）</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rPr>
              <w:t xml:space="preserve">存货（单位：万元）</w:t>
            </w: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rPr>
              <w:t xml:space="preserve">固定资产+存货总额（单位：万元）</w:t>
            </w:r>
            <w:r>
              <w:rPr>
                <w:rFonts w:hint="eastAsia" w:ascii="宋体" w:hAnsi="宋体" w:eastAsia="宋体" w:cs="宋体"/>
                <w:color w:val="000000"/>
                <w:sz w:val="24"/>
                <w:szCs w:val="24"/>
                <w:highlight w:val="none"/>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pStyle w:val="1074"/>
              <w:jc w:val="center"/>
              <w:widowControl/>
              <w:rPr>
                <w:rFonts w:hint="eastAsia" w:ascii="宋体" w:hAnsi="宋体" w:eastAsia="宋体" w:cs="宋体"/>
                <w:color w:val="000000"/>
                <w:sz w:val="24"/>
                <w:szCs w:val="24"/>
                <w:highlight w:val="none"/>
                <w:lang w:eastAsia="zh-CN"/>
              </w:rPr>
              <w:framePr w:wrap="auto" w:vAnchor="text" w:hAnchor="page" w:x="1794" w:y="45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rPr>
              <w:t xml:space="preserve">肿瘤医院</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wrap="auto" w:vAnchor="text" w:hAnchor="page" w:x="1794" w:y="450"/>
            </w:pPr>
            <w:r>
              <w:rPr>
                <w:rFonts w:hint="eastAsia" w:ascii="宋体" w:hAnsi="宋体" w:eastAsia="宋体" w:cs="宋体"/>
                <w:color w:val="000000"/>
                <w:sz w:val="24"/>
                <w:szCs w:val="24"/>
                <w:highlight w:val="none"/>
                <w:shd w:val="clear" w:color="auto" w:fill="auto"/>
                <w:lang w:val="en-US" w:eastAsia="zh-CN"/>
              </w:rPr>
              <w:t xml:space="preserve">一</w:t>
            </w:r>
            <w:r>
              <w:rPr>
                <w:rFonts w:hint="eastAsia" w:ascii="宋体" w:hAnsi="宋体" w:eastAsia="宋体" w:cs="宋体"/>
                <w:color w:val="000000"/>
                <w:sz w:val="24"/>
                <w:szCs w:val="24"/>
                <w:highlight w:val="none"/>
                <w:shd w:val="clear" w:color="auto" w:fill="auto"/>
              </w:rPr>
              <w:t xml:space="preserve">处</w:t>
            </w: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pStyle w:val="1074"/>
              <w:jc w:val="center"/>
              <w:widowControl/>
              <w:rPr>
                <w:rFonts w:ascii="宋体" w:hAnsi="宋体" w:eastAsia="宋体" w:cs="宋体"/>
                <w:color w:val="000000"/>
                <w:sz w:val="24"/>
                <w:szCs w:val="24"/>
                <w:highlight w:val="none"/>
                <w:lang w:val="en-US" w:eastAsia="zh-CN"/>
              </w:rPr>
              <w:framePr w:wrap="auto" w:vAnchor="text" w:hAnchor="page" w:x="1794" w:y="450"/>
            </w:pPr>
            <w:r>
              <w:rPr>
                <w:rFonts w:hint="eastAsia" w:ascii="宋体" w:hAnsi="宋体" w:cs="宋体"/>
                <w:color w:val="000000"/>
                <w:sz w:val="24"/>
                <w:szCs w:val="24"/>
                <w:highlight w:val="none"/>
                <w:lang w:val="en-US" w:eastAsia="zh-CN"/>
              </w:rPr>
              <w:t xml:space="preserve">87389.36</w:t>
            </w:r>
            <w:r>
              <w:rPr>
                <w:rFonts w:ascii="宋体" w:hAnsi="宋体" w:eastAsia="宋体" w:cs="宋体"/>
                <w:color w:val="000000"/>
                <w:sz w:val="24"/>
                <w:szCs w:val="24"/>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pStyle w:val="1074"/>
              <w:jc w:val="center"/>
              <w:widowControl/>
              <w:rPr>
                <w:rFonts w:ascii="宋体" w:hAnsi="宋体" w:eastAsia="宋体" w:cs="宋体"/>
                <w:color w:val="000000"/>
                <w:sz w:val="24"/>
                <w:szCs w:val="24"/>
                <w:highlight w:val="none"/>
                <w:lang w:val="en-US" w:eastAsia="zh-CN"/>
              </w:rPr>
              <w:framePr w:wrap="auto" w:vAnchor="text" w:hAnchor="page" w:x="1794" w:y="450"/>
            </w:pPr>
            <w:r>
              <w:rPr>
                <w:rFonts w:hint="eastAsia" w:ascii="宋体" w:hAnsi="宋体" w:cs="宋体"/>
                <w:color w:val="000000"/>
                <w:sz w:val="24"/>
                <w:szCs w:val="24"/>
                <w:highlight w:val="none"/>
                <w:lang w:val="en-US" w:eastAsia="zh-CN"/>
              </w:rPr>
              <w:t xml:space="preserve">1119.93</w:t>
            </w:r>
            <w:r>
              <w:rPr>
                <w:rFonts w:ascii="宋体" w:hAnsi="宋体" w:eastAsia="宋体" w:cs="宋体"/>
                <w:color w:val="000000"/>
                <w:sz w:val="24"/>
                <w:szCs w:val="24"/>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074"/>
              <w:jc w:val="center"/>
              <w:widowControl/>
              <w:rPr>
                <w:rFonts w:ascii="宋体" w:hAnsi="宋体" w:eastAsia="宋体" w:cs="宋体"/>
                <w:color w:val="000000"/>
                <w:sz w:val="24"/>
                <w:szCs w:val="24"/>
                <w:highlight w:val="none"/>
                <w:lang w:val="en-US" w:eastAsia="zh-CN"/>
              </w:rPr>
              <w:framePr w:wrap="auto" w:vAnchor="text" w:hAnchor="page" w:x="1794" w:y="450"/>
            </w:pPr>
            <w:r>
              <w:rPr>
                <w:rFonts w:hint="eastAsia" w:ascii="宋体" w:hAnsi="宋体" w:cs="宋体"/>
                <w:color w:val="000000"/>
                <w:sz w:val="24"/>
                <w:szCs w:val="24"/>
                <w:highlight w:val="none"/>
                <w:lang w:val="en-US" w:eastAsia="zh-CN"/>
              </w:rPr>
              <w:t xml:space="preserve">88509.29</w:t>
            </w:r>
            <w:r>
              <w:rPr>
                <w:rFonts w:ascii="宋体" w:hAnsi="宋体" w:eastAsia="宋体" w:cs="宋体"/>
                <w:color w:val="000000"/>
                <w:sz w:val="24"/>
                <w:szCs w:val="24"/>
                <w:highlight w:val="none"/>
                <w:lang w:val="en-US" w:eastAsia="zh-CN"/>
              </w:rPr>
            </w:r>
            <w:r/>
          </w:p>
        </w:tc>
      </w:tr>
    </w:tbl>
    <w:p>
      <w:pPr>
        <w:pStyle w:val="107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注：1.扣除机动车辆；</w:t>
      </w:r>
      <w:r>
        <w:rPr>
          <w:rFonts w:hint="eastAsia" w:ascii="宋体" w:hAnsi="宋体" w:eastAsia="宋体" w:cs="宋体"/>
          <w:b/>
          <w:color w:val="000000"/>
          <w:sz w:val="24"/>
          <w:szCs w:val="24"/>
          <w:highlight w:val="none"/>
        </w:rPr>
      </w:r>
      <w:r/>
    </w:p>
    <w:p>
      <w:pPr>
        <w:pStyle w:val="1074"/>
        <w:ind w:firstLine="42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2.固定资产以202</w:t>
      </w: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年12月期末原值为准；</w:t>
      </w:r>
      <w:r>
        <w:rPr>
          <w:rFonts w:hint="eastAsia" w:ascii="宋体" w:hAnsi="宋体" w:eastAsia="宋体" w:cs="宋体"/>
          <w:b/>
          <w:color w:val="000000"/>
          <w:sz w:val="24"/>
          <w:szCs w:val="24"/>
          <w:highlight w:val="none"/>
        </w:rPr>
      </w:r>
      <w:r/>
    </w:p>
    <w:p>
      <w:pPr>
        <w:pStyle w:val="1074"/>
        <w:ind w:firstLine="42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3.存货以202</w:t>
      </w: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年12月期末余额为准；</w:t>
      </w:r>
      <w:r>
        <w:rPr>
          <w:rFonts w:hint="eastAsia" w:ascii="宋体" w:hAnsi="宋体" w:eastAsia="宋体" w:cs="宋体"/>
          <w:b/>
          <w:color w:val="000000"/>
          <w:sz w:val="24"/>
          <w:szCs w:val="24"/>
          <w:highlight w:val="none"/>
        </w:rPr>
      </w:r>
      <w:r/>
    </w:p>
    <w:p>
      <w:pPr>
        <w:pStyle w:val="1074"/>
        <w:ind w:firstLine="42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4.保费按照上表列明保险金额计算。</w:t>
      </w:r>
      <w:r>
        <w:rPr>
          <w:rFonts w:hint="eastAsia" w:ascii="宋体" w:hAnsi="宋体" w:eastAsia="宋体" w:cs="宋体"/>
          <w:b/>
          <w:color w:val="000000"/>
          <w:sz w:val="24"/>
          <w:szCs w:val="24"/>
          <w:highlight w:val="none"/>
        </w:rPr>
      </w:r>
      <w:r/>
    </w:p>
    <w:tbl>
      <w:tblPr>
        <w:tblpPr w:horzAnchor="page" w:tblpX="1794" w:vertAnchor="text" w:tblpY="448" w:leftFromText="180" w:topFromText="0" w:rightFromText="180" w:bottomFromText="0"/>
        <w:tblW w:w="5000" w:type="pct"/>
        <w:tblInd w:w="-216" w:type="dxa"/>
        <w:tblLayout w:type="fixed"/>
        <w:tblCellMar>
          <w:left w:w="108" w:type="dxa"/>
          <w:top w:w="0" w:type="dxa"/>
          <w:right w:w="108" w:type="dxa"/>
          <w:bottom w:w="0" w:type="dxa"/>
        </w:tblCellMar>
        <w:tblLook w:val="04A0" w:firstRow="1" w:lastRow="0" w:firstColumn="1" w:lastColumn="0" w:noHBand="0" w:noVBand="1"/>
      </w:tblPr>
      <w:tblGrid>
        <w:gridCol w:w="665"/>
        <w:gridCol w:w="4191"/>
        <w:gridCol w:w="4432"/>
      </w:tblGrid>
      <w:tr>
        <w:trPr>
          <w:trHeight w:val="540"/>
        </w:trPr>
        <w:tc>
          <w:tcPr>
            <w:gridSpan w:val="3"/>
            <w:tcBorders>
              <w:top w:val="single" w:color="000000" w:sz="4" w:space="0"/>
              <w:left w:val="single" w:color="000000" w:sz="4" w:space="0"/>
              <w:bottom w:val="single" w:color="000000" w:sz="4" w:space="0"/>
              <w:right w:val="single" w:color="000000" w:sz="4" w:space="0"/>
            </w:tcBorders>
            <w:tcW w:w="9288"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vAnchor="text" w:hAnchor="page" w:x="1794" w:y="448"/>
            </w:pPr>
            <w:r>
              <w:rPr>
                <w:rFonts w:hint="eastAsia" w:ascii="宋体" w:hAnsi="宋体" w:eastAsia="宋体" w:cs="宋体"/>
                <w:color w:val="000000"/>
                <w:sz w:val="24"/>
                <w:szCs w:val="24"/>
                <w:highlight w:val="none"/>
              </w:rPr>
              <w:t xml:space="preserve">常州市市区公立医疗机构拟投保机器设备损坏险数据</w:t>
            </w:r>
            <w:r>
              <w:rPr>
                <w:rFonts w:hint="eastAsia" w:ascii="宋体" w:hAnsi="宋体" w:eastAsia="宋体" w:cs="宋体"/>
                <w:color w:val="000000"/>
                <w:sz w:val="24"/>
                <w:szCs w:val="24"/>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vAnchor="text" w:hAnchor="page" w:x="1794" w:y="448"/>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vAnchor="text" w:hAnchor="page" w:x="1794" w:y="448"/>
            </w:pPr>
            <w:r>
              <w:rPr>
                <w:rFonts w:hint="eastAsia" w:ascii="宋体" w:hAnsi="宋体" w:eastAsia="宋体" w:cs="宋体"/>
                <w:color w:val="000000"/>
                <w:sz w:val="24"/>
                <w:szCs w:val="24"/>
                <w:highlight w:val="none"/>
              </w:rPr>
              <w:t xml:space="preserve">医疗机构名称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074"/>
              <w:jc w:val="center"/>
              <w:widowControl/>
              <w:rPr>
                <w:rFonts w:hint="eastAsia" w:ascii="宋体" w:hAnsi="宋体" w:eastAsia="宋体" w:cs="宋体"/>
                <w:color w:val="000000"/>
                <w:sz w:val="24"/>
                <w:szCs w:val="24"/>
                <w:highlight w:val="none"/>
              </w:rPr>
              <w:framePr w:vAnchor="text" w:hAnchor="page" w:x="1794" w:y="448"/>
            </w:pPr>
            <w:r>
              <w:rPr>
                <w:rFonts w:hint="eastAsia" w:ascii="宋体" w:hAnsi="宋体" w:eastAsia="宋体" w:cs="宋体"/>
                <w:color w:val="000000"/>
                <w:sz w:val="24"/>
                <w:szCs w:val="24"/>
                <w:highlight w:val="none"/>
              </w:rPr>
              <w:t xml:space="preserve">投保机器设备（单位：万元）</w:t>
            </w:r>
            <w:r>
              <w:rPr>
                <w:rFonts w:hint="eastAsia" w:ascii="宋体" w:hAnsi="宋体" w:eastAsia="宋体" w:cs="宋体"/>
                <w:color w:val="000000"/>
                <w:sz w:val="24"/>
                <w:szCs w:val="24"/>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074"/>
              <w:jc w:val="center"/>
              <w:widowControl/>
              <w:rPr>
                <w:rFonts w:hint="eastAsia" w:ascii="宋体" w:hAnsi="宋体" w:eastAsia="宋体" w:cs="宋体"/>
                <w:color w:val="000000"/>
                <w:sz w:val="24"/>
                <w:szCs w:val="24"/>
                <w:highlight w:val="none"/>
                <w:lang w:eastAsia="zh-CN"/>
              </w:rPr>
              <w:framePr w:vAnchor="text" w:hAnchor="page" w:x="1794" w:y="448"/>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1074"/>
              <w:jc w:val="center"/>
              <w:widowControl/>
              <w:rPr>
                <w:rFonts w:hint="eastAsia" w:ascii="宋体" w:hAnsi="宋体" w:eastAsia="宋体" w:cs="宋体"/>
                <w:color w:val="000000"/>
                <w:sz w:val="24"/>
                <w:szCs w:val="24"/>
                <w:highlight w:val="none"/>
              </w:rPr>
              <w:framePr w:vAnchor="text" w:hAnchor="page" w:x="1794" w:y="448"/>
            </w:pPr>
            <w:r>
              <w:rPr>
                <w:rFonts w:hint="eastAsia" w:ascii="宋体" w:hAnsi="宋体" w:eastAsia="宋体" w:cs="宋体"/>
                <w:color w:val="000000"/>
                <w:sz w:val="24"/>
                <w:szCs w:val="24"/>
                <w:highlight w:val="none"/>
              </w:rPr>
              <w:t xml:space="preserve">肿瘤医院</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074"/>
              <w:jc w:val="center"/>
              <w:widowControl/>
              <w:rPr>
                <w:rFonts w:ascii="宋体" w:hAnsi="宋体" w:eastAsia="宋体" w:cs="宋体"/>
                <w:color w:val="000000"/>
                <w:sz w:val="24"/>
                <w:szCs w:val="24"/>
                <w:highlight w:val="none"/>
                <w:lang w:val="en-US" w:eastAsia="zh-CN"/>
              </w:rPr>
              <w:framePr w:vAnchor="text" w:hAnchor="page" w:x="1794" w:y="448"/>
            </w:pPr>
            <w:r>
              <w:rPr>
                <w:rFonts w:hint="eastAsia" w:ascii="宋体" w:hAnsi="宋体" w:cs="宋体"/>
                <w:color w:val="000000"/>
                <w:sz w:val="24"/>
                <w:szCs w:val="24"/>
                <w:highlight w:val="none"/>
                <w:lang w:val="en-US" w:eastAsia="zh-CN"/>
              </w:rPr>
              <w:t xml:space="preserve">28681.99</w:t>
            </w:r>
            <w:r>
              <w:rPr>
                <w:rFonts w:ascii="宋体" w:hAnsi="宋体" w:eastAsia="宋体" w:cs="宋体"/>
                <w:color w:val="000000"/>
                <w:sz w:val="24"/>
                <w:szCs w:val="24"/>
                <w:highlight w:val="none"/>
                <w:lang w:val="en-US" w:eastAsia="zh-CN"/>
              </w:rPr>
            </w:r>
            <w:r/>
          </w:p>
        </w:tc>
      </w:tr>
    </w:tbl>
    <w:p>
      <w:pPr>
        <w:pStyle w:val="107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注：1.扣除机动车辆；</w:t>
      </w:r>
      <w:r>
        <w:rPr>
          <w:rFonts w:hint="eastAsia" w:ascii="宋体" w:hAnsi="宋体" w:eastAsia="宋体" w:cs="宋体"/>
          <w:b/>
          <w:color w:val="000000"/>
          <w:sz w:val="24"/>
          <w:szCs w:val="24"/>
          <w:highlight w:val="none"/>
        </w:rPr>
      </w:r>
      <w:r/>
    </w:p>
    <w:p>
      <w:pPr>
        <w:pStyle w:val="1074"/>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2.以202</w:t>
      </w: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年12月期末原值为准；</w:t>
      </w:r>
      <w:r>
        <w:rPr>
          <w:rFonts w:hint="eastAsia" w:ascii="宋体" w:hAnsi="宋体" w:eastAsia="宋体" w:cs="宋体"/>
          <w:b/>
          <w:color w:val="000000"/>
          <w:sz w:val="24"/>
          <w:szCs w:val="24"/>
          <w:highlight w:val="none"/>
        </w:rPr>
      </w:r>
      <w:r/>
    </w:p>
    <w:p>
      <w:pPr>
        <w:pStyle w:val="1074"/>
        <w:ind w:firstLine="42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3.保费按照上表列明保险金额计算。</w:t>
      </w:r>
      <w:r>
        <w:rPr>
          <w:rFonts w:hint="eastAsia" w:ascii="宋体" w:hAnsi="宋体" w:eastAsia="宋体" w:cs="宋体"/>
          <w:b/>
          <w:color w:val="000000"/>
          <w:sz w:val="24"/>
          <w:szCs w:val="24"/>
          <w:highlight w:val="none"/>
        </w:rPr>
      </w:r>
      <w:r/>
    </w:p>
    <w:p>
      <w:pPr>
        <w:pStyle w:val="1074"/>
        <w:ind w:right="0" w:firstLine="482"/>
        <w:keepLines w:val="0"/>
        <w:keepNext w:val="0"/>
        <w:pageBreakBefore w:val="0"/>
        <w:spacing w:line="360" w:lineRule="auto"/>
        <w:widowControl w:val="off"/>
        <w:tabs>
          <w:tab w:val="left" w:pos="284" w:leader="none"/>
        </w:tabs>
        <w:rPr>
          <w:rFonts w:hint="eastAsia" w:ascii="宋体" w:hAnsi="宋体" w:eastAsia="宋体" w:cs="宋体"/>
          <w:b/>
          <w:color w:val="000000"/>
          <w:sz w:val="24"/>
          <w:szCs w:val="24"/>
          <w:highlight w:val="none"/>
        </w:rPr>
      </w:pPr>
      <w:r>
        <w:rPr>
          <w:rFonts w:ascii="宋体" w:hAnsi="宋体"/>
          <w:b/>
          <w:color w:val="000000"/>
          <w:sz w:val="24"/>
          <w:szCs w:val="24"/>
          <w:highlight w:val="none"/>
          <w:lang w:val="en-US" w:eastAsia="zh-CN" w:bidi="ar-SA"/>
        </w:rPr>
        <w:t xml:space="preserve">三、</w:t>
      </w:r>
      <w:r>
        <w:rPr>
          <w:rFonts w:hint="eastAsia" w:ascii="宋体" w:hAnsi="宋体" w:eastAsia="宋体" w:cs="宋体"/>
          <w:b/>
          <w:color w:val="000000"/>
          <w:sz w:val="24"/>
          <w:szCs w:val="24"/>
          <w:highlight w:val="none"/>
        </w:rPr>
        <w:t xml:space="preserve">报价方式</w:t>
      </w:r>
      <w:r>
        <w:rPr>
          <w:rFonts w:hint="eastAsia" w:ascii="宋体" w:hAnsi="宋体" w:eastAsia="宋体" w:cs="宋体"/>
          <w:b/>
          <w:color w:val="000000"/>
          <w:sz w:val="24"/>
          <w:szCs w:val="24"/>
          <w:highlight w:val="none"/>
        </w:rPr>
      </w:r>
      <w:r/>
    </w:p>
    <w:p>
      <w:pPr>
        <w:pStyle w:val="107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本项目报价为</w:t>
      </w:r>
      <w:r>
        <w:rPr>
          <w:rFonts w:hint="eastAsia" w:ascii="宋体" w:hAnsi="宋体" w:eastAsia="宋体" w:cs="宋体"/>
          <w:b/>
          <w:color w:val="000000"/>
          <w:sz w:val="24"/>
          <w:szCs w:val="24"/>
          <w:highlight w:val="none"/>
          <w:u w:val="single"/>
        </w:rPr>
        <w:t xml:space="preserve">固定总价</w:t>
      </w:r>
      <w:r>
        <w:rPr>
          <w:rFonts w:hint="eastAsia" w:ascii="宋体" w:hAnsi="宋体" w:eastAsia="宋体" w:cs="宋体"/>
          <w:color w:val="000000"/>
          <w:sz w:val="24"/>
          <w:szCs w:val="24"/>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szCs w:val="24"/>
          <w:highlight w:val="none"/>
        </w:rPr>
      </w:r>
      <w:r/>
    </w:p>
    <w:p>
      <w:pPr>
        <w:pStyle w:val="1330"/>
        <w:contextualSpacing/>
        <w:ind w:left="-2" w:firstLine="480"/>
        <w:jc w:val="left"/>
        <w:spacing w:line="360" w:lineRule="auto"/>
        <w:tabs>
          <w:tab w:val="left" w:pos="567"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报价货币为人民币，评审时以人民币为准。</w:t>
      </w:r>
      <w:r>
        <w:rPr>
          <w:rFonts w:hint="eastAsia" w:ascii="宋体" w:hAnsi="宋体" w:eastAsia="宋体" w:cs="宋体"/>
          <w:color w:val="000000"/>
          <w:spacing w:val="2"/>
          <w:sz w:val="24"/>
          <w:szCs w:val="24"/>
          <w:highlight w:val="none"/>
        </w:rPr>
      </w:r>
      <w:r/>
    </w:p>
    <w:p>
      <w:pPr>
        <w:pStyle w:val="1074"/>
        <w:ind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四</w:t>
      </w:r>
      <w:r>
        <w:rPr>
          <w:rFonts w:hint="eastAsia" w:ascii="宋体" w:hAnsi="宋体" w:eastAsia="宋体" w:cs="宋体"/>
          <w:b/>
          <w:color w:val="000000"/>
          <w:sz w:val="24"/>
          <w:szCs w:val="24"/>
          <w:highlight w:val="none"/>
        </w:rPr>
        <w:t xml:space="preserve">、服务期限</w:t>
      </w:r>
      <w:r>
        <w:rPr>
          <w:rFonts w:hint="eastAsia" w:ascii="宋体" w:hAnsi="宋体" w:eastAsia="宋体" w:cs="宋体"/>
          <w:b/>
          <w:color w:val="000000"/>
          <w:sz w:val="24"/>
          <w:szCs w:val="24"/>
          <w:highlight w:val="none"/>
        </w:rPr>
      </w:r>
      <w:r/>
    </w:p>
    <w:p>
      <w:pPr>
        <w:pStyle w:val="1074"/>
        <w:ind w:righ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自202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年04月23日零时起，至202</w:t>
      </w:r>
      <w:r>
        <w:rPr>
          <w:rFonts w:hint="eastAsia" w:ascii="宋体" w:hAnsi="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lang w:eastAsia="zh-CN"/>
        </w:rPr>
        <w:t xml:space="preserve">年04月22日24时止。</w:t>
      </w:r>
      <w:r>
        <w:rPr>
          <w:rFonts w:hint="eastAsia" w:ascii="宋体" w:hAnsi="宋体" w:eastAsia="宋体" w:cs="宋体"/>
          <w:b/>
          <w:color w:val="000000"/>
          <w:sz w:val="24"/>
          <w:szCs w:val="24"/>
          <w:highlight w:val="none"/>
          <w:lang w:eastAsia="zh-CN"/>
        </w:rPr>
      </w:r>
      <w:r/>
    </w:p>
    <w:p>
      <w:pPr>
        <w:pStyle w:val="1074"/>
        <w:ind w:righ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五</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color w:val="000000"/>
          <w:sz w:val="24"/>
          <w:szCs w:val="24"/>
          <w:highlight w:val="none"/>
        </w:rPr>
      </w:r>
      <w:r/>
    </w:p>
    <w:p>
      <w:pPr>
        <w:pStyle w:val="1168"/>
        <w:contextualSpacing/>
        <w:ind w:left="-2" w:firstLine="480"/>
        <w:jc w:val="left"/>
        <w:spacing w:line="360" w:lineRule="auto"/>
        <w:tabs>
          <w:tab w:val="left" w:pos="567" w:leader="none"/>
        </w:tabs>
        <w:rPr>
          <w:rFonts w:hint="eastAsia" w:ascii="宋体" w:hAnsi="宋体" w:eastAsia="宋体" w:cs="宋体"/>
          <w:color w:val="000000"/>
          <w:spacing w:val="2"/>
          <w:sz w:val="24"/>
          <w:szCs w:val="24"/>
          <w:highlight w:val="none"/>
        </w:rPr>
      </w:pPr>
      <w:r>
        <w:rPr>
          <w:rFonts w:hint="eastAsia" w:ascii="宋体" w:hAnsi="宋体" w:eastAsia="宋体" w:cs="宋体"/>
          <w:b/>
          <w:color w:val="000000"/>
          <w:sz w:val="24"/>
          <w:szCs w:val="24"/>
          <w:highlight w:val="none"/>
        </w:rPr>
        <w:t xml:space="preserve">投保人于</w:t>
      </w:r>
      <w:r>
        <w:rPr>
          <w:rFonts w:hint="eastAsia" w:ascii="宋体" w:hAnsi="宋体" w:eastAsia="宋体" w:cs="宋体"/>
          <w:b/>
          <w:color w:val="000000"/>
          <w:sz w:val="24"/>
          <w:szCs w:val="24"/>
          <w:highlight w:val="none"/>
          <w:lang w:eastAsia="zh-CN"/>
        </w:rPr>
        <w:t xml:space="preserve">中标（</w:t>
      </w:r>
      <w:r>
        <w:rPr>
          <w:rFonts w:hint="eastAsia" w:ascii="宋体" w:hAnsi="宋体" w:eastAsia="宋体" w:cs="宋体"/>
          <w:b/>
          <w:color w:val="000000"/>
          <w:sz w:val="24"/>
          <w:szCs w:val="24"/>
          <w:highlight w:val="none"/>
          <w:lang w:val="en-US" w:eastAsia="zh-CN"/>
        </w:rPr>
        <w:t xml:space="preserve">成交</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结果</w:t>
      </w:r>
      <w:r>
        <w:rPr>
          <w:rFonts w:hint="eastAsia" w:ascii="宋体" w:hAnsi="宋体" w:eastAsia="宋体" w:cs="宋体"/>
          <w:b/>
          <w:color w:val="000000"/>
          <w:sz w:val="24"/>
          <w:szCs w:val="24"/>
          <w:highlight w:val="none"/>
          <w:lang w:eastAsia="zh-CN"/>
        </w:rPr>
        <w:t xml:space="preserve">公示后</w:t>
      </w:r>
      <w:r>
        <w:rPr>
          <w:rFonts w:hint="eastAsia" w:ascii="宋体" w:hAnsi="宋体" w:eastAsia="宋体" w:cs="宋体"/>
          <w:b/>
          <w:color w:val="000000"/>
          <w:sz w:val="24"/>
          <w:szCs w:val="24"/>
          <w:highlight w:val="none"/>
        </w:rPr>
        <w:t xml:space="preserve">一个月内将保险年度总保费划转给承保人。</w:t>
      </w:r>
      <w:r>
        <w:rPr>
          <w:rFonts w:hint="eastAsia" w:ascii="宋体" w:hAnsi="宋体" w:eastAsia="宋体" w:cs="宋体"/>
          <w:color w:val="000000"/>
          <w:spacing w:val="2"/>
          <w:sz w:val="24"/>
          <w:szCs w:val="24"/>
          <w:highlight w:val="none"/>
        </w:rPr>
      </w:r>
      <w:r/>
    </w:p>
    <w:p>
      <w:pPr>
        <w:pStyle w:val="1168"/>
        <w:contextualSpacing/>
        <w:ind w:left="-2" w:firstLine="480"/>
        <w:jc w:val="left"/>
        <w:spacing w:line="360" w:lineRule="auto"/>
        <w:tabs>
          <w:tab w:val="left" w:pos="567" w:leader="none"/>
        </w:tabs>
        <w:rPr>
          <w:rFonts w:ascii="宋体" w:hAnsi="宋体"/>
          <w:color w:val="000000"/>
          <w:sz w:val="24"/>
          <w:szCs w:val="24"/>
          <w:highlight w:val="none"/>
        </w:rPr>
      </w:pPr>
      <w:r>
        <w:rPr>
          <w:rFonts w:ascii="宋体" w:hAnsi="宋体"/>
          <w:color w:val="000000"/>
          <w:sz w:val="24"/>
          <w:szCs w:val="24"/>
          <w:highlight w:val="none"/>
        </w:rPr>
      </w:r>
      <w:r/>
    </w:p>
    <w:p>
      <w:pPr>
        <w:pStyle w:val="1168"/>
        <w:contextualSpacing/>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74"/>
        <w:spacing w:line="440" w:lineRule="exact"/>
        <w:rPr>
          <w:rFonts w:ascii="宋体" w:hAnsi="宋体"/>
          <w:b/>
          <w:color w:val="000000"/>
          <w:highlight w:val="none"/>
        </w:rPr>
      </w:pPr>
      <w:r>
        <w:rPr>
          <w:rFonts w:ascii="宋体" w:hAnsi="宋体"/>
          <w:b/>
          <w:color w:val="000000"/>
          <w:highlight w:val="none"/>
        </w:rPr>
      </w:r>
      <w:r/>
    </w:p>
    <w:p>
      <w:pPr>
        <w:pStyle w:val="1074"/>
        <w:rPr>
          <w:rFonts w:ascii="宋体" w:hAnsi="宋体"/>
          <w:bCs/>
          <w:color w:val="000000"/>
          <w:highlight w:val="none"/>
        </w:rPr>
      </w:pPr>
      <w:r>
        <w:rPr>
          <w:rFonts w:ascii="宋体" w:hAnsi="宋体"/>
          <w:bCs/>
          <w:color w:val="000000"/>
          <w:highlight w:val="none"/>
        </w:rPr>
      </w:r>
      <w:r/>
    </w:p>
    <w:p>
      <w:pPr>
        <w:pStyle w:val="1074"/>
        <w:rPr>
          <w:rFonts w:ascii="宋体" w:hAnsi="宋体"/>
          <w:color w:val="000000"/>
          <w:highlight w:val="none"/>
        </w:rPr>
      </w:pPr>
      <w:r>
        <w:rPr>
          <w:rFonts w:ascii="宋体" w:hAnsi="宋体"/>
          <w:color w:val="000000"/>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4"/>
        <w:jc w:val="center"/>
        <w:spacing w:line="360" w:lineRule="auto"/>
        <w:rPr>
          <w:rFonts w:ascii="宋体" w:hAnsi="宋体"/>
          <w:b/>
          <w:color w:val="000000"/>
          <w:sz w:val="36"/>
          <w:szCs w:val="36"/>
          <w:highlight w:val="none"/>
        </w:rPr>
        <w:outlineLvl w:val="0"/>
      </w:pPr>
      <w:r/>
      <w:bookmarkStart w:id="824" w:name="_Toc99301425"/>
      <w:r>
        <w:rPr>
          <w:rFonts w:ascii="宋体" w:hAnsi="宋体"/>
          <w:b/>
          <w:color w:val="000000"/>
          <w:sz w:val="36"/>
          <w:szCs w:val="36"/>
          <w:highlight w:val="none"/>
        </w:rPr>
        <w:t xml:space="preserve">第六章   拟签订的合同文本</w:t>
      </w:r>
      <w:bookmarkEnd w:id="824"/>
      <w:r>
        <w:rPr>
          <w:rFonts w:ascii="宋体" w:hAnsi="宋体"/>
          <w:b/>
          <w:color w:val="000000"/>
          <w:sz w:val="36"/>
          <w:szCs w:val="36"/>
          <w:highlight w:val="none"/>
        </w:rPr>
      </w:r>
      <w:r/>
    </w:p>
    <w:p>
      <w:pPr>
        <w:pStyle w:val="1331"/>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331"/>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投标人（</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332"/>
        <w:ind w:firstLine="552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074"/>
        <w:jc w:val="both"/>
        <w:spacing w:before="120" w:after="120"/>
        <w:widowControl w:val="off"/>
        <w:rPr>
          <w:rFonts w:hint="eastAsia" w:ascii="宋体" w:hAnsi="宋体" w:eastAsia="宋体" w:cs="宋体"/>
          <w:b/>
          <w:color w:val="000000"/>
          <w:sz w:val="24"/>
          <w:szCs w:val="24"/>
          <w:highlight w:val="none"/>
          <w:lang w:val="en-US" w:eastAsia="en-US" w:bidi="ar-SA"/>
        </w:rPr>
      </w:pPr>
      <w:r>
        <w:rPr>
          <w:rFonts w:ascii="宋体" w:hAnsi="宋体" w:eastAsia="宋体" w:cs="Times New Roman"/>
          <w:b/>
          <w:color w:val="000000"/>
          <w:sz w:val="24"/>
          <w:szCs w:val="24"/>
          <w:highlight w:val="none"/>
          <w:lang w:val="en-US" w:eastAsia="en-US" w:bidi="ar-SA"/>
        </w:rPr>
        <w:t xml:space="preserve"> </w:t>
      </w:r>
      <w:r>
        <w:rPr>
          <w:rFonts w:hint="eastAsia" w:ascii="宋体" w:hAnsi="宋体" w:eastAsia="宋体" w:cs="宋体"/>
          <w:color w:val="000000"/>
          <w:sz w:val="24"/>
          <w:szCs w:val="24"/>
          <w:highlight w:val="none"/>
          <w:lang w:val="en-US" w:eastAsia="en-US" w:bidi="ar-SA"/>
        </w:rPr>
        <w:t xml:space="preserve">甲、乙双方根据</w:t>
      </w:r>
      <w:r>
        <w:rPr>
          <w:rFonts w:hint="eastAsia" w:ascii="宋体" w:hAnsi="宋体" w:eastAsia="宋体" w:cs="宋体"/>
          <w:color w:val="000000"/>
          <w:sz w:val="24"/>
          <w:szCs w:val="24"/>
          <w:highlight w:val="none"/>
          <w:u w:val="single"/>
          <w:lang w:val="en-US" w:eastAsia="en-US" w:bidi="ar-SA"/>
        </w:rPr>
        <w:t xml:space="preserve">202</w:t>
      </w:r>
      <w:r>
        <w:rPr>
          <w:rFonts w:hint="eastAsia" w:ascii="宋体" w:hAnsi="宋体" w:cs="宋体"/>
          <w:color w:val="000000"/>
          <w:sz w:val="24"/>
          <w:szCs w:val="24"/>
          <w:highlight w:val="none"/>
          <w:u w:val="single"/>
          <w:lang w:val="en-US" w:eastAsia="zh-CN" w:bidi="ar-SA"/>
        </w:rPr>
        <w:t xml:space="preserve">6</w:t>
      </w:r>
      <w:r>
        <w:rPr>
          <w:rFonts w:hint="eastAsia" w:ascii="宋体" w:hAnsi="宋体" w:eastAsia="宋体" w:cs="宋体"/>
          <w:color w:val="000000"/>
          <w:sz w:val="24"/>
          <w:szCs w:val="24"/>
          <w:highlight w:val="none"/>
          <w:u w:val="single"/>
          <w:lang w:val="en-US" w:eastAsia="en-US" w:bidi="ar-SA"/>
        </w:rPr>
        <w:t xml:space="preserve">-202</w:t>
      </w:r>
      <w:r>
        <w:rPr>
          <w:rFonts w:hint="eastAsia" w:ascii="宋体" w:hAnsi="宋体" w:cs="宋体"/>
          <w:color w:val="000000"/>
          <w:sz w:val="24"/>
          <w:szCs w:val="24"/>
          <w:highlight w:val="none"/>
          <w:u w:val="single"/>
          <w:lang w:val="en-US" w:eastAsia="zh-CN" w:bidi="ar-SA"/>
        </w:rPr>
        <w:t xml:space="preserve">7</w:t>
      </w:r>
      <w:r>
        <w:rPr>
          <w:rFonts w:hint="eastAsia" w:ascii="宋体" w:hAnsi="宋体" w:eastAsia="宋体" w:cs="宋体"/>
          <w:color w:val="000000"/>
          <w:sz w:val="24"/>
          <w:szCs w:val="24"/>
          <w:highlight w:val="none"/>
          <w:u w:val="single"/>
          <w:lang w:val="en-US" w:eastAsia="en-US" w:bidi="ar-SA"/>
        </w:rPr>
        <w:t xml:space="preserve">年度常州市肿瘤医院医疗责任险、财产险</w:t>
      </w:r>
      <w:r>
        <w:rPr>
          <w:rFonts w:hint="eastAsia" w:ascii="宋体" w:hAnsi="宋体" w:eastAsia="宋体" w:cs="宋体"/>
          <w:color w:val="000000"/>
          <w:sz w:val="24"/>
          <w:szCs w:val="24"/>
          <w:highlight w:val="none"/>
          <w:lang w:val="en-US" w:eastAsia="en-US" w:bidi="ar-SA"/>
        </w:rPr>
        <w:t xml:space="preserve">项目公开招标的结果，签署本合同。</w:t>
      </w:r>
      <w:r>
        <w:rPr>
          <w:rFonts w:hint="eastAsia" w:ascii="宋体" w:hAnsi="宋体" w:eastAsia="宋体" w:cs="宋体"/>
          <w:b/>
          <w:color w:val="000000"/>
          <w:sz w:val="24"/>
          <w:szCs w:val="24"/>
          <w:highlight w:val="none"/>
          <w:lang w:val="en-US" w:eastAsia="en-US" w:bidi="ar-SA"/>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1．定义</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本合同中的下列术语应解释为：</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系指：甲方与乙方签署的，合同格式中载明的甲方与乙方所达成的协议，包括所有的附件、附录和构成合同的所有文件。中标人入围所出具的所有承诺及/或保证均构成本合同不可分割的一部分，对双方具有约束力。</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（2）“服务”系指：根据合同规定乙方应承担的义务及相关的后续服务，比如合规承保、限时理赔支付赔款等其他类似的乙方应承担的义务。</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（3）“甲方”系指：常州市肿瘤医院。</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（4）“乙方”系指：中标保险机构。</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（5）“投保人”系指：常州市肿瘤医院。</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（6）“被保险人”系指</w:t>
      </w:r>
      <w:r>
        <w:rPr>
          <w:rFonts w:hint="eastAsia" w:ascii="宋体" w:hAnsi="宋体" w:eastAsia="宋体" w:cs="宋体"/>
          <w:color w:val="000000"/>
          <w:spacing w:val="2"/>
          <w:sz w:val="24"/>
          <w:szCs w:val="24"/>
          <w:highlight w:val="none"/>
          <w:lang w:val="zh-CN"/>
        </w:rPr>
        <w:t xml:space="preserve">：</w:t>
      </w:r>
      <w:r>
        <w:rPr>
          <w:rFonts w:hint="eastAsia" w:ascii="宋体" w:hAnsi="宋体" w:eastAsia="宋体" w:cs="宋体"/>
          <w:color w:val="000000"/>
          <w:sz w:val="24"/>
          <w:szCs w:val="24"/>
          <w:highlight w:val="none"/>
        </w:rPr>
        <w:t xml:space="preserve">常州市肿瘤医院。</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（7）“附件”是指与本合同的订立、履行有关的，经甲乙及投保人认可的，对本合同约定的内容进行细化、补充、修改、变更的文件、图纸、音像制品等资料。</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（8）“工作日”是指除公休日和国家法定节假日以外的日历日。</w:t>
      </w:r>
      <w:r>
        <w:rPr>
          <w:rFonts w:hint="eastAsia" w:ascii="宋体" w:hAnsi="宋体" w:eastAsia="宋体" w:cs="宋体"/>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2．合同文件</w:t>
      </w:r>
      <w:r>
        <w:rPr>
          <w:rFonts w:hint="eastAsia" w:ascii="宋体" w:hAnsi="宋体" w:eastAsia="宋体" w:cs="宋体"/>
          <w:color w:val="000000"/>
          <w:sz w:val="24"/>
          <w:szCs w:val="24"/>
          <w:highlight w:val="none"/>
        </w:rPr>
      </w:r>
      <w:r/>
    </w:p>
    <w:p>
      <w:pPr>
        <w:pStyle w:val="1074"/>
        <w:ind w:right="210"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下列关于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的招投标文件或与本次采购活动相适应的文件及有关附件是本合同不可分割的组成部分，与本合同具有同等法律效力，这些文件包括但不仅限于：</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（1）本合同书；</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（2）中标通知书；</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（3）招标文件及其附件（含招标过程中对有关问题的补充资料、补充公告和澄清文件等）；</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-273049</wp:posOffset>
                </wp:positionH>
                <wp:positionV relativeFrom="paragraph">
                  <wp:posOffset>537210</wp:posOffset>
                </wp:positionV>
                <wp:extent cx="234315" cy="38100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234315" cy="381000"/>
                        </a:xfrm>
                        <a:prstGeom prst="rect">
                          <a:avLst/>
                        </a:prstGeom>
                        <a:solidFill>
                          <a:srgbClr val="FFFFFF"/>
                        </a:solidFill>
                        <a:ln>
                          <a:noFill/>
                        </a:ln>
                      </wps:spPr>
                      <wps:txbx>
                        <w:txbxContent>
                          <w:p>
                            <w:pPr>
                              <w:pStyle w:val="1074"/>
                              <w:rPr>
                                <w:rFonts w:eastAsia="宋体"/>
                                <w:szCs w:val="24"/>
                              </w:rPr>
                            </w:pPr>
                            <w:r>
                              <w:rPr>
                                <w:rFonts w:eastAsia="宋体"/>
                                <w:szCs w:val="24"/>
                              </w:rPr>
                            </w:r>
                            <w:r/>
                          </w:p>
                          <w:p>
                            <w:pPr>
                              <w:pStyle w:val="1074"/>
                              <w:rPr>
                                <w:rFonts w:eastAsia="宋体"/>
                                <w:szCs w:val="21"/>
                              </w:rPr>
                            </w:pPr>
                            <w:r>
                              <w:rPr>
                                <w:rFonts w:eastAsia="宋体"/>
                                <w:szCs w:val="21"/>
                              </w:rPr>
                            </w:r>
                            <w:r/>
                          </w:p>
                          <w:p>
                            <w:pPr>
                              <w:pStyle w:val="1074"/>
                            </w:pPr>
                            <w:r/>
                            <w:r/>
                          </w:p>
                          <w:p>
                            <w:pPr>
                              <w:pStyle w:val="1074"/>
                            </w:pPr>
                            <w:r/>
                            <w:r/>
                          </w:p>
                        </w:txbxContent>
                      </wps:txbx>
                      <wps:bodyPr wrap="square" upright="1"/>
                    </wps:wsp>
                  </a:graphicData>
                </a:graphic>
              </wp:anchor>
            </w:drawing>
          </mc:Choice>
          <mc:Fallback>
            <w:pict>
              <v:shape id="shape 4" o:spid="_x0000_s4" o:spt="1" type="#_x0000_t1" style="position:absolute;z-index:251658253;o:allowoverlap:true;o:allowincell:true;mso-position-horizontal-relative:text;margin-left:-21.5pt;mso-position-horizontal:absolute;mso-position-vertical-relative:text;margin-top:42.3pt;mso-position-vertical:absolute;width:18.4pt;height:30.0pt;mso-wrap-distance-left:9.0pt;mso-wrap-distance-top:0.0pt;mso-wrap-distance-right:9.0pt;mso-wrap-distance-bottom:0.0pt;visibility:visible;" fillcolor="#FFFFFF" stroked="f">
                <v:textbox inset="0,0,0,0">
                  <w:txbxContent>
                    <w:p>
                      <w:pPr>
                        <w:pStyle w:val="1074"/>
                        <w:rPr>
                          <w:rFonts w:eastAsia="宋体"/>
                          <w:szCs w:val="24"/>
                        </w:rPr>
                      </w:pPr>
                      <w:r>
                        <w:rPr>
                          <w:rFonts w:eastAsia="宋体"/>
                          <w:szCs w:val="24"/>
                        </w:rPr>
                      </w:r>
                      <w:r/>
                    </w:p>
                    <w:p>
                      <w:pPr>
                        <w:pStyle w:val="1074"/>
                        <w:rPr>
                          <w:rFonts w:eastAsia="宋体"/>
                          <w:szCs w:val="21"/>
                        </w:rPr>
                      </w:pPr>
                      <w:r>
                        <w:rPr>
                          <w:rFonts w:eastAsia="宋体"/>
                          <w:szCs w:val="21"/>
                        </w:rPr>
                      </w:r>
                      <w:r/>
                    </w:p>
                    <w:p>
                      <w:pPr>
                        <w:pStyle w:val="1074"/>
                      </w:pPr>
                      <w:r/>
                      <w:r/>
                    </w:p>
                    <w:p>
                      <w:pPr>
                        <w:pStyle w:val="1074"/>
                      </w:pPr>
                      <w:r/>
                      <w:r/>
                    </w:p>
                  </w:txbxContent>
                </v:textbox>
              </v:shape>
            </w:pict>
          </mc:Fallback>
        </mc:AlternateContent>
      </w:r>
      <w:r>
        <w:rPr>
          <w:rFonts w:hint="eastAsia" w:ascii="宋体" w:hAnsi="宋体" w:eastAsia="宋体" w:cs="宋体"/>
          <w:color w:val="000000"/>
          <w:sz w:val="24"/>
          <w:szCs w:val="24"/>
          <w:highlight w:val="none"/>
        </w:rPr>
        <w:t xml:space="preserve">（4）投标文件及其附件（含投标人在评标期间递交和确认并经采购代理机构同意的对有关问题的补充资料和澄清文件等）；</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（5）甲方、乙方商定的其他必要文件</w:t>
      </w:r>
      <w:r>
        <w:rPr>
          <w:rFonts w:hint="eastAsia" w:ascii="宋体" w:hAnsi="宋体" w:cs="宋体"/>
          <w:color w:val="000000"/>
          <w:sz w:val="24"/>
          <w:highlight w:val="none"/>
        </w:rPr>
        <w:t xml:space="preserve">（联合体协议等）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3．服务范围、保险险种</w:t>
      </w:r>
      <w:r>
        <w:rPr>
          <w:rFonts w:hint="eastAsia" w:ascii="宋体" w:hAnsi="宋体" w:eastAsia="宋体" w:cs="宋体"/>
          <w:color w:val="000000"/>
          <w:sz w:val="24"/>
          <w:szCs w:val="24"/>
          <w:highlight w:val="none"/>
        </w:rPr>
      </w:r>
      <w:r/>
    </w:p>
    <w:p>
      <w:pPr>
        <w:pStyle w:val="1074"/>
        <w:ind w:right="210" w:firstLine="481"/>
        <w:spacing w:line="440" w:lineRule="exact"/>
        <w:rPr>
          <w:rFonts w:hint="eastAsia" w:ascii="宋体" w:hAnsi="宋体" w:eastAsia="宋体" w:cs="宋体"/>
          <w:color w:val="000000"/>
          <w:spacing w:val="2"/>
          <w:sz w:val="24"/>
          <w:szCs w:val="24"/>
          <w:highlight w:val="none"/>
          <w:lang w:val="zh-CN"/>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-238124</wp:posOffset>
                </wp:positionH>
                <wp:positionV relativeFrom="paragraph">
                  <wp:posOffset>206375</wp:posOffset>
                </wp:positionV>
                <wp:extent cx="173355" cy="70167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73355" cy="701675"/>
                        </a:xfrm>
                        <a:prstGeom prst="rect">
                          <a:avLst/>
                        </a:prstGeom>
                        <a:solidFill>
                          <a:srgbClr val="FFFFFF"/>
                        </a:solidFill>
                        <a:ln>
                          <a:noFill/>
                        </a:ln>
                      </wps:spPr>
                      <wps:txbx>
                        <w:txbxContent>
                          <w:p>
                            <w:pPr>
                              <w:pStyle w:val="1074"/>
                              <w:rPr>
                                <w:rFonts w:eastAsia="宋体"/>
                                <w:szCs w:val="24"/>
                              </w:rPr>
                            </w:pPr>
                            <w:r>
                              <w:rPr>
                                <w:rFonts w:eastAsia="宋体"/>
                                <w:szCs w:val="24"/>
                              </w:rPr>
                            </w:r>
                            <w:r/>
                          </w:p>
                          <w:p>
                            <w:pPr>
                              <w:pStyle w:val="1074"/>
                              <w:rPr>
                                <w:rFonts w:eastAsia="宋体"/>
                                <w:szCs w:val="21"/>
                              </w:rPr>
                            </w:pPr>
                            <w:r>
                              <w:rPr>
                                <w:rFonts w:eastAsia="宋体"/>
                                <w:szCs w:val="21"/>
                              </w:rPr>
                            </w:r>
                            <w:r/>
                          </w:p>
                          <w:p>
                            <w:pPr>
                              <w:pStyle w:val="1074"/>
                            </w:pPr>
                            <w:r/>
                            <w:r/>
                          </w:p>
                          <w:p>
                            <w:pPr>
                              <w:pStyle w:val="1074"/>
                            </w:pPr>
                            <w:r/>
                            <w:r/>
                          </w:p>
                        </w:txbxContent>
                      </wps:txbx>
                      <wps:bodyPr wrap="square" upright="1"/>
                    </wps:wsp>
                  </a:graphicData>
                </a:graphic>
              </wp:anchor>
            </w:drawing>
          </mc:Choice>
          <mc:Fallback>
            <w:pict>
              <v:shape id="shape 5" o:spid="_x0000_s5" o:spt="1" type="#_x0000_t1" style="position:absolute;z-index:251658254;o:allowoverlap:true;o:allowincell:true;mso-position-horizontal-relative:text;margin-left:-18.7pt;mso-position-horizontal:absolute;mso-position-vertical-relative:text;margin-top:16.2pt;mso-position-vertical:absolute;width:13.6pt;height:55.2pt;mso-wrap-distance-left:9.0pt;mso-wrap-distance-top:0.0pt;mso-wrap-distance-right:9.0pt;mso-wrap-distance-bottom:0.0pt;visibility:visible;" fillcolor="#FFFFFF" stroked="f">
                <v:textbox inset="0,0,0,0">
                  <w:txbxContent>
                    <w:p>
                      <w:pPr>
                        <w:pStyle w:val="1074"/>
                        <w:rPr>
                          <w:rFonts w:eastAsia="宋体"/>
                          <w:szCs w:val="24"/>
                        </w:rPr>
                      </w:pPr>
                      <w:r>
                        <w:rPr>
                          <w:rFonts w:eastAsia="宋体"/>
                          <w:szCs w:val="24"/>
                        </w:rPr>
                      </w:r>
                      <w:r/>
                    </w:p>
                    <w:p>
                      <w:pPr>
                        <w:pStyle w:val="1074"/>
                        <w:rPr>
                          <w:rFonts w:eastAsia="宋体"/>
                          <w:szCs w:val="21"/>
                        </w:rPr>
                      </w:pPr>
                      <w:r>
                        <w:rPr>
                          <w:rFonts w:eastAsia="宋体"/>
                          <w:szCs w:val="21"/>
                        </w:rPr>
                      </w:r>
                      <w:r/>
                    </w:p>
                    <w:p>
                      <w:pPr>
                        <w:pStyle w:val="1074"/>
                      </w:pPr>
                      <w:r/>
                      <w:r/>
                    </w:p>
                    <w:p>
                      <w:pPr>
                        <w:pStyle w:val="1074"/>
                      </w:pPr>
                      <w:r/>
                      <w:r/>
                    </w:p>
                  </w:txbxContent>
                </v:textbox>
              </v:shape>
            </w:pict>
          </mc:Fallback>
        </mc:AlternateContent>
      </w:r>
      <w:r>
        <w:rPr>
          <w:rFonts w:hint="eastAsia" w:ascii="宋体" w:hAnsi="宋体" w:eastAsia="宋体" w:cs="宋体"/>
          <w:color w:val="000000"/>
          <w:sz w:val="24"/>
          <w:szCs w:val="24"/>
          <w:highlight w:val="none"/>
        </w:rPr>
        <w:t xml:space="preserve">3.1</w:t>
      </w:r>
      <w:r>
        <w:rPr>
          <w:rFonts w:hint="eastAsia" w:ascii="宋体" w:hAnsi="宋体" w:eastAsia="宋体" w:cs="宋体"/>
          <w:bCs/>
          <w:color w:val="000000"/>
          <w:sz w:val="24"/>
          <w:szCs w:val="24"/>
          <w:highlight w:val="none"/>
        </w:rPr>
        <w:t xml:space="preserve">本合同服务范围为</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年度常州市肿瘤医院医疗责任险、财产险项目</w:t>
      </w:r>
      <w:r>
        <w:rPr>
          <w:rFonts w:hint="eastAsia" w:ascii="宋体" w:hAnsi="宋体" w:eastAsia="宋体" w:cs="宋体"/>
          <w:color w:val="000000"/>
          <w:spacing w:val="2"/>
          <w:sz w:val="24"/>
          <w:szCs w:val="24"/>
          <w:highlight w:val="none"/>
          <w:lang w:val="zh-CN"/>
        </w:rPr>
        <w:t xml:space="preserve">。</w:t>
      </w:r>
      <w:r>
        <w:rPr>
          <w:rFonts w:hint="eastAsia" w:ascii="宋体" w:hAnsi="宋体" w:eastAsia="宋体" w:cs="宋体"/>
          <w:color w:val="000000"/>
          <w:spacing w:val="2"/>
          <w:sz w:val="24"/>
          <w:szCs w:val="24"/>
          <w:highlight w:val="none"/>
          <w:lang w:val="zh-CN"/>
        </w:rPr>
      </w:r>
      <w:r/>
    </w:p>
    <w:p>
      <w:pPr>
        <w:pStyle w:val="1074"/>
        <w:ind w:right="210"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3.2保险险种为：医疗责任保险、附加医疗机构场所责任险、附加医务人员遭受伤害责任保险；财产综合险、机器设备损坏险。</w:t>
      </w:r>
      <w:r>
        <w:rPr>
          <w:rFonts w:hint="eastAsia" w:ascii="宋体" w:hAnsi="宋体" w:eastAsia="宋体" w:cs="宋体"/>
          <w:bCs/>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4.保险服务期限</w:t>
      </w:r>
      <w:r>
        <w:rPr>
          <w:rFonts w:hint="eastAsia" w:ascii="宋体" w:hAnsi="宋体" w:eastAsia="宋体" w:cs="宋体"/>
          <w:color w:val="000000"/>
          <w:sz w:val="24"/>
          <w:szCs w:val="24"/>
          <w:highlight w:val="none"/>
        </w:rPr>
      </w:r>
      <w:r/>
    </w:p>
    <w:p>
      <w:pPr>
        <w:pStyle w:val="1074"/>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项目保险期间：202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年04月23日零时</w:t>
      </w:r>
      <w:r>
        <w:rPr>
          <w:rFonts w:hint="eastAsia" w:ascii="宋体" w:hAnsi="宋体" w:eastAsia="宋体" w:cs="宋体"/>
          <w:color w:val="000000"/>
          <w:sz w:val="24"/>
          <w:szCs w:val="24"/>
          <w:highlight w:val="none"/>
          <w:lang w:val="en-US" w:eastAsia="zh-CN"/>
        </w:rPr>
        <w:t xml:space="preserve">起</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年04月22日二十四时</w:t>
      </w:r>
      <w:r>
        <w:rPr>
          <w:rFonts w:hint="eastAsia" w:ascii="宋体" w:hAnsi="宋体" w:eastAsia="宋体" w:cs="宋体"/>
          <w:bCs/>
          <w:color w:val="000000"/>
          <w:sz w:val="24"/>
          <w:szCs w:val="24"/>
          <w:highlight w:val="none"/>
          <w:lang w:val="en-US" w:eastAsia="zh-CN"/>
        </w:rPr>
        <w:t xml:space="preserve">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5.保险方案</w:t>
      </w:r>
      <w:r>
        <w:rPr>
          <w:rFonts w:hint="eastAsia" w:ascii="宋体" w:hAnsi="宋体" w:eastAsia="宋体" w:cs="宋体"/>
          <w:color w:val="000000"/>
          <w:sz w:val="24"/>
          <w:szCs w:val="24"/>
          <w:highlight w:val="none"/>
        </w:rPr>
      </w:r>
      <w:r/>
    </w:p>
    <w:p>
      <w:pPr>
        <w:pStyle w:val="1074"/>
        <w:ind w:firstLine="5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5.1本项目保险方案包括但不仅限于招标文件的采购需求。</w:t>
      </w:r>
      <w:r>
        <w:rPr>
          <w:rFonts w:hint="eastAsia" w:ascii="宋体" w:hAnsi="宋体" w:eastAsia="宋体" w:cs="宋体"/>
          <w:color w:val="000000"/>
          <w:sz w:val="24"/>
          <w:szCs w:val="24"/>
          <w:highlight w:val="none"/>
        </w:rPr>
      </w:r>
      <w:r/>
    </w:p>
    <w:p>
      <w:pPr>
        <w:pStyle w:val="1074"/>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5.2乙方应遵循本招标文件及其组成文件中特定的保险方案提供保险服务。保险方案与中标人保险条款相悖处，以本招标文件保险方案为准。</w:t>
      </w:r>
      <w:r>
        <w:rPr>
          <w:rFonts w:hint="eastAsia" w:ascii="宋体" w:hAnsi="宋体" w:eastAsia="宋体" w:cs="宋体"/>
          <w:bCs/>
          <w:color w:val="000000"/>
          <w:spacing w:val="2"/>
          <w:sz w:val="24"/>
          <w:szCs w:val="24"/>
          <w:highlight w:val="none"/>
        </w:rPr>
      </w:r>
      <w:r/>
    </w:p>
    <w:p>
      <w:pPr>
        <w:pStyle w:val="1074"/>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5.3本项目由采购人委托的第三方保险经纪公司，制定详细实施方案并经采购人确认后负责具体实施。</w:t>
      </w:r>
      <w:r>
        <w:rPr>
          <w:rFonts w:hint="eastAsia" w:ascii="宋体" w:hAnsi="宋体" w:eastAsia="宋体" w:cs="宋体"/>
          <w:bCs/>
          <w:color w:val="000000"/>
          <w:spacing w:val="2"/>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6.双方权利及义务</w:t>
      </w:r>
      <w:r>
        <w:rPr>
          <w:rFonts w:hint="eastAsia" w:ascii="宋体" w:hAnsi="宋体" w:eastAsia="宋体" w:cs="宋体"/>
          <w:color w:val="000000"/>
          <w:sz w:val="24"/>
          <w:szCs w:val="24"/>
          <w:highlight w:val="none"/>
        </w:rPr>
      </w:r>
      <w:r/>
    </w:p>
    <w:p>
      <w:pPr>
        <w:pStyle w:val="1074"/>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6.1甲方应积极推动本保险项目的实施，投保人应按时支付保险费。</w:t>
      </w:r>
      <w:r>
        <w:rPr>
          <w:rFonts w:hint="eastAsia" w:ascii="宋体" w:hAnsi="宋体" w:eastAsia="宋体" w:cs="宋体"/>
          <w:bCs/>
          <w:color w:val="000000"/>
          <w:spacing w:val="2"/>
          <w:sz w:val="24"/>
          <w:szCs w:val="24"/>
          <w:highlight w:val="none"/>
        </w:rPr>
      </w:r>
      <w:r/>
    </w:p>
    <w:p>
      <w:pPr>
        <w:pStyle w:val="1074"/>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6.2乙方应接受甲方及采购人委托的第三方保险经纪公司关于承保方案的安排，开展保险服务执行中标保险人的费率，并以招标文件的采购需求中所列明的主要承保条件、服务要求等作为依据订立保险合同。</w:t>
      </w:r>
      <w:r>
        <w:rPr>
          <w:rFonts w:hint="eastAsia" w:ascii="宋体" w:hAnsi="宋体" w:eastAsia="宋体" w:cs="宋体"/>
          <w:bCs/>
          <w:color w:val="000000"/>
          <w:spacing w:val="2"/>
          <w:sz w:val="24"/>
          <w:szCs w:val="24"/>
          <w:highlight w:val="none"/>
        </w:rPr>
      </w:r>
      <w:r/>
    </w:p>
    <w:p>
      <w:pPr>
        <w:pStyle w:val="1074"/>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6.3乙方应针对本项目成立健全的专门服务小组、分管领导亲自负责，做好本保险的承保及理赔服务工作。</w:t>
      </w:r>
      <w:r>
        <w:rPr>
          <w:rFonts w:hint="eastAsia" w:ascii="宋体" w:hAnsi="宋体" w:eastAsia="宋体" w:cs="宋体"/>
          <w:bCs/>
          <w:color w:val="000000"/>
          <w:spacing w:val="2"/>
          <w:sz w:val="24"/>
          <w:szCs w:val="24"/>
          <w:highlight w:val="none"/>
        </w:rPr>
      </w:r>
      <w:r/>
    </w:p>
    <w:p>
      <w:pPr>
        <w:pStyle w:val="1074"/>
        <w:ind w:firstLine="428"/>
        <w:spacing w:line="360" w:lineRule="auto"/>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6.4乙方在服务期间，应及时定期向甲方及采购人委托的第三方保险经纪公司提供履约相关资料、报表。</w:t>
      </w:r>
      <w:r>
        <w:rPr>
          <w:rFonts w:hint="eastAsia" w:ascii="宋体" w:hAnsi="宋体" w:eastAsia="宋体" w:cs="宋体"/>
          <w:bCs/>
          <w:color w:val="000000"/>
          <w:spacing w:val="2"/>
          <w:sz w:val="24"/>
          <w:szCs w:val="24"/>
          <w:highlight w:val="none"/>
        </w:rPr>
      </w:r>
      <w:r/>
    </w:p>
    <w:p>
      <w:pPr>
        <w:pStyle w:val="1074"/>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6.5乙方严格按照合同约定执行，按照相关管理办法定期接受甲方及采购人委托的第三方保险经纪公司履约考核。</w:t>
      </w:r>
      <w:r>
        <w:rPr>
          <w:rFonts w:hint="eastAsia" w:ascii="宋体" w:hAnsi="宋体" w:eastAsia="宋体" w:cs="宋体"/>
          <w:bCs/>
          <w:color w:val="000000"/>
          <w:spacing w:val="2"/>
          <w:sz w:val="24"/>
          <w:szCs w:val="24"/>
          <w:highlight w:val="none"/>
        </w:rPr>
      </w:r>
      <w:r/>
    </w:p>
    <w:p>
      <w:pPr>
        <w:pStyle w:val="1074"/>
        <w:ind w:right="210"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6.6乙方应自觉遵守国家关于保险行业的有关法律、法规，以及廉政建设的各项规定，开展履约活动，并按照纪检监察机构相关规定出具廉洁自律保证书。</w:t>
      </w:r>
      <w:r>
        <w:rPr>
          <w:rFonts w:hint="eastAsia" w:ascii="宋体" w:hAnsi="宋体" w:eastAsia="宋体" w:cs="宋体"/>
          <w:color w:val="000000"/>
          <w:spacing w:val="2"/>
          <w:sz w:val="24"/>
          <w:szCs w:val="24"/>
          <w:highlight w:val="none"/>
        </w:rPr>
      </w:r>
      <w:r/>
    </w:p>
    <w:p>
      <w:pPr>
        <w:pStyle w:val="1074"/>
        <w:ind w:right="210"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6.7乙方违反投标文件以及本合同中的承诺、保证或其他主要义务的，构成根本违约，应当承担相应的违约责任。</w:t>
      </w:r>
      <w:r>
        <w:rPr>
          <w:rFonts w:hint="eastAsia" w:ascii="宋体" w:hAnsi="宋体" w:eastAsia="宋体" w:cs="宋体"/>
          <w:color w:val="000000"/>
          <w:spacing w:val="2"/>
          <w:sz w:val="24"/>
          <w:szCs w:val="24"/>
          <w:highlight w:val="none"/>
        </w:rPr>
      </w:r>
      <w:r/>
    </w:p>
    <w:p>
      <w:pPr>
        <w:pStyle w:val="1074"/>
        <w:ind w:right="210"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6.8 各方当事人应严格履行本合同各项条款，自觉接受财政、监察、审计部门的监督检查。</w:t>
      </w:r>
      <w:r>
        <w:rPr>
          <w:rFonts w:hint="eastAsia" w:ascii="宋体" w:hAnsi="宋体" w:eastAsia="宋体" w:cs="宋体"/>
          <w:color w:val="000000"/>
          <w:spacing w:val="2"/>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7.考核及违约责任</w:t>
      </w:r>
      <w:r>
        <w:rPr>
          <w:rFonts w:hint="eastAsia" w:ascii="宋体" w:hAnsi="宋体" w:eastAsia="宋体" w:cs="宋体"/>
          <w:color w:val="000000"/>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1.</w:t>
      </w:r>
      <w:r>
        <w:rPr>
          <w:rFonts w:hint="eastAsia" w:ascii="宋体" w:hAnsi="宋体" w:eastAsia="宋体" w:cs="宋体"/>
          <w:color w:val="000000"/>
          <w:spacing w:val="2"/>
          <w:sz w:val="24"/>
          <w:szCs w:val="24"/>
          <w:highlight w:val="none"/>
        </w:rPr>
        <w:t xml:space="preserve">乙方在合同有效期内应接受甲方或甲方委托的具有专业保险资质的第三方对乙方履约情况进行考核评价，包括但不仅限于对以下内容的审查：保险合同履行、赔付情况、客户满意度等。</w:t>
      </w:r>
      <w:r>
        <w:rPr>
          <w:rFonts w:hint="eastAsia" w:ascii="宋体" w:hAnsi="宋体" w:eastAsia="宋体" w:cs="宋体"/>
          <w:color w:val="000000"/>
          <w:spacing w:val="2"/>
          <w:sz w:val="24"/>
          <w:szCs w:val="24"/>
          <w:highlight w:val="none"/>
        </w:rPr>
      </w:r>
      <w:r/>
    </w:p>
    <w:p>
      <w:pPr>
        <w:pStyle w:val="1074"/>
        <w:ind w:left="-4" w:firstLine="428"/>
        <w:spacing w:line="440" w:lineRule="exact"/>
        <w:rPr>
          <w:rFonts w:hint="eastAsia"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根据《常州市政府采购供应商信用管理暂行办法》（常财规〔2017〕6号）相关规定，乙方未按合同规定履行合同义务，造成不良后果的，甲方应将具体情况以书面形式向财政部门报告，由财政部门按照规定核实予以乙方行政处罚或失信记录。</w:t>
      </w:r>
      <w:r>
        <w:rPr>
          <w:rFonts w:hint="eastAsia" w:ascii="宋体" w:hAnsi="宋体" w:eastAsia="宋体" w:cs="宋体"/>
          <w:color w:val="000000"/>
          <w:spacing w:val="2"/>
          <w:sz w:val="24"/>
          <w:szCs w:val="24"/>
          <w:highlight w:val="none"/>
          <w:lang w:val="en-US" w:eastAsia="zh-CN"/>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8．保密条款</w:t>
      </w:r>
      <w:r>
        <w:rPr>
          <w:rFonts w:hint="eastAsia" w:ascii="宋体" w:hAnsi="宋体" w:eastAsia="宋体" w:cs="宋体"/>
          <w:color w:val="000000"/>
          <w:sz w:val="24"/>
          <w:szCs w:val="24"/>
          <w:highlight w:val="none"/>
        </w:rPr>
      </w:r>
      <w:r/>
    </w:p>
    <w:p>
      <w:pPr>
        <w:pStyle w:val="1074"/>
        <w:ind w:right="210"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8.1任何一方对其获知的本合同涉及的所有有形、无形的信息及资料（包括但不仅限于甲乙及投保人的往来书面文字文件、电子邮件及信息、电子资料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保险合同、保险费率、保险方案、理赔数据等）中另一方的商业秘密负有保密义务。</w:t>
      </w:r>
      <w:r>
        <w:rPr>
          <w:rFonts w:hint="eastAsia" w:ascii="宋体" w:hAnsi="宋体" w:eastAsia="宋体" w:cs="宋体"/>
          <w:color w:val="000000"/>
          <w:sz w:val="24"/>
          <w:szCs w:val="24"/>
          <w:highlight w:val="none"/>
        </w:rPr>
      </w:r>
      <w:r/>
    </w:p>
    <w:p>
      <w:pPr>
        <w:pStyle w:val="1074"/>
        <w:ind w:right="210" w:firstLine="420"/>
        <w:spacing w:line="44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rPr>
        <w:t xml:space="preserve">8.2除非法律、法规另有规定或得到本合同之另一方的书面许可，任何一方不得向第三方泄露前款规定的商业秘密。保密期限自任何一方获知该商业秘密之日起至本条规定的秘密成为公众信息之日止。</w:t>
      </w:r>
      <w:r>
        <w:rPr>
          <w:rFonts w:hint="eastAsia" w:ascii="宋体" w:hAnsi="宋体" w:eastAsia="宋体" w:cs="宋体"/>
          <w:color w:val="000000"/>
          <w:spacing w:val="6"/>
          <w:sz w:val="24"/>
          <w:szCs w:val="24"/>
          <w:highlight w:val="none"/>
        </w:rPr>
      </w:r>
      <w:r/>
    </w:p>
    <w:p>
      <w:pPr>
        <w:pStyle w:val="1074"/>
        <w:ind w:firstLine="504"/>
        <w:spacing w:line="44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lang w:val="en-US" w:eastAsia="zh-CN"/>
        </w:rPr>
        <w:t xml:space="preserve">8.3</w:t>
      </w:r>
      <w:r>
        <w:rPr>
          <w:rFonts w:hint="eastAsia" w:ascii="宋体" w:hAnsi="宋体" w:eastAsia="宋体" w:cs="宋体"/>
          <w:color w:val="000000"/>
          <w:spacing w:val="6"/>
          <w:sz w:val="24"/>
          <w:szCs w:val="24"/>
          <w:highlight w:val="none"/>
        </w:rPr>
        <w:t xml:space="preserve">本</w:t>
      </w:r>
      <w:r>
        <w:rPr>
          <w:rFonts w:hint="eastAsia" w:ascii="宋体" w:hAnsi="宋体" w:eastAsia="宋体" w:cs="宋体"/>
          <w:color w:val="000000"/>
          <w:spacing w:val="6"/>
          <w:sz w:val="24"/>
          <w:szCs w:val="24"/>
          <w:highlight w:val="none"/>
          <w:lang w:val="en-US" w:eastAsia="zh-CN"/>
        </w:rPr>
        <w:t xml:space="preserve">合同</w:t>
      </w:r>
      <w:r>
        <w:rPr>
          <w:rFonts w:hint="eastAsia" w:ascii="宋体" w:hAnsi="宋体" w:eastAsia="宋体" w:cs="宋体"/>
          <w:color w:val="000000"/>
          <w:spacing w:val="6"/>
          <w:sz w:val="24"/>
          <w:szCs w:val="24"/>
          <w:highlight w:val="none"/>
        </w:rPr>
        <w:t xml:space="preserve">终止后本条款永久有效。</w:t>
      </w:r>
      <w:r>
        <w:rPr>
          <w:rFonts w:hint="eastAsia" w:ascii="宋体" w:hAnsi="宋体" w:eastAsia="宋体" w:cs="宋体"/>
          <w:color w:val="000000"/>
          <w:spacing w:val="6"/>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9.保费</w:t>
      </w:r>
      <w:r>
        <w:rPr>
          <w:rFonts w:hint="eastAsia" w:ascii="宋体" w:hAnsi="宋体" w:eastAsia="宋体" w:cs="宋体"/>
          <w:color w:val="000000"/>
          <w:sz w:val="24"/>
          <w:szCs w:val="24"/>
          <w:highlight w:val="none"/>
        </w:rPr>
      </w:r>
      <w:r/>
    </w:p>
    <w:p>
      <w:pPr>
        <w:pStyle w:val="1074"/>
        <w:ind w:firstLine="480"/>
        <w:spacing w:line="44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9.1本合同执行乙方的中标价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1074"/>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9.2投保人在收到乙方保单、保险费发票后30日内将上述款项划入乙方指定账户。</w:t>
      </w:r>
      <w:r>
        <w:rPr>
          <w:rFonts w:hint="eastAsia" w:ascii="宋体" w:hAnsi="宋体" w:eastAsia="宋体" w:cs="宋体"/>
          <w:color w:val="000000"/>
          <w:sz w:val="24"/>
          <w:szCs w:val="24"/>
          <w:highlight w:val="none"/>
        </w:rPr>
      </w:r>
      <w:r/>
    </w:p>
    <w:p>
      <w:pPr>
        <w:pStyle w:val="1074"/>
        <w:ind w:right="210"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 在约定保险期间内，保费交清前发生的保险事故，保险人承担保险责任。</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9.4与本合同有关的一切税、费，均由乙方承担。</w:t>
      </w:r>
      <w:r>
        <w:rPr>
          <w:rFonts w:hint="eastAsia" w:ascii="宋体" w:hAnsi="宋体" w:eastAsia="宋体" w:cs="宋体"/>
          <w:color w:val="000000"/>
          <w:sz w:val="24"/>
          <w:szCs w:val="24"/>
          <w:highlight w:val="none"/>
        </w:rPr>
      </w:r>
      <w:r/>
    </w:p>
    <w:p>
      <w:pPr>
        <w:pStyle w:val="13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10.履约保证金</w:t>
      </w:r>
      <w:r>
        <w:rPr>
          <w:rFonts w:hint="eastAsia" w:ascii="宋体" w:hAnsi="宋体" w:eastAsia="宋体" w:cs="宋体"/>
          <w:color w:val="000000"/>
          <w:sz w:val="24"/>
          <w:szCs w:val="24"/>
          <w:highlight w:val="none"/>
        </w:rPr>
      </w:r>
      <w:r/>
    </w:p>
    <w:p>
      <w:pPr>
        <w:pStyle w:val="1074"/>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（不收取）</w:t>
      </w: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11.合同的变更</w:t>
      </w:r>
      <w:r>
        <w:rPr>
          <w:rFonts w:hint="eastAsia" w:ascii="宋体" w:hAnsi="宋体" w:eastAsia="宋体" w:cs="宋体"/>
          <w:color w:val="000000"/>
          <w:sz w:val="24"/>
          <w:szCs w:val="24"/>
          <w:highlight w:val="none"/>
        </w:rPr>
      </w:r>
      <w:r/>
    </w:p>
    <w:p>
      <w:pPr>
        <w:pStyle w:val="1074"/>
        <w:ind w:right="210"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11.1、除《政府采购法》第四十九条、第五十条第二款规定的情形外，本合同一经签订，甲乙双方不得擅自变更、中止或终止合同。</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11.2、如需修改或补充合同内容，应经甲方、乙方协商，共同签署书面修改或补充协议。该协议将作为本合同不可分割的一部分。</w:t>
      </w:r>
      <w:r>
        <w:rPr>
          <w:rFonts w:hint="eastAsia" w:ascii="宋体" w:hAnsi="宋体" w:eastAsia="宋体" w:cs="宋体"/>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12.转让</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除甲方事先书面同意外，乙方不得擅自部分或全部转让其应履行的合同义务。</w:t>
      </w:r>
      <w:r>
        <w:rPr>
          <w:rFonts w:hint="eastAsia" w:ascii="宋体" w:hAnsi="宋体" w:eastAsia="宋体" w:cs="宋体"/>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.解决合同纠纷的方式</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.1在执行本合同中所发生的或与本合同有关的一切争端，甲方和乙方应通过友好协商的办法进行解决。如从协商开始15天内仍不能解决，可向甲方所在地人民法院提起诉讼。</w:t>
      </w:r>
      <w:r>
        <w:rPr>
          <w:rFonts w:hint="eastAsia" w:ascii="宋体" w:hAnsi="宋体" w:eastAsia="宋体" w:cs="宋体"/>
          <w:color w:val="000000"/>
          <w:sz w:val="24"/>
          <w:szCs w:val="24"/>
          <w:highlight w:val="none"/>
        </w:rPr>
      </w:r>
      <w:r/>
    </w:p>
    <w:p>
      <w:pPr>
        <w:pStyle w:val="1074"/>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.2在诉讼期间，本合同应继续执行。</w:t>
      </w:r>
      <w:r>
        <w:rPr>
          <w:rFonts w:hint="eastAsia" w:ascii="宋体" w:hAnsi="宋体" w:eastAsia="宋体" w:cs="宋体"/>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本合同自各方签名盖章之日起生效。</w:t>
      </w:r>
      <w:r>
        <w:rPr>
          <w:rFonts w:hint="eastAsia" w:ascii="宋体" w:hAnsi="宋体" w:eastAsia="宋体" w:cs="宋体"/>
          <w:b/>
          <w:bCs/>
          <w:color w:val="000000"/>
          <w:sz w:val="24"/>
          <w:szCs w:val="24"/>
          <w:highlight w:val="none"/>
        </w:rPr>
      </w:r>
      <w:r/>
    </w:p>
    <w:p>
      <w:pPr>
        <w:pStyle w:val="1074"/>
        <w:ind w:firstLine="56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.合同保存</w:t>
      </w:r>
      <w:r>
        <w:rPr>
          <w:rFonts w:hint="eastAsia" w:ascii="宋体" w:hAnsi="宋体" w:eastAsia="宋体" w:cs="宋体"/>
          <w:color w:val="000000"/>
          <w:sz w:val="24"/>
          <w:szCs w:val="24"/>
          <w:highlight w:val="none"/>
        </w:rPr>
      </w:r>
      <w:r/>
    </w:p>
    <w:p>
      <w:pPr>
        <w:pStyle w:val="1074"/>
        <w:ind w:firstLine="42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合同份数：本合同一式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份，甲方执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份，乙方执</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份，具有同等法律效力。</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                                     </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经办人：                        </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 </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 </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    方：</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银行帐号：</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r>
      <w:r/>
    </w:p>
    <w:p>
      <w:pPr>
        <w:pStyle w:val="1074"/>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74"/>
        <w:spacing w:line="360" w:lineRule="auto"/>
        <w:rPr>
          <w:rFonts w:ascii="宋体" w:hAnsi="宋体" w:cs="宋体"/>
          <w:color w:val="000000"/>
          <w:sz w:val="24"/>
          <w:highlight w:val="none"/>
        </w:rPr>
      </w:pPr>
      <w:r>
        <w:rPr>
          <w:rFonts w:hint="eastAsia" w:ascii="宋体" w:hAnsi="宋体" w:eastAsia="宋体" w:cs="宋体"/>
          <w:color w:val="000000"/>
          <w:sz w:val="24"/>
          <w:szCs w:val="24"/>
          <w:highlight w:val="none"/>
          <w:lang w:val="en-US" w:eastAsia="en-US" w:bidi="ar-SA"/>
        </w:rPr>
        <w:t xml:space="preserve">电  话：</w:t>
      </w:r>
      <w:r>
        <w:rPr>
          <w:rFonts w:hint="eastAsia" w:ascii="宋体" w:hAnsi="宋体" w:eastAsia="宋体" w:cs="宋体"/>
          <w:b/>
          <w:bCs/>
          <w:color w:val="000000"/>
          <w:sz w:val="24"/>
          <w:szCs w:val="24"/>
          <w:highlight w:val="none"/>
          <w:lang w:val="en-US" w:eastAsia="en-US" w:bidi="ar-SA"/>
        </w:rPr>
        <w:t xml:space="preserve">注：银行帐号与开户银行必须填写清楚。</w:t>
      </w:r>
      <w:r>
        <w:rPr>
          <w:rFonts w:hint="eastAsia" w:ascii="宋体" w:hAnsi="宋体" w:eastAsia="宋体" w:cs="宋体"/>
          <w:color w:val="000000"/>
          <w:sz w:val="24"/>
          <w:szCs w:val="24"/>
          <w:highlight w:val="none"/>
          <w:lang w:val="en-US" w:eastAsia="en-US" w:bidi="ar-SA"/>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5" w:name="_Toc99301426"/>
      <w:r>
        <w:rPr>
          <w:rFonts w:ascii="宋体" w:hAnsi="宋体"/>
          <w:b/>
          <w:color w:val="000000"/>
          <w:sz w:val="36"/>
          <w:szCs w:val="36"/>
          <w:highlight w:val="none"/>
        </w:rPr>
        <w:t xml:space="preserve">第七章   投标文件格式</w:t>
      </w:r>
      <w:bookmarkEnd w:id="825"/>
      <w:r>
        <w:rPr>
          <w:rFonts w:ascii="宋体" w:hAnsi="宋体"/>
          <w:b/>
          <w:color w:val="000000"/>
          <w:sz w:val="36"/>
          <w:szCs w:val="36"/>
          <w:highlight w:val="none"/>
        </w:rPr>
      </w:r>
      <w:r/>
    </w:p>
    <w:p>
      <w:pPr>
        <w:pStyle w:val="1074"/>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4"/>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4"/>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4"/>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4"/>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4"/>
        <w:rPr>
          <w:rFonts w:ascii="宋体" w:hAnsi="宋体"/>
          <w:b/>
          <w:color w:val="000000"/>
          <w:spacing w:val="20"/>
          <w:szCs w:val="21"/>
          <w:highlight w:val="none"/>
        </w:rPr>
      </w:pPr>
      <w:r>
        <w:rPr>
          <w:rFonts w:ascii="宋体" w:hAnsi="宋体"/>
          <w:b/>
          <w:color w:val="000000"/>
          <w:spacing w:val="20"/>
          <w:szCs w:val="21"/>
          <w:highlight w:val="none"/>
        </w:rPr>
      </w:r>
      <w:r/>
    </w:p>
    <w:p>
      <w:pPr>
        <w:pStyle w:val="1074"/>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4"/>
        <w:jc w:val="center"/>
        <w:rPr>
          <w:rFonts w:ascii="宋体" w:hAnsi="宋体"/>
          <w:color w:val="000000"/>
          <w:szCs w:val="21"/>
          <w:highlight w:val="none"/>
        </w:rPr>
      </w:pPr>
      <w:r>
        <w:rPr>
          <w:rFonts w:ascii="宋体" w:hAnsi="宋体"/>
          <w:color w:val="000000"/>
          <w:szCs w:val="21"/>
          <w:highlight w:val="none"/>
        </w:rPr>
      </w:r>
      <w:r/>
    </w:p>
    <w:p>
      <w:pPr>
        <w:pStyle w:val="1074"/>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4"/>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4"/>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4"/>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4"/>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4"/>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4"/>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4"/>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4"/>
        <w:jc w:val="center"/>
        <w:rPr>
          <w:rFonts w:ascii="宋体" w:hAnsi="宋体"/>
          <w:b/>
          <w:color w:val="000000"/>
          <w:sz w:val="32"/>
          <w:szCs w:val="32"/>
          <w:highlight w:val="none"/>
        </w:rPr>
      </w:pPr>
      <w:r>
        <w:rPr>
          <w:rFonts w:ascii="宋体" w:hAnsi="宋体"/>
          <w:b/>
          <w:color w:val="000000"/>
          <w:sz w:val="32"/>
          <w:szCs w:val="32"/>
          <w:highlight w:val="none"/>
        </w:rPr>
      </w:r>
      <w:r/>
    </w:p>
    <w:p>
      <w:pPr>
        <w:pStyle w:val="1074"/>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4"/>
        <w:rPr>
          <w:rFonts w:ascii="宋体" w:hAnsi="宋体"/>
          <w:b/>
          <w:color w:val="000000"/>
          <w:highlight w:val="none"/>
        </w:rPr>
      </w:pPr>
      <w:r>
        <w:rPr>
          <w:rFonts w:ascii="宋体" w:hAnsi="宋体"/>
          <w:b/>
          <w:color w:val="000000"/>
          <w:highlight w:val="none"/>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7"/>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4"/>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8"/>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w:t>
      </w:r>
      <w:r>
        <w:rPr>
          <w:rFonts w:hint="eastAsia" w:hAnsi="宋体"/>
          <w:color w:val="000000"/>
          <w:highlight w:val="none"/>
          <w:lang w:val="en-US" w:eastAsia="zh-CN"/>
        </w:rPr>
        <w:t xml:space="preserve">九</w:t>
      </w:r>
      <w:r>
        <w:rPr>
          <w:rFonts w:hint="eastAsia" w:hAnsi="宋体"/>
          <w:color w:val="000000"/>
          <w:highlight w:val="none"/>
        </w:rPr>
        <w:t xml:space="preserve">条情形）和健全的财务会计制度。</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8"/>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8"/>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4"/>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4"/>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4"/>
        <w:jc w:val="left"/>
        <w:widowControl/>
        <w:rPr>
          <w:rFonts w:ascii="宋体" w:hAnsi="宋体"/>
          <w:color w:val="000000"/>
          <w:sz w:val="24"/>
          <w:highlight w:val="none"/>
        </w:rPr>
      </w:pPr>
      <w:r>
        <w:rPr>
          <w:rFonts w:ascii="宋体" w:hAnsi="宋体"/>
          <w:color w:val="000000"/>
          <w:sz w:val="24"/>
          <w:highlight w:val="none"/>
        </w:rPr>
      </w:r>
      <w:r/>
    </w:p>
    <w:p>
      <w:pPr>
        <w:pStyle w:val="1074"/>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4"/>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26" w:name="_Toc195842921"/>
      <w:r/>
      <w:bookmarkStart w:id="827" w:name="_Toc226965746"/>
      <w:r/>
      <w:bookmarkStart w:id="828" w:name="_Toc150480794"/>
      <w:r/>
      <w:bookmarkStart w:id="829" w:name="_Toc226309800"/>
      <w:r/>
      <w:bookmarkStart w:id="830" w:name="_Toc127151556"/>
      <w:r/>
      <w:bookmarkStart w:id="831" w:name="_Toc226965829"/>
      <w:r/>
      <w:bookmarkStart w:id="832" w:name="_Toc142311058"/>
      <w:r/>
      <w:bookmarkStart w:id="833" w:name="_Toc226337252"/>
      <w:r/>
      <w:bookmarkStart w:id="834" w:name="_Toc480942349"/>
      <w:r/>
      <w:bookmarkStart w:id="835" w:name="_Ref467988698"/>
      <w:r/>
      <w:bookmarkStart w:id="836" w:name="_Toc150774761"/>
      <w:r/>
      <w:bookmarkStart w:id="837" w:name="_Toc520356217"/>
      <w:r>
        <w:rPr>
          <w:rFonts w:hint="eastAsia" w:ascii="宋体" w:hAnsi="宋体"/>
          <w:b/>
          <w:color w:val="000000"/>
          <w:sz w:val="32"/>
          <w:szCs w:val="32"/>
          <w:highlight w:val="none"/>
        </w:rPr>
      </w:r>
      <w:r/>
    </w:p>
    <w:p>
      <w:pPr>
        <w:pStyle w:val="107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4"/>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4"/>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4"/>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4"/>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4"/>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4"/>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4"/>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4"/>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4"/>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4"/>
        <w:jc w:val="left"/>
        <w:widowControl/>
        <w:rPr>
          <w:rFonts w:hint="eastAsia" w:ascii="宋体" w:hAnsi="宋体"/>
          <w:b/>
          <w:color w:val="000000"/>
          <w:sz w:val="24"/>
          <w:highlight w:val="none"/>
        </w:rPr>
      </w:pPr>
      <w:r/>
      <w:bookmarkStart w:id="838" w:name="_Hlt520356243"/>
      <w:r/>
      <w:bookmarkEnd w:id="838"/>
      <w:r/>
      <w:bookmarkStart w:id="839" w:name="_Hlt520355938"/>
      <w:r/>
      <w:bookmarkEnd w:id="839"/>
      <w:r>
        <w:rPr>
          <w:rFonts w:ascii="宋体" w:hAnsi="宋体"/>
          <w:color w:val="000000"/>
          <w:sz w:val="24"/>
          <w:highlight w:val="none"/>
        </w:rPr>
        <w:br w:type="page" w:clear="all"/>
      </w:r>
      <w:r>
        <w:rPr>
          <w:rFonts w:hint="eastAsia" w:ascii="宋体" w:hAnsi="宋体"/>
          <w:b/>
          <w:color w:val="000000"/>
          <w:sz w:val="24"/>
          <w:highlight w:val="none"/>
        </w:rPr>
      </w:r>
      <w:r/>
    </w:p>
    <w:p>
      <w:pPr>
        <w:pStyle w:val="1074"/>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的法定代表人（或单位负责人）。为参与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ascii="宋体" w:hAnsi="宋体"/>
          <w:color w:val="000000"/>
          <w:sz w:val="24"/>
          <w:highlight w:val="none"/>
        </w:rPr>
      </w:r>
      <w:r/>
    </w:p>
    <w:p>
      <w:pPr>
        <w:pStyle w:val="1105"/>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                  法定代表人（或单位负责人）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4"/>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4"/>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4"/>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6"/>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或单位负责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rPr>
        <w:t xml:space="preserve">（或单位负责人）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2"/>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4"/>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5"/>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5"/>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6"/>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4"/>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4"/>
        <w:ind w:firstLine="640"/>
        <w:rPr>
          <w:rFonts w:ascii="宋体" w:hAnsi="宋体"/>
          <w:color w:val="000000"/>
          <w:highlight w:val="none"/>
        </w:rPr>
      </w:pPr>
      <w:r>
        <w:rPr>
          <w:rFonts w:ascii="宋体" w:hAnsi="宋体"/>
          <w:color w:val="000000"/>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21"/>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bookmarkStart w:id="840" w:name="_Hlt520355504"/>
      <w:r/>
      <w:bookmarkEnd w:id="840"/>
      <w:r/>
      <w:bookmarkStart w:id="841" w:name="_Hlt520343000"/>
      <w:r/>
      <w:bookmarkEnd w:id="841"/>
      <w:r/>
      <w:bookmarkStart w:id="842" w:name="_Hlt520273711"/>
      <w:r/>
      <w:bookmarkEnd w:id="842"/>
      <w:r/>
      <w:bookmarkStart w:id="843" w:name="_Hlt520274393"/>
      <w:r/>
      <w:bookmarkEnd w:id="843"/>
      <w:r/>
      <w:bookmarkStart w:id="844" w:name="_Hlt520350918"/>
      <w:r/>
      <w:bookmarkEnd w:id="844"/>
      <w:r/>
      <w:bookmarkStart w:id="845" w:name="_Hlt520343392"/>
      <w:r/>
      <w:bookmarkEnd w:id="845"/>
      <w:r/>
      <w:bookmarkStart w:id="846" w:name="_Hlt520274065"/>
      <w:r/>
      <w:bookmarkEnd w:id="846"/>
      <w:r/>
      <w:bookmarkStart w:id="847" w:name="_Hlt520274121"/>
      <w:r/>
      <w:bookmarkEnd w:id="847"/>
      <w:r/>
      <w:bookmarkStart w:id="848" w:name="_Hlt520271212"/>
      <w:r/>
      <w:bookmarkEnd w:id="848"/>
      <w:r/>
      <w:bookmarkStart w:id="849" w:name="_Hlt520274407"/>
      <w:r/>
      <w:bookmarkEnd w:id="849"/>
      <w:r/>
      <w:bookmarkStart w:id="850" w:name="_Toc226965747"/>
      <w:r/>
      <w:bookmarkStart w:id="851" w:name="_Toc142311059"/>
      <w:r/>
      <w:bookmarkStart w:id="852" w:name="_Toc226965830"/>
      <w:r/>
      <w:bookmarkStart w:id="853" w:name="_Toc226309801"/>
      <w:r/>
      <w:bookmarkStart w:id="854" w:name="_Toc265228395"/>
      <w:r/>
      <w:bookmarkStart w:id="855" w:name="_Toc305158899"/>
      <w:r/>
      <w:bookmarkStart w:id="856" w:name="_Toc150774762"/>
      <w:r/>
      <w:bookmarkStart w:id="857" w:name="_Toc305158825"/>
      <w:r/>
      <w:bookmarkStart w:id="858" w:name="_Toc195842922"/>
      <w:r/>
      <w:bookmarkStart w:id="859" w:name="_Toc520356218"/>
      <w:r/>
      <w:bookmarkStart w:id="860" w:name="_Toc127151557"/>
      <w:r/>
      <w:bookmarkStart w:id="861" w:name="_Toc480942350"/>
      <w:r/>
      <w:bookmarkStart w:id="862" w:name="_Toc150480795"/>
      <w:r/>
      <w:bookmarkStart w:id="863" w:name="_Toc264969247"/>
      <w:r/>
      <w:bookmarkStart w:id="864" w:name="_Toc226337253"/>
      <w:r/>
      <w:bookmarkStart w:id="865" w:name="_Ref467988705"/>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jc w:val="center"/>
        <w:spacing w:line="360" w:lineRule="exact"/>
        <w:rPr>
          <w:rFonts w:ascii="宋体" w:hAnsi="宋体"/>
          <w:b/>
          <w:color w:val="000000"/>
          <w:sz w:val="36"/>
          <w:szCs w:val="36"/>
          <w:highlight w:val="none"/>
        </w:rPr>
      </w:pPr>
      <w:r/>
      <w:bookmarkStart w:id="866" w:name="_Toc195842923"/>
      <w:r/>
      <w:bookmarkStart w:id="867" w:name="_Toc305158900"/>
      <w:r/>
      <w:bookmarkStart w:id="868" w:name="_Toc226965748"/>
      <w:r/>
      <w:bookmarkStart w:id="869" w:name="_Toc305158826"/>
      <w:r/>
      <w:bookmarkStart w:id="870" w:name="_Toc226309802"/>
      <w:r/>
      <w:bookmarkStart w:id="871" w:name="_Toc226337254"/>
      <w:r/>
      <w:bookmarkStart w:id="872" w:name="_Toc264969248"/>
      <w:r/>
      <w:bookmarkStart w:id="873" w:name="_Toc164608827"/>
      <w:r/>
      <w:bookmarkStart w:id="874" w:name="_Toc265228396"/>
      <w:r/>
      <w:bookmarkStart w:id="875" w:name="_Toc226965831"/>
      <w:r/>
      <w:bookmarkStart w:id="876" w:name="_Toc164608672"/>
      <w:r>
        <w:rPr>
          <w:rFonts w:hint="eastAsia" w:ascii="宋体" w:hAnsi="宋体"/>
          <w:b/>
          <w:color w:val="000000"/>
          <w:sz w:val="36"/>
          <w:szCs w:val="36"/>
          <w:highlight w:val="none"/>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ascii="宋体" w:hAnsi="宋体"/>
          <w:b/>
          <w:color w:val="000000"/>
          <w:sz w:val="36"/>
          <w:szCs w:val="36"/>
          <w:highlight w:val="none"/>
        </w:rPr>
      </w:r>
      <w:r/>
    </w:p>
    <w:p>
      <w:pPr>
        <w:pStyle w:val="1074"/>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4"/>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4"/>
        <w:jc w:val="left"/>
        <w:rPr>
          <w:rFonts w:ascii="宋体" w:hAnsi="宋体"/>
          <w:color w:val="000000"/>
          <w:sz w:val="24"/>
          <w:highlight w:val="none"/>
        </w:rPr>
      </w:pPr>
      <w:r>
        <w:rPr>
          <w:rFonts w:ascii="宋体" w:hAnsi="宋体"/>
          <w:color w:val="000000"/>
          <w:sz w:val="24"/>
          <w:highlight w:val="none"/>
        </w:rPr>
      </w:r>
      <w:r/>
    </w:p>
    <w:p>
      <w:pPr>
        <w:pStyle w:val="1074"/>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4"/>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bookmarkStart w:id="877" w:name="_Toc305158827"/>
      <w:r/>
      <w:bookmarkStart w:id="878" w:name="_Toc226965749"/>
      <w:r/>
      <w:bookmarkStart w:id="879" w:name="_Toc150480796"/>
      <w:r/>
      <w:bookmarkStart w:id="880" w:name="_Toc265228397"/>
      <w:r/>
      <w:bookmarkStart w:id="881" w:name="_Toc127151558"/>
      <w:r/>
      <w:bookmarkStart w:id="882" w:name="_Toc150774763"/>
      <w:r/>
      <w:bookmarkStart w:id="883" w:name="_Toc226965832"/>
      <w:r/>
      <w:bookmarkStart w:id="884" w:name="_Toc226309803"/>
      <w:r/>
      <w:bookmarkStart w:id="885" w:name="_Toc226337255"/>
      <w:r/>
      <w:bookmarkStart w:id="886" w:name="_Toc142311060"/>
      <w:r/>
      <w:bookmarkStart w:id="887" w:name="_Toc195842924"/>
      <w:r/>
      <w:bookmarkStart w:id="888" w:name="_Toc264969249"/>
      <w:r/>
      <w:bookmarkStart w:id="889" w:name="_Toc305158901"/>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4"/>
        <w:jc w:val="center"/>
        <w:rPr>
          <w:rFonts w:ascii="黑体" w:hAnsi="黑体" w:eastAsia="黑体"/>
          <w:b/>
          <w:i/>
          <w:color w:val="000000"/>
          <w:sz w:val="32"/>
          <w:szCs w:val="32"/>
          <w:highlight w:val="none"/>
          <w:u w:val="single"/>
        </w:rPr>
      </w:pPr>
      <w:r/>
      <w:bookmarkStart w:id="890" w:name="_Toc195842927"/>
      <w:r/>
      <w:bookmarkStart w:id="891" w:name="_Toc226309806"/>
      <w:r/>
      <w:bookmarkStart w:id="892" w:name="_Toc226337258"/>
      <w:r/>
      <w:bookmarkStart w:id="893" w:name="_Toc265228400"/>
      <w:r/>
      <w:bookmarkStart w:id="894" w:name="_Toc150774765"/>
      <w:r/>
      <w:bookmarkStart w:id="895" w:name="_Toc142311062"/>
      <w:r/>
      <w:bookmarkStart w:id="896" w:name="_Toc150480798"/>
      <w:r/>
      <w:bookmarkStart w:id="897" w:name="_Toc264969252"/>
      <w:r/>
      <w:bookmarkStart w:id="898" w:name="_Toc305158904"/>
      <w:r/>
      <w:bookmarkStart w:id="899" w:name="_Toc305158830"/>
      <w:r/>
      <w:bookmarkStart w:id="900" w:name="_Toc226965752"/>
      <w:r/>
      <w:bookmarkStart w:id="901" w:name="_Toc226965835"/>
      <w:r/>
      <w:bookmarkStart w:id="902" w:name="_Toc127151562"/>
      <w:r/>
      <w:bookmarkStart w:id="903" w:name="_Toc150480797"/>
      <w:r/>
      <w:bookmarkStart w:id="904" w:name="_Toc127151561"/>
      <w:r/>
      <w:bookmarkStart w:id="905" w:name="_Toc226965751"/>
      <w:r/>
      <w:bookmarkStart w:id="906" w:name="_Toc226965834"/>
      <w:r/>
      <w:bookmarkStart w:id="907" w:name="_Toc195842926"/>
      <w:r/>
      <w:bookmarkStart w:id="908" w:name="_Toc226337257"/>
      <w:r/>
      <w:bookmarkStart w:id="909" w:name="_Toc305158903"/>
      <w:r/>
      <w:bookmarkStart w:id="910" w:name="_Toc142311061"/>
      <w:r/>
      <w:bookmarkStart w:id="911" w:name="_Toc305158829"/>
      <w:r/>
      <w:bookmarkStart w:id="912" w:name="_Toc150774764"/>
      <w:r/>
      <w:bookmarkStart w:id="913" w:name="_Toc264969251"/>
      <w:r/>
      <w:bookmarkStart w:id="914" w:name="_Toc265228399"/>
      <w:r/>
      <w:bookmarkStart w:id="915" w:name="_Toc226309805"/>
      <w:r>
        <w:rPr>
          <w:rFonts w:hint="eastAsia" w:ascii="黑体" w:hAnsi="黑体" w:eastAsia="黑体"/>
          <w:b/>
          <w:i/>
          <w:color w:val="000000"/>
          <w:sz w:val="32"/>
          <w:szCs w:val="32"/>
          <w:highlight w:val="none"/>
          <w:u w:val="single"/>
        </w:rPr>
        <w:t xml:space="preserve">（一）投标分项报价表</w:t>
      </w:r>
      <w:r>
        <w:rPr>
          <w:rFonts w:ascii="黑体" w:hAnsi="黑体" w:eastAsia="黑体"/>
          <w:b/>
          <w:i/>
          <w:color w:val="000000"/>
          <w:sz w:val="32"/>
          <w:szCs w:val="32"/>
          <w:highlight w:val="none"/>
          <w:u w:val="single"/>
        </w:rPr>
      </w:r>
      <w:r/>
    </w:p>
    <w:p>
      <w:pPr>
        <w:pStyle w:val="1074"/>
        <w:jc w:val="both"/>
        <w:spacing w:line="260" w:lineRule="exact"/>
        <w:rPr>
          <w:rFonts w:ascii="宋体" w:hAnsi="宋体"/>
          <w:color w:val="000000"/>
          <w:sz w:val="36"/>
          <w:szCs w:val="36"/>
          <w:highlight w:val="none"/>
        </w:rPr>
      </w:pPr>
      <w:r>
        <w:rPr>
          <w:rFonts w:ascii="宋体" w:hAnsi="宋体"/>
          <w:color w:val="000000"/>
          <w:sz w:val="36"/>
          <w:szCs w:val="36"/>
          <w:highlight w:val="none"/>
        </w:rPr>
      </w:r>
      <w:r/>
    </w:p>
    <w:tbl>
      <w:tblPr>
        <w:tblW w:w="5261"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36"/>
        <w:gridCol w:w="1191"/>
        <w:gridCol w:w="235"/>
        <w:gridCol w:w="439"/>
        <w:gridCol w:w="1405"/>
        <w:gridCol w:w="289"/>
        <w:gridCol w:w="1200"/>
        <w:gridCol w:w="1337"/>
        <w:gridCol w:w="426"/>
        <w:gridCol w:w="713"/>
        <w:gridCol w:w="1902"/>
      </w:tblGrid>
      <w:tr>
        <w:trPr>
          <w:trHeight w:val="330"/>
        </w:trPr>
        <w:tc>
          <w:tcPr>
            <w:gridSpan w:val="11"/>
            <w:tcBorders>
              <w:top w:val="single" w:color="000000" w:sz="4" w:space="0"/>
              <w:left w:val="single" w:color="000000" w:sz="4" w:space="0"/>
              <w:bottom w:val="single" w:color="000000" w:sz="4" w:space="0"/>
              <w:right w:val="single" w:color="000000" w:sz="4" w:space="0"/>
            </w:tcBorders>
            <w:tcW w:w="9773"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分项报价表一</w:t>
            </w:r>
            <w:r>
              <w:rPr>
                <w:rFonts w:ascii="宋体" w:hAnsi="宋体" w:cs="宋体"/>
                <w:color w:val="000000"/>
                <w:highlight w:val="none"/>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575" w:type="dxa"/>
            <w:vAlign w:val="center"/>
            <w:vMerge w:val="restart"/>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医疗机构名称（简称）</w:t>
            </w:r>
            <w:r>
              <w:rPr>
                <w:rFonts w:ascii="宋体" w:hAnsi="宋体" w:cs="宋体"/>
                <w:color w:val="000000"/>
                <w:highlight w:val="none"/>
              </w:rPr>
            </w:r>
            <w:r/>
          </w:p>
        </w:tc>
        <w:tc>
          <w:tcPr>
            <w:gridSpan w:val="5"/>
            <w:tcBorders>
              <w:top w:val="single" w:color="000000" w:sz="4" w:space="0"/>
              <w:left w:val="single" w:color="000000" w:sz="4" w:space="0"/>
              <w:bottom w:val="single" w:color="000000" w:sz="4" w:space="0"/>
              <w:right w:val="single" w:color="000000" w:sz="4" w:space="0"/>
            </w:tcBorders>
            <w:tcW w:w="3829"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财产综合险</w:t>
            </w:r>
            <w:r>
              <w:rPr>
                <w:rFonts w:ascii="宋体" w:hAnsi="宋体" w:cs="宋体"/>
                <w:color w:val="000000"/>
                <w:highlight w:val="none"/>
              </w:rPr>
            </w:r>
            <w:r/>
          </w:p>
        </w:tc>
        <w:tc>
          <w:tcPr>
            <w:gridSpan w:val="4"/>
            <w:tcBorders>
              <w:top w:val="single" w:color="000000" w:sz="4" w:space="0"/>
              <w:left w:val="single" w:color="000000" w:sz="4" w:space="0"/>
              <w:bottom w:val="single" w:color="000000" w:sz="4" w:space="0"/>
              <w:right w:val="single" w:color="000000" w:sz="4" w:space="0"/>
            </w:tcBorders>
            <w:tcW w:w="3753"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机器设备损坏险</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45" w:type="dxa"/>
            <w:vAlign w:val="center"/>
            <w:vMerge w:val="restart"/>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保费合计（元/年）</w:t>
            </w:r>
            <w:r>
              <w:rPr>
                <w:rFonts w:ascii="宋体" w:hAnsi="宋体" w:cs="宋体"/>
                <w:color w:val="000000"/>
                <w:highlight w:val="none"/>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575" w:type="dxa"/>
            <w:vAlign w:val="center"/>
            <w:vMerge w:val="continue"/>
            <w:textDirection w:val="lrTb"/>
            <w:noWrap w:val="false"/>
          </w:tcPr>
          <w:p>
            <w:pPr>
              <w:pStyle w:val="1074"/>
              <w:jc w:val="center"/>
              <w:rPr>
                <w:rFonts w:ascii="宋体" w:hAnsi="宋体" w:cs="宋体"/>
                <w:color w:val="000000"/>
                <w:highlight w:val="none"/>
              </w:rPr>
            </w:pPr>
            <w:r>
              <w:rPr>
                <w:rFonts w:ascii="宋体" w:hAnsi="宋体" w:cs="宋体"/>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保险金额（万元）</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费率</w:t>
            </w:r>
            <w:r>
              <w:rPr>
                <w:rFonts w:ascii="宋体" w:hAnsi="宋体" w:cs="宋体"/>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1074"/>
              <w:jc w:val="left"/>
              <w:widowControl/>
              <w:rPr>
                <w:rFonts w:ascii="宋体" w:hAnsi="宋体" w:cs="宋体"/>
                <w:color w:val="000000"/>
                <w:highlight w:val="none"/>
              </w:rPr>
            </w:pPr>
            <w:r>
              <w:rPr>
                <w:rFonts w:hint="eastAsia" w:ascii="宋体" w:hAnsi="宋体" w:cs="宋体"/>
                <w:color w:val="000000"/>
                <w:highlight w:val="none"/>
              </w:rPr>
              <w:t xml:space="preserve">保费（元/年）</w:t>
            </w:r>
            <w:r>
              <w:rPr>
                <w:rFonts w:ascii="宋体" w:hAnsi="宋体" w:cs="宋体"/>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保险金额（万元）</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费率</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保费（元/年）</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pStyle w:val="1074"/>
              <w:jc w:val="center"/>
              <w:rPr>
                <w:rFonts w:ascii="宋体" w:hAnsi="宋体" w:cs="宋体"/>
                <w:color w:val="000000"/>
                <w:highlight w:val="none"/>
              </w:rPr>
            </w:pPr>
            <w:r>
              <w:rPr>
                <w:rFonts w:ascii="宋体" w:hAnsi="宋体" w:cs="宋体"/>
                <w:color w:val="000000"/>
                <w:highlight w:val="none"/>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pStyle w:val="1074"/>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肿瘤医院</w:t>
            </w:r>
            <w:r>
              <w:rPr>
                <w:rFonts w:hint="eastAsia" w:ascii="宋体" w:hAnsi="宋体" w:eastAsia="宋体" w:cs="宋体"/>
                <w:color w:val="000000"/>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74"/>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88509.29</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1074"/>
              <w:rPr>
                <w:rFonts w:ascii="宋体" w:hAnsi="宋体" w:cs="宋体"/>
                <w:color w:val="000000"/>
                <w:highlight w:val="none"/>
              </w:rPr>
            </w:pPr>
            <w:r>
              <w:rPr>
                <w:rFonts w:ascii="宋体" w:hAnsi="宋体" w:cs="宋体"/>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1074"/>
              <w:jc w:val="center"/>
              <w:rPr>
                <w:rFonts w:ascii="宋体" w:hAnsi="宋体" w:cs="宋体"/>
                <w:color w:val="000000"/>
                <w:highlight w:val="none"/>
              </w:rPr>
            </w:pPr>
            <w:r>
              <w:rPr>
                <w:rFonts w:ascii="宋体" w:hAnsi="宋体" w:cs="宋体"/>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pStyle w:val="1074"/>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28681.99</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6" w:type="dxa"/>
            <w:vAlign w:val="center"/>
            <w:textDirection w:val="lrTb"/>
            <w:noWrap w:val="false"/>
          </w:tcPr>
          <w:p>
            <w:pPr>
              <w:pStyle w:val="1074"/>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74"/>
              <w:jc w:val="center"/>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1074"/>
              <w:jc w:val="center"/>
              <w:rPr>
                <w:rFonts w:ascii="宋体" w:hAnsi="宋体" w:cs="宋体"/>
                <w:color w:val="000000"/>
                <w:highlight w:val="none"/>
              </w:rPr>
            </w:pPr>
            <w:r>
              <w:rPr>
                <w:rFonts w:ascii="宋体" w:hAnsi="宋体" w:cs="宋体"/>
                <w:color w:val="000000"/>
                <w:highlight w:val="none"/>
              </w:rPr>
            </w:r>
            <w:r/>
          </w:p>
        </w:tc>
      </w:tr>
      <w:tr>
        <w:trPr>
          <w:trHeight w:val="315"/>
        </w:trPr>
        <w:tc>
          <w:tcPr>
            <w:gridSpan w:val="11"/>
            <w:tcBorders>
              <w:top w:val="single" w:color="000000" w:sz="4" w:space="0"/>
              <w:left w:val="single" w:color="000000" w:sz="4" w:space="0"/>
              <w:bottom w:val="single" w:color="000000" w:sz="4" w:space="0"/>
              <w:right w:val="single" w:color="000000" w:sz="4" w:space="0"/>
            </w:tcBorders>
            <w:tcW w:w="9773"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shd w:val="clear" w:color="auto" w:fill="auto"/>
              </w:rPr>
              <w:t xml:space="preserve">分项报价表二（医责险）</w:t>
            </w:r>
            <w:r>
              <w:rPr>
                <w:rFonts w:ascii="宋体" w:hAnsi="宋体" w:cs="宋体"/>
                <w:color w:val="000000"/>
                <w:highlight w:val="none"/>
              </w:rPr>
            </w:r>
            <w:r/>
          </w:p>
        </w:tc>
      </w:tr>
      <w:tr>
        <w:trPr>
          <w:cantSplit/>
          <w:trHeight w:val="315"/>
        </w:trPr>
        <w:tc>
          <w:tcPr>
            <w:gridSpan w:val="2"/>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医疗机构名称（简称）</w:t>
            </w:r>
            <w:r>
              <w:rPr>
                <w:rFonts w:ascii="宋体" w:hAnsi="宋体" w:cs="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1074"/>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年度累计赔偿限额（万元/年）</w:t>
            </w:r>
            <w:r>
              <w:rPr>
                <w:rFonts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每人每次限额（万元/人/次）</w:t>
            </w: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最高限价（万元/年）</w:t>
            </w:r>
            <w:r>
              <w:rPr>
                <w:rFonts w:ascii="宋体" w:hAnsi="宋体" w:cs="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rPr>
              <w:t xml:space="preserve">报价（元/年）</w:t>
            </w:r>
            <w:r>
              <w:rPr>
                <w:rFonts w:ascii="宋体" w:hAnsi="宋体" w:cs="宋体"/>
                <w:color w:val="000000"/>
                <w:highlight w:val="none"/>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1074"/>
              <w:jc w:val="center"/>
              <w:widowControl/>
              <w:rPr>
                <w:rFonts w:ascii="宋体" w:hAnsi="宋体" w:cs="宋体"/>
                <w:color w:val="000000"/>
                <w:highlight w:val="none"/>
              </w:rPr>
            </w:pPr>
            <w:r>
              <w:rPr>
                <w:rFonts w:hint="eastAsia" w:ascii="宋体" w:hAnsi="宋体" w:cs="宋体"/>
                <w:color w:val="000000"/>
                <w:highlight w:val="none"/>
                <w:lang w:val="en-US" w:eastAsia="zh-CN"/>
              </w:rPr>
              <w:t xml:space="preserve">肿瘤医院</w:t>
            </w:r>
            <w:r>
              <w:rPr>
                <w:rFonts w:ascii="宋体" w:hAnsi="宋体" w:cs="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1074"/>
              <w:jc w:val="center"/>
              <w:widowControl/>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94.5</w:t>
            </w:r>
            <w:r>
              <w:rPr>
                <w:rFonts w:ascii="仿宋" w:hAnsi="仿宋" w:eastAsia="仿宋" w:cs="仿宋"/>
                <w:color w:val="000000"/>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489" w:type="dxa"/>
            <w:vAlign w:val="bottom"/>
            <w:textDirection w:val="lrTb"/>
            <w:noWrap w:val="false"/>
          </w:tcPr>
          <w:p>
            <w:pPr>
              <w:pStyle w:val="1074"/>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40</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1074"/>
              <w:jc w:val="center"/>
              <w:widowControl/>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90</w:t>
            </w:r>
            <w:r>
              <w:rPr>
                <w:rFonts w:ascii="仿宋" w:hAnsi="仿宋" w:eastAsia="仿宋" w:cs="仿宋"/>
                <w:color w:val="000000"/>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1074"/>
              <w:jc w:val="center"/>
              <w:rPr>
                <w:rFonts w:ascii="宋体" w:hAnsi="宋体" w:cs="宋体"/>
                <w:color w:val="000000"/>
                <w:highlight w:val="none"/>
              </w:rPr>
            </w:pPr>
            <w:r>
              <w:rPr>
                <w:rFonts w:ascii="宋体" w:hAnsi="宋体" w:cs="宋体"/>
                <w:color w:val="000000"/>
                <w:highlight w:val="none"/>
              </w:rPr>
            </w:r>
            <w:r/>
          </w:p>
        </w:tc>
      </w:tr>
      <w:tr>
        <w:trPr>
          <w:trHeight w:val="315"/>
        </w:trPr>
        <w:tc>
          <w:tcPr>
            <w:gridSpan w:val="11"/>
            <w:tcBorders>
              <w:top w:val="single" w:color="000000" w:sz="4" w:space="0"/>
              <w:left w:val="single" w:color="000000" w:sz="4" w:space="0"/>
              <w:bottom w:val="single" w:color="000000" w:sz="4" w:space="0"/>
              <w:right w:val="single" w:color="000000" w:sz="4" w:space="0"/>
            </w:tcBorders>
            <w:tcW w:w="9773" w:type="dxa"/>
            <w:vAlign w:val="center"/>
            <w:textDirection w:val="lrTb"/>
            <w:noWrap w:val="false"/>
          </w:tcPr>
          <w:p>
            <w:pPr>
              <w:pStyle w:val="1074"/>
              <w:jc w:val="center"/>
              <w:rPr>
                <w:rFonts w:ascii="宋体" w:hAnsi="宋体" w:cs="宋体"/>
                <w:color w:val="000000"/>
                <w:sz w:val="24"/>
                <w:szCs w:val="24"/>
                <w:highlight w:val="none"/>
              </w:rPr>
            </w:pPr>
            <w:r>
              <w:rPr>
                <w:rFonts w:hint="eastAsia" w:ascii="宋体" w:hAnsi="宋体" w:cs="宋体"/>
                <w:bCs/>
                <w:color w:val="000000"/>
                <w:highlight w:val="none"/>
              </w:rPr>
              <w:t xml:space="preserve">分项报价表三（附加承诺保障）</w:t>
            </w:r>
            <w:r>
              <w:rPr>
                <w:rFonts w:ascii="宋体" w:hAnsi="宋体" w:cs="宋体"/>
                <w:color w:val="000000"/>
                <w:sz w:val="24"/>
                <w:szCs w:val="24"/>
                <w:highlight w:val="none"/>
              </w:rPr>
            </w:r>
            <w:r/>
          </w:p>
        </w:tc>
      </w:tr>
      <w:tr>
        <w:trPr>
          <w:trHeight w:val="315"/>
        </w:trPr>
        <w:tc>
          <w:tcPr>
            <w:gridSpan w:val="5"/>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pStyle w:val="1074"/>
              <w:jc w:val="center"/>
              <w:widowControl/>
              <w:rPr>
                <w:rFonts w:hint="eastAsia" w:ascii="宋体" w:hAnsi="宋体" w:cs="宋体"/>
                <w:color w:val="000000"/>
                <w:highlight w:val="none"/>
              </w:rPr>
            </w:pPr>
            <w:r>
              <w:rPr>
                <w:rFonts w:hint="eastAsia" w:ascii="宋体" w:hAnsi="宋体" w:cs="宋体"/>
                <w:bCs/>
                <w:color w:val="000000"/>
                <w:highlight w:val="none"/>
              </w:rPr>
              <w:t xml:space="preserve">险种</w:t>
            </w:r>
            <w:r>
              <w:rPr>
                <w:rFonts w:hint="eastAsia" w:ascii="宋体" w:hAnsi="宋体" w:cs="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pStyle w:val="1074"/>
              <w:ind w:firstLine="420"/>
              <w:jc w:val="both"/>
              <w:rPr>
                <w:rFonts w:hint="eastAsia" w:ascii="宋体" w:hAnsi="宋体" w:cs="宋体"/>
                <w:color w:val="000000"/>
                <w:highlight w:val="none"/>
              </w:rPr>
            </w:pPr>
            <w:r>
              <w:rPr>
                <w:rFonts w:hint="eastAsia" w:ascii="宋体" w:hAnsi="宋体" w:cs="宋体"/>
                <w:bCs/>
                <w:color w:val="000000"/>
                <w:highlight w:val="none"/>
              </w:rPr>
              <w:t xml:space="preserve">限额（万元/人/次）</w:t>
            </w:r>
            <w:r>
              <w:rPr>
                <w:rFonts w:hint="eastAsia" w:ascii="宋体" w:hAnsi="宋体" w:cs="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pStyle w:val="1074"/>
              <w:ind w:firstLine="420"/>
              <w:jc w:val="both"/>
              <w:rPr>
                <w:rFonts w:ascii="宋体" w:hAnsi="宋体" w:cs="宋体"/>
                <w:color w:val="000000"/>
                <w:sz w:val="24"/>
                <w:szCs w:val="24"/>
                <w:highlight w:val="none"/>
              </w:rPr>
            </w:pPr>
            <w:r>
              <w:rPr>
                <w:rFonts w:hint="eastAsia" w:ascii="宋体" w:hAnsi="宋体" w:cs="宋体"/>
                <w:bCs/>
                <w:color w:val="000000"/>
                <w:highlight w:val="none"/>
              </w:rPr>
              <w:t xml:space="preserve">累计限额（万元/年）</w:t>
            </w:r>
            <w:r>
              <w:rPr>
                <w:rFonts w:ascii="宋体" w:hAnsi="宋体" w:cs="宋体"/>
                <w:color w:val="000000"/>
                <w:sz w:val="24"/>
                <w:szCs w:val="24"/>
                <w:highlight w:val="none"/>
              </w:rPr>
            </w:r>
            <w:r/>
          </w:p>
        </w:tc>
      </w:tr>
      <w:tr>
        <w:trPr>
          <w:trHeight w:val="315"/>
        </w:trPr>
        <w:tc>
          <w:tcPr>
            <w:gridSpan w:val="5"/>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pStyle w:val="1074"/>
              <w:jc w:val="center"/>
              <w:widowControl/>
              <w:rPr>
                <w:rFonts w:hint="eastAsia" w:ascii="宋体" w:hAnsi="宋体" w:cs="宋体"/>
                <w:color w:val="000000"/>
                <w:highlight w:val="none"/>
              </w:rPr>
            </w:pPr>
            <w:r>
              <w:rPr>
                <w:rFonts w:hint="eastAsia" w:ascii="宋体" w:hAnsi="宋体" w:cs="宋体"/>
                <w:bCs/>
                <w:color w:val="000000"/>
                <w:highlight w:val="none"/>
              </w:rPr>
              <w:t xml:space="preserve">医疗机构医责险附加医疗机构场所责任保险限额</w:t>
            </w:r>
            <w:r>
              <w:rPr>
                <w:rFonts w:hint="eastAsia" w:ascii="宋体" w:hAnsi="宋体" w:cs="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pStyle w:val="1074"/>
              <w:jc w:val="center"/>
              <w:widowControl/>
              <w:rPr>
                <w:rFonts w:ascii="宋体" w:hAnsi="宋体" w:eastAsia="宋体" w:cs="宋体"/>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40</w:t>
            </w:r>
            <w:r>
              <w:rPr>
                <w:rFonts w:ascii="宋体" w:hAnsi="宋体" w:eastAsia="宋体" w:cs="宋体"/>
                <w:color w:val="000000"/>
                <w:sz w:val="21"/>
                <w:szCs w:val="21"/>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pStyle w:val="1074"/>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200</w:t>
            </w:r>
            <w:r>
              <w:rPr>
                <w:rFonts w:ascii="宋体" w:hAnsi="宋体" w:eastAsia="宋体" w:cs="宋体"/>
                <w:color w:val="000000"/>
                <w:sz w:val="21"/>
                <w:szCs w:val="21"/>
                <w:highlight w:val="none"/>
                <w:lang w:val="en-US" w:eastAsia="zh-CN"/>
              </w:rPr>
            </w:r>
            <w:r/>
          </w:p>
        </w:tc>
      </w:tr>
      <w:tr>
        <w:trPr>
          <w:trHeight w:val="315"/>
        </w:trPr>
        <w:tc>
          <w:tcPr>
            <w:gridSpan w:val="5"/>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pStyle w:val="1074"/>
              <w:jc w:val="center"/>
              <w:widowControl/>
              <w:rPr>
                <w:rFonts w:hint="eastAsia" w:ascii="宋体" w:hAnsi="宋体" w:cs="宋体"/>
                <w:color w:val="000000"/>
                <w:highlight w:val="none"/>
              </w:rPr>
            </w:pPr>
            <w:r>
              <w:rPr>
                <w:rFonts w:hint="eastAsia" w:ascii="宋体" w:hAnsi="宋体" w:cs="宋体"/>
                <w:bCs/>
                <w:color w:val="000000"/>
                <w:highlight w:val="none"/>
              </w:rPr>
              <w:t xml:space="preserve">医疗机构医责险附加医务人员遭受伤害责任保险死亡伤残限额</w:t>
            </w:r>
            <w:r>
              <w:rPr>
                <w:rFonts w:hint="eastAsia" w:ascii="宋体" w:hAnsi="宋体" w:cs="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pStyle w:val="1074"/>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50</w:t>
            </w:r>
            <w:r>
              <w:rPr>
                <w:rFonts w:ascii="宋体" w:hAnsi="宋体" w:eastAsia="宋体" w:cs="宋体"/>
                <w:color w:val="000000"/>
                <w:sz w:val="21"/>
                <w:szCs w:val="21"/>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3041" w:type="dxa"/>
            <w:vAlign w:val="center"/>
            <w:textDirection w:val="lrTb"/>
            <w:noWrap/>
          </w:tcPr>
          <w:p>
            <w:pPr>
              <w:pStyle w:val="1074"/>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500</w:t>
            </w:r>
            <w:r>
              <w:rPr>
                <w:rFonts w:ascii="宋体" w:hAnsi="宋体" w:eastAsia="宋体" w:cs="宋体"/>
                <w:color w:val="000000"/>
                <w:sz w:val="21"/>
                <w:szCs w:val="21"/>
                <w:highlight w:val="none"/>
                <w:lang w:val="en-US" w:eastAsia="zh-CN"/>
              </w:rPr>
            </w:r>
            <w:r/>
          </w:p>
        </w:tc>
      </w:tr>
    </w:tbl>
    <w:p>
      <w:pPr>
        <w:pStyle w:val="1305"/>
        <w:ind w:left="0"/>
        <w:jc w:val="center"/>
        <w:spacing w:line="360" w:lineRule="auto"/>
        <w:rPr>
          <w:rFonts w:hint="eastAsia" w:eastAsia="黑体"/>
          <w:color w:val="000000"/>
          <w:highlight w:val="none"/>
          <w:lang w:eastAsia="zh-CN"/>
        </w:rPr>
        <w:outlineLvl w:val="1"/>
      </w:pPr>
      <w:r>
        <w:rPr>
          <w:rFonts w:hint="eastAsia" w:ascii="黑体" w:hAnsi="黑体" w:eastAsia="黑体"/>
          <w:b/>
          <w:i/>
          <w:color w:val="000000"/>
          <w:sz w:val="32"/>
          <w:szCs w:val="32"/>
          <w:highlight w:val="none"/>
          <w:u w:val="single"/>
          <w:lang w:eastAsia="zh-CN"/>
        </w:rPr>
        <w:t xml:space="preserve">（</w:t>
      </w:r>
      <w:r>
        <w:rPr>
          <w:rFonts w:hint="eastAsia" w:ascii="黑体" w:hAnsi="黑体" w:eastAsia="黑体"/>
          <w:b/>
          <w:i/>
          <w:color w:val="000000"/>
          <w:sz w:val="32"/>
          <w:szCs w:val="32"/>
          <w:highlight w:val="none"/>
          <w:u w:val="single"/>
          <w:lang w:val="en-US" w:eastAsia="zh-CN"/>
        </w:rPr>
        <w:t xml:space="preserve">二</w:t>
      </w:r>
      <w:r>
        <w:rPr>
          <w:rFonts w:hint="eastAsia" w:ascii="黑体" w:hAnsi="黑体" w:eastAsia="黑体"/>
          <w:b/>
          <w:i/>
          <w:color w:val="000000"/>
          <w:sz w:val="32"/>
          <w:szCs w:val="32"/>
          <w:highlight w:val="none"/>
          <w:u w:val="single"/>
          <w:lang w:eastAsia="zh-CN"/>
        </w:rPr>
        <w:t xml:space="preserve">）</w:t>
      </w:r>
      <w:r>
        <w:rPr>
          <w:rFonts w:hint="eastAsia" w:ascii="黑体" w:hAnsi="黑体" w:eastAsia="黑体"/>
          <w:b/>
          <w:i/>
          <w:color w:val="000000"/>
          <w:sz w:val="32"/>
          <w:szCs w:val="32"/>
          <w:highlight w:val="none"/>
          <w:u w:val="single"/>
          <w:lang w:val="en-US" w:eastAsia="zh-CN"/>
        </w:rPr>
        <w:t xml:space="preserve">投标</w:t>
      </w:r>
      <w:r>
        <w:rPr>
          <w:rFonts w:hint="eastAsia" w:ascii="黑体" w:hAnsi="黑体" w:eastAsia="黑体"/>
          <w:b/>
          <w:i/>
          <w:color w:val="000000"/>
          <w:sz w:val="32"/>
          <w:szCs w:val="32"/>
          <w:highlight w:val="none"/>
          <w:u w:val="single"/>
          <w:lang w:eastAsia="zh-CN"/>
        </w:rPr>
        <w:t xml:space="preserve">分项报价表汇总</w:t>
      </w:r>
      <w:r>
        <w:rPr>
          <w:rFonts w:hint="eastAsia" w:eastAsia="黑体"/>
          <w:color w:val="000000"/>
          <w:highlight w:val="none"/>
          <w:lang w:eastAsia="zh-CN"/>
        </w:rPr>
      </w:r>
      <w:r/>
    </w:p>
    <w:tbl>
      <w:tblPr>
        <w:tblW w:w="499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862"/>
        <w:gridCol w:w="5329"/>
        <w:gridCol w:w="2090"/>
      </w:tblGrid>
      <w:tr>
        <w:trPr>
          <w:trHeight w:val="1340"/>
        </w:trPr>
        <w:tc>
          <w:tcPr>
            <w:tcBorders>
              <w:top w:val="single" w:color="000000" w:sz="4" w:space="0"/>
              <w:left w:val="single" w:color="000000" w:sz="4" w:space="0"/>
              <w:bottom w:val="single" w:color="000000" w:sz="4" w:space="0"/>
              <w:right w:val="single" w:color="000000" w:sz="4" w:space="0"/>
            </w:tcBorders>
            <w:tcW w:w="1862" w:type="dxa"/>
            <w:vAlign w:val="center"/>
            <w:textDirection w:val="lrTb"/>
            <w:noWrap/>
          </w:tcPr>
          <w:p>
            <w:pPr>
              <w:pStyle w:val="1074"/>
              <w:jc w:val="center"/>
              <w:widowControl/>
              <w:rPr>
                <w:b/>
                <w:bCs/>
                <w:color w:val="000000"/>
                <w:highlight w:val="none"/>
              </w:rPr>
            </w:pPr>
            <w:r>
              <w:rPr>
                <w:b/>
                <w:bCs/>
                <w:color w:val="000000"/>
                <w:highlight w:val="none"/>
                <w:lang w:bidi="ar"/>
              </w:rPr>
              <w:t xml:space="preserve">医疗机构名称</w:t>
            </w:r>
            <w:r>
              <w:rPr>
                <w:b/>
                <w:bCs/>
                <w:color w:val="000000"/>
                <w:highlight w:val="none"/>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val="false"/>
          </w:tcPr>
          <w:p>
            <w:pPr>
              <w:pStyle w:val="1074"/>
              <w:jc w:val="center"/>
              <w:widowControl/>
              <w:rPr>
                <w:rFonts w:hint="eastAsia" w:eastAsia="宋体"/>
                <w:b/>
                <w:bCs/>
                <w:color w:val="000000"/>
                <w:highlight w:val="none"/>
                <w:lang w:val="en-US" w:eastAsia="zh-CN"/>
              </w:rPr>
            </w:pPr>
            <w:r>
              <w:rPr>
                <w:b/>
                <w:bCs/>
                <w:color w:val="000000"/>
                <w:highlight w:val="none"/>
                <w:lang w:bidi="ar"/>
              </w:rPr>
              <w:t xml:space="preserve">医疗机构报价=财产综合险保费+机器设备损坏险保费+医疗责任险报价（元）</w:t>
            </w:r>
            <w:r>
              <w:rPr>
                <w:rFonts w:hint="eastAsia" w:eastAsia="宋体"/>
                <w:b/>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pStyle w:val="1074"/>
              <w:jc w:val="center"/>
              <w:widowControl/>
              <w:rPr>
                <w:b/>
                <w:bCs/>
                <w:color w:val="000000"/>
                <w:highlight w:val="none"/>
                <w:lang w:bidi="ar"/>
              </w:rPr>
            </w:pPr>
            <w:r>
              <w:rPr>
                <w:rFonts w:hint="eastAsia" w:ascii="宋体" w:hAnsi="宋体" w:cs="宋体"/>
                <w:b/>
                <w:bCs/>
                <w:color w:val="000000"/>
                <w:highlight w:val="none"/>
                <w:lang w:bidi="ar"/>
              </w:rPr>
              <w:t xml:space="preserve">医疗机构预算</w:t>
            </w:r>
            <w:r>
              <w:rPr>
                <w:b/>
                <w:bCs/>
                <w:color w:val="000000"/>
                <w:highlight w:val="none"/>
                <w:lang w:bidi="ar"/>
              </w:rPr>
              <w:t xml:space="preserve">/</w:t>
            </w:r>
            <w:r>
              <w:rPr>
                <w:rFonts w:hint="eastAsia" w:ascii="宋体" w:hAnsi="宋体" w:cs="宋体"/>
                <w:b/>
                <w:bCs/>
                <w:color w:val="000000"/>
                <w:highlight w:val="none"/>
                <w:lang w:bidi="ar"/>
              </w:rPr>
              <w:t xml:space="preserve">最高限价（</w:t>
            </w:r>
            <w:r>
              <w:rPr>
                <w:rFonts w:hint="eastAsia" w:ascii="宋体" w:hAnsi="宋体" w:cs="宋体"/>
                <w:b/>
                <w:bCs/>
                <w:color w:val="000000"/>
                <w:highlight w:val="none"/>
                <w:lang w:val="en-US" w:eastAsia="zh-CN" w:bidi="ar"/>
              </w:rPr>
              <w:t xml:space="preserve">元</w:t>
            </w:r>
            <w:r>
              <w:rPr>
                <w:rFonts w:hint="eastAsia" w:ascii="宋体" w:hAnsi="宋体" w:cs="宋体"/>
                <w:b/>
                <w:bCs/>
                <w:color w:val="000000"/>
                <w:highlight w:val="none"/>
                <w:lang w:bidi="ar"/>
              </w:rPr>
              <w:t xml:space="preserve">）</w:t>
            </w:r>
            <w:r>
              <w:rPr>
                <w:b/>
                <w:bCs/>
                <w:color w:val="000000"/>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1862" w:type="dxa"/>
            <w:vAlign w:val="center"/>
            <w:textDirection w:val="lrTb"/>
            <w:noWrap w:val="false"/>
          </w:tcPr>
          <w:p>
            <w:pPr>
              <w:pStyle w:val="1074"/>
              <w:widowControl/>
              <w:rPr>
                <w:rFonts w:hint="eastAsia" w:eastAsia="宋体"/>
                <w:color w:val="000000"/>
                <w:highlight w:val="none"/>
                <w:lang w:eastAsia="zh-CN"/>
              </w:rPr>
            </w:pPr>
            <w:r>
              <w:rPr>
                <w:rFonts w:hint="eastAsia"/>
                <w:color w:val="000000"/>
                <w:highlight w:val="none"/>
                <w:lang w:eastAsia="zh-CN" w:bidi="ar"/>
              </w:rPr>
              <w:t xml:space="preserve">常州市</w:t>
            </w:r>
            <w:r>
              <w:rPr>
                <w:rFonts w:hint="eastAsia"/>
                <w:color w:val="000000"/>
                <w:highlight w:val="none"/>
                <w:lang w:val="en-US" w:eastAsia="zh-CN" w:bidi="ar"/>
              </w:rPr>
              <w:t xml:space="preserve">肿瘤</w:t>
            </w:r>
            <w:r>
              <w:rPr>
                <w:rFonts w:hint="eastAsia"/>
                <w:color w:val="000000"/>
                <w:highlight w:val="none"/>
                <w:lang w:eastAsia="zh-CN" w:bidi="ar"/>
              </w:rPr>
              <w:t xml:space="preserve">医院</w:t>
            </w:r>
            <w:r>
              <w:rPr>
                <w:rFonts w:hint="eastAsia" w:eastAsia="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5329" w:type="dxa"/>
            <w:vAlign w:val="center"/>
            <w:textDirection w:val="lrTb"/>
            <w:noWrap w:val="false"/>
          </w:tcPr>
          <w:p>
            <w:pPr>
              <w:pStyle w:val="1074"/>
              <w:jc w:val="center"/>
              <w:widowControl/>
              <w:rPr>
                <w:rFonts w:eastAsia="宋体"/>
                <w:color w:val="000000"/>
                <w:highlight w:val="none"/>
                <w:lang w:val="en-US" w:eastAsia="zh-CN"/>
              </w:rPr>
            </w:pPr>
            <w:r>
              <w:rPr>
                <w:rFonts w:eastAsia="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pStyle w:val="1074"/>
              <w:jc w:val="center"/>
              <w:widowControl/>
              <w:rPr>
                <w:rFonts w:eastAsia="宋体"/>
                <w:color w:val="000000"/>
                <w:highlight w:val="none"/>
                <w:lang w:val="en-US" w:eastAsia="zh-CN" w:bidi="ar"/>
              </w:rPr>
            </w:pPr>
            <w:r>
              <w:rPr>
                <w:rFonts w:hint="eastAsia" w:ascii="宋体" w:hAnsi="宋体"/>
                <w:color w:val="000000"/>
                <w:sz w:val="24"/>
                <w:szCs w:val="24"/>
                <w:highlight w:val="none"/>
                <w:lang w:val="en-US" w:eastAsia="zh-CN"/>
              </w:rPr>
              <w:t xml:space="preserve">1075787.00元</w:t>
            </w:r>
            <w:r>
              <w:rPr>
                <w:rFonts w:eastAsia="宋体"/>
                <w:color w:val="000000"/>
                <w:highlight w:val="none"/>
                <w:lang w:val="en-US" w:eastAsia="zh-CN" w:bidi="ar"/>
              </w:rPr>
            </w:r>
            <w:r/>
          </w:p>
        </w:tc>
      </w:tr>
    </w:tbl>
    <w:p>
      <w:pPr>
        <w:pStyle w:val="1305"/>
        <w:ind w:left="0"/>
        <w:spacing w:line="360" w:lineRule="auto"/>
        <w:rPr>
          <w:color w:val="000000"/>
          <w:highlight w:val="none"/>
        </w:rPr>
        <w:outlineLvl w:val="1"/>
      </w:pPr>
      <w:r>
        <w:rPr>
          <w:color w:val="000000"/>
          <w:highlight w:val="none"/>
        </w:rPr>
      </w:r>
      <w:r/>
    </w:p>
    <w:p>
      <w:pPr>
        <w:pStyle w:val="1305"/>
        <w:ind w:left="0"/>
        <w:spacing w:line="360" w:lineRule="auto"/>
        <w:rPr>
          <w:color w:val="000000"/>
          <w:highlight w:val="none"/>
        </w:rPr>
        <w:outlineLvl w:val="1"/>
      </w:pPr>
      <w:r>
        <w:rPr>
          <w:color w:val="000000"/>
          <w:highlight w:val="none"/>
        </w:rPr>
      </w:r>
      <w:r/>
    </w:p>
    <w:p>
      <w:pPr>
        <w:pStyle w:val="1074"/>
        <w:jc w:val="left"/>
        <w:rPr>
          <w:rFonts w:hint="eastAsia" w:ascii="宋体" w:hAnsi="宋体" w:cs="宋体"/>
          <w:b/>
          <w:bCs/>
          <w:color w:val="000000"/>
          <w:highlight w:val="none"/>
          <w:lang w:val="en-US" w:eastAsia="zh-CN"/>
        </w:rPr>
      </w:pPr>
      <w:r>
        <w:rPr>
          <w:rFonts w:hint="eastAsia" w:ascii="宋体" w:hAnsi="宋体" w:cs="宋体"/>
          <w:bCs/>
          <w:color w:val="000000"/>
          <w:highlight w:val="none"/>
        </w:rPr>
        <w:t xml:space="preserve">注：</w:t>
      </w:r>
      <w:r>
        <w:rPr>
          <w:rFonts w:hint="eastAsia" w:ascii="宋体" w:hAnsi="宋体" w:cs="宋体"/>
          <w:b/>
          <w:bCs/>
          <w:color w:val="000000"/>
          <w:highlight w:val="none"/>
          <w:lang w:val="en-US" w:eastAsia="zh-CN"/>
        </w:rPr>
        <w:t xml:space="preserve">1.医疗责任险保费最高限价90万元；</w:t>
      </w:r>
      <w:r>
        <w:rPr>
          <w:rFonts w:hint="eastAsia" w:ascii="宋体" w:hAnsi="宋体" w:cs="宋体"/>
          <w:b/>
          <w:bCs/>
          <w:color w:val="000000"/>
          <w:highlight w:val="none"/>
          <w:lang w:val="en-US" w:eastAsia="zh-CN"/>
        </w:rPr>
      </w:r>
      <w:r/>
    </w:p>
    <w:p>
      <w:pPr>
        <w:pStyle w:val="1074"/>
        <w:ind w:firstLine="422"/>
        <w:jc w:val="left"/>
        <w:rPr>
          <w:rFonts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财产险、机损险保费最高限价=医疗机构保费最高限价-医疗责任险保费最高限价。</w:t>
      </w:r>
      <w:r>
        <w:rPr>
          <w:rFonts w:ascii="宋体" w:hAnsi="宋体" w:cs="宋体"/>
          <w:b/>
          <w:bCs/>
          <w:color w:val="000000"/>
          <w:highlight w:val="none"/>
          <w:lang w:val="en-US" w:eastAsia="zh-CN"/>
        </w:rPr>
      </w:r>
      <w:r/>
    </w:p>
    <w:p>
      <w:pPr>
        <w:pStyle w:val="1074"/>
        <w:ind w:firstLine="422"/>
        <w:jc w:val="left"/>
        <w:rPr>
          <w:rFonts w:ascii="宋体" w:hAnsi="宋体" w:cs="宋体"/>
          <w:b/>
          <w:bCs/>
          <w:i/>
          <w:iCs/>
          <w:color w:val="000000"/>
          <w:highlight w:val="none"/>
        </w:rPr>
      </w:pPr>
      <w:r>
        <w:rPr>
          <w:rFonts w:hint="eastAsia" w:ascii="宋体" w:hAnsi="宋体" w:cs="宋体"/>
          <w:b/>
          <w:bCs/>
          <w:color w:val="000000"/>
          <w:highlight w:val="none"/>
          <w:lang w:val="en-US" w:eastAsia="zh-CN"/>
        </w:rPr>
        <w:t xml:space="preserve">2</w:t>
      </w:r>
      <w:r>
        <w:rPr>
          <w:rFonts w:ascii="宋体" w:hAnsi="宋体" w:cs="宋体"/>
          <w:b/>
          <w:bCs/>
          <w:color w:val="000000"/>
          <w:highlight w:val="none"/>
        </w:rPr>
        <w:t xml:space="preserve">.</w:t>
      </w:r>
      <w:r>
        <w:rPr>
          <w:rFonts w:hint="eastAsia" w:ascii="宋体" w:hAnsi="宋体" w:cs="宋体"/>
          <w:b/>
          <w:bCs/>
          <w:color w:val="000000"/>
          <w:highlight w:val="none"/>
        </w:rPr>
        <w:t xml:space="preserve">投标人报价不得超过医疗机构最高限价，超过最高限价的报价视为无效投标。</w:t>
      </w:r>
      <w:r>
        <w:rPr>
          <w:rFonts w:ascii="宋体" w:hAnsi="宋体" w:cs="宋体"/>
          <w:b/>
          <w:bCs/>
          <w:i/>
          <w:iCs/>
          <w:color w:val="000000"/>
          <w:highlight w:val="none"/>
        </w:rPr>
      </w:r>
      <w:r/>
    </w:p>
    <w:p>
      <w:pPr>
        <w:pStyle w:val="1074"/>
        <w:ind w:left="420"/>
        <w:jc w:val="left"/>
        <w:rPr>
          <w:rFonts w:ascii="宋体" w:hAnsi="宋体" w:cs="宋体"/>
          <w:b/>
          <w:bCs/>
          <w:color w:val="000000"/>
          <w:highlight w:val="none"/>
        </w:rPr>
      </w:pPr>
      <w:r>
        <w:rPr>
          <w:rFonts w:hint="eastAsia" w:ascii="宋体" w:hAnsi="宋体" w:cs="宋体"/>
          <w:b/>
          <w:bCs/>
          <w:color w:val="000000"/>
          <w:highlight w:val="none"/>
          <w:lang w:val="en-US" w:eastAsia="zh-CN"/>
        </w:rPr>
        <w:t xml:space="preserve">3</w:t>
      </w:r>
      <w:r>
        <w:rPr>
          <w:rFonts w:hint="eastAsia" w:ascii="宋体" w:hAnsi="宋体" w:cs="宋体"/>
          <w:b/>
          <w:bCs/>
          <w:color w:val="000000"/>
          <w:highlight w:val="none"/>
        </w:rPr>
        <w:t xml:space="preserve">.分项报价表三（附加承诺保障）的保费由报价表二予以涵盖。</w:t>
      </w:r>
      <w:r>
        <w:rPr>
          <w:rFonts w:ascii="宋体" w:hAnsi="宋体" w:cs="宋体"/>
          <w:b/>
          <w:bCs/>
          <w:color w:val="000000"/>
          <w:highlight w:val="none"/>
        </w:rPr>
      </w:r>
      <w:r/>
    </w:p>
    <w:p>
      <w:pPr>
        <w:pStyle w:val="1074"/>
        <w:ind w:firstLine="422"/>
        <w:rPr>
          <w:rFonts w:ascii="宋体" w:hAnsi="宋体"/>
          <w:b/>
          <w:bCs/>
          <w:color w:val="000000"/>
          <w:sz w:val="36"/>
          <w:szCs w:val="36"/>
          <w:highlight w:val="none"/>
        </w:rPr>
      </w:pPr>
      <w:r>
        <w:rPr>
          <w:rFonts w:hint="eastAsia" w:ascii="宋体" w:hAnsi="宋体" w:cs="宋体"/>
          <w:b/>
          <w:bCs/>
          <w:color w:val="000000"/>
          <w:highlight w:val="none"/>
          <w:lang w:val="en-US" w:eastAsia="zh-CN"/>
        </w:rPr>
        <w:t xml:space="preserve">4</w:t>
      </w:r>
      <w:r>
        <w:rPr>
          <w:rFonts w:ascii="宋体" w:hAnsi="宋体" w:cs="宋体"/>
          <w:b/>
          <w:bCs/>
          <w:color w:val="000000"/>
          <w:highlight w:val="none"/>
        </w:rPr>
        <w:t xml:space="preserve">.投标总价</w:t>
      </w:r>
      <w:r>
        <w:rPr>
          <w:rFonts w:hint="eastAsia" w:ascii="宋体" w:hAnsi="宋体" w:cs="宋体"/>
          <w:b/>
          <w:bCs/>
          <w:color w:val="000000"/>
          <w:highlight w:val="none"/>
        </w:rPr>
        <w:t xml:space="preserve">=</w:t>
      </w:r>
      <w:r>
        <w:rPr>
          <w:rFonts w:ascii="宋体" w:hAnsi="宋体" w:cs="宋体"/>
          <w:b/>
          <w:bCs/>
          <w:color w:val="000000"/>
          <w:highlight w:val="none"/>
        </w:rPr>
        <w:t xml:space="preserve">分项报价表一+分项报价表二</w:t>
      </w:r>
      <w:r>
        <w:rPr>
          <w:rFonts w:hint="eastAsia" w:ascii="宋体" w:hAnsi="宋体" w:cs="宋体"/>
          <w:b/>
          <w:bCs/>
          <w:color w:val="000000"/>
          <w:highlight w:val="none"/>
        </w:rPr>
        <w:t xml:space="preserve">。</w:t>
      </w:r>
      <w:r>
        <w:rPr>
          <w:rFonts w:ascii="宋体" w:hAnsi="宋体"/>
          <w:b/>
          <w:bCs/>
          <w:color w:val="000000"/>
          <w:sz w:val="36"/>
          <w:szCs w:val="36"/>
          <w:highlight w:val="none"/>
        </w:rPr>
      </w:r>
      <w:r/>
    </w:p>
    <w:p>
      <w:pPr>
        <w:pStyle w:val="1074"/>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74"/>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74"/>
        <w:jc w:val="left"/>
        <w:spacing w:line="360" w:lineRule="auto"/>
        <w:rPr>
          <w:rFonts w:ascii="宋体" w:hAnsi="宋体" w:cs="宋体"/>
          <w:bCs/>
          <w:color w:val="000000"/>
          <w:highlight w:val="none"/>
        </w:rPr>
      </w:pPr>
      <w:r>
        <w:rPr>
          <w:rFonts w:hint="eastAsia" w:ascii="宋体" w:hAnsi="宋体" w:cs="宋体"/>
          <w:bCs/>
          <w:color w:val="000000"/>
          <w:sz w:val="24"/>
          <w:highlight w:val="none"/>
        </w:rPr>
        <w:t xml:space="preserve">我司承诺：若中标严格按照本招标文件设置的保额进行承保。</w:t>
      </w:r>
      <w:r>
        <w:rPr>
          <w:rFonts w:ascii="宋体" w:hAnsi="宋体" w:cs="宋体"/>
          <w:bCs/>
          <w:color w:val="00000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line="360" w:lineRule="auto"/>
        <w:rPr>
          <w:rFonts w:ascii="宋体" w:hAnsi="宋体"/>
          <w:color w:val="000000"/>
          <w:highlight w:val="none"/>
          <w:u w:val="single"/>
        </w:rPr>
      </w:pPr>
      <w:r>
        <w:rPr>
          <w:rFonts w:ascii="宋体" w:hAnsi="宋体"/>
          <w:color w:val="000000"/>
          <w:sz w:val="24"/>
          <w:szCs w:val="20"/>
          <w:highlight w:val="none"/>
        </w:rPr>
        <w:t xml:space="preserve">日期：_____年______月______日</w:t>
      </w:r>
      <w:r>
        <w:rPr>
          <w:rFonts w:ascii="宋体" w:hAnsi="宋体"/>
          <w:color w:val="000000"/>
          <w:highlight w:val="none"/>
          <w:u w:val="single"/>
        </w:rPr>
      </w:r>
      <w:r/>
    </w:p>
    <w:p>
      <w:pPr>
        <w:pStyle w:val="1074"/>
        <w:spacing w:line="360" w:lineRule="auto"/>
        <w:rPr>
          <w:rFonts w:ascii="宋体" w:hAnsi="宋体"/>
          <w:b/>
          <w:color w:val="000000"/>
          <w:sz w:val="24"/>
          <w:szCs w:val="20"/>
          <w:highlight w:val="none"/>
        </w:rPr>
        <w:outlineLvl w:val="2"/>
      </w:pPr>
      <w:r>
        <w:rPr>
          <w:rFonts w:hint="eastAsia" w:ascii="宋体" w:hAnsi="宋体"/>
          <w:color w:val="000000"/>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4"/>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4"/>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4"/>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bl>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4"/>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4"/>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4"/>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bl>
    <w:p>
      <w:pPr>
        <w:pStyle w:val="1074"/>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4"/>
        <w:rPr>
          <w:rFonts w:ascii="宋体" w:hAnsi="宋体"/>
          <w:color w:val="000000"/>
          <w:sz w:val="24"/>
          <w:szCs w:val="20"/>
          <w:highlight w:val="none"/>
        </w:rPr>
      </w:pPr>
      <w:r>
        <w:rPr>
          <w:rFonts w:ascii="宋体" w:hAnsi="宋体"/>
          <w:color w:val="000000"/>
          <w:sz w:val="24"/>
          <w:szCs w:val="2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4"/>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4"/>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9"/>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4"/>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4"/>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4"/>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4"/>
        <w:jc w:val="center"/>
        <w:spacing w:before="240" w:after="240" w:line="360" w:lineRule="auto"/>
        <w:rPr>
          <w:rFonts w:ascii="宋体" w:hAnsi="宋体"/>
          <w:b/>
          <w:bCs/>
          <w:color w:val="000000"/>
          <w:sz w:val="36"/>
          <w:szCs w:val="36"/>
          <w:highlight w:val="none"/>
        </w:rPr>
      </w:pPr>
      <w:r>
        <w:rPr>
          <w:rFonts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1074"/>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highlight w:val="none"/>
        </w:rPr>
      </w:r>
      <w:r/>
    </w:p>
    <w:p>
      <w:pPr>
        <w:pStyle w:val="1074"/>
        <w:numPr>
          <w:ilvl w:val="0"/>
          <w:numId w:val="16"/>
        </w:numPr>
        <w:ind w:left="284" w:right="236" w:firstLine="576"/>
        <w:jc w:val="left"/>
        <w:spacing w:line="360" w:lineRule="auto"/>
        <w:tabs>
          <w:tab w:val="left" w:pos="1276" w:leader="none"/>
          <w:tab w:val="left" w:pos="5005" w:leader="none"/>
          <w:tab w:val="left" w:pos="722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"_bookmark1"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4"/>
        <w:numPr>
          <w:ilvl w:val="0"/>
          <w:numId w:val="16"/>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4"/>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4"/>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4"/>
        <w:ind w:firstLine="504"/>
        <w:spacing w:line="360" w:lineRule="auto"/>
        <w:rPr>
          <w:rFonts w:ascii="宋体" w:hAnsi="宋体"/>
          <w:color w:val="000000"/>
          <w:spacing w:val="6"/>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74"/>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4"/>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4"/>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4"/>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4"/>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4"/>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4"/>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4"/>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4"/>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4"/>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4"/>
        <w:jc w:val="center"/>
        <w:spacing w:line="560" w:lineRule="exact"/>
        <w:rPr>
          <w:rFonts w:ascii="黑体" w:hAnsi="黑体" w:eastAsia="黑体"/>
          <w:b/>
          <w:color w:val="000000"/>
          <w:sz w:val="32"/>
          <w:szCs w:val="32"/>
          <w:highlight w:val="none"/>
        </w:rPr>
      </w:pPr>
      <w:r>
        <w:rPr>
          <w:rFonts w:ascii="宋体" w:hAnsi="宋体"/>
          <w:color w:val="000000"/>
          <w:sz w:val="24"/>
          <w:szCs w:val="20"/>
          <w:highlight w:val="none"/>
        </w:rPr>
        <w:br w:type="page" w:clear="all"/>
      </w:r>
      <w:r>
        <w:rPr>
          <w:rFonts w:hint="eastAsia" w:ascii="黑体" w:hAnsi="黑体" w:eastAsia="黑体"/>
          <w:b/>
          <w:color w:val="000000"/>
          <w:sz w:val="32"/>
          <w:szCs w:val="32"/>
          <w:highlight w:val="none"/>
        </w:rPr>
        <w:t xml:space="preserve">联合体协议（参考格式）</w:t>
      </w:r>
      <w:r>
        <w:rPr>
          <w:rFonts w:ascii="黑体" w:hAnsi="黑体" w:eastAsia="黑体"/>
          <w:b/>
          <w:color w:val="000000"/>
          <w:sz w:val="32"/>
          <w:szCs w:val="32"/>
          <w:highlight w:val="none"/>
        </w:rPr>
      </w:r>
      <w:r/>
    </w:p>
    <w:p>
      <w:pPr>
        <w:pStyle w:val="1074"/>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1074"/>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1"/>
          <w:highlight w:val="none"/>
          <w:u w:val="single"/>
          <w:lang w:val="en-US" w:eastAsia="zh-CN"/>
        </w:rPr>
        <w:t xml:space="preserve">       （采购人）</w:t>
      </w:r>
      <w:r>
        <w:rPr>
          <w:rFonts w:hint="eastAsia" w:ascii="宋体" w:hAnsi="宋体"/>
          <w:color w:val="000000"/>
          <w:sz w:val="24"/>
          <w:szCs w:val="21"/>
          <w:highlight w:val="none"/>
        </w:rPr>
        <w:t xml:space="preserve">组织实施的采购编号为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项目的采购活动，我联合体指定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为牵头单位（牵头单位必须为联合体成员）进行投标，并按照招标文件的规定提交资格文件。</w:t>
      </w:r>
      <w:r>
        <w:rPr>
          <w:rFonts w:ascii="宋体" w:hAnsi="宋体"/>
          <w:color w:val="000000"/>
          <w:sz w:val="24"/>
          <w:szCs w:val="21"/>
          <w:highlight w:val="none"/>
        </w:rPr>
      </w:r>
      <w:r/>
    </w:p>
    <w:p>
      <w:pPr>
        <w:pStyle w:val="1074"/>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在本次投标过程中，牵头单位的法定代表人（负责人）或授权代理人根据采购文件规定及投标内容而对采购人和采购代理机构所做的任何合法承诺，包括书面澄清及响应等均对联合投标各方产生约束力。如果中标并签订合同，则联合投标各方将共同履行对采购人或采购代理机构所负有的全部义务，并就采购合同约定的事项对采购人承担连带责任。</w:t>
      </w:r>
      <w:r>
        <w:rPr>
          <w:rFonts w:hint="eastAsia" w:ascii="宋体" w:hAnsi="宋体"/>
          <w:color w:val="000000"/>
          <w:sz w:val="24"/>
          <w:szCs w:val="21"/>
          <w:highlight w:val="none"/>
        </w:rPr>
      </w:r>
      <w:r/>
    </w:p>
    <w:p>
      <w:pPr>
        <w:pStyle w:val="1074"/>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3、在本次联合投标中，若我们联合中标、成交，牵头单位（供应商单位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全称）承担的工作和义务为：投标、承保、保全、理赔等保险服务；其他各方（供应商单位2等全称）承担的工作和义务为：配合牵头单位完成投标、承保、保全、理赔等保险服务工作。</w:t>
      </w:r>
      <w:r>
        <w:rPr>
          <w:rFonts w:ascii="宋体" w:hAnsi="宋体"/>
          <w:color w:val="000000"/>
          <w:sz w:val="24"/>
          <w:szCs w:val="21"/>
          <w:highlight w:val="none"/>
        </w:rPr>
      </w:r>
      <w:r/>
    </w:p>
    <w:p>
      <w:pPr>
        <w:pStyle w:val="1074"/>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4、牵头单位（供应商单位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全称）承保份额：         ；其他方（供应商单位2全称）承保份额：        ；其他方（供应商单位3全称）承保份额：   ......</w:t>
      </w:r>
      <w:r>
        <w:rPr>
          <w:rFonts w:ascii="宋体" w:hAnsi="宋体"/>
          <w:color w:val="000000"/>
          <w:sz w:val="24"/>
          <w:szCs w:val="21"/>
          <w:highlight w:val="none"/>
        </w:rPr>
      </w:r>
      <w:r/>
    </w:p>
    <w:p>
      <w:pPr>
        <w:pStyle w:val="1074"/>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5、本协议提交采购人后，联合投标各方不得以任何形式对上述实质内容进行修改或撤销。</w:t>
      </w:r>
      <w:r>
        <w:rPr>
          <w:rFonts w:hint="eastAsia" w:ascii="宋体" w:hAnsi="宋体"/>
          <w:color w:val="000000"/>
          <w:sz w:val="24"/>
          <w:szCs w:val="21"/>
          <w:highlight w:val="none"/>
        </w:rPr>
      </w:r>
      <w:r/>
    </w:p>
    <w:p>
      <w:pPr>
        <w:pStyle w:val="1074"/>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6、本协议一式</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份，签约各方各执一份，交采购代理机构、采购人各一份。</w:t>
      </w:r>
      <w:r>
        <w:rPr>
          <w:rFonts w:ascii="宋体" w:hAnsi="宋体"/>
          <w:color w:val="000000"/>
          <w:sz w:val="24"/>
          <w:szCs w:val="21"/>
          <w:highlight w:val="none"/>
        </w:rPr>
      </w:r>
      <w:r/>
    </w:p>
    <w:p>
      <w:pPr>
        <w:pStyle w:val="1074"/>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1074"/>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hint="eastAsia" w:ascii="宋体" w:hAnsi="宋体"/>
          <w:color w:val="000000"/>
          <w:sz w:val="24"/>
          <w:szCs w:val="21"/>
          <w:highlight w:val="none"/>
        </w:rPr>
      </w:r>
      <w:r/>
    </w:p>
    <w:p>
      <w:pPr>
        <w:pStyle w:val="1074"/>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1074"/>
        <w:ind w:firstLine="645"/>
        <w:spacing w:line="560" w:lineRule="exact"/>
        <w:rPr>
          <w:color w:val="000000"/>
          <w:sz w:val="24"/>
          <w:szCs w:val="20"/>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color w:val="000000"/>
          <w:sz w:val="24"/>
          <w:szCs w:val="20"/>
          <w:highlight w:val="none"/>
        </w:rPr>
      </w:r>
      <w:r/>
    </w:p>
    <w:p>
      <w:pPr>
        <w:pStyle w:val="1074"/>
        <w:spacing w:line="360" w:lineRule="auto"/>
        <w:rPr>
          <w:rFonts w:ascii="宋体" w:hAnsi="宋体"/>
          <w:color w:val="000000"/>
          <w:sz w:val="24"/>
          <w:szCs w:val="20"/>
          <w:highlight w:val="none"/>
        </w:rPr>
        <w:outlineLvl w:val="2"/>
      </w:pP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5"/>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5"/>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8"/>
          <w:rFonts w:hint="eastAsia" w:ascii="方正魏碑_GBK" w:hAnsi="方正魏碑_GBK" w:eastAsia="方正魏碑_GBK" w:cs="方正魏碑_GBK"/>
          <w:color w:val="000000"/>
          <w:highlight w:val="none"/>
          <w:u w:val="single"/>
          <w:shd w:val="clear" w:color="auto" w:fill="ffffff"/>
        </w:rPr>
        <w:t xml:space="preserve">（产品名称1）</w:t>
      </w:r>
      <w:r>
        <w:rPr>
          <w:rStyle w:val="1148"/>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8"/>
          <w:rFonts w:hint="eastAsia" w:ascii="方正魏碑_GBK" w:hAnsi="方正魏碑_GBK" w:eastAsia="方正魏碑_GBK" w:cs="方正魏碑_GBK"/>
          <w:color w:val="000000"/>
          <w:highlight w:val="none"/>
          <w:u w:val="single"/>
          <w:shd w:val="clear" w:color="auto" w:fill="ffffff"/>
        </w:rPr>
        <w:t xml:space="preserve">（厂名）</w:t>
      </w:r>
      <w:r>
        <w:rPr>
          <w:rStyle w:val="1148"/>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8"/>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8"/>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8"/>
          <w:rFonts w:hint="eastAsia" w:ascii="方正魏碑_GBK" w:hAnsi="方正魏碑_GBK" w:eastAsia="方正魏碑_GBK" w:cs="方正魏碑_GBK"/>
          <w:color w:val="000000"/>
          <w:highlight w:val="none"/>
          <w:u w:val="single"/>
          <w:shd w:val="clear" w:color="auto" w:fill="ffffff"/>
        </w:rPr>
        <w:t xml:space="preserve">（规定</w:t>
      </w:r>
      <w:r>
        <w:rPr>
          <w:rStyle w:val="1148"/>
          <w:rFonts w:ascii="方正魏碑_GBK" w:hAnsi="方正魏碑_GBK" w:eastAsia="方正魏碑_GBK" w:cs="方正魏碑_GBK"/>
          <w:color w:val="000000"/>
          <w:highlight w:val="none"/>
          <w:u w:val="single"/>
          <w:shd w:val="clear" w:color="auto" w:fill="ffffff"/>
        </w:rPr>
        <w:t xml:space="preserve">比例</w:t>
      </w:r>
      <w:r>
        <w:rPr>
          <w:rStyle w:val="1148"/>
          <w:rFonts w:hint="eastAsia" w:ascii="方正魏碑_GBK" w:hAnsi="方正魏碑_GBK" w:eastAsia="方正魏碑_GBK" w:cs="方正魏碑_GBK"/>
          <w:color w:val="000000"/>
          <w:highlight w:val="none"/>
          <w:u w:val="single"/>
          <w:shd w:val="clear" w:color="auto" w:fill="ffffff"/>
        </w:rPr>
        <w:t xml:space="preserve">）</w:t>
      </w:r>
      <w:r>
        <w:rPr>
          <w:rStyle w:val="1148"/>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8"/>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8"/>
          <w:rFonts w:hint="eastAsia" w:ascii="方正魏碑_GBK" w:hAnsi="方正魏碑_GBK" w:eastAsia="方正魏碑_GBK" w:cs="方正魏碑_GBK"/>
          <w:color w:val="000000"/>
          <w:highlight w:val="none"/>
          <w:u w:val="single"/>
          <w:shd w:val="clear" w:color="auto" w:fill="ffffff"/>
        </w:rPr>
        <w:t xml:space="preserve">（关键</w:t>
      </w:r>
      <w:r>
        <w:rPr>
          <w:rStyle w:val="1148"/>
          <w:rFonts w:ascii="方正魏碑_GBK" w:hAnsi="方正魏碑_GBK" w:eastAsia="方正魏碑_GBK" w:cs="方正魏碑_GBK"/>
          <w:color w:val="000000"/>
          <w:highlight w:val="none"/>
          <w:u w:val="single"/>
          <w:shd w:val="clear" w:color="auto" w:fill="ffffff"/>
        </w:rPr>
        <w:t xml:space="preserve">组件</w:t>
      </w:r>
      <w:r>
        <w:rPr>
          <w:rStyle w:val="1148"/>
          <w:rFonts w:hint="eastAsia" w:ascii="方正魏碑_GBK" w:hAnsi="方正魏碑_GBK" w:eastAsia="方正魏碑_GBK" w:cs="方正魏碑_GBK"/>
          <w:color w:val="000000"/>
          <w:highlight w:val="none"/>
          <w:u w:val="single"/>
          <w:shd w:val="clear" w:color="auto" w:fill="ffffff"/>
        </w:rPr>
        <w:t xml:space="preserve">）</w:t>
      </w:r>
      <w:r>
        <w:rPr>
          <w:rStyle w:val="1148"/>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8"/>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8"/>
          <w:rFonts w:hint="eastAsia" w:ascii="方正魏碑_GBK" w:hAnsi="方正魏碑_GBK" w:eastAsia="方正魏碑_GBK" w:cs="方正魏碑_GBK"/>
          <w:color w:val="000000"/>
          <w:highlight w:val="none"/>
          <w:u w:val="single"/>
          <w:shd w:val="clear" w:color="auto" w:fill="ffffff"/>
        </w:rPr>
        <w:t xml:space="preserve">（关键工序）</w:t>
      </w:r>
      <w:r>
        <w:rPr>
          <w:rStyle w:val="1148"/>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8"/>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8"/>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8"/>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8"/>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8"/>
          <w:rFonts w:hint="eastAsia" w:ascii="方正魏碑_GBK" w:hAnsi="方正魏碑_GBK" w:eastAsia="方正魏碑_GBK" w:cs="方正魏碑_GBK"/>
          <w:color w:val="000000"/>
          <w:highlight w:val="none"/>
          <w:u w:val="single"/>
          <w:shd w:val="clear" w:color="auto" w:fill="ffffff"/>
        </w:rPr>
        <w:t xml:space="preserve">（规定</w:t>
      </w:r>
      <w:r>
        <w:rPr>
          <w:rStyle w:val="1148"/>
          <w:rFonts w:ascii="方正魏碑_GBK" w:hAnsi="方正魏碑_GBK" w:eastAsia="方正魏碑_GBK" w:cs="方正魏碑_GBK"/>
          <w:color w:val="000000"/>
          <w:highlight w:val="none"/>
          <w:u w:val="single"/>
          <w:shd w:val="clear" w:color="auto" w:fill="ffffff"/>
        </w:rPr>
        <w:t xml:space="preserve">比例</w:t>
      </w:r>
      <w:r>
        <w:rPr>
          <w:rStyle w:val="1148"/>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8"/>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8"/>
          <w:rFonts w:hint="eastAsia" w:ascii="方正魏碑_GBK" w:hAnsi="方正魏碑_GBK" w:eastAsia="方正魏碑_GBK" w:cs="方正魏碑_GBK"/>
          <w:color w:val="000000"/>
          <w:highlight w:val="none"/>
          <w:u w:val="single"/>
          <w:shd w:val="clear" w:color="auto" w:fill="ffffff"/>
        </w:rPr>
        <w:t xml:space="preserve">（关键</w:t>
      </w:r>
      <w:r>
        <w:rPr>
          <w:rStyle w:val="1148"/>
          <w:rFonts w:ascii="方正魏碑_GBK" w:hAnsi="方正魏碑_GBK" w:eastAsia="方正魏碑_GBK" w:cs="方正魏碑_GBK"/>
          <w:color w:val="000000"/>
          <w:highlight w:val="none"/>
          <w:u w:val="single"/>
          <w:shd w:val="clear" w:color="auto" w:fill="ffffff"/>
        </w:rPr>
        <w:t xml:space="preserve">组件</w:t>
      </w:r>
      <w:r>
        <w:rPr>
          <w:rStyle w:val="1148"/>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8"/>
          <w:rFonts w:hint="eastAsia" w:ascii="方正魏碑_GBK" w:hAnsi="方正魏碑_GBK" w:eastAsia="方正魏碑_GBK" w:cs="方正魏碑_GBK"/>
          <w:color w:val="000000"/>
          <w:highlight w:val="none"/>
          <w:u w:val="single"/>
          <w:shd w:val="clear" w:color="auto" w:fill="ffffff"/>
        </w:rPr>
        <w:t xml:space="preserve">（产品名称</w:t>
      </w:r>
      <w:r>
        <w:rPr>
          <w:rStyle w:val="1148"/>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48"/>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48"/>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5"/>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5"/>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5"/>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5"/>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4"/>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4"/>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4"/>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4"/>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4"/>
        <w:spacing w:line="360" w:lineRule="auto"/>
        <w:rPr>
          <w:rFonts w:ascii="宋体" w:hAnsi="宋体"/>
          <w:color w:val="000000"/>
          <w:sz w:val="22"/>
          <w:highlight w:val="none"/>
        </w:rPr>
      </w:pPr>
      <w:r>
        <w:rPr>
          <w:rFonts w:ascii="宋体" w:hAnsi="宋体"/>
          <w:color w:val="000000"/>
          <w:sz w:val="22"/>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4"/>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4"/>
        <w:spacing w:line="360" w:lineRule="auto"/>
        <w:rPr>
          <w:rFonts w:ascii="宋体" w:hAnsi="宋体"/>
          <w:color w:val="000000"/>
          <w:sz w:val="24"/>
          <w:highlight w:val="none"/>
        </w:rPr>
      </w:pPr>
      <w:r>
        <w:rPr>
          <w:rFonts w:ascii="宋体" w:hAnsi="宋体"/>
          <w:color w:val="000000"/>
          <w:sz w:val="24"/>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6" w:name="_Toc288738839"/>
      <w:r/>
      <w:bookmarkStart w:id="917" w:name="_Toc288738397"/>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4"/>
        <w:rPr>
          <w:rFonts w:ascii="宋体" w:hAnsi="宋体"/>
          <w:color w:val="000000"/>
          <w:sz w:val="24"/>
          <w:szCs w:val="20"/>
          <w:highlight w:val="none"/>
        </w:rPr>
      </w:pPr>
      <w:r>
        <w:rPr>
          <w:rFonts w:ascii="宋体" w:hAnsi="宋体"/>
          <w:color w:val="000000"/>
          <w:sz w:val="24"/>
          <w:szCs w:val="20"/>
          <w:highlight w:val="none"/>
        </w:rPr>
      </w:r>
      <w:r/>
    </w:p>
    <w:p>
      <w:pPr>
        <w:pStyle w:val="1074"/>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6"/>
      <w:r/>
      <w:bookmarkEnd w:id="917"/>
      <w:r>
        <w:rPr>
          <w:rFonts w:ascii="宋体" w:hAnsi="宋体"/>
          <w:b/>
          <w:color w:val="000000"/>
          <w:sz w:val="32"/>
          <w:szCs w:val="32"/>
          <w:highlight w:val="none"/>
        </w:rPr>
      </w:r>
      <w:r/>
    </w:p>
    <w:p>
      <w:pPr>
        <w:pStyle w:val="107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4"/>
        <w:spacing w:line="360" w:lineRule="auto"/>
        <w:rPr>
          <w:rFonts w:ascii="宋体" w:hAnsi="宋体" w:cs="宋体"/>
          <w:color w:val="000000"/>
          <w:sz w:val="24"/>
          <w:highlight w:val="none"/>
        </w:rPr>
      </w:pPr>
      <w:r>
        <w:rPr>
          <w:rFonts w:ascii="宋体" w:hAnsi="宋体" w:cs="宋体"/>
          <w:color w:val="000000"/>
          <w:sz w:val="24"/>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14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4"/>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right="360"/>
      <w:tabs>
        <w:tab w:val="center" w:pos="4153" w:leader="none"/>
        <w:tab w:val="right" w:pos="8306" w:leader="none"/>
      </w:tabs>
      <w:rPr>
        <w:rStyle w:val="1146"/>
      </w:rPr>
      <w:framePr w:wrap="around" w:vAnchor="text" w:hAnchor="margin" w:y="1"/>
    </w:pPr>
    <w:r>
      <w:rPr>
        <w:rStyle w:val="1146"/>
      </w:rPr>
    </w:r>
    <w:r/>
  </w:p>
  <w:p>
    <w:pPr>
      <w:pStyle w:val="1122"/>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center" w:y="1"/>
    </w:pPr>
    <w:r>
      <w:fldChar w:fldCharType="begin"/>
    </w:r>
    <w:r>
      <w:rPr>
        <w:rStyle w:val="1146"/>
      </w:rPr>
      <w:instrText xml:space="preserve">PAGE  </w:instrText>
    </w:r>
    <w:r>
      <w:fldChar w:fldCharType="end"/>
    </w:r>
    <w:r>
      <w:rPr>
        <w:rStyle w:val="1146"/>
      </w:rPr>
    </w:r>
    <w:r/>
  </w:p>
  <w:p>
    <w:pPr>
      <w:pStyle w:val="112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r>
    <w:r/>
  </w:p>
  <w:p>
    <w:pPr>
      <w:pStyle w:val="1122"/>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p>
    <w:pPr>
      <w:pStyle w:val="10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p>
    <w:pPr>
      <w:pStyle w:val="1074"/>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4"/>
        <w:ind w:left="4941" w:hanging="1140"/>
        <w:tabs>
          <w:tab w:val="num" w:pos="4941" w:leader="none"/>
        </w:tabs>
      </w:pPr>
      <w:rPr>
        <w:rFonts w:hint="eastAsia"/>
      </w:rPr>
    </w:lvl>
    <w:lvl w:ilvl="1">
      <w:start w:val="1"/>
      <w:numFmt w:val="lowerLetter"/>
      <w:isLgl w:val="false"/>
      <w:suff w:val="tab"/>
      <w:lvlText w:val="%2)"/>
      <w:lvlJc w:val="left"/>
      <w:pPr>
        <w:pStyle w:val="1074"/>
        <w:ind w:left="4641" w:hanging="420"/>
        <w:tabs>
          <w:tab w:val="num" w:pos="4641" w:leader="none"/>
        </w:tabs>
      </w:pPr>
    </w:lvl>
    <w:lvl w:ilvl="2">
      <w:start w:val="1"/>
      <w:numFmt w:val="lowerRoman"/>
      <w:isLgl w:val="false"/>
      <w:suff w:val="tab"/>
      <w:lvlText w:val="%3."/>
      <w:lvlJc w:val="right"/>
      <w:pPr>
        <w:pStyle w:val="1074"/>
        <w:ind w:left="5061" w:hanging="420"/>
        <w:tabs>
          <w:tab w:val="num" w:pos="5061" w:leader="none"/>
        </w:tabs>
      </w:pPr>
    </w:lvl>
    <w:lvl w:ilvl="3">
      <w:start w:val="1"/>
      <w:numFmt w:val="decimal"/>
      <w:isLgl w:val="false"/>
      <w:suff w:val="tab"/>
      <w:lvlText w:val="%4."/>
      <w:lvlJc w:val="left"/>
      <w:pPr>
        <w:pStyle w:val="1074"/>
        <w:ind w:left="5481" w:hanging="420"/>
        <w:tabs>
          <w:tab w:val="num" w:pos="5481" w:leader="none"/>
        </w:tabs>
      </w:pPr>
    </w:lvl>
    <w:lvl w:ilvl="4">
      <w:start w:val="1"/>
      <w:numFmt w:val="lowerLetter"/>
      <w:isLgl w:val="false"/>
      <w:suff w:val="tab"/>
      <w:lvlText w:val="%5)"/>
      <w:lvlJc w:val="left"/>
      <w:pPr>
        <w:pStyle w:val="1074"/>
        <w:ind w:left="5901" w:hanging="420"/>
        <w:tabs>
          <w:tab w:val="num" w:pos="5901" w:leader="none"/>
        </w:tabs>
      </w:pPr>
    </w:lvl>
    <w:lvl w:ilvl="5">
      <w:start w:val="1"/>
      <w:numFmt w:val="lowerRoman"/>
      <w:isLgl w:val="false"/>
      <w:suff w:val="tab"/>
      <w:lvlText w:val="%6."/>
      <w:lvlJc w:val="right"/>
      <w:pPr>
        <w:pStyle w:val="1074"/>
        <w:ind w:left="6321" w:hanging="420"/>
        <w:tabs>
          <w:tab w:val="num" w:pos="6321" w:leader="none"/>
        </w:tabs>
      </w:pPr>
    </w:lvl>
    <w:lvl w:ilvl="6">
      <w:start w:val="1"/>
      <w:numFmt w:val="decimal"/>
      <w:isLgl w:val="false"/>
      <w:suff w:val="tab"/>
      <w:lvlText w:val="%7."/>
      <w:lvlJc w:val="left"/>
      <w:pPr>
        <w:pStyle w:val="1074"/>
        <w:ind w:left="6741" w:hanging="420"/>
        <w:tabs>
          <w:tab w:val="num" w:pos="6741" w:leader="none"/>
        </w:tabs>
      </w:pPr>
    </w:lvl>
    <w:lvl w:ilvl="7">
      <w:start w:val="1"/>
      <w:numFmt w:val="lowerLetter"/>
      <w:isLgl w:val="false"/>
      <w:suff w:val="tab"/>
      <w:lvlText w:val="%8)"/>
      <w:lvlJc w:val="left"/>
      <w:pPr>
        <w:pStyle w:val="1074"/>
        <w:ind w:left="7161" w:hanging="420"/>
        <w:tabs>
          <w:tab w:val="num" w:pos="7161" w:leader="none"/>
        </w:tabs>
      </w:pPr>
    </w:lvl>
    <w:lvl w:ilvl="8">
      <w:start w:val="1"/>
      <w:numFmt w:val="lowerRoman"/>
      <w:isLgl w:val="false"/>
      <w:suff w:val="tab"/>
      <w:lvlText w:val="%9."/>
      <w:lvlJc w:val="right"/>
      <w:pPr>
        <w:pStyle w:val="1074"/>
        <w:ind w:left="7581" w:hanging="420"/>
        <w:tabs>
          <w:tab w:val="num" w:pos="7581" w:leader="none"/>
        </w:tabs>
      </w:pPr>
    </w:lvl>
  </w:abstractNum>
  <w:abstractNum w:abstractNumId="2">
    <w:multiLevelType w:val="hybridMultilevel"/>
    <w:lvl w:ilvl="0">
      <w:start w:val="1"/>
      <w:numFmt w:val="decimal"/>
      <w:pStyle w:val="1182"/>
      <w:isLgl w:val="false"/>
      <w:suff w:val="tab"/>
      <w:lvlText w:val="%1."/>
      <w:lvlJc w:val="left"/>
      <w:pPr>
        <w:pStyle w:val="1074"/>
        <w:ind w:left="420" w:hanging="420"/>
      </w:pPr>
    </w:lvl>
    <w:lvl w:ilvl="1">
      <w:start w:val="1"/>
      <w:numFmt w:val="decimal"/>
      <w:isLgl w:val="false"/>
      <w:suff w:val="tab"/>
      <w:lvlText w:val="（%2）"/>
      <w:lvlJc w:val="left"/>
      <w:pPr>
        <w:pStyle w:val="1074"/>
        <w:ind w:left="1140" w:hanging="720"/>
        <w:tabs>
          <w:tab w:val="num" w:pos="1140" w:leader="none"/>
        </w:tabs>
      </w:pPr>
      <w:rPr>
        <w:rFonts w:hint="eastAsia"/>
      </w:r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3">
    <w:multiLevelType w:val="hybridMultilevel"/>
    <w:lvl w:ilvl="0">
      <w:start w:val="1"/>
      <w:numFmt w:val="lowerLetter"/>
      <w:pStyle w:val="1257"/>
      <w:isLgl w:val="false"/>
      <w:suff w:val="tab"/>
      <w:lvlText w:val="%1)"/>
      <w:lvlJc w:val="left"/>
      <w:pPr>
        <w:pStyle w:val="1074"/>
        <w:ind w:left="902" w:hanging="420"/>
      </w:pPr>
      <w:rPr>
        <w:color w:val="000000"/>
      </w:rPr>
    </w:lvl>
    <w:lvl w:ilvl="1">
      <w:start w:val="1"/>
      <w:numFmt w:val="lowerLetter"/>
      <w:isLgl w:val="false"/>
      <w:suff w:val="tab"/>
      <w:lvlText w:val="%2)"/>
      <w:lvlJc w:val="left"/>
      <w:pPr>
        <w:pStyle w:val="1074"/>
        <w:ind w:left="1322" w:hanging="420"/>
      </w:pPr>
    </w:lvl>
    <w:lvl w:ilvl="2">
      <w:start w:val="1"/>
      <w:numFmt w:val="lowerRoman"/>
      <w:isLgl w:val="false"/>
      <w:suff w:val="tab"/>
      <w:lvlText w:val="%3."/>
      <w:lvlJc w:val="right"/>
      <w:pPr>
        <w:pStyle w:val="1074"/>
        <w:ind w:left="1742" w:hanging="420"/>
      </w:pPr>
    </w:lvl>
    <w:lvl w:ilvl="3">
      <w:start w:val="1"/>
      <w:numFmt w:val="decimal"/>
      <w:isLgl w:val="false"/>
      <w:suff w:val="tab"/>
      <w:lvlText w:val="%4."/>
      <w:lvlJc w:val="left"/>
      <w:pPr>
        <w:pStyle w:val="1074"/>
        <w:ind w:left="2162" w:hanging="420"/>
      </w:pPr>
    </w:lvl>
    <w:lvl w:ilvl="4">
      <w:start w:val="1"/>
      <w:numFmt w:val="lowerLetter"/>
      <w:isLgl w:val="false"/>
      <w:suff w:val="tab"/>
      <w:lvlText w:val="%5)"/>
      <w:lvlJc w:val="left"/>
      <w:pPr>
        <w:pStyle w:val="1074"/>
        <w:ind w:left="2582" w:hanging="420"/>
      </w:pPr>
    </w:lvl>
    <w:lvl w:ilvl="5">
      <w:start w:val="1"/>
      <w:numFmt w:val="lowerRoman"/>
      <w:isLgl w:val="false"/>
      <w:suff w:val="tab"/>
      <w:lvlText w:val="%6."/>
      <w:lvlJc w:val="right"/>
      <w:pPr>
        <w:pStyle w:val="1074"/>
        <w:ind w:left="3002" w:hanging="420"/>
      </w:pPr>
    </w:lvl>
    <w:lvl w:ilvl="6">
      <w:start w:val="1"/>
      <w:numFmt w:val="decimal"/>
      <w:isLgl w:val="false"/>
      <w:suff w:val="tab"/>
      <w:lvlText w:val="%7."/>
      <w:lvlJc w:val="left"/>
      <w:pPr>
        <w:pStyle w:val="1074"/>
        <w:ind w:left="3422" w:hanging="420"/>
      </w:pPr>
    </w:lvl>
    <w:lvl w:ilvl="7">
      <w:start w:val="1"/>
      <w:numFmt w:val="lowerLetter"/>
      <w:isLgl w:val="false"/>
      <w:suff w:val="tab"/>
      <w:lvlText w:val="%8)"/>
      <w:lvlJc w:val="left"/>
      <w:pPr>
        <w:pStyle w:val="1074"/>
        <w:ind w:left="3842" w:hanging="420"/>
      </w:pPr>
    </w:lvl>
    <w:lvl w:ilvl="8">
      <w:start w:val="1"/>
      <w:numFmt w:val="lowerRoman"/>
      <w:isLgl w:val="false"/>
      <w:suff w:val="tab"/>
      <w:lvlText w:val="%9."/>
      <w:lvlJc w:val="right"/>
      <w:pPr>
        <w:pStyle w:val="1074"/>
        <w:ind w:left="4262" w:hanging="420"/>
      </w:pPr>
    </w:lvl>
  </w:abstractNum>
  <w:abstractNum w:abstractNumId="4">
    <w:multiLevelType w:val="hybridMultilevel"/>
    <w:lvl w:ilvl="0">
      <w:start w:val="1"/>
      <w:numFmt w:val="decimal"/>
      <w:pStyle w:val="1227"/>
      <w:isLgl w:val="false"/>
      <w:suff w:val="tab"/>
      <w:lvlText w:val="%1."/>
      <w:lvlJc w:val="left"/>
      <w:pPr>
        <w:pStyle w:val="107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6"/>
      <w:isLgl w:val="false"/>
      <w:suff w:val="nothing"/>
      <w:lvlText w:val="%1　"/>
      <w:lvlJc w:val="left"/>
      <w:pPr>
        <w:pStyle w:val="107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4"/>
        <w:ind w:left="-25" w:firstLine="0"/>
      </w:pPr>
      <w:rPr>
        <w:rFonts w:ascii="Times New Roman" w:hAnsi="Times New Roman" w:eastAsia="黑体"/>
        <w:b/>
        <w:i w:val="0"/>
        <w:sz w:val="28"/>
      </w:rPr>
    </w:lvl>
    <w:lvl w:ilvl="3">
      <w:start w:val="1"/>
      <w:numFmt w:val="decimal"/>
      <w:pStyle w:val="1212"/>
      <w:isLgl w:val="false"/>
      <w:suff w:val="nothing"/>
      <w:lvlText w:val="%1.%2.%3.%4　"/>
      <w:lvlJc w:val="left"/>
      <w:pPr>
        <w:pStyle w:val="107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4"/>
        <w:ind w:left="-25" w:firstLine="0"/>
      </w:pPr>
      <w:rPr>
        <w:rFonts w:ascii="Times New Roman" w:hAnsi="Times New Roman" w:eastAsia="宋体"/>
        <w:b/>
        <w:i w:val="0"/>
        <w:sz w:val="28"/>
      </w:rPr>
    </w:lvl>
    <w:lvl w:ilvl="6">
      <w:start w:val="1"/>
      <w:numFmt w:val="lowerLetter"/>
      <w:pStyle w:val="1233"/>
      <w:isLgl w:val="false"/>
      <w:suff w:val="tab"/>
      <w:lvlText w:val="%7) "/>
      <w:lvlJc w:val="left"/>
      <w:pPr>
        <w:pStyle w:val="1074"/>
        <w:ind w:left="-125" w:firstLine="400"/>
        <w:tabs>
          <w:tab w:val="num" w:pos="635" w:leader="none"/>
        </w:tabs>
      </w:pPr>
      <w:rPr>
        <w:rFonts w:ascii="Times New Roman" w:hAnsi="Times New Roman" w:eastAsia="宋体"/>
        <w:b/>
        <w:i w:val="0"/>
        <w:color w:val="000000"/>
        <w:sz w:val="28"/>
        <w:u w:val="none"/>
      </w:rPr>
    </w:lvl>
    <w:lvl w:ilvl="7">
      <w:start w:val="1"/>
      <w:numFmt w:val="decimal"/>
      <w:pStyle w:val="1196"/>
      <w:isLgl w:val="false"/>
      <w:suff w:val="tab"/>
      <w:lvlText w:val="%8) "/>
      <w:lvlJc w:val="left"/>
      <w:pPr>
        <w:pStyle w:val="107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4"/>
        <w:ind w:left="768" w:hanging="360"/>
        <w:tabs>
          <w:tab w:val="num" w:pos="768" w:leader="none"/>
        </w:tabs>
      </w:pPr>
      <w:rPr>
        <w:rFonts w:hint="eastAsia"/>
      </w:rPr>
    </w:lvl>
    <w:lvl w:ilvl="1">
      <w:start w:val="1"/>
      <w:numFmt w:val="decimal"/>
      <w:pStyle w:val="1214"/>
      <w:isLgl w:val="false"/>
      <w:suff w:val="tab"/>
      <w:lvlText w:val="%2、"/>
      <w:lvlJc w:val="left"/>
      <w:pPr>
        <w:pStyle w:val="1074"/>
        <w:ind w:left="1188" w:hanging="360"/>
        <w:tabs>
          <w:tab w:val="num" w:pos="1188" w:leader="none"/>
        </w:tabs>
      </w:pPr>
      <w:rPr>
        <w:rFonts w:hint="eastAsia"/>
      </w:rPr>
    </w:lvl>
    <w:lvl w:ilvl="2">
      <w:start w:val="1"/>
      <w:numFmt w:val="decimal"/>
      <w:isLgl w:val="false"/>
      <w:suff w:val="tab"/>
      <w:lvlText w:val="（%3）"/>
      <w:lvlJc w:val="left"/>
      <w:pPr>
        <w:pStyle w:val="1074"/>
        <w:ind w:left="1968" w:hanging="720"/>
        <w:tabs>
          <w:tab w:val="num" w:pos="1968" w:leader="none"/>
        </w:tabs>
      </w:pPr>
      <w:rPr>
        <w:rFonts w:hint="eastAsia"/>
        <w:u w:val="none"/>
      </w:rPr>
    </w:lvl>
    <w:lvl w:ilvl="3">
      <w:start w:val="1"/>
      <w:numFmt w:val="decimal"/>
      <w:isLgl w:val="false"/>
      <w:suff w:val="tab"/>
      <w:lvlText w:val="%4."/>
      <w:lvlJc w:val="left"/>
      <w:pPr>
        <w:pStyle w:val="1074"/>
        <w:ind w:left="2088" w:hanging="420"/>
        <w:tabs>
          <w:tab w:val="num" w:pos="2088" w:leader="none"/>
        </w:tabs>
      </w:pPr>
    </w:lvl>
    <w:lvl w:ilvl="4">
      <w:start w:val="1"/>
      <w:numFmt w:val="lowerLetter"/>
      <w:isLgl w:val="false"/>
      <w:suff w:val="tab"/>
      <w:lvlText w:val="%5)"/>
      <w:lvlJc w:val="left"/>
      <w:pPr>
        <w:pStyle w:val="1074"/>
        <w:ind w:left="2508" w:hanging="420"/>
        <w:tabs>
          <w:tab w:val="num" w:pos="2508" w:leader="none"/>
        </w:tabs>
      </w:pPr>
    </w:lvl>
    <w:lvl w:ilvl="5">
      <w:start w:val="1"/>
      <w:numFmt w:val="lowerRoman"/>
      <w:isLgl w:val="false"/>
      <w:suff w:val="tab"/>
      <w:lvlText w:val="%6."/>
      <w:lvlJc w:val="right"/>
      <w:pPr>
        <w:pStyle w:val="1074"/>
        <w:ind w:left="2928" w:hanging="420"/>
        <w:tabs>
          <w:tab w:val="num" w:pos="2928" w:leader="none"/>
        </w:tabs>
      </w:pPr>
    </w:lvl>
    <w:lvl w:ilvl="6">
      <w:start w:val="1"/>
      <w:numFmt w:val="decimal"/>
      <w:isLgl w:val="false"/>
      <w:suff w:val="tab"/>
      <w:lvlText w:val="%7."/>
      <w:lvlJc w:val="left"/>
      <w:pPr>
        <w:pStyle w:val="1074"/>
        <w:ind w:left="3348" w:hanging="420"/>
        <w:tabs>
          <w:tab w:val="num" w:pos="3348" w:leader="none"/>
        </w:tabs>
      </w:pPr>
    </w:lvl>
    <w:lvl w:ilvl="7">
      <w:start w:val="1"/>
      <w:numFmt w:val="lowerLetter"/>
      <w:isLgl w:val="false"/>
      <w:suff w:val="tab"/>
      <w:lvlText w:val="%8)"/>
      <w:lvlJc w:val="left"/>
      <w:pPr>
        <w:pStyle w:val="1074"/>
        <w:ind w:left="3768" w:hanging="420"/>
        <w:tabs>
          <w:tab w:val="num" w:pos="3768" w:leader="none"/>
        </w:tabs>
      </w:pPr>
    </w:lvl>
    <w:lvl w:ilvl="8">
      <w:start w:val="1"/>
      <w:numFmt w:val="lowerRoman"/>
      <w:isLgl w:val="false"/>
      <w:suff w:val="tab"/>
      <w:lvlText w:val="%9."/>
      <w:lvlJc w:val="right"/>
      <w:pPr>
        <w:pStyle w:val="1074"/>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4"/>
        <w:ind w:left="900" w:hanging="900"/>
        <w:tabs>
          <w:tab w:val="num" w:pos="900" w:leader="none"/>
        </w:tabs>
      </w:pPr>
      <w:rPr>
        <w:rFonts w:hint="eastAsia"/>
        <w:b/>
      </w:rPr>
    </w:lvl>
    <w:lvl w:ilvl="1">
      <w:start w:val="1"/>
      <w:numFmt w:val="decimal"/>
      <w:isLgl w:val="false"/>
      <w:suff w:val="tab"/>
      <w:lvlText w:val="%1.%2"/>
      <w:lvlJc w:val="left"/>
      <w:pPr>
        <w:pStyle w:val="107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4"/>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8">
    <w:multiLevelType w:val="hybridMultilevel"/>
    <w:lvl w:ilvl="0">
      <w:start w:val="1"/>
      <w:numFmt w:val="decimal"/>
      <w:pStyle w:val="1181"/>
      <w:isLgl w:val="false"/>
      <w:suff w:val="tab"/>
      <w:lvlText w:val="%1)"/>
      <w:lvlJc w:val="left"/>
      <w:pPr>
        <w:pStyle w:val="1074"/>
        <w:ind w:left="420" w:hanging="420"/>
      </w:pPr>
    </w:lvl>
    <w:lvl w:ilvl="1">
      <w:start w:val="1"/>
      <w:numFmt w:val="lowerLetter"/>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9">
    <w:multiLevelType w:val="hybridMultilevel"/>
    <w:lvl w:ilvl="0">
      <w:start w:val="1"/>
      <w:numFmt w:val="decimal"/>
      <w:isLgl w:val="false"/>
      <w:suff w:val="tab"/>
      <w:lvlText w:val="%1."/>
      <w:lvlJc w:val="left"/>
      <w:pPr>
        <w:pStyle w:val="1074"/>
        <w:ind w:left="1242" w:hanging="382"/>
      </w:pPr>
      <w:rPr>
        <w:rFonts w:ascii="仿宋" w:hAnsi="仿宋" w:eastAsia="仿宋" w:cs="仿宋"/>
        <w:spacing w:val="0"/>
        <w:sz w:val="32"/>
        <w:szCs w:val="32"/>
      </w:rPr>
    </w:lvl>
    <w:lvl w:ilvl="1">
      <w:start w:val="0"/>
      <w:numFmt w:val="bullet"/>
      <w:isLgl w:val="false"/>
      <w:suff w:val="tab"/>
      <w:lvlText w:val="•"/>
      <w:lvlJc w:val="left"/>
      <w:pPr>
        <w:pStyle w:val="1074"/>
        <w:ind w:left="2010" w:hanging="382"/>
      </w:pPr>
    </w:lvl>
    <w:lvl w:ilvl="2">
      <w:start w:val="0"/>
      <w:numFmt w:val="bullet"/>
      <w:isLgl w:val="false"/>
      <w:suff w:val="tab"/>
      <w:lvlText w:val="•"/>
      <w:lvlJc w:val="left"/>
      <w:pPr>
        <w:pStyle w:val="1074"/>
        <w:ind w:left="2781" w:hanging="382"/>
      </w:pPr>
    </w:lvl>
    <w:lvl w:ilvl="3">
      <w:start w:val="0"/>
      <w:numFmt w:val="bullet"/>
      <w:isLgl w:val="false"/>
      <w:suff w:val="tab"/>
      <w:lvlText w:val="•"/>
      <w:lvlJc w:val="left"/>
      <w:pPr>
        <w:pStyle w:val="1074"/>
        <w:ind w:left="3551" w:hanging="382"/>
      </w:pPr>
    </w:lvl>
    <w:lvl w:ilvl="4">
      <w:start w:val="0"/>
      <w:numFmt w:val="bullet"/>
      <w:isLgl w:val="false"/>
      <w:suff w:val="tab"/>
      <w:lvlText w:val="•"/>
      <w:lvlJc w:val="left"/>
      <w:pPr>
        <w:pStyle w:val="1074"/>
        <w:ind w:left="4322" w:hanging="382"/>
      </w:pPr>
    </w:lvl>
    <w:lvl w:ilvl="5">
      <w:start w:val="0"/>
      <w:numFmt w:val="bullet"/>
      <w:isLgl w:val="false"/>
      <w:suff w:val="tab"/>
      <w:lvlText w:val="•"/>
      <w:lvlJc w:val="left"/>
      <w:pPr>
        <w:pStyle w:val="1074"/>
        <w:ind w:left="5093" w:hanging="382"/>
      </w:pPr>
    </w:lvl>
    <w:lvl w:ilvl="6">
      <w:start w:val="0"/>
      <w:numFmt w:val="bullet"/>
      <w:isLgl w:val="false"/>
      <w:suff w:val="tab"/>
      <w:lvlText w:val="•"/>
      <w:lvlJc w:val="left"/>
      <w:pPr>
        <w:pStyle w:val="1074"/>
        <w:ind w:left="5863" w:hanging="382"/>
      </w:pPr>
    </w:lvl>
    <w:lvl w:ilvl="7">
      <w:start w:val="0"/>
      <w:numFmt w:val="bullet"/>
      <w:isLgl w:val="false"/>
      <w:suff w:val="tab"/>
      <w:lvlText w:val="•"/>
      <w:lvlJc w:val="left"/>
      <w:pPr>
        <w:pStyle w:val="1074"/>
        <w:ind w:left="6634" w:hanging="382"/>
      </w:pPr>
    </w:lvl>
    <w:lvl w:ilvl="8">
      <w:start w:val="0"/>
      <w:numFmt w:val="bullet"/>
      <w:isLgl w:val="false"/>
      <w:suff w:val="tab"/>
      <w:lvlText w:val="•"/>
      <w:lvlJc w:val="left"/>
      <w:pPr>
        <w:pStyle w:val="1074"/>
        <w:ind w:left="7404" w:hanging="382"/>
      </w:pPr>
    </w:lvl>
  </w:abstractNum>
  <w:abstractNum w:abstractNumId="10">
    <w:multiLevelType w:val="hybridMultilevel"/>
    <w:lvl w:ilvl="0">
      <w:start w:val="1"/>
      <w:numFmt w:val="decimal"/>
      <w:pStyle w:val="1282"/>
      <w:isLgl w:val="false"/>
      <w:suff w:val="tab"/>
      <w:lvlText w:val="%1"/>
      <w:lvlJc w:val="left"/>
      <w:pPr>
        <w:pStyle w:val="1074"/>
        <w:ind w:left="680" w:hanging="680"/>
      </w:pPr>
      <w:rPr>
        <w:rFonts w:hint="eastAsia" w:ascii="宋体" w:hAnsi="宋体" w:eastAsia="宋体"/>
      </w:rPr>
    </w:lvl>
    <w:lvl w:ilvl="1">
      <w:start w:val="1"/>
      <w:numFmt w:val="decimal"/>
      <w:pStyle w:val="1283"/>
      <w:isLgl w:val="false"/>
      <w:suff w:val="tab"/>
      <w:lvlText w:val="%1.%2"/>
      <w:lvlJc w:val="left"/>
      <w:pPr>
        <w:pStyle w:val="1074"/>
        <w:ind w:left="851" w:hanging="851"/>
      </w:pPr>
      <w:rPr>
        <w:rFonts w:hint="eastAsia" w:ascii="宋体" w:hAnsi="宋体" w:eastAsia="宋体"/>
        <w:color w:val="000000"/>
      </w:rPr>
    </w:lvl>
    <w:lvl w:ilvl="2">
      <w:start w:val="1"/>
      <w:numFmt w:val="decimal"/>
      <w:pStyle w:val="1284"/>
      <w:isLgl w:val="false"/>
      <w:suff w:val="tab"/>
      <w:lvlText w:val="%1.%2.%3"/>
      <w:lvlJc w:val="left"/>
      <w:pPr>
        <w:pStyle w:val="1074"/>
        <w:ind w:left="851" w:hanging="851"/>
      </w:pPr>
      <w:rPr>
        <w:rFonts w:hint="eastAsia"/>
      </w:rPr>
    </w:lvl>
    <w:lvl w:ilvl="3">
      <w:start w:val="1"/>
      <w:numFmt w:val="decimal"/>
      <w:isLgl w:val="false"/>
      <w:suff w:val="tab"/>
      <w:lvlText w:val="%1.%2.%3.%4"/>
      <w:lvlJc w:val="left"/>
      <w:pPr>
        <w:pStyle w:val="1074"/>
        <w:ind w:left="680" w:hanging="680"/>
      </w:pPr>
      <w:rPr>
        <w:rFonts w:hint="eastAsia"/>
      </w:rPr>
    </w:lvl>
    <w:lvl w:ilvl="4">
      <w:start w:val="1"/>
      <w:numFmt w:val="decimal"/>
      <w:isLgl w:val="false"/>
      <w:suff w:val="tab"/>
      <w:lvlText w:val="%1.%2.%3.%4.%5"/>
      <w:lvlJc w:val="left"/>
      <w:pPr>
        <w:pStyle w:val="1074"/>
        <w:ind w:left="680" w:hanging="680"/>
      </w:pPr>
      <w:rPr>
        <w:rFonts w:hint="eastAsia"/>
      </w:rPr>
    </w:lvl>
    <w:lvl w:ilvl="5">
      <w:start w:val="1"/>
      <w:numFmt w:val="decimal"/>
      <w:isLgl w:val="false"/>
      <w:suff w:val="tab"/>
      <w:lvlText w:val="%1.%2.%3.%4.%5.%6"/>
      <w:lvlJc w:val="left"/>
      <w:pPr>
        <w:pStyle w:val="1074"/>
        <w:ind w:left="680" w:hanging="680"/>
      </w:pPr>
      <w:rPr>
        <w:rFonts w:hint="eastAsia"/>
      </w:rPr>
    </w:lvl>
    <w:lvl w:ilvl="6">
      <w:start w:val="1"/>
      <w:numFmt w:val="decimal"/>
      <w:isLgl w:val="false"/>
      <w:suff w:val="tab"/>
      <w:lvlText w:val="%1.%2.%3.%4.%5.%6.%7"/>
      <w:lvlJc w:val="left"/>
      <w:pPr>
        <w:pStyle w:val="1074"/>
        <w:ind w:left="680" w:hanging="680"/>
      </w:pPr>
      <w:rPr>
        <w:rFonts w:hint="eastAsia"/>
      </w:rPr>
    </w:lvl>
    <w:lvl w:ilvl="7">
      <w:start w:val="1"/>
      <w:numFmt w:val="decimal"/>
      <w:isLgl w:val="false"/>
      <w:suff w:val="tab"/>
      <w:lvlText w:val="%1.%2.%3.%4.%5.%6.%7.%8"/>
      <w:lvlJc w:val="left"/>
      <w:pPr>
        <w:pStyle w:val="1074"/>
        <w:ind w:left="680" w:hanging="680"/>
      </w:pPr>
      <w:rPr>
        <w:rFonts w:hint="eastAsia"/>
      </w:rPr>
    </w:lvl>
    <w:lvl w:ilvl="8">
      <w:start w:val="1"/>
      <w:numFmt w:val="decimal"/>
      <w:isLgl w:val="false"/>
      <w:suff w:val="tab"/>
      <w:lvlText w:val="%1.%2.%3.%4.%5.%6.%7.%8.%9"/>
      <w:lvlJc w:val="left"/>
      <w:pPr>
        <w:pStyle w:val="1074"/>
        <w:ind w:left="680" w:hanging="680"/>
      </w:pPr>
      <w:rPr>
        <w:rFonts w:hint="eastAsia"/>
      </w:rPr>
    </w:lvl>
  </w:abstractNum>
  <w:abstractNum w:abstractNumId="11">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4"/>
        <w:ind w:left="420" w:hanging="420"/>
      </w:pPr>
    </w:lvl>
    <w:lvl w:ilvl="1">
      <w:start w:val="1"/>
      <w:numFmt w:val="lowerLetter"/>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15">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0"/>
  </w:num>
  <w:num w:numId="9">
    <w:abstractNumId w:val="7"/>
  </w:num>
  <w:num w:numId="10">
    <w:abstractNumId w:val="12"/>
  </w:num>
  <w:num w:numId="11">
    <w:abstractNumId w:val="1"/>
  </w:num>
  <w:num w:numId="12">
    <w:abstractNumId w:val="13"/>
  </w:num>
  <w:num w:numId="13">
    <w:abstractNumId w:val="11"/>
  </w:num>
  <w:num w:numId="14">
    <w:abstractNumId w:val="15"/>
  </w:num>
  <w:num w:numId="15">
    <w:abstractNumId w:val="1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name w:val="Heading 1"/>
    <w:basedOn w:val="1074"/>
    <w:next w:val="1074"/>
    <w:link w:val="897"/>
    <w:uiPriority w:val="9"/>
    <w:qFormat/>
    <w:pPr>
      <w:keepLines/>
      <w:keepNext/>
      <w:spacing w:before="480" w:after="200"/>
      <w:outlineLvl w:val="0"/>
    </w:pPr>
    <w:rPr>
      <w:rFonts w:ascii="Arial" w:hAnsi="Arial" w:eastAsia="Arial" w:cs="Arial"/>
      <w:sz w:val="40"/>
      <w:szCs w:val="40"/>
    </w:rPr>
  </w:style>
  <w:style w:type="character" w:styleId="897">
    <w:name w:val="Heading 1 Char"/>
    <w:link w:val="896"/>
    <w:uiPriority w:val="9"/>
    <w:rPr>
      <w:rFonts w:ascii="Arial" w:hAnsi="Arial" w:eastAsia="Arial" w:cs="Arial"/>
      <w:sz w:val="40"/>
      <w:szCs w:val="40"/>
    </w:rPr>
  </w:style>
  <w:style w:type="paragraph" w:styleId="898">
    <w:name w:val="Heading 2"/>
    <w:basedOn w:val="1074"/>
    <w:next w:val="1074"/>
    <w:link w:val="899"/>
    <w:uiPriority w:val="9"/>
    <w:unhideWhenUsed/>
    <w:qFormat/>
    <w:pPr>
      <w:keepLines/>
      <w:keepNext/>
      <w:spacing w:before="360" w:after="200"/>
      <w:outlineLvl w:val="1"/>
    </w:pPr>
    <w:rPr>
      <w:rFonts w:ascii="Arial" w:hAnsi="Arial" w:eastAsia="Arial" w:cs="Arial"/>
      <w:sz w:val="34"/>
    </w:rPr>
  </w:style>
  <w:style w:type="character" w:styleId="899">
    <w:name w:val="Heading 2 Char"/>
    <w:link w:val="898"/>
    <w:uiPriority w:val="9"/>
    <w:rPr>
      <w:rFonts w:ascii="Arial" w:hAnsi="Arial" w:eastAsia="Arial" w:cs="Arial"/>
      <w:sz w:val="34"/>
    </w:rPr>
  </w:style>
  <w:style w:type="paragraph" w:styleId="900">
    <w:name w:val="Heading 3"/>
    <w:basedOn w:val="1074"/>
    <w:next w:val="1074"/>
    <w:link w:val="901"/>
    <w:uiPriority w:val="9"/>
    <w:unhideWhenUsed/>
    <w:qFormat/>
    <w:pPr>
      <w:keepLines/>
      <w:keepNext/>
      <w:spacing w:before="320" w:after="200"/>
      <w:outlineLvl w:val="2"/>
    </w:pPr>
    <w:rPr>
      <w:rFonts w:ascii="Arial" w:hAnsi="Arial" w:eastAsia="Arial" w:cs="Arial"/>
      <w:sz w:val="30"/>
      <w:szCs w:val="30"/>
    </w:rPr>
  </w:style>
  <w:style w:type="character" w:styleId="901">
    <w:name w:val="Heading 3 Char"/>
    <w:link w:val="900"/>
    <w:uiPriority w:val="9"/>
    <w:rPr>
      <w:rFonts w:ascii="Arial" w:hAnsi="Arial" w:eastAsia="Arial" w:cs="Arial"/>
      <w:sz w:val="30"/>
      <w:szCs w:val="30"/>
    </w:rPr>
  </w:style>
  <w:style w:type="paragraph" w:styleId="902">
    <w:name w:val="Heading 4"/>
    <w:basedOn w:val="1074"/>
    <w:next w:val="1074"/>
    <w:link w:val="903"/>
    <w:uiPriority w:val="9"/>
    <w:unhideWhenUsed/>
    <w:qFormat/>
    <w:pPr>
      <w:keepLines/>
      <w:keepNext/>
      <w:spacing w:before="320" w:after="200"/>
      <w:outlineLvl w:val="3"/>
    </w:pPr>
    <w:rPr>
      <w:rFonts w:ascii="Arial" w:hAnsi="Arial" w:eastAsia="Arial" w:cs="Arial"/>
      <w:b/>
      <w:bCs/>
      <w:sz w:val="26"/>
      <w:szCs w:val="26"/>
    </w:rPr>
  </w:style>
  <w:style w:type="character" w:styleId="903">
    <w:name w:val="Heading 4 Char"/>
    <w:link w:val="902"/>
    <w:uiPriority w:val="9"/>
    <w:rPr>
      <w:rFonts w:ascii="Arial" w:hAnsi="Arial" w:eastAsia="Arial" w:cs="Arial"/>
      <w:b/>
      <w:bCs/>
      <w:sz w:val="26"/>
      <w:szCs w:val="26"/>
    </w:rPr>
  </w:style>
  <w:style w:type="paragraph" w:styleId="904">
    <w:name w:val="Heading 5"/>
    <w:basedOn w:val="1074"/>
    <w:next w:val="1074"/>
    <w:link w:val="905"/>
    <w:uiPriority w:val="9"/>
    <w:unhideWhenUsed/>
    <w:qFormat/>
    <w:pPr>
      <w:keepLines/>
      <w:keepNext/>
      <w:spacing w:before="320" w:after="200"/>
      <w:outlineLvl w:val="4"/>
    </w:pPr>
    <w:rPr>
      <w:rFonts w:ascii="Arial" w:hAnsi="Arial" w:eastAsia="Arial" w:cs="Arial"/>
      <w:b/>
      <w:bCs/>
      <w:sz w:val="24"/>
      <w:szCs w:val="24"/>
    </w:rPr>
  </w:style>
  <w:style w:type="character" w:styleId="905">
    <w:name w:val="Heading 5 Char"/>
    <w:link w:val="904"/>
    <w:uiPriority w:val="9"/>
    <w:rPr>
      <w:rFonts w:ascii="Arial" w:hAnsi="Arial" w:eastAsia="Arial" w:cs="Arial"/>
      <w:b/>
      <w:bCs/>
      <w:sz w:val="24"/>
      <w:szCs w:val="24"/>
    </w:rPr>
  </w:style>
  <w:style w:type="paragraph" w:styleId="906">
    <w:name w:val="Heading 6"/>
    <w:basedOn w:val="1074"/>
    <w:next w:val="1074"/>
    <w:link w:val="907"/>
    <w:uiPriority w:val="9"/>
    <w:unhideWhenUsed/>
    <w:qFormat/>
    <w:pPr>
      <w:keepLines/>
      <w:keepNext/>
      <w:spacing w:before="320" w:after="200"/>
      <w:outlineLvl w:val="5"/>
    </w:pPr>
    <w:rPr>
      <w:rFonts w:ascii="Arial" w:hAnsi="Arial" w:eastAsia="Arial" w:cs="Arial"/>
      <w:b/>
      <w:bCs/>
      <w:sz w:val="22"/>
      <w:szCs w:val="22"/>
    </w:rPr>
  </w:style>
  <w:style w:type="character" w:styleId="907">
    <w:name w:val="Heading 6 Char"/>
    <w:link w:val="906"/>
    <w:uiPriority w:val="9"/>
    <w:rPr>
      <w:rFonts w:ascii="Arial" w:hAnsi="Arial" w:eastAsia="Arial" w:cs="Arial"/>
      <w:b/>
      <w:bCs/>
      <w:sz w:val="22"/>
      <w:szCs w:val="22"/>
    </w:rPr>
  </w:style>
  <w:style w:type="paragraph" w:styleId="908">
    <w:name w:val="Heading 7"/>
    <w:basedOn w:val="1074"/>
    <w:next w:val="1074"/>
    <w:link w:val="909"/>
    <w:uiPriority w:val="9"/>
    <w:unhideWhenUsed/>
    <w:qFormat/>
    <w:pPr>
      <w:keepLines/>
      <w:keepNext/>
      <w:spacing w:before="320" w:after="200"/>
      <w:outlineLvl w:val="6"/>
    </w:pPr>
    <w:rPr>
      <w:rFonts w:ascii="Arial" w:hAnsi="Arial" w:eastAsia="Arial" w:cs="Arial"/>
      <w:b/>
      <w:bCs/>
      <w:i/>
      <w:iCs/>
      <w:sz w:val="22"/>
      <w:szCs w:val="22"/>
    </w:rPr>
  </w:style>
  <w:style w:type="character" w:styleId="909">
    <w:name w:val="Heading 7 Char"/>
    <w:link w:val="908"/>
    <w:uiPriority w:val="9"/>
    <w:rPr>
      <w:rFonts w:ascii="Arial" w:hAnsi="Arial" w:eastAsia="Arial" w:cs="Arial"/>
      <w:b/>
      <w:bCs/>
      <w:i/>
      <w:iCs/>
      <w:sz w:val="22"/>
      <w:szCs w:val="22"/>
    </w:rPr>
  </w:style>
  <w:style w:type="paragraph" w:styleId="910">
    <w:name w:val="Heading 8"/>
    <w:basedOn w:val="1074"/>
    <w:next w:val="1074"/>
    <w:link w:val="911"/>
    <w:uiPriority w:val="9"/>
    <w:unhideWhenUsed/>
    <w:qFormat/>
    <w:pPr>
      <w:keepLines/>
      <w:keepNext/>
      <w:spacing w:before="320" w:after="200"/>
      <w:outlineLvl w:val="7"/>
    </w:pPr>
    <w:rPr>
      <w:rFonts w:ascii="Arial" w:hAnsi="Arial" w:eastAsia="Arial" w:cs="Arial"/>
      <w:i/>
      <w:iCs/>
      <w:sz w:val="22"/>
      <w:szCs w:val="22"/>
    </w:rPr>
  </w:style>
  <w:style w:type="character" w:styleId="911">
    <w:name w:val="Heading 8 Char"/>
    <w:link w:val="910"/>
    <w:uiPriority w:val="9"/>
    <w:rPr>
      <w:rFonts w:ascii="Arial" w:hAnsi="Arial" w:eastAsia="Arial" w:cs="Arial"/>
      <w:i/>
      <w:iCs/>
      <w:sz w:val="22"/>
      <w:szCs w:val="22"/>
    </w:rPr>
  </w:style>
  <w:style w:type="paragraph" w:styleId="912">
    <w:name w:val="Heading 9"/>
    <w:basedOn w:val="1074"/>
    <w:next w:val="1074"/>
    <w:link w:val="913"/>
    <w:uiPriority w:val="9"/>
    <w:unhideWhenUsed/>
    <w:qFormat/>
    <w:pPr>
      <w:keepLines/>
      <w:keepNext/>
      <w:spacing w:before="320" w:after="200"/>
      <w:outlineLvl w:val="8"/>
    </w:pPr>
    <w:rPr>
      <w:rFonts w:ascii="Arial" w:hAnsi="Arial" w:eastAsia="Arial" w:cs="Arial"/>
      <w:i/>
      <w:iCs/>
      <w:sz w:val="21"/>
      <w:szCs w:val="21"/>
    </w:rPr>
  </w:style>
  <w:style w:type="character" w:styleId="913">
    <w:name w:val="Heading 9 Char"/>
    <w:link w:val="912"/>
    <w:uiPriority w:val="9"/>
    <w:rPr>
      <w:rFonts w:ascii="Arial" w:hAnsi="Arial" w:eastAsia="Arial" w:cs="Arial"/>
      <w:i/>
      <w:iCs/>
      <w:sz w:val="21"/>
      <w:szCs w:val="21"/>
    </w:rPr>
  </w:style>
  <w:style w:type="paragraph" w:styleId="914">
    <w:name w:val="List Paragraph"/>
    <w:basedOn w:val="1074"/>
    <w:uiPriority w:val="34"/>
    <w:qFormat/>
    <w:pPr>
      <w:contextualSpacing/>
      <w:ind w:left="720"/>
    </w:pPr>
  </w:style>
  <w:style w:type="paragraph" w:styleId="915">
    <w:name w:val="No Spacing"/>
    <w:uiPriority w:val="1"/>
    <w:qFormat/>
    <w:pPr>
      <w:spacing w:before="0" w:after="0" w:line="240" w:lineRule="auto"/>
    </w:pPr>
  </w:style>
  <w:style w:type="paragraph" w:styleId="916">
    <w:name w:val="Title"/>
    <w:basedOn w:val="1074"/>
    <w:next w:val="1074"/>
    <w:link w:val="917"/>
    <w:uiPriority w:val="10"/>
    <w:qFormat/>
    <w:pPr>
      <w:contextualSpacing/>
      <w:spacing w:before="300" w:after="200"/>
    </w:pPr>
    <w:rPr>
      <w:sz w:val="48"/>
      <w:szCs w:val="48"/>
    </w:rPr>
  </w:style>
  <w:style w:type="character" w:styleId="917">
    <w:name w:val="Title Char"/>
    <w:link w:val="916"/>
    <w:uiPriority w:val="10"/>
    <w:rPr>
      <w:sz w:val="48"/>
      <w:szCs w:val="48"/>
    </w:rPr>
  </w:style>
  <w:style w:type="paragraph" w:styleId="918">
    <w:name w:val="Subtitle"/>
    <w:basedOn w:val="1074"/>
    <w:next w:val="1074"/>
    <w:link w:val="919"/>
    <w:uiPriority w:val="11"/>
    <w:qFormat/>
    <w:pPr>
      <w:spacing w:before="200" w:after="200"/>
    </w:pPr>
    <w:rPr>
      <w:sz w:val="24"/>
      <w:szCs w:val="24"/>
    </w:rPr>
  </w:style>
  <w:style w:type="character" w:styleId="919">
    <w:name w:val="Subtitle Char"/>
    <w:link w:val="918"/>
    <w:uiPriority w:val="11"/>
    <w:rPr>
      <w:sz w:val="24"/>
      <w:szCs w:val="24"/>
    </w:rPr>
  </w:style>
  <w:style w:type="paragraph" w:styleId="920">
    <w:name w:val="Quote"/>
    <w:basedOn w:val="1074"/>
    <w:next w:val="1074"/>
    <w:link w:val="921"/>
    <w:uiPriority w:val="29"/>
    <w:qFormat/>
    <w:pPr>
      <w:ind w:left="720" w:right="720"/>
    </w:pPr>
    <w:rPr>
      <w:i/>
    </w:rPr>
  </w:style>
  <w:style w:type="character" w:styleId="921">
    <w:name w:val="Quote Char"/>
    <w:link w:val="920"/>
    <w:uiPriority w:val="29"/>
    <w:rPr>
      <w:i/>
    </w:rPr>
  </w:style>
  <w:style w:type="paragraph" w:styleId="922">
    <w:name w:val="Intense Quote"/>
    <w:basedOn w:val="1074"/>
    <w:next w:val="1074"/>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paragraph" w:styleId="924">
    <w:name w:val="Header"/>
    <w:basedOn w:val="1074"/>
    <w:link w:val="925"/>
    <w:uiPriority w:val="99"/>
    <w:unhideWhenUsed/>
    <w:pPr>
      <w:spacing w:after="0" w:line="240" w:lineRule="auto"/>
      <w:tabs>
        <w:tab w:val="center" w:pos="7143" w:leader="none"/>
        <w:tab w:val="right" w:pos="14287" w:leader="none"/>
      </w:tabs>
    </w:pPr>
  </w:style>
  <w:style w:type="character" w:styleId="925">
    <w:name w:val="Header Char"/>
    <w:link w:val="924"/>
    <w:uiPriority w:val="99"/>
  </w:style>
  <w:style w:type="paragraph" w:styleId="926">
    <w:name w:val="Footer"/>
    <w:basedOn w:val="1074"/>
    <w:link w:val="929"/>
    <w:uiPriority w:val="99"/>
    <w:unhideWhenUsed/>
    <w:pPr>
      <w:spacing w:after="0" w:line="240" w:lineRule="auto"/>
      <w:tabs>
        <w:tab w:val="center" w:pos="7143" w:leader="none"/>
        <w:tab w:val="right" w:pos="14287" w:leader="none"/>
      </w:tabs>
    </w:pPr>
  </w:style>
  <w:style w:type="character" w:styleId="927">
    <w:name w:val="Footer Char"/>
    <w:link w:val="926"/>
    <w:uiPriority w:val="99"/>
  </w:style>
  <w:style w:type="paragraph" w:styleId="928">
    <w:name w:val="Caption"/>
    <w:basedOn w:val="1074"/>
    <w:next w:val="1074"/>
    <w:uiPriority w:val="35"/>
    <w:semiHidden/>
    <w:unhideWhenUsed/>
    <w:qFormat/>
    <w:pPr>
      <w:spacing w:line="276" w:lineRule="auto"/>
    </w:pPr>
    <w:rPr>
      <w:b/>
      <w:bCs/>
      <w:color w:val="4f81bd" w:themeColor="accent1"/>
      <w:sz w:val="18"/>
      <w:szCs w:val="18"/>
    </w:rPr>
  </w:style>
  <w:style w:type="character" w:styleId="929">
    <w:name w:val="Caption Char"/>
    <w:basedOn w:val="928"/>
    <w:link w:val="926"/>
    <w:uiPriority w:val="99"/>
  </w:style>
  <w:style w:type="table" w:styleId="9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6">
    <w:name w:val="Hyperlink"/>
    <w:uiPriority w:val="99"/>
    <w:unhideWhenUsed/>
    <w:rPr>
      <w:color w:val="0000ff" w:themeColor="hyperlink"/>
      <w:u w:val="single"/>
    </w:rPr>
  </w:style>
  <w:style w:type="paragraph" w:styleId="1057">
    <w:name w:val="footnote text"/>
    <w:basedOn w:val="1074"/>
    <w:link w:val="1058"/>
    <w:uiPriority w:val="99"/>
    <w:semiHidden/>
    <w:unhideWhenUsed/>
    <w:pPr>
      <w:spacing w:after="40" w:line="240" w:lineRule="auto"/>
    </w:pPr>
    <w:rPr>
      <w:sz w:val="18"/>
    </w:rPr>
  </w:style>
  <w:style w:type="character" w:styleId="1058">
    <w:name w:val="Footnote Text Char"/>
    <w:link w:val="1057"/>
    <w:uiPriority w:val="99"/>
    <w:rPr>
      <w:sz w:val="18"/>
    </w:rPr>
  </w:style>
  <w:style w:type="character" w:styleId="1059">
    <w:name w:val="footnote reference"/>
    <w:uiPriority w:val="99"/>
    <w:unhideWhenUsed/>
    <w:rPr>
      <w:vertAlign w:val="superscript"/>
    </w:rPr>
  </w:style>
  <w:style w:type="paragraph" w:styleId="1060">
    <w:name w:val="endnote text"/>
    <w:basedOn w:val="1074"/>
    <w:link w:val="1061"/>
    <w:uiPriority w:val="99"/>
    <w:semiHidden/>
    <w:unhideWhenUsed/>
    <w:pPr>
      <w:spacing w:after="0" w:line="240" w:lineRule="auto"/>
    </w:pPr>
    <w:rPr>
      <w:sz w:val="20"/>
    </w:rPr>
  </w:style>
  <w:style w:type="character" w:styleId="1061">
    <w:name w:val="Endnote Text Char"/>
    <w:link w:val="1060"/>
    <w:uiPriority w:val="99"/>
    <w:rPr>
      <w:sz w:val="20"/>
    </w:rPr>
  </w:style>
  <w:style w:type="character" w:styleId="1062">
    <w:name w:val="endnote reference"/>
    <w:uiPriority w:val="99"/>
    <w:semiHidden/>
    <w:unhideWhenUsed/>
    <w:rPr>
      <w:vertAlign w:val="superscript"/>
    </w:rPr>
  </w:style>
  <w:style w:type="paragraph" w:styleId="1063">
    <w:name w:val="toc 1"/>
    <w:basedOn w:val="1074"/>
    <w:next w:val="1074"/>
    <w:uiPriority w:val="39"/>
    <w:unhideWhenUsed/>
    <w:pPr>
      <w:ind w:left="0" w:right="0" w:firstLine="0"/>
      <w:spacing w:after="57"/>
    </w:pPr>
  </w:style>
  <w:style w:type="paragraph" w:styleId="1064">
    <w:name w:val="toc 2"/>
    <w:basedOn w:val="1074"/>
    <w:next w:val="1074"/>
    <w:uiPriority w:val="39"/>
    <w:unhideWhenUsed/>
    <w:pPr>
      <w:ind w:left="283" w:right="0" w:firstLine="0"/>
      <w:spacing w:after="57"/>
    </w:pPr>
  </w:style>
  <w:style w:type="paragraph" w:styleId="1065">
    <w:name w:val="toc 3"/>
    <w:basedOn w:val="1074"/>
    <w:next w:val="1074"/>
    <w:uiPriority w:val="39"/>
    <w:unhideWhenUsed/>
    <w:pPr>
      <w:ind w:left="567" w:right="0" w:firstLine="0"/>
      <w:spacing w:after="57"/>
    </w:pPr>
  </w:style>
  <w:style w:type="paragraph" w:styleId="1066">
    <w:name w:val="toc 4"/>
    <w:basedOn w:val="1074"/>
    <w:next w:val="1074"/>
    <w:uiPriority w:val="39"/>
    <w:unhideWhenUsed/>
    <w:pPr>
      <w:ind w:left="850" w:right="0" w:firstLine="0"/>
      <w:spacing w:after="57"/>
    </w:pPr>
  </w:style>
  <w:style w:type="paragraph" w:styleId="1067">
    <w:name w:val="toc 5"/>
    <w:basedOn w:val="1074"/>
    <w:next w:val="1074"/>
    <w:uiPriority w:val="39"/>
    <w:unhideWhenUsed/>
    <w:pPr>
      <w:ind w:left="1134" w:right="0" w:firstLine="0"/>
      <w:spacing w:after="57"/>
    </w:pPr>
  </w:style>
  <w:style w:type="paragraph" w:styleId="1068">
    <w:name w:val="toc 6"/>
    <w:basedOn w:val="1074"/>
    <w:next w:val="1074"/>
    <w:uiPriority w:val="39"/>
    <w:unhideWhenUsed/>
    <w:pPr>
      <w:ind w:left="1417" w:right="0" w:firstLine="0"/>
      <w:spacing w:after="57"/>
    </w:pPr>
  </w:style>
  <w:style w:type="paragraph" w:styleId="1069">
    <w:name w:val="toc 7"/>
    <w:basedOn w:val="1074"/>
    <w:next w:val="1074"/>
    <w:uiPriority w:val="39"/>
    <w:unhideWhenUsed/>
    <w:pPr>
      <w:ind w:left="1701" w:right="0" w:firstLine="0"/>
      <w:spacing w:after="57"/>
    </w:pPr>
  </w:style>
  <w:style w:type="paragraph" w:styleId="1070">
    <w:name w:val="toc 8"/>
    <w:basedOn w:val="1074"/>
    <w:next w:val="1074"/>
    <w:uiPriority w:val="39"/>
    <w:unhideWhenUsed/>
    <w:pPr>
      <w:ind w:left="1984" w:right="0" w:firstLine="0"/>
      <w:spacing w:after="57"/>
    </w:pPr>
  </w:style>
  <w:style w:type="paragraph" w:styleId="1071">
    <w:name w:val="toc 9"/>
    <w:basedOn w:val="1074"/>
    <w:next w:val="1074"/>
    <w:uiPriority w:val="39"/>
    <w:unhideWhenUsed/>
    <w:pPr>
      <w:ind w:left="2268" w:right="0" w:firstLine="0"/>
      <w:spacing w:after="57"/>
    </w:pPr>
  </w:style>
  <w:style w:type="paragraph" w:styleId="1072">
    <w:name w:val="TOC Heading"/>
    <w:uiPriority w:val="39"/>
    <w:unhideWhenUsed/>
  </w:style>
  <w:style w:type="paragraph" w:styleId="1073">
    <w:name w:val="table of figures"/>
    <w:basedOn w:val="1074"/>
    <w:next w:val="1074"/>
    <w:uiPriority w:val="99"/>
    <w:unhideWhenUsed/>
    <w:pPr>
      <w:spacing w:after="0" w:afterAutospacing="0"/>
    </w:pPr>
  </w:style>
  <w:style w:type="paragraph" w:styleId="1074" w:default="1">
    <w:name w:val="Normal"/>
    <w:next w:val="1074"/>
    <w:link w:val="1074"/>
    <w:qFormat/>
    <w:pPr>
      <w:jc w:val="both"/>
      <w:widowControl w:val="off"/>
    </w:pPr>
    <w:rPr>
      <w:sz w:val="21"/>
      <w:szCs w:val="24"/>
      <w:lang w:val="en-US" w:eastAsia="zh-CN" w:bidi="ar-SA"/>
    </w:rPr>
  </w:style>
  <w:style w:type="paragraph" w:styleId="1075">
    <w:name w:val="标题 1"/>
    <w:basedOn w:val="1074"/>
    <w:next w:val="1074"/>
    <w:link w:val="1086"/>
    <w:qFormat/>
    <w:pPr>
      <w:jc w:val="center"/>
      <w:keepLines/>
      <w:keepNext/>
      <w:spacing w:before="240" w:after="120" w:line="300" w:lineRule="auto"/>
      <w:outlineLvl w:val="0"/>
    </w:pPr>
    <w:rPr>
      <w:rFonts w:ascii="宋体"/>
      <w:b/>
      <w:sz w:val="32"/>
      <w:szCs w:val="20"/>
    </w:rPr>
  </w:style>
  <w:style w:type="paragraph" w:styleId="1076">
    <w:name w:val="标题 2"/>
    <w:basedOn w:val="1074"/>
    <w:next w:val="1088"/>
    <w:link w:val="1087"/>
    <w:qFormat/>
    <w:pPr>
      <w:jc w:val="center"/>
      <w:keepLines/>
      <w:keepNext/>
      <w:spacing w:before="120" w:line="300" w:lineRule="auto"/>
      <w:outlineLvl w:val="1"/>
    </w:pPr>
    <w:rPr>
      <w:rFonts w:ascii="Arial" w:hAnsi="Arial" w:eastAsia="黑体"/>
      <w:b/>
      <w:sz w:val="30"/>
      <w:szCs w:val="20"/>
    </w:rPr>
  </w:style>
  <w:style w:type="paragraph" w:styleId="1077">
    <w:name w:val="标题 3"/>
    <w:basedOn w:val="1074"/>
    <w:next w:val="1088"/>
    <w:link w:val="1090"/>
    <w:qFormat/>
    <w:pPr>
      <w:jc w:val="left"/>
      <w:keepLines/>
      <w:keepNext/>
      <w:spacing w:before="360" w:after="120"/>
      <w:outlineLvl w:val="2"/>
    </w:pPr>
    <w:rPr>
      <w:rFonts w:ascii="宋体"/>
      <w:b/>
      <w:sz w:val="24"/>
      <w:szCs w:val="20"/>
      <w:u w:val="single"/>
    </w:rPr>
  </w:style>
  <w:style w:type="paragraph" w:styleId="1078">
    <w:name w:val="标题 4"/>
    <w:basedOn w:val="1074"/>
    <w:next w:val="1074"/>
    <w:link w:val="1091"/>
    <w:qFormat/>
    <w:pPr>
      <w:keepLines/>
      <w:keepNext/>
      <w:spacing w:before="280" w:after="290" w:line="376" w:lineRule="atLeast"/>
      <w:outlineLvl w:val="3"/>
    </w:pPr>
    <w:rPr>
      <w:rFonts w:ascii="Arial" w:hAnsi="Arial" w:eastAsia="黑体"/>
      <w:b/>
      <w:sz w:val="28"/>
      <w:szCs w:val="20"/>
    </w:rPr>
  </w:style>
  <w:style w:type="paragraph" w:styleId="1079">
    <w:name w:val="标题 5"/>
    <w:basedOn w:val="1074"/>
    <w:next w:val="1074"/>
    <w:link w:val="1092"/>
    <w:qFormat/>
    <w:pPr>
      <w:keepLines/>
      <w:keepNext/>
      <w:spacing w:before="280" w:after="290" w:line="376" w:lineRule="atLeast"/>
      <w:outlineLvl w:val="4"/>
    </w:pPr>
    <w:rPr>
      <w:b/>
      <w:sz w:val="28"/>
      <w:szCs w:val="20"/>
    </w:rPr>
  </w:style>
  <w:style w:type="paragraph" w:styleId="1080">
    <w:name w:val="标题 6"/>
    <w:basedOn w:val="1074"/>
    <w:next w:val="1074"/>
    <w:link w:val="1093"/>
    <w:qFormat/>
    <w:pPr>
      <w:keepLines/>
      <w:keepNext/>
      <w:spacing w:before="240" w:after="64" w:line="320" w:lineRule="atLeast"/>
      <w:outlineLvl w:val="5"/>
    </w:pPr>
    <w:rPr>
      <w:rFonts w:ascii="Arial" w:hAnsi="Arial" w:eastAsia="黑体"/>
      <w:b/>
      <w:sz w:val="24"/>
      <w:szCs w:val="20"/>
    </w:rPr>
  </w:style>
  <w:style w:type="paragraph" w:styleId="1081">
    <w:name w:val="标题 7"/>
    <w:basedOn w:val="1074"/>
    <w:next w:val="1074"/>
    <w:link w:val="1094"/>
    <w:qFormat/>
    <w:pPr>
      <w:keepLines/>
      <w:keepNext/>
      <w:spacing w:before="240" w:after="64" w:line="320" w:lineRule="atLeast"/>
      <w:outlineLvl w:val="6"/>
    </w:pPr>
    <w:rPr>
      <w:b/>
      <w:sz w:val="24"/>
      <w:szCs w:val="20"/>
    </w:rPr>
  </w:style>
  <w:style w:type="paragraph" w:styleId="1082">
    <w:name w:val="标题 8"/>
    <w:basedOn w:val="1074"/>
    <w:next w:val="1074"/>
    <w:link w:val="1095"/>
    <w:qFormat/>
    <w:pPr>
      <w:keepLines/>
      <w:keepNext/>
      <w:spacing w:before="240" w:after="64" w:line="320" w:lineRule="atLeast"/>
      <w:outlineLvl w:val="7"/>
    </w:pPr>
    <w:rPr>
      <w:rFonts w:ascii="Arial" w:hAnsi="Arial" w:eastAsia="黑体"/>
      <w:sz w:val="24"/>
      <w:szCs w:val="20"/>
    </w:rPr>
  </w:style>
  <w:style w:type="paragraph" w:styleId="1083">
    <w:name w:val="标题 9"/>
    <w:basedOn w:val="1074"/>
    <w:next w:val="1074"/>
    <w:link w:val="1096"/>
    <w:qFormat/>
    <w:pPr>
      <w:keepLines/>
      <w:keepNext/>
      <w:spacing w:before="240" w:after="64" w:line="320" w:lineRule="atLeast"/>
      <w:outlineLvl w:val="8"/>
    </w:pPr>
    <w:rPr>
      <w:rFonts w:ascii="Arial" w:hAnsi="Arial" w:eastAsia="黑体"/>
      <w:szCs w:val="20"/>
    </w:rPr>
  </w:style>
  <w:style w:type="character" w:styleId="1084">
    <w:name w:val="默认段落字体"/>
    <w:next w:val="1084"/>
    <w:link w:val="1074"/>
    <w:uiPriority w:val="1"/>
    <w:unhideWhenUsed/>
    <w:qFormat/>
  </w:style>
  <w:style w:type="table" w:styleId="1085">
    <w:name w:val="普通表格"/>
    <w:next w:val="1085"/>
    <w:link w:val="1074"/>
    <w:uiPriority w:val="99"/>
    <w:unhideWhenUsed/>
    <w:qFormat/>
    <w:tblPr/>
  </w:style>
  <w:style w:type="character" w:styleId="1086">
    <w:name w:val="标题 1 字符"/>
    <w:next w:val="1086"/>
    <w:link w:val="1075"/>
    <w:qFormat/>
    <w:rPr>
      <w:rFonts w:ascii="宋体"/>
      <w:b/>
      <w:sz w:val="32"/>
    </w:rPr>
  </w:style>
  <w:style w:type="character" w:styleId="1087">
    <w:name w:val="标题 2 字符"/>
    <w:next w:val="1087"/>
    <w:link w:val="1076"/>
    <w:qFormat/>
    <w:rPr>
      <w:rFonts w:ascii="Arial" w:hAnsi="Arial" w:eastAsia="黑体"/>
      <w:b/>
      <w:sz w:val="30"/>
      <w:lang w:val="en-US" w:eastAsia="zh-CN" w:bidi="ar-SA"/>
    </w:rPr>
  </w:style>
  <w:style w:type="paragraph" w:styleId="1088">
    <w:name w:val="正文缩进"/>
    <w:basedOn w:val="1074"/>
    <w:next w:val="1088"/>
    <w:link w:val="1089"/>
    <w:uiPriority w:val="99"/>
    <w:qFormat/>
    <w:pPr>
      <w:ind w:firstLine="420"/>
      <w:jc w:val="left"/>
    </w:pPr>
    <w:rPr>
      <w:rFonts w:ascii="宋体"/>
      <w:sz w:val="24"/>
    </w:rPr>
  </w:style>
  <w:style w:type="character" w:styleId="1089">
    <w:name w:val="正文缩进 字符1"/>
    <w:next w:val="1089"/>
    <w:link w:val="1088"/>
    <w:qFormat/>
    <w:rPr>
      <w:rFonts w:ascii="宋体" w:eastAsia="宋体"/>
      <w:sz w:val="24"/>
      <w:szCs w:val="24"/>
      <w:lang w:val="en-US" w:eastAsia="zh-CN" w:bidi="ar-SA"/>
    </w:rPr>
  </w:style>
  <w:style w:type="character" w:styleId="1090">
    <w:name w:val="标题 3 字符"/>
    <w:next w:val="1090"/>
    <w:link w:val="1077"/>
    <w:qFormat/>
    <w:rPr>
      <w:rFonts w:ascii="宋体" w:eastAsia="宋体"/>
      <w:b/>
      <w:sz w:val="24"/>
      <w:u w:val="single"/>
      <w:lang w:val="en-US" w:eastAsia="zh-CN" w:bidi="ar-SA"/>
    </w:rPr>
  </w:style>
  <w:style w:type="character" w:styleId="1091">
    <w:name w:val="标题 4 字符"/>
    <w:next w:val="1091"/>
    <w:link w:val="1078"/>
    <w:qFormat/>
    <w:rPr>
      <w:rFonts w:ascii="Arial" w:hAnsi="Arial" w:eastAsia="黑体"/>
      <w:b/>
      <w:sz w:val="28"/>
    </w:rPr>
  </w:style>
  <w:style w:type="character" w:styleId="1092">
    <w:name w:val="标题 5 字符"/>
    <w:next w:val="1092"/>
    <w:link w:val="1079"/>
    <w:qFormat/>
    <w:rPr>
      <w:b/>
      <w:sz w:val="28"/>
    </w:rPr>
  </w:style>
  <w:style w:type="character" w:styleId="1093">
    <w:name w:val="标题 6 字符"/>
    <w:next w:val="1093"/>
    <w:link w:val="1080"/>
    <w:qFormat/>
    <w:rPr>
      <w:rFonts w:ascii="Arial" w:hAnsi="Arial" w:eastAsia="黑体"/>
      <w:b/>
      <w:sz w:val="24"/>
    </w:rPr>
  </w:style>
  <w:style w:type="character" w:styleId="1094">
    <w:name w:val="标题 7 字符"/>
    <w:next w:val="1094"/>
    <w:link w:val="1081"/>
    <w:qFormat/>
    <w:rPr>
      <w:b/>
      <w:sz w:val="24"/>
    </w:rPr>
  </w:style>
  <w:style w:type="character" w:styleId="1095">
    <w:name w:val="标题 8 字符"/>
    <w:next w:val="1095"/>
    <w:link w:val="1082"/>
    <w:qFormat/>
    <w:rPr>
      <w:rFonts w:ascii="Arial" w:hAnsi="Arial" w:eastAsia="黑体"/>
      <w:sz w:val="24"/>
    </w:rPr>
  </w:style>
  <w:style w:type="character" w:styleId="1096">
    <w:name w:val="标题 9 字符"/>
    <w:next w:val="1096"/>
    <w:link w:val="1083"/>
    <w:qFormat/>
    <w:rPr>
      <w:rFonts w:ascii="Arial" w:hAnsi="Arial" w:eastAsia="黑体"/>
      <w:sz w:val="21"/>
    </w:rPr>
  </w:style>
  <w:style w:type="paragraph" w:styleId="1097">
    <w:name w:val="目录 7"/>
    <w:basedOn w:val="1074"/>
    <w:next w:val="1074"/>
    <w:link w:val="1074"/>
    <w:qFormat/>
    <w:pPr>
      <w:ind w:left="2520"/>
    </w:pPr>
  </w:style>
  <w:style w:type="paragraph" w:styleId="1098">
    <w:name w:val="题注"/>
    <w:basedOn w:val="1074"/>
    <w:next w:val="1074"/>
    <w:link w:val="1074"/>
    <w:qFormat/>
    <w:pPr>
      <w:spacing w:line="480" w:lineRule="auto"/>
    </w:pPr>
    <w:rPr>
      <w:rFonts w:ascii="华文中宋" w:hAnsi="华文中宋" w:eastAsia="华文中宋"/>
      <w:sz w:val="36"/>
      <w:szCs w:val="20"/>
    </w:rPr>
  </w:style>
  <w:style w:type="paragraph" w:styleId="1099">
    <w:name w:val="文档结构图"/>
    <w:basedOn w:val="1074"/>
    <w:next w:val="1099"/>
    <w:link w:val="1100"/>
    <w:qFormat/>
    <w:pPr>
      <w:shd w:val="clear" w:color="auto" w:fill="000080"/>
    </w:pPr>
  </w:style>
  <w:style w:type="character" w:styleId="1100">
    <w:name w:val="文档结构图 字符"/>
    <w:next w:val="1100"/>
    <w:link w:val="1099"/>
    <w:qFormat/>
    <w:rPr>
      <w:sz w:val="21"/>
      <w:szCs w:val="24"/>
      <w:shd w:val="clear" w:color="auto" w:fill="000080"/>
    </w:rPr>
  </w:style>
  <w:style w:type="paragraph" w:styleId="1101">
    <w:name w:val="批注文字"/>
    <w:basedOn w:val="1074"/>
    <w:next w:val="1101"/>
    <w:link w:val="1102"/>
    <w:uiPriority w:val="99"/>
    <w:qFormat/>
    <w:pPr>
      <w:jc w:val="left"/>
    </w:pPr>
  </w:style>
  <w:style w:type="character" w:styleId="1102">
    <w:name w:val="批注文字 字符1"/>
    <w:next w:val="1102"/>
    <w:link w:val="1101"/>
    <w:uiPriority w:val="99"/>
    <w:qFormat/>
    <w:rPr>
      <w:sz w:val="21"/>
      <w:szCs w:val="24"/>
    </w:rPr>
  </w:style>
  <w:style w:type="paragraph" w:styleId="1103">
    <w:name w:val="正文文本 3"/>
    <w:basedOn w:val="1074"/>
    <w:next w:val="1103"/>
    <w:link w:val="1104"/>
    <w:qFormat/>
    <w:pPr>
      <w:spacing w:after="120"/>
    </w:pPr>
    <w:rPr>
      <w:sz w:val="16"/>
      <w:szCs w:val="16"/>
    </w:rPr>
  </w:style>
  <w:style w:type="character" w:styleId="1104">
    <w:name w:val="正文文本 3 字符"/>
    <w:next w:val="1104"/>
    <w:link w:val="1103"/>
    <w:qFormat/>
    <w:rPr>
      <w:sz w:val="16"/>
      <w:szCs w:val="16"/>
    </w:rPr>
  </w:style>
  <w:style w:type="paragraph" w:styleId="1105">
    <w:name w:val="正文文本"/>
    <w:basedOn w:val="1074"/>
    <w:next w:val="1105"/>
    <w:link w:val="1106"/>
    <w:qFormat/>
    <w:pPr>
      <w:spacing w:before="120" w:line="22" w:lineRule="atLeast"/>
      <w:tabs>
        <w:tab w:val="left" w:pos="567" w:leader="none"/>
      </w:tabs>
    </w:pPr>
    <w:rPr>
      <w:rFonts w:ascii="宋体" w:hAnsi="宋体"/>
      <w:sz w:val="24"/>
    </w:rPr>
  </w:style>
  <w:style w:type="character" w:styleId="1106">
    <w:name w:val="正文文本 字符1"/>
    <w:next w:val="1106"/>
    <w:link w:val="1105"/>
    <w:qFormat/>
    <w:rPr>
      <w:rFonts w:ascii="宋体" w:hAnsi="宋体"/>
      <w:sz w:val="24"/>
      <w:szCs w:val="24"/>
    </w:rPr>
  </w:style>
  <w:style w:type="paragraph" w:styleId="1107">
    <w:name w:val="正文文本缩进"/>
    <w:basedOn w:val="1074"/>
    <w:next w:val="1107"/>
    <w:link w:val="1108"/>
    <w:qFormat/>
    <w:pPr>
      <w:ind w:firstLine="570"/>
      <w:spacing w:line="360" w:lineRule="auto"/>
    </w:pPr>
    <w:rPr>
      <w:sz w:val="24"/>
    </w:rPr>
  </w:style>
  <w:style w:type="character" w:styleId="1108">
    <w:name w:val="正文文本缩进 字符"/>
    <w:next w:val="1108"/>
    <w:link w:val="1107"/>
    <w:qFormat/>
    <w:rPr>
      <w:rFonts w:eastAsia="宋体"/>
      <w:sz w:val="24"/>
      <w:szCs w:val="24"/>
      <w:lang w:val="en-US" w:eastAsia="zh-CN" w:bidi="ar-SA"/>
    </w:rPr>
  </w:style>
  <w:style w:type="paragraph" w:styleId="1109">
    <w:name w:val="列表 2"/>
    <w:basedOn w:val="1074"/>
    <w:next w:val="1109"/>
    <w:link w:val="1074"/>
    <w:qFormat/>
    <w:pPr>
      <w:ind w:left="100" w:hanging="200"/>
    </w:pPr>
  </w:style>
  <w:style w:type="paragraph" w:styleId="1110">
    <w:name w:val="文本块"/>
    <w:basedOn w:val="1074"/>
    <w:next w:val="1110"/>
    <w:link w:val="1074"/>
    <w:qFormat/>
    <w:pPr>
      <w:ind w:left="480" w:right="-341" w:firstLine="513"/>
      <w:widowControl/>
    </w:pPr>
    <w:rPr>
      <w:sz w:val="24"/>
      <w:szCs w:val="20"/>
    </w:rPr>
  </w:style>
  <w:style w:type="paragraph" w:styleId="1111">
    <w:name w:val="目录 5"/>
    <w:basedOn w:val="1074"/>
    <w:next w:val="1074"/>
    <w:link w:val="1074"/>
    <w:qFormat/>
    <w:pPr>
      <w:ind w:left="1680"/>
    </w:pPr>
  </w:style>
  <w:style w:type="paragraph" w:styleId="1112">
    <w:name w:val="目录 3"/>
    <w:basedOn w:val="1074"/>
    <w:next w:val="1074"/>
    <w:link w:val="1074"/>
    <w:uiPriority w:val="39"/>
    <w:qFormat/>
    <w:pPr>
      <w:ind w:left="840"/>
    </w:pPr>
  </w:style>
  <w:style w:type="paragraph" w:styleId="1113">
    <w:name w:val="纯文本"/>
    <w:basedOn w:val="1074"/>
    <w:next w:val="1113"/>
    <w:link w:val="1114"/>
    <w:uiPriority w:val="99"/>
    <w:qFormat/>
    <w:rPr>
      <w:rFonts w:hint="eastAsia" w:ascii="宋体" w:hAnsi="Courier New"/>
      <w:szCs w:val="20"/>
    </w:rPr>
  </w:style>
  <w:style w:type="character" w:styleId="1114">
    <w:name w:val="纯文本 字符2"/>
    <w:next w:val="1114"/>
    <w:link w:val="1113"/>
    <w:qFormat/>
    <w:rPr>
      <w:rFonts w:hint="eastAsia" w:ascii="宋体" w:hAnsi="Courier New" w:eastAsia="宋体" w:cs="宋体"/>
      <w:sz w:val="21"/>
    </w:rPr>
  </w:style>
  <w:style w:type="paragraph" w:styleId="1115">
    <w:name w:val="目录 8"/>
    <w:basedOn w:val="1074"/>
    <w:next w:val="1074"/>
    <w:link w:val="1074"/>
    <w:qFormat/>
    <w:pPr>
      <w:ind w:left="2940"/>
    </w:pPr>
  </w:style>
  <w:style w:type="paragraph" w:styleId="1116">
    <w:name w:val="日期"/>
    <w:basedOn w:val="1074"/>
    <w:next w:val="1074"/>
    <w:link w:val="1117"/>
    <w:qFormat/>
    <w:pPr>
      <w:ind w:left="100"/>
    </w:pPr>
    <w:rPr>
      <w:rFonts w:ascii="仿宋_GB2312" w:hAnsi="宋体" w:eastAsia="仿宋_GB2312"/>
      <w:color w:val="000000"/>
      <w:sz w:val="24"/>
    </w:rPr>
  </w:style>
  <w:style w:type="character" w:styleId="1117">
    <w:name w:val="日期 字符"/>
    <w:next w:val="1117"/>
    <w:link w:val="1116"/>
    <w:qFormat/>
    <w:rPr>
      <w:rFonts w:ascii="仿宋_GB2312" w:hAnsi="宋体" w:eastAsia="仿宋_GB2312"/>
      <w:color w:val="000000"/>
      <w:sz w:val="24"/>
      <w:szCs w:val="24"/>
    </w:rPr>
  </w:style>
  <w:style w:type="paragraph" w:styleId="1118">
    <w:name w:val="正文文本缩进 2"/>
    <w:basedOn w:val="1074"/>
    <w:next w:val="1118"/>
    <w:link w:val="1119"/>
    <w:qFormat/>
    <w:pPr>
      <w:ind w:firstLine="480"/>
    </w:pPr>
    <w:rPr>
      <w:rFonts w:ascii="仿宋_GB2312" w:eastAsia="仿宋_GB2312"/>
      <w:sz w:val="24"/>
    </w:rPr>
  </w:style>
  <w:style w:type="character" w:styleId="1119">
    <w:name w:val="正文文本缩进 2 字符"/>
    <w:next w:val="1119"/>
    <w:link w:val="1118"/>
    <w:qFormat/>
    <w:rPr>
      <w:rFonts w:ascii="仿宋_GB2312" w:eastAsia="仿宋_GB2312"/>
      <w:sz w:val="24"/>
      <w:szCs w:val="24"/>
    </w:rPr>
  </w:style>
  <w:style w:type="paragraph" w:styleId="1120">
    <w:name w:val="批注框文本"/>
    <w:basedOn w:val="1074"/>
    <w:next w:val="1120"/>
    <w:link w:val="1121"/>
    <w:qFormat/>
    <w:rPr>
      <w:sz w:val="18"/>
      <w:szCs w:val="18"/>
    </w:rPr>
  </w:style>
  <w:style w:type="character" w:styleId="1121">
    <w:name w:val="批注框文本 字符"/>
    <w:next w:val="1121"/>
    <w:link w:val="1120"/>
    <w:qFormat/>
    <w:rPr>
      <w:sz w:val="18"/>
      <w:szCs w:val="18"/>
    </w:rPr>
  </w:style>
  <w:style w:type="paragraph" w:styleId="1122">
    <w:name w:val="页脚"/>
    <w:basedOn w:val="1074"/>
    <w:next w:val="1122"/>
    <w:link w:val="1123"/>
    <w:uiPriority w:val="99"/>
    <w:qFormat/>
    <w:pPr>
      <w:jc w:val="left"/>
      <w:tabs>
        <w:tab w:val="center" w:pos="4153" w:leader="none"/>
        <w:tab w:val="right" w:pos="8306" w:leader="none"/>
      </w:tabs>
    </w:pPr>
    <w:rPr>
      <w:rFonts w:ascii="宋体"/>
      <w:sz w:val="18"/>
      <w:szCs w:val="20"/>
    </w:rPr>
  </w:style>
  <w:style w:type="character" w:styleId="1123">
    <w:name w:val="页脚 字符"/>
    <w:next w:val="1123"/>
    <w:link w:val="1122"/>
    <w:uiPriority w:val="99"/>
    <w:qFormat/>
    <w:rPr>
      <w:rFonts w:ascii="宋体" w:eastAsia="宋体"/>
      <w:sz w:val="18"/>
      <w:lang w:val="en-US" w:eastAsia="zh-CN" w:bidi="ar-SA"/>
    </w:rPr>
  </w:style>
  <w:style w:type="paragraph" w:styleId="1124">
    <w:name w:val="页眉"/>
    <w:basedOn w:val="1074"/>
    <w:next w:val="1124"/>
    <w:link w:val="1125"/>
    <w:qFormat/>
    <w:pPr>
      <w:jc w:val="center"/>
      <w:tabs>
        <w:tab w:val="center" w:pos="4153" w:leader="none"/>
        <w:tab w:val="right" w:pos="8306" w:leader="none"/>
      </w:tabs>
      <w:pBdr>
        <w:bottom w:val="single" w:color="000000" w:sz="6" w:space="1"/>
      </w:pBdr>
    </w:pPr>
    <w:rPr>
      <w:sz w:val="18"/>
      <w:szCs w:val="18"/>
    </w:rPr>
  </w:style>
  <w:style w:type="character" w:styleId="1125">
    <w:name w:val="页眉 字符"/>
    <w:next w:val="1125"/>
    <w:link w:val="1124"/>
    <w:qFormat/>
    <w:rPr>
      <w:rFonts w:eastAsia="宋体"/>
      <w:sz w:val="18"/>
      <w:szCs w:val="18"/>
      <w:lang w:val="en-US" w:eastAsia="zh-CN" w:bidi="ar-SA"/>
    </w:rPr>
  </w:style>
  <w:style w:type="paragraph" w:styleId="1126">
    <w:name w:val="目录 1"/>
    <w:basedOn w:val="1074"/>
    <w:next w:val="1074"/>
    <w:link w:val="1074"/>
    <w:uiPriority w:val="39"/>
    <w:qFormat/>
    <w:pPr>
      <w:spacing w:line="300" w:lineRule="auto"/>
      <w:tabs>
        <w:tab w:val="left" w:pos="1050" w:leader="none"/>
        <w:tab w:val="right" w:pos="8937" w:leader="dot"/>
      </w:tabs>
    </w:pPr>
    <w:rPr>
      <w:rFonts w:ascii="宋体" w:hAnsi="宋体"/>
      <w:b/>
      <w:sz w:val="24"/>
    </w:rPr>
  </w:style>
  <w:style w:type="paragraph" w:styleId="1127">
    <w:name w:val="目录 4"/>
    <w:basedOn w:val="1074"/>
    <w:next w:val="1074"/>
    <w:link w:val="1074"/>
    <w:qFormat/>
    <w:pPr>
      <w:ind w:left="1260"/>
    </w:pPr>
  </w:style>
  <w:style w:type="paragraph" w:styleId="1128">
    <w:name w:val="目录 6"/>
    <w:basedOn w:val="1074"/>
    <w:next w:val="1074"/>
    <w:link w:val="1074"/>
    <w:qFormat/>
    <w:pPr>
      <w:ind w:left="2100"/>
    </w:pPr>
  </w:style>
  <w:style w:type="paragraph" w:styleId="1129">
    <w:name w:val="正文文本缩进 3"/>
    <w:basedOn w:val="1074"/>
    <w:next w:val="1129"/>
    <w:link w:val="1130"/>
    <w:qFormat/>
    <w:pPr>
      <w:ind w:left="720" w:firstLine="480"/>
      <w:jc w:val="left"/>
      <w:spacing w:before="120" w:line="22" w:lineRule="atLeast"/>
    </w:pPr>
    <w:rPr>
      <w:rFonts w:ascii="宋体"/>
      <w:sz w:val="24"/>
      <w:szCs w:val="20"/>
    </w:rPr>
  </w:style>
  <w:style w:type="character" w:styleId="1130">
    <w:name w:val="正文文本缩进 3 字符"/>
    <w:next w:val="1130"/>
    <w:link w:val="1129"/>
    <w:qFormat/>
    <w:rPr>
      <w:rFonts w:ascii="宋体"/>
      <w:sz w:val="24"/>
    </w:rPr>
  </w:style>
  <w:style w:type="paragraph" w:styleId="1131">
    <w:name w:val="目录 2"/>
    <w:basedOn w:val="1074"/>
    <w:next w:val="1074"/>
    <w:link w:val="1074"/>
    <w:uiPriority w:val="39"/>
    <w:qFormat/>
    <w:pPr>
      <w:ind w:left="420"/>
      <w:spacing w:line="312" w:lineRule="auto"/>
      <w:tabs>
        <w:tab w:val="right" w:pos="8937" w:leader="dot"/>
      </w:tabs>
    </w:pPr>
  </w:style>
  <w:style w:type="paragraph" w:styleId="1132">
    <w:name w:val="目录 9"/>
    <w:basedOn w:val="1074"/>
    <w:next w:val="1074"/>
    <w:link w:val="1074"/>
    <w:qFormat/>
    <w:pPr>
      <w:ind w:left="3360"/>
    </w:pPr>
  </w:style>
  <w:style w:type="paragraph" w:styleId="1133">
    <w:name w:val="HTML 预设格式"/>
    <w:basedOn w:val="1074"/>
    <w:next w:val="1133"/>
    <w:link w:val="11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4">
    <w:name w:val="HTML 预设格式 字符"/>
    <w:next w:val="1134"/>
    <w:link w:val="1133"/>
    <w:qFormat/>
    <w:rPr>
      <w:rFonts w:ascii="宋体" w:hAnsi="宋体" w:cs="宋体"/>
      <w:sz w:val="24"/>
      <w:szCs w:val="24"/>
    </w:rPr>
  </w:style>
  <w:style w:type="paragraph" w:styleId="1135">
    <w:name w:val="普通(网站)"/>
    <w:basedOn w:val="1074"/>
    <w:next w:val="1135"/>
    <w:link w:val="1074"/>
    <w:uiPriority w:val="99"/>
    <w:unhideWhenUsed/>
    <w:qFormat/>
    <w:pPr>
      <w:jc w:val="left"/>
      <w:spacing w:before="100" w:beforeAutospacing="1" w:after="100" w:afterAutospacing="1"/>
      <w:widowControl/>
    </w:pPr>
    <w:rPr>
      <w:rFonts w:ascii="宋体" w:hAnsi="宋体" w:cs="宋体"/>
      <w:sz w:val="24"/>
    </w:rPr>
  </w:style>
  <w:style w:type="paragraph" w:styleId="1136">
    <w:name w:val="索引 1"/>
    <w:basedOn w:val="1074"/>
    <w:next w:val="1074"/>
    <w:link w:val="1074"/>
    <w:qFormat/>
    <w:rPr>
      <w:szCs w:val="20"/>
    </w:rPr>
  </w:style>
  <w:style w:type="paragraph" w:styleId="1137">
    <w:name w:val="标题"/>
    <w:basedOn w:val="1074"/>
    <w:next w:val="1137"/>
    <w:link w:val="1138"/>
    <w:qFormat/>
    <w:pPr>
      <w:jc w:val="center"/>
      <w:outlineLvl w:val="0"/>
    </w:pPr>
    <w:rPr>
      <w:b/>
      <w:sz w:val="32"/>
      <w:szCs w:val="20"/>
    </w:rPr>
  </w:style>
  <w:style w:type="character" w:styleId="1138">
    <w:name w:val="标题 字符"/>
    <w:next w:val="1138"/>
    <w:link w:val="1137"/>
    <w:qFormat/>
    <w:rPr>
      <w:b/>
      <w:sz w:val="32"/>
    </w:rPr>
  </w:style>
  <w:style w:type="paragraph" w:styleId="1139">
    <w:name w:val="批注主题"/>
    <w:basedOn w:val="1101"/>
    <w:next w:val="1101"/>
    <w:link w:val="1140"/>
    <w:qFormat/>
    <w:rPr>
      <w:b/>
      <w:bCs/>
    </w:rPr>
  </w:style>
  <w:style w:type="character" w:styleId="1140">
    <w:name w:val="批注主题 字符"/>
    <w:next w:val="1140"/>
    <w:link w:val="1139"/>
    <w:qFormat/>
    <w:rPr>
      <w:rFonts w:ascii="Times New Roman" w:hAnsi="Times New Roman" w:eastAsia="宋体" w:cs="Times New Roman"/>
      <w:b/>
      <w:bCs/>
      <w:sz w:val="21"/>
      <w:szCs w:val="24"/>
      <w:lang w:val="en-US" w:eastAsia="zh-CN" w:bidi="ar-SA"/>
    </w:rPr>
  </w:style>
  <w:style w:type="paragraph" w:styleId="1141">
    <w:name w:val="正文首行缩进 2"/>
    <w:basedOn w:val="1107"/>
    <w:next w:val="1141"/>
    <w:link w:val="1142"/>
    <w:qFormat/>
    <w:pPr>
      <w:ind w:left="420" w:firstLine="420"/>
      <w:spacing w:after="120" w:line="480" w:lineRule="exact"/>
    </w:pPr>
    <w:rPr>
      <w:szCs w:val="20"/>
    </w:rPr>
  </w:style>
  <w:style w:type="character" w:styleId="1142">
    <w:name w:val="正文文本首行缩进 2 字符"/>
    <w:next w:val="1142"/>
    <w:link w:val="1141"/>
    <w:qFormat/>
    <w:rPr>
      <w:rFonts w:eastAsia="宋体"/>
      <w:sz w:val="24"/>
      <w:szCs w:val="24"/>
      <w:lang w:val="en-US" w:eastAsia="zh-CN" w:bidi="ar-SA"/>
    </w:rPr>
  </w:style>
  <w:style w:type="table" w:styleId="1143">
    <w:name w:val="网格型"/>
    <w:basedOn w:val="1085"/>
    <w:next w:val="1143"/>
    <w:link w:val="1074"/>
    <w:uiPriority w:val="39"/>
    <w:qFormat/>
    <w:tblPr/>
  </w:style>
  <w:style w:type="table" w:styleId="1144">
    <w:name w:val="中等深浅网格 1 - 强调文字颜色 2"/>
    <w:basedOn w:val="1085"/>
    <w:next w:val="1144"/>
    <w:link w:val="1074"/>
    <w:qFormat/>
    <w:rPr>
      <w:sz w:val="21"/>
      <w:szCs w:val="24"/>
    </w:rPr>
    <w:tblPr/>
  </w:style>
  <w:style w:type="character" w:styleId="1145">
    <w:name w:val="要点"/>
    <w:next w:val="1145"/>
    <w:link w:val="1074"/>
    <w:qFormat/>
    <w:rPr>
      <w:b/>
      <w:bCs/>
    </w:rPr>
  </w:style>
  <w:style w:type="character" w:styleId="1146">
    <w:name w:val="页码"/>
    <w:next w:val="1146"/>
    <w:link w:val="1074"/>
    <w:qFormat/>
  </w:style>
  <w:style w:type="character" w:styleId="1147">
    <w:name w:val="已访问的超链接"/>
    <w:next w:val="1147"/>
    <w:link w:val="1074"/>
    <w:qFormat/>
    <w:rPr>
      <w:color w:val="800080"/>
      <w:u w:val="single"/>
    </w:rPr>
  </w:style>
  <w:style w:type="character" w:styleId="1148">
    <w:name w:val="强调"/>
    <w:next w:val="1148"/>
    <w:link w:val="1074"/>
    <w:qFormat/>
    <w:rPr>
      <w:color w:val="cc0033"/>
    </w:rPr>
  </w:style>
  <w:style w:type="character" w:styleId="1149">
    <w:name w:val="超链接"/>
    <w:next w:val="1149"/>
    <w:link w:val="1074"/>
    <w:uiPriority w:val="99"/>
    <w:qFormat/>
    <w:rPr>
      <w:color w:val="0000ff"/>
      <w:u w:val="single"/>
    </w:rPr>
  </w:style>
  <w:style w:type="character" w:styleId="1150">
    <w:name w:val="批注引用"/>
    <w:next w:val="1150"/>
    <w:link w:val="1074"/>
    <w:uiPriority w:val="99"/>
    <w:qFormat/>
    <w:rPr>
      <w:sz w:val="21"/>
      <w:szCs w:val="21"/>
    </w:rPr>
  </w:style>
  <w:style w:type="character" w:styleId="1151">
    <w:name w:val="HTML 引文"/>
    <w:next w:val="1151"/>
    <w:link w:val="1074"/>
    <w:qFormat/>
    <w:rPr>
      <w:i/>
      <w:iCs/>
    </w:rPr>
  </w:style>
  <w:style w:type="character" w:styleId="1152">
    <w:name w:val="批注文字 字符"/>
    <w:next w:val="1152"/>
    <w:link w:val="1074"/>
    <w:uiPriority w:val="99"/>
    <w:qFormat/>
    <w:rPr>
      <w:rFonts w:ascii="Times New Roman" w:hAnsi="Times New Roman" w:eastAsia="宋体" w:cs="Times New Roman"/>
      <w:sz w:val="24"/>
      <w:lang w:val="en-US" w:eastAsia="zh-CN" w:bidi="ar-SA"/>
    </w:rPr>
  </w:style>
  <w:style w:type="character" w:styleId="1153">
    <w:name w:val="c21"/>
    <w:next w:val="1153"/>
    <w:link w:val="1074"/>
    <w:qFormat/>
    <w:rPr>
      <w:rFonts w:ascii="ˎ̥" w:hAnsi="ˎ̥"/>
      <w:color w:val="000000"/>
      <w:sz w:val="20"/>
      <w:szCs w:val="20"/>
      <w:u w:val="none"/>
    </w:rPr>
  </w:style>
  <w:style w:type="character" w:styleId="1154">
    <w:name w:val="title4"/>
    <w:next w:val="1154"/>
    <w:link w:val="1074"/>
    <w:qFormat/>
    <w:rPr>
      <w:b/>
      <w:bCs/>
      <w:color w:val="1d87b3"/>
      <w:sz w:val="15"/>
      <w:szCs w:val="15"/>
    </w:rPr>
  </w:style>
  <w:style w:type="character" w:styleId="1155">
    <w:name w:val="标题 2 Char Char"/>
    <w:next w:val="1155"/>
    <w:link w:val="1074"/>
    <w:qFormat/>
    <w:rPr>
      <w:rFonts w:ascii="Arial" w:hAnsi="Arial" w:eastAsia="黑体"/>
      <w:b/>
      <w:bCs/>
      <w:sz w:val="32"/>
      <w:szCs w:val="32"/>
      <w:lang w:val="en-US" w:eastAsia="zh-CN" w:bidi="ar-SA"/>
    </w:rPr>
  </w:style>
  <w:style w:type="character" w:styleId="1156">
    <w:name w:val="black1"/>
    <w:next w:val="1156"/>
    <w:link w:val="1074"/>
    <w:qFormat/>
    <w:rPr>
      <w:color w:val="000000"/>
    </w:rPr>
  </w:style>
  <w:style w:type="character" w:styleId="1157">
    <w:name w:val="street-address"/>
    <w:next w:val="1157"/>
    <w:link w:val="1074"/>
    <w:qFormat/>
  </w:style>
  <w:style w:type="character" w:styleId="1158">
    <w:name w:val="locality"/>
    <w:next w:val="1158"/>
    <w:link w:val="1074"/>
    <w:qFormat/>
  </w:style>
  <w:style w:type="character" w:styleId="1159">
    <w:name w:val="正文文本缩进 Char1"/>
    <w:next w:val="1159"/>
    <w:link w:val="1160"/>
    <w:qFormat/>
    <w:rPr>
      <w:rFonts w:ascii="宋体" w:hAnsi="宋体" w:eastAsia="宋体"/>
      <w:sz w:val="24"/>
      <w:szCs w:val="24"/>
      <w:lang w:bidi="ar-SA"/>
    </w:rPr>
  </w:style>
  <w:style w:type="paragraph" w:styleId="1160">
    <w:name w:val="正文文本缩进1"/>
    <w:basedOn w:val="1074"/>
    <w:next w:val="1160"/>
    <w:link w:val="1159"/>
    <w:qFormat/>
    <w:pPr>
      <w:ind w:firstLine="480"/>
      <w:spacing w:line="480" w:lineRule="exact"/>
    </w:pPr>
    <w:rPr>
      <w:rFonts w:ascii="宋体" w:hAnsi="宋体"/>
      <w:sz w:val="24"/>
    </w:rPr>
  </w:style>
  <w:style w:type="character" w:styleId="1161">
    <w:name w:val="Char Char11"/>
    <w:next w:val="1161"/>
    <w:link w:val="1074"/>
    <w:qFormat/>
    <w:rPr>
      <w:rFonts w:ascii="宋体" w:eastAsia="宋体"/>
      <w:b/>
      <w:sz w:val="24"/>
      <w:u w:val="single"/>
      <w:lang w:val="en-US" w:eastAsia="zh-CN" w:bidi="ar-SA"/>
    </w:rPr>
  </w:style>
  <w:style w:type="character" w:styleId="1162">
    <w:name w:val="txt"/>
    <w:next w:val="1162"/>
    <w:link w:val="1074"/>
    <w:qFormat/>
  </w:style>
  <w:style w:type="character" w:styleId="1163">
    <w:name w:val="正文缩进 Char Char"/>
    <w:next w:val="1163"/>
    <w:link w:val="1164"/>
    <w:qFormat/>
    <w:rPr>
      <w:rFonts w:ascii="宋体" w:eastAsia="宋体"/>
      <w:color w:val="000000"/>
      <w:sz w:val="28"/>
      <w:lang w:bidi="ar-SA"/>
    </w:rPr>
  </w:style>
  <w:style w:type="paragraph" w:styleId="1164">
    <w:name w:val="正文缩进1"/>
    <w:basedOn w:val="1074"/>
    <w:next w:val="1164"/>
    <w:link w:val="1163"/>
    <w:qFormat/>
    <w:pPr>
      <w:ind w:firstLine="567"/>
      <w:spacing w:line="480" w:lineRule="exact"/>
      <w:widowControl/>
    </w:pPr>
    <w:rPr>
      <w:rFonts w:ascii="宋体"/>
      <w:color w:val="000000"/>
      <w:sz w:val="28"/>
      <w:szCs w:val="20"/>
    </w:rPr>
  </w:style>
  <w:style w:type="character" w:styleId="1165">
    <w:name w:val="普通文字1 Char1"/>
    <w:next w:val="1165"/>
    <w:link w:val="1074"/>
    <w:qFormat/>
    <w:rPr>
      <w:rFonts w:ascii="宋体" w:hAnsi="Courier New" w:eastAsia="宋体"/>
      <w:sz w:val="21"/>
      <w:lang w:val="en-US" w:eastAsia="zh-CN" w:bidi="ar-SA"/>
    </w:rPr>
  </w:style>
  <w:style w:type="character" w:styleId="1166">
    <w:name w:val="chanpin1"/>
    <w:next w:val="1166"/>
    <w:link w:val="1074"/>
    <w:qFormat/>
    <w:rPr>
      <w:rFonts w:ascii="ˎ̥" w:hAnsi="ˎ̥"/>
      <w:color w:val="000000"/>
      <w:sz w:val="20"/>
      <w:szCs w:val="20"/>
      <w:u w:val="none"/>
    </w:rPr>
  </w:style>
  <w:style w:type="character" w:styleId="1167">
    <w:name w:val="列表段落 字符"/>
    <w:next w:val="1167"/>
    <w:link w:val="1168"/>
    <w:uiPriority w:val="34"/>
    <w:qFormat/>
    <w:rPr>
      <w:rFonts w:ascii="Calibri" w:hAnsi="Calibri" w:eastAsia="宋体"/>
      <w:sz w:val="21"/>
      <w:szCs w:val="22"/>
      <w:lang w:val="en-US" w:eastAsia="zh-CN" w:bidi="ar-SA"/>
    </w:rPr>
  </w:style>
  <w:style w:type="paragraph" w:styleId="1168">
    <w:name w:val="列表段落"/>
    <w:basedOn w:val="1074"/>
    <w:next w:val="1168"/>
    <w:link w:val="1167"/>
    <w:uiPriority w:val="34"/>
    <w:qFormat/>
    <w:pPr>
      <w:ind w:firstLine="420"/>
    </w:pPr>
    <w:rPr>
      <w:rFonts w:ascii="Calibri" w:hAnsi="Calibri"/>
      <w:szCs w:val="22"/>
    </w:rPr>
  </w:style>
  <w:style w:type="character" w:styleId="1169">
    <w:name w:val="标题 3 Char Char"/>
    <w:next w:val="1169"/>
    <w:link w:val="1074"/>
    <w:qFormat/>
    <w:rPr>
      <w:rFonts w:eastAsia="宋体"/>
      <w:b/>
      <w:bCs/>
      <w:sz w:val="32"/>
      <w:szCs w:val="32"/>
      <w:lang w:val="en-US" w:eastAsia="zh-CN" w:bidi="ar-SA"/>
    </w:rPr>
  </w:style>
  <w:style w:type="character" w:styleId="1170">
    <w:name w:val="段1 Char"/>
    <w:next w:val="1170"/>
    <w:link w:val="1074"/>
    <w:qFormat/>
    <w:rPr>
      <w:rFonts w:ascii="宋体" w:eastAsia="宋体"/>
      <w:sz w:val="24"/>
      <w:lang w:val="en-US" w:eastAsia="zh-CN" w:bidi="ar-SA"/>
    </w:rPr>
  </w:style>
  <w:style w:type="character" w:styleId="1171">
    <w:name w:val="chanpin拷贝"/>
    <w:next w:val="1171"/>
    <w:link w:val="1074"/>
    <w:qFormat/>
  </w:style>
  <w:style w:type="character" w:styleId="1172">
    <w:name w:val="纯文本 Char1"/>
    <w:next w:val="1172"/>
    <w:link w:val="1074"/>
    <w:uiPriority w:val="99"/>
    <w:qFormat/>
    <w:rPr>
      <w:rFonts w:ascii="宋体" w:hAnsi="Courier New" w:eastAsia="宋体"/>
      <w:sz w:val="21"/>
      <w:lang w:val="en-US" w:eastAsia="zh-CN" w:bidi="ar-SA"/>
    </w:rPr>
  </w:style>
  <w:style w:type="character" w:styleId="1173">
    <w:name w:val="apple-style-span"/>
    <w:next w:val="1173"/>
    <w:link w:val="1074"/>
    <w:qFormat/>
    <w:rPr>
      <w:rFonts w:cs="Times New Roman"/>
    </w:rPr>
  </w:style>
  <w:style w:type="paragraph" w:styleId="1174">
    <w:name w:val="二级条标题"/>
    <w:basedOn w:val="1175"/>
    <w:next w:val="1074"/>
    <w:link w:val="1074"/>
    <w:qFormat/>
    <w:pPr>
      <w:numPr>
        <w:ilvl w:val="0"/>
        <w:numId w:val="0"/>
      </w:numPr>
      <w:ind w:hanging="840"/>
      <w:tabs>
        <w:tab w:val="left" w:pos="360" w:leader="none"/>
        <w:tab w:val="left" w:pos="840" w:leader="none"/>
      </w:tabs>
      <w:outlineLvl w:val="2"/>
    </w:pPr>
    <w:rPr>
      <w:rFonts w:ascii="宋体" w:eastAsia="宋体"/>
      <w:b w:val="0"/>
    </w:rPr>
  </w:style>
  <w:style w:type="paragraph" w:styleId="1175">
    <w:name w:val="一级条标题"/>
    <w:basedOn w:val="1176"/>
    <w:next w:val="1074"/>
    <w:link w:val="1074"/>
    <w:qFormat/>
    <w:pPr>
      <w:numPr>
        <w:ilvl w:val="1"/>
      </w:numPr>
      <w:ind w:left="0" w:hanging="840"/>
      <w:tabs>
        <w:tab w:val="left" w:pos="360" w:leader="none"/>
        <w:tab w:val="left" w:pos="840" w:leader="none"/>
      </w:tabs>
      <w:outlineLvl w:val="1"/>
    </w:pPr>
  </w:style>
  <w:style w:type="paragraph" w:styleId="1176">
    <w:name w:val="章标题"/>
    <w:next w:val="1074"/>
    <w:link w:val="107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7">
    <w:name w:val="font7"/>
    <w:basedOn w:val="1074"/>
    <w:next w:val="1177"/>
    <w:link w:val="1074"/>
    <w:qFormat/>
    <w:pPr>
      <w:jc w:val="left"/>
      <w:spacing w:before="100" w:beforeAutospacing="1" w:after="100" w:afterAutospacing="1"/>
      <w:widowControl/>
    </w:pPr>
    <w:rPr>
      <w:rFonts w:eastAsia="Arial Unicode MS"/>
      <w:b/>
      <w:bCs/>
      <w:color w:val="000000"/>
      <w:sz w:val="20"/>
      <w:szCs w:val="20"/>
    </w:rPr>
  </w:style>
  <w:style w:type="paragraph" w:styleId="1178">
    <w:name w:val="字元 字元"/>
    <w:basedOn w:val="1074"/>
    <w:next w:val="1178"/>
    <w:link w:val="1074"/>
    <w:qFormat/>
    <w:rPr>
      <w:rFonts w:ascii="Tahoma" w:hAnsi="Tahoma"/>
      <w:sz w:val="24"/>
      <w:szCs w:val="20"/>
    </w:rPr>
  </w:style>
  <w:style w:type="paragraph" w:styleId="1179">
    <w:name w:val="Char3 Char Char Char"/>
    <w:basedOn w:val="1074"/>
    <w:next w:val="1179"/>
    <w:link w:val="1074"/>
    <w:qFormat/>
    <w:rPr>
      <w:rFonts w:ascii="Tahoma" w:hAnsi="Tahoma"/>
      <w:sz w:val="24"/>
      <w:szCs w:val="20"/>
    </w:rPr>
  </w:style>
  <w:style w:type="paragraph" w:styleId="1180">
    <w:name w:val="font6"/>
    <w:basedOn w:val="1074"/>
    <w:next w:val="1180"/>
    <w:link w:val="1074"/>
    <w:qFormat/>
    <w:pPr>
      <w:jc w:val="left"/>
      <w:spacing w:before="100" w:beforeAutospacing="1" w:after="100" w:afterAutospacing="1"/>
      <w:widowControl/>
    </w:pPr>
    <w:rPr>
      <w:rFonts w:ascii="宋体" w:hAnsi="宋体" w:cs="宋体"/>
      <w:sz w:val="20"/>
      <w:szCs w:val="20"/>
    </w:rPr>
  </w:style>
  <w:style w:type="paragraph" w:styleId="1181">
    <w:name w:val="项目编号2"/>
    <w:basedOn w:val="1182"/>
    <w:next w:val="1181"/>
    <w:link w:val="1074"/>
    <w:qFormat/>
    <w:pPr>
      <w:numPr>
        <w:numId w:val="3"/>
      </w:numPr>
    </w:pPr>
  </w:style>
  <w:style w:type="paragraph" w:styleId="1182">
    <w:name w:val="项目编号1"/>
    <w:basedOn w:val="1074"/>
    <w:next w:val="1182"/>
    <w:link w:val="1074"/>
    <w:qFormat/>
    <w:pPr>
      <w:numPr>
        <w:ilvl w:val="0"/>
        <w:numId w:val="2"/>
      </w:numPr>
      <w:spacing w:before="100" w:beforeAutospacing="1" w:after="100" w:afterAutospacing="1" w:line="360" w:lineRule="auto"/>
    </w:pPr>
    <w:rPr>
      <w:sz w:val="24"/>
    </w:rPr>
  </w:style>
  <w:style w:type="paragraph" w:styleId="1183">
    <w:name w:val="图中文字"/>
    <w:basedOn w:val="1074"/>
    <w:next w:val="1183"/>
    <w:link w:val="1074"/>
    <w:qFormat/>
    <w:pPr>
      <w:jc w:val="center"/>
      <w:spacing w:line="0" w:lineRule="atLeast"/>
    </w:pPr>
    <w:rPr>
      <w:sz w:val="24"/>
      <w:szCs w:val="20"/>
    </w:rPr>
  </w:style>
  <w:style w:type="paragraph" w:styleId="1184">
    <w:name w:val="xl46"/>
    <w:basedOn w:val="1074"/>
    <w:next w:val="1184"/>
    <w:link w:val="107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5">
    <w:name w:val="xl25"/>
    <w:basedOn w:val="1074"/>
    <w:next w:val="1185"/>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Char2"/>
    <w:basedOn w:val="1074"/>
    <w:next w:val="1186"/>
    <w:link w:val="1074"/>
    <w:qFormat/>
    <w:rPr>
      <w:rFonts w:ascii="Tahoma" w:hAnsi="Tahoma"/>
      <w:sz w:val="24"/>
      <w:szCs w:val="20"/>
    </w:rPr>
  </w:style>
  <w:style w:type="paragraph" w:styleId="1187">
    <w:name w:val="xl35"/>
    <w:basedOn w:val="1074"/>
    <w:next w:val="1187"/>
    <w:link w:val="10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name w:val="xl40"/>
    <w:basedOn w:val="1074"/>
    <w:next w:val="1188"/>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name w:val="xl52"/>
    <w:basedOn w:val="1074"/>
    <w:next w:val="1189"/>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0">
    <w:name w:val="xl43"/>
    <w:basedOn w:val="1074"/>
    <w:next w:val="1190"/>
    <w:link w:val="10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1">
    <w:name w:val="background1"/>
    <w:basedOn w:val="1074"/>
    <w:next w:val="1191"/>
    <w:link w:val="1074"/>
    <w:qFormat/>
    <w:pPr>
      <w:jc w:val="left"/>
      <w:spacing w:before="100" w:beforeAutospacing="1" w:after="100" w:afterAutospacing="1"/>
      <w:widowControl/>
    </w:pPr>
    <w:rPr>
      <w:rFonts w:ascii="宋体" w:hAnsi="宋体" w:cs="宋体"/>
      <w:sz w:val="24"/>
    </w:rPr>
  </w:style>
  <w:style w:type="paragraph" w:styleId="1192">
    <w:name w:val="Char Char Char Char Char Char Char"/>
    <w:basedOn w:val="1074"/>
    <w:next w:val="1192"/>
    <w:link w:val="1074"/>
    <w:qFormat/>
    <w:pPr>
      <w:ind w:firstLine="200"/>
      <w:spacing w:line="360" w:lineRule="auto"/>
    </w:pPr>
    <w:rPr>
      <w:rFonts w:eastAsia="仿宋_GB2312"/>
      <w:sz w:val="24"/>
    </w:rPr>
  </w:style>
  <w:style w:type="paragraph" w:styleId="1193">
    <w:name w:val="xl38"/>
    <w:basedOn w:val="1074"/>
    <w:next w:val="1193"/>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4">
    <w:name w:val="xl36"/>
    <w:basedOn w:val="1074"/>
    <w:next w:val="1194"/>
    <w:link w:val="107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正文 + 宋体"/>
    <w:basedOn w:val="1074"/>
    <w:next w:val="1195"/>
    <w:link w:val="1074"/>
    <w:qFormat/>
    <w:pPr>
      <w:ind w:left="360" w:hanging="360"/>
      <w:jc w:val="left"/>
      <w:widowControl/>
    </w:pPr>
    <w:rPr>
      <w:rFonts w:ascii="宋体" w:hAnsi="宋体" w:cs="宋体"/>
      <w:b/>
      <w:bCs/>
      <w:color w:val="000000"/>
      <w:sz w:val="18"/>
      <w:szCs w:val="18"/>
    </w:rPr>
  </w:style>
  <w:style w:type="paragraph" w:styleId="1196">
    <w:name w:val="正文列项_数字"/>
    <w:basedOn w:val="1074"/>
    <w:next w:val="1196"/>
    <w:link w:val="1074"/>
    <w:qFormat/>
    <w:pPr>
      <w:numPr>
        <w:ilvl w:val="7"/>
        <w:numId w:val="1"/>
      </w:numPr>
      <w:ind w:left="680" w:hanging="150"/>
      <w:spacing w:line="460" w:lineRule="exact"/>
      <w:tabs>
        <w:tab w:val="clear" w:pos="860" w:leader="none"/>
      </w:tabs>
      <w:outlineLvl w:val="7"/>
    </w:pPr>
    <w:rPr>
      <w:rFonts w:ascii="宋体"/>
      <w:sz w:val="28"/>
      <w:szCs w:val="20"/>
    </w:rPr>
  </w:style>
  <w:style w:type="paragraph" w:styleId="1197">
    <w:name w:val="xl39"/>
    <w:basedOn w:val="1074"/>
    <w:next w:val="1197"/>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xl37"/>
    <w:basedOn w:val="1074"/>
    <w:next w:val="1198"/>
    <w:link w:val="10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9">
    <w:name w:val="xl32"/>
    <w:basedOn w:val="1074"/>
    <w:next w:val="1199"/>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font8"/>
    <w:basedOn w:val="1074"/>
    <w:next w:val="1200"/>
    <w:link w:val="1074"/>
    <w:qFormat/>
    <w:pPr>
      <w:jc w:val="left"/>
      <w:spacing w:before="100" w:beforeAutospacing="1" w:after="100" w:afterAutospacing="1"/>
      <w:widowControl/>
    </w:pPr>
    <w:rPr>
      <w:sz w:val="36"/>
      <w:szCs w:val="36"/>
    </w:rPr>
  </w:style>
  <w:style w:type="paragraph" w:styleId="1201">
    <w:name w:val="Char"/>
    <w:basedOn w:val="1074"/>
    <w:next w:val="1201"/>
    <w:link w:val="1074"/>
    <w:qFormat/>
    <w:pPr>
      <w:tabs>
        <w:tab w:val="left" w:pos="360" w:leader="none"/>
      </w:tabs>
    </w:pPr>
    <w:rPr>
      <w:sz w:val="24"/>
    </w:rPr>
  </w:style>
  <w:style w:type="paragraph" w:styleId="1202">
    <w:name w:val="Char Char Char Char Char Char Char Char Char Char Char Char Char Char Char Char"/>
    <w:basedOn w:val="1074"/>
    <w:next w:val="1202"/>
    <w:link w:val="1074"/>
    <w:qFormat/>
    <w:pPr>
      <w:jc w:val="center"/>
      <w:spacing w:after="160" w:line="240" w:lineRule="exact"/>
      <w:widowControl/>
    </w:pPr>
    <w:rPr>
      <w:rFonts w:ascii="宋体" w:hAnsi="宋体"/>
      <w:b/>
      <w:sz w:val="30"/>
      <w:szCs w:val="30"/>
      <w:lang w:eastAsia="en-US"/>
    </w:rPr>
  </w:style>
  <w:style w:type="paragraph" w:styleId="1203">
    <w:name w:val="xl45"/>
    <w:basedOn w:val="1074"/>
    <w:next w:val="1203"/>
    <w:link w:val="10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4">
    <w:name w:val="Char Char1 Char Char Char Char Char Char"/>
    <w:basedOn w:val="1074"/>
    <w:next w:val="1204"/>
    <w:link w:val="1074"/>
    <w:qFormat/>
    <w:pPr>
      <w:jc w:val="left"/>
      <w:spacing w:after="160" w:line="240" w:lineRule="exact"/>
      <w:widowControl/>
    </w:pPr>
    <w:rPr>
      <w:rFonts w:ascii="Verdana" w:hAnsi="Verdana" w:eastAsia="仿宋_GB2312"/>
      <w:sz w:val="24"/>
      <w:szCs w:val="20"/>
      <w:lang w:eastAsia="en-US"/>
    </w:rPr>
  </w:style>
  <w:style w:type="paragraph" w:styleId="1205">
    <w:name w:val="Char Char1"/>
    <w:basedOn w:val="1099"/>
    <w:next w:val="1205"/>
    <w:link w:val="1074"/>
    <w:qFormat/>
    <w:rPr>
      <w:rFonts w:ascii="Tahoma" w:hAnsi="Tahoma"/>
      <w:sz w:val="24"/>
    </w:rPr>
  </w:style>
  <w:style w:type="paragraph" w:styleId="1206">
    <w:name w:val="xl26"/>
    <w:basedOn w:val="1074"/>
    <w:next w:val="1206"/>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7">
    <w:name w:val="xl30"/>
    <w:basedOn w:val="1074"/>
    <w:next w:val="1207"/>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name w:val="xl41"/>
    <w:basedOn w:val="1074"/>
    <w:next w:val="1208"/>
    <w:link w:val="107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9">
    <w:name w:val="样式 宋体 五号 行距: 单倍行距"/>
    <w:basedOn w:val="1074"/>
    <w:next w:val="1209"/>
    <w:link w:val="1074"/>
    <w:qFormat/>
    <w:pPr>
      <w:jc w:val="left"/>
    </w:pPr>
    <w:rPr>
      <w:rFonts w:ascii="宋体" w:hAnsi="宋体"/>
      <w:szCs w:val="20"/>
    </w:rPr>
  </w:style>
  <w:style w:type="paragraph" w:styleId="1210">
    <w:name w:val="Char1 Char Char Char1"/>
    <w:basedOn w:val="1074"/>
    <w:next w:val="1210"/>
    <w:link w:val="1074"/>
    <w:qFormat/>
    <w:rPr>
      <w:rFonts w:ascii="Tahoma" w:hAnsi="Tahoma" w:cs="仿宋_GB2312"/>
      <w:sz w:val="24"/>
      <w:szCs w:val="28"/>
    </w:rPr>
  </w:style>
  <w:style w:type="paragraph" w:styleId="1211">
    <w:name w:val="四级条标题"/>
    <w:basedOn w:val="1212"/>
    <w:next w:val="1074"/>
    <w:link w:val="1074"/>
    <w:qFormat/>
    <w:pPr>
      <w:numPr>
        <w:ilvl w:val="4"/>
      </w:numPr>
      <w:ind w:left="0" w:hanging="840"/>
      <w:tabs>
        <w:tab w:val="left" w:pos="360" w:leader="none"/>
        <w:tab w:val="left" w:pos="840" w:leader="none"/>
      </w:tabs>
      <w:outlineLvl w:val="4"/>
    </w:pPr>
  </w:style>
  <w:style w:type="paragraph" w:styleId="1212">
    <w:name w:val="三级条标题"/>
    <w:basedOn w:val="1174"/>
    <w:next w:val="1074"/>
    <w:link w:val="1074"/>
    <w:qFormat/>
    <w:pPr>
      <w:numPr>
        <w:ilvl w:val="3"/>
        <w:numId w:val="1"/>
      </w:numPr>
      <w:ind w:left="0" w:hanging="840"/>
      <w:tabs>
        <w:tab w:val="left" w:pos="360" w:leader="none"/>
        <w:tab w:val="left" w:pos="840" w:leader="none"/>
      </w:tabs>
      <w:outlineLvl w:val="3"/>
    </w:pPr>
  </w:style>
  <w:style w:type="paragraph" w:styleId="1213">
    <w:name w:val="??"/>
    <w:next w:val="1213"/>
    <w:link w:val="1074"/>
    <w:qFormat/>
    <w:pPr>
      <w:jc w:val="both"/>
      <w:widowControl w:val="off"/>
    </w:pPr>
    <w:rPr>
      <w:sz w:val="21"/>
      <w:lang w:val="en-US" w:eastAsia="en-US" w:bidi="ar-SA"/>
    </w:rPr>
  </w:style>
  <w:style w:type="paragraph" w:styleId="1214">
    <w:name w:val="样式 标题 2 + 宋体 五号 行距: 单倍行距"/>
    <w:basedOn w:val="1076"/>
    <w:next w:val="1214"/>
    <w:link w:val="107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5">
    <w:name w:val="List Paragraph1"/>
    <w:basedOn w:val="1074"/>
    <w:next w:val="1215"/>
    <w:link w:val="1074"/>
    <w:qFormat/>
    <w:pPr>
      <w:ind w:firstLine="420"/>
    </w:pPr>
    <w:rPr>
      <w:rFonts w:ascii="Calibri" w:hAnsi="Calibri"/>
      <w:szCs w:val="22"/>
    </w:rPr>
  </w:style>
  <w:style w:type="paragraph" w:styleId="1216">
    <w:name w:val="项目符号1"/>
    <w:basedOn w:val="1217"/>
    <w:next w:val="1216"/>
    <w:link w:val="1074"/>
    <w:qFormat/>
    <w:pPr>
      <w:ind w:left="-25" w:firstLine="0"/>
    </w:pPr>
  </w:style>
  <w:style w:type="paragraph" w:styleId="1217">
    <w:name w:val="正文文本样式"/>
    <w:basedOn w:val="1074"/>
    <w:next w:val="1217"/>
    <w:link w:val="1074"/>
    <w:qFormat/>
    <w:pPr>
      <w:ind w:firstLine="482"/>
      <w:spacing w:line="360" w:lineRule="auto"/>
    </w:pPr>
    <w:rPr>
      <w:rFonts w:cs="宋体"/>
      <w:sz w:val="24"/>
      <w:szCs w:val="20"/>
    </w:rPr>
  </w:style>
  <w:style w:type="paragraph" w:styleId="1218">
    <w:name w:val="xl27"/>
    <w:basedOn w:val="1074"/>
    <w:next w:val="1218"/>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name w:val="font5"/>
    <w:basedOn w:val="1074"/>
    <w:next w:val="1219"/>
    <w:link w:val="1074"/>
    <w:qFormat/>
    <w:pPr>
      <w:jc w:val="left"/>
      <w:spacing w:before="100" w:beforeAutospacing="1" w:after="100" w:afterAutospacing="1"/>
      <w:widowControl/>
    </w:pPr>
    <w:rPr>
      <w:rFonts w:ascii="宋体" w:hAnsi="宋体" w:cs="宋体"/>
      <w:sz w:val="18"/>
      <w:szCs w:val="18"/>
    </w:rPr>
  </w:style>
  <w:style w:type="paragraph" w:styleId="1220">
    <w:name w:val="五级条标题"/>
    <w:basedOn w:val="1211"/>
    <w:next w:val="1074"/>
    <w:link w:val="1074"/>
    <w:qFormat/>
    <w:pPr>
      <w:numPr>
        <w:ilvl w:val="5"/>
      </w:numPr>
      <w:ind w:left="0" w:hanging="840"/>
      <w:tabs>
        <w:tab w:val="left" w:pos="360" w:leader="none"/>
        <w:tab w:val="left" w:pos="840" w:leader="none"/>
      </w:tabs>
      <w:outlineLvl w:val="5"/>
    </w:pPr>
  </w:style>
  <w:style w:type="paragraph" w:styleId="1221">
    <w:name w:val="xl49"/>
    <w:basedOn w:val="1074"/>
    <w:next w:val="1221"/>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2">
    <w:name w:val="文档正文"/>
    <w:basedOn w:val="1074"/>
    <w:next w:val="1222"/>
    <w:link w:val="1074"/>
    <w:qFormat/>
    <w:pPr>
      <w:spacing w:before="120" w:after="120" w:line="180" w:lineRule="auto"/>
    </w:pPr>
    <w:rPr>
      <w:rFonts w:ascii="Arial" w:hAnsi="Arial"/>
      <w:szCs w:val="20"/>
    </w:rPr>
  </w:style>
  <w:style w:type="paragraph" w:styleId="1223">
    <w:name w:val="xl33"/>
    <w:basedOn w:val="1074"/>
    <w:next w:val="1223"/>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xl42"/>
    <w:basedOn w:val="1074"/>
    <w:next w:val="1224"/>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5">
    <w:name w:val="Char Char Char1 Char"/>
    <w:basedOn w:val="1074"/>
    <w:next w:val="1225"/>
    <w:link w:val="1074"/>
    <w:qFormat/>
    <w:rPr>
      <w:rFonts w:ascii="Tahoma" w:hAnsi="Tahoma"/>
      <w:sz w:val="24"/>
      <w:szCs w:val="20"/>
    </w:rPr>
  </w:style>
  <w:style w:type="paragraph" w:styleId="1226">
    <w:name w:val="xl44"/>
    <w:basedOn w:val="1074"/>
    <w:next w:val="1226"/>
    <w:link w:val="10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7">
    <w:name w:val="1名"/>
    <w:basedOn w:val="1074"/>
    <w:next w:val="1227"/>
    <w:link w:val="1074"/>
    <w:qFormat/>
    <w:pPr>
      <w:numPr>
        <w:ilvl w:val="0"/>
        <w:numId w:val="5"/>
      </w:numPr>
      <w:spacing w:before="120"/>
      <w:tabs>
        <w:tab w:val="left" w:pos="360" w:leader="none"/>
      </w:tabs>
    </w:pPr>
    <w:rPr>
      <w:rFonts w:ascii="宋体"/>
      <w:sz w:val="28"/>
      <w:szCs w:val="20"/>
    </w:rPr>
  </w:style>
  <w:style w:type="paragraph" w:styleId="1228">
    <w:name w:val="font9"/>
    <w:basedOn w:val="1074"/>
    <w:next w:val="1228"/>
    <w:link w:val="1074"/>
    <w:qFormat/>
    <w:pPr>
      <w:jc w:val="left"/>
      <w:spacing w:before="100" w:beforeAutospacing="1" w:after="100" w:afterAutospacing="1"/>
      <w:widowControl/>
    </w:pPr>
    <w:rPr>
      <w:rFonts w:hint="eastAsia" w:ascii="宋体" w:hAnsi="宋体" w:cs="Arial Unicode MS"/>
      <w:color w:val="000000"/>
      <w:sz w:val="20"/>
      <w:szCs w:val="20"/>
    </w:rPr>
  </w:style>
  <w:style w:type="paragraph" w:styleId="1229">
    <w:name w:val="Char Char Char1 Char1"/>
    <w:basedOn w:val="1074"/>
    <w:next w:val="1229"/>
    <w:link w:val="1074"/>
    <w:qFormat/>
    <w:rPr>
      <w:rFonts w:ascii="Tahoma" w:hAnsi="Tahoma"/>
      <w:sz w:val="24"/>
      <w:szCs w:val="20"/>
    </w:rPr>
  </w:style>
  <w:style w:type="paragraph" w:styleId="1230">
    <w:name w:val="Char Char Char Char Char Char Char Char Char Char"/>
    <w:basedOn w:val="1074"/>
    <w:next w:val="1230"/>
    <w:link w:val="1074"/>
    <w:qFormat/>
  </w:style>
  <w:style w:type="paragraph" w:styleId="1231">
    <w:name w:val="Char Char1 Char Char Char Char Char Char Char Char"/>
    <w:basedOn w:val="1074"/>
    <w:next w:val="1231"/>
    <w:link w:val="1074"/>
    <w:qFormat/>
    <w:pPr>
      <w:jc w:val="left"/>
      <w:spacing w:after="160" w:line="240" w:lineRule="exact"/>
      <w:widowControl/>
    </w:pPr>
    <w:rPr>
      <w:rFonts w:ascii="Verdana" w:hAnsi="Verdana"/>
      <w:sz w:val="20"/>
      <w:szCs w:val="20"/>
      <w:lang w:eastAsia="en-US"/>
    </w:rPr>
  </w:style>
  <w:style w:type="paragraph" w:styleId="1232">
    <w:name w:val="Char1"/>
    <w:basedOn w:val="1074"/>
    <w:next w:val="1232"/>
    <w:link w:val="1074"/>
    <w:qFormat/>
    <w:pPr>
      <w:tabs>
        <w:tab w:val="left" w:pos="360" w:leader="none"/>
      </w:tabs>
    </w:pPr>
    <w:rPr>
      <w:sz w:val="24"/>
    </w:rPr>
  </w:style>
  <w:style w:type="paragraph" w:styleId="1233">
    <w:name w:val="正文列项_字母"/>
    <w:basedOn w:val="1074"/>
    <w:next w:val="1233"/>
    <w:link w:val="1074"/>
    <w:qFormat/>
    <w:pPr>
      <w:numPr>
        <w:ilvl w:val="6"/>
        <w:numId w:val="1"/>
      </w:numPr>
      <w:ind w:left="480" w:hanging="180"/>
      <w:spacing w:line="460" w:lineRule="exact"/>
      <w:tabs>
        <w:tab w:val="clear" w:pos="635" w:leader="none"/>
      </w:tabs>
      <w:outlineLvl w:val="6"/>
    </w:pPr>
    <w:rPr>
      <w:rFonts w:ascii="宋体"/>
      <w:sz w:val="28"/>
      <w:szCs w:val="20"/>
    </w:rPr>
  </w:style>
  <w:style w:type="paragraph" w:styleId="1234">
    <w:name w:val="xl28"/>
    <w:basedOn w:val="1074"/>
    <w:next w:val="1234"/>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5">
    <w:name w:val="xl47"/>
    <w:basedOn w:val="1074"/>
    <w:next w:val="1235"/>
    <w:link w:val="10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默认段落字体 Para Char Char Char Char"/>
    <w:basedOn w:val="1074"/>
    <w:next w:val="1236"/>
    <w:link w:val="1074"/>
    <w:qFormat/>
    <w:rPr>
      <w:rFonts w:ascii="Arial" w:hAnsi="Arial" w:cs="Arial"/>
      <w:szCs w:val="21"/>
    </w:rPr>
  </w:style>
  <w:style w:type="paragraph" w:styleId="1237">
    <w:name w:val="xl48"/>
    <w:basedOn w:val="1074"/>
    <w:next w:val="1237"/>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8">
    <w:name w:val="xl31"/>
    <w:basedOn w:val="1074"/>
    <w:next w:val="1238"/>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9">
    <w:name w:val="xl53"/>
    <w:basedOn w:val="1074"/>
    <w:next w:val="1239"/>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Char Char Char"/>
    <w:basedOn w:val="1074"/>
    <w:next w:val="1240"/>
    <w:link w:val="1074"/>
    <w:qFormat/>
    <w:rPr>
      <w:rFonts w:ascii="Tahoma" w:hAnsi="Tahoma"/>
      <w:sz w:val="24"/>
      <w:szCs w:val="20"/>
    </w:rPr>
  </w:style>
  <w:style w:type="paragraph" w:styleId="1241">
    <w:name w:val="xl50"/>
    <w:basedOn w:val="1074"/>
    <w:next w:val="1241"/>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2">
    <w:name w:val="缺省文本"/>
    <w:basedOn w:val="1074"/>
    <w:next w:val="1242"/>
    <w:link w:val="1074"/>
    <w:qFormat/>
    <w:pPr>
      <w:jc w:val="left"/>
    </w:pPr>
    <w:rPr>
      <w:sz w:val="24"/>
    </w:rPr>
  </w:style>
  <w:style w:type="paragraph" w:styleId="1243">
    <w:name w:val="Char Char Char1"/>
    <w:basedOn w:val="1074"/>
    <w:next w:val="1243"/>
    <w:link w:val="1074"/>
    <w:qFormat/>
    <w:rPr>
      <w:rFonts w:ascii="Tahoma" w:hAnsi="Tahoma"/>
      <w:sz w:val="24"/>
      <w:szCs w:val="20"/>
    </w:rPr>
  </w:style>
  <w:style w:type="paragraph" w:styleId="1244">
    <w:name w:val="Char Char Char Char Char Char Char1"/>
    <w:basedOn w:val="1074"/>
    <w:next w:val="1244"/>
    <w:link w:val="1074"/>
    <w:qFormat/>
    <w:pPr>
      <w:ind w:firstLine="200"/>
      <w:spacing w:line="360" w:lineRule="auto"/>
    </w:pPr>
    <w:rPr>
      <w:rFonts w:eastAsia="仿宋_GB2312"/>
      <w:sz w:val="24"/>
    </w:rPr>
  </w:style>
  <w:style w:type="paragraph" w:styleId="1245">
    <w:name w:val="xl51"/>
    <w:basedOn w:val="1074"/>
    <w:next w:val="1245"/>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样式2"/>
    <w:basedOn w:val="1136"/>
    <w:next w:val="1246"/>
    <w:link w:val="1074"/>
    <w:qFormat/>
    <w:pPr>
      <w:jc w:val="center"/>
      <w:spacing w:line="360" w:lineRule="auto"/>
    </w:pPr>
    <w:rPr>
      <w:sz w:val="24"/>
    </w:rPr>
  </w:style>
  <w:style w:type="paragraph" w:styleId="1247">
    <w:name w:val="xl24"/>
    <w:basedOn w:val="1074"/>
    <w:next w:val="1247"/>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xl29"/>
    <w:basedOn w:val="1074"/>
    <w:next w:val="1248"/>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9">
    <w:name w:val="正文 + 楷体_GB2312"/>
    <w:basedOn w:val="1074"/>
    <w:next w:val="1249"/>
    <w:link w:val="1074"/>
    <w:qFormat/>
    <w:pPr>
      <w:jc w:val="left"/>
      <w:widowControl/>
    </w:pPr>
    <w:rPr>
      <w:rFonts w:ascii="楷体_GB2312" w:eastAsia="楷体_GB2312" w:cs="Arial"/>
      <w:sz w:val="24"/>
    </w:rPr>
  </w:style>
  <w:style w:type="paragraph" w:styleId="1250">
    <w:name w:val="xl34"/>
    <w:basedOn w:val="1074"/>
    <w:next w:val="1250"/>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1">
    <w:name w:val="1 Char Char Char Char"/>
    <w:basedOn w:val="1074"/>
    <w:next w:val="1251"/>
    <w:link w:val="1074"/>
    <w:qFormat/>
    <w:rPr>
      <w:rFonts w:ascii="Tahoma" w:hAnsi="Tahoma"/>
      <w:sz w:val="24"/>
      <w:szCs w:val="20"/>
    </w:rPr>
  </w:style>
  <w:style w:type="paragraph" w:styleId="1252">
    <w:name w:val="Default"/>
    <w:next w:val="1252"/>
    <w:link w:val="1074"/>
    <w:qFormat/>
    <w:pPr>
      <w:widowControl w:val="off"/>
    </w:pPr>
    <w:rPr>
      <w:rFonts w:ascii="Symbol" w:hAnsi="Symbol" w:cs="Symbol"/>
      <w:color w:val="000000"/>
      <w:sz w:val="24"/>
      <w:szCs w:val="24"/>
      <w:lang w:val="en-US" w:eastAsia="zh-CN" w:bidi="ar-SA"/>
    </w:rPr>
  </w:style>
  <w:style w:type="paragraph" w:styleId="1253">
    <w:name w:val="列出段落1"/>
    <w:basedOn w:val="1074"/>
    <w:next w:val="1253"/>
    <w:link w:val="1074"/>
    <w:qFormat/>
    <w:pPr>
      <w:ind w:firstLine="420"/>
    </w:pPr>
    <w:rPr>
      <w:rFonts w:ascii="Calibri" w:hAnsi="Calibri"/>
      <w:szCs w:val="22"/>
    </w:rPr>
  </w:style>
  <w:style w:type="paragraph" w:styleId="1254">
    <w:name w:val="default"/>
    <w:basedOn w:val="1074"/>
    <w:next w:val="1254"/>
    <w:link w:val="1074"/>
    <w:qFormat/>
    <w:pPr>
      <w:jc w:val="left"/>
      <w:spacing w:before="100" w:beforeAutospacing="1" w:after="100" w:afterAutospacing="1"/>
      <w:widowControl/>
    </w:pPr>
    <w:rPr>
      <w:rFonts w:ascii="宋体" w:hAnsi="宋体" w:cs="宋体"/>
      <w:sz w:val="24"/>
    </w:rPr>
  </w:style>
  <w:style w:type="paragraph" w:styleId="1255">
    <w:name w:val="字元 字元1"/>
    <w:basedOn w:val="1074"/>
    <w:next w:val="1255"/>
    <w:link w:val="1074"/>
    <w:qFormat/>
    <w:rPr>
      <w:rFonts w:ascii="Tahoma" w:hAnsi="Tahoma"/>
      <w:sz w:val="24"/>
      <w:szCs w:val="20"/>
    </w:rPr>
  </w:style>
  <w:style w:type="paragraph" w:styleId="1256">
    <w:name w:val="_Style 160"/>
    <w:next w:val="1256"/>
    <w:link w:val="1074"/>
    <w:qFormat/>
    <w:rPr>
      <w:sz w:val="21"/>
      <w:szCs w:val="24"/>
      <w:lang w:val="en-US" w:eastAsia="zh-CN" w:bidi="ar-SA"/>
    </w:rPr>
  </w:style>
  <w:style w:type="paragraph" w:styleId="1257">
    <w:name w:val="项目编号3"/>
    <w:basedOn w:val="1217"/>
    <w:next w:val="1257"/>
    <w:link w:val="1074"/>
    <w:qFormat/>
    <w:pPr>
      <w:numPr>
        <w:ilvl w:val="0"/>
        <w:numId w:val="6"/>
      </w:numPr>
    </w:pPr>
  </w:style>
  <w:style w:type="paragraph" w:styleId="1258">
    <w:name w:val="Char21"/>
    <w:basedOn w:val="1074"/>
    <w:next w:val="1258"/>
    <w:link w:val="1074"/>
    <w:qFormat/>
    <w:rPr>
      <w:rFonts w:ascii="Tahoma" w:hAnsi="Tahoma"/>
      <w:sz w:val="24"/>
      <w:szCs w:val="20"/>
    </w:rPr>
  </w:style>
  <w:style w:type="paragraph" w:styleId="1259">
    <w:name w:val="表格文字"/>
    <w:basedOn w:val="1107"/>
    <w:next w:val="1259"/>
    <w:link w:val="1074"/>
    <w:qFormat/>
    <w:pPr>
      <w:ind w:firstLine="0"/>
      <w:spacing w:before="20" w:after="20" w:line="240" w:lineRule="auto"/>
    </w:pPr>
    <w:rPr>
      <w:rFonts w:ascii="Century Gothic" w:hAnsi="Century Gothic"/>
      <w:sz w:val="20"/>
      <w:szCs w:val="20"/>
    </w:rPr>
  </w:style>
  <w:style w:type="paragraph" w:styleId="1260">
    <w:name w:val="Char Char Char Char Char Char Char Char Char Char1"/>
    <w:basedOn w:val="1074"/>
    <w:next w:val="1260"/>
    <w:link w:val="1074"/>
    <w:qFormat/>
    <w:rPr>
      <w:rFonts w:ascii="宋体" w:hAnsi="宋体" w:cs="Courier New"/>
      <w:sz w:val="32"/>
      <w:szCs w:val="32"/>
    </w:rPr>
  </w:style>
  <w:style w:type="paragraph" w:styleId="1261">
    <w:name w:val="正文文本样式 加粗"/>
    <w:basedOn w:val="1217"/>
    <w:next w:val="1261"/>
    <w:link w:val="1074"/>
    <w:qFormat/>
    <w:rPr>
      <w:b/>
    </w:rPr>
  </w:style>
  <w:style w:type="paragraph" w:styleId="1262">
    <w:name w:val="Char2 Char Char Char Char Char Char"/>
    <w:basedOn w:val="1074"/>
    <w:next w:val="1262"/>
    <w:link w:val="1074"/>
    <w:qFormat/>
    <w:pPr>
      <w:jc w:val="center"/>
      <w:spacing w:line="400" w:lineRule="exact"/>
      <w:widowControl/>
    </w:pPr>
  </w:style>
  <w:style w:type="paragraph" w:styleId="1263">
    <w:name w:val="Char Char4"/>
    <w:basedOn w:val="1074"/>
    <w:next w:val="1263"/>
    <w:link w:val="1074"/>
    <w:qFormat/>
    <w:pPr>
      <w:jc w:val="center"/>
      <w:spacing w:line="400" w:lineRule="exact"/>
      <w:widowControl/>
    </w:pPr>
  </w:style>
  <w:style w:type="paragraph" w:styleId="1264">
    <w:name w:val="Char3 Char Char Char1"/>
    <w:basedOn w:val="1074"/>
    <w:next w:val="1264"/>
    <w:link w:val="1074"/>
    <w:qFormat/>
    <w:rPr>
      <w:rFonts w:ascii="Tahoma" w:hAnsi="Tahoma"/>
      <w:sz w:val="24"/>
      <w:szCs w:val="20"/>
    </w:rPr>
  </w:style>
  <w:style w:type="paragraph" w:styleId="1265">
    <w:name w:val="无间隔"/>
    <w:next w:val="1265"/>
    <w:link w:val="1074"/>
    <w:qFormat/>
    <w:pPr>
      <w:jc w:val="both"/>
      <w:widowControl w:val="off"/>
    </w:pPr>
    <w:rPr>
      <w:sz w:val="21"/>
      <w:szCs w:val="24"/>
      <w:lang w:val="en-US" w:eastAsia="zh-CN" w:bidi="ar-SA"/>
    </w:rPr>
  </w:style>
  <w:style w:type="paragraph" w:styleId="1266">
    <w:name w:val="22222222222222"/>
    <w:basedOn w:val="1074"/>
    <w:next w:val="1266"/>
    <w:link w:val="1074"/>
    <w:qFormat/>
    <w:pPr>
      <w:ind w:firstLine="480"/>
      <w:jc w:val="left"/>
      <w:spacing w:line="360" w:lineRule="auto"/>
      <w:widowControl/>
    </w:pPr>
    <w:rPr>
      <w:color w:val="ff0000"/>
      <w:sz w:val="24"/>
      <w:szCs w:val="20"/>
    </w:rPr>
  </w:style>
  <w:style w:type="character" w:styleId="1267">
    <w:name w:val="中等深浅网格 1 - 强调文字颜色 2 Char"/>
    <w:next w:val="1267"/>
    <w:link w:val="1268"/>
    <w:qFormat/>
    <w:rPr>
      <w:sz w:val="21"/>
      <w:szCs w:val="24"/>
      <w:lang w:val="zh-CN" w:eastAsia="zh-CN" w:bidi="ar-SA"/>
    </w:rPr>
  </w:style>
  <w:style w:type="paragraph" w:styleId="1268">
    <w:name w:val="1"/>
    <w:next w:val="1268"/>
    <w:link w:val="1267"/>
    <w:qFormat/>
    <w:rPr>
      <w:sz w:val="21"/>
      <w:szCs w:val="24"/>
      <w:lang w:val="zh-CN" w:eastAsia="zh-CN" w:bidi="ar-SA"/>
    </w:rPr>
  </w:style>
  <w:style w:type="paragraph" w:styleId="1269">
    <w:name w:val="图文"/>
    <w:basedOn w:val="1074"/>
    <w:next w:val="1269"/>
    <w:link w:val="1074"/>
    <w:qFormat/>
    <w:pPr>
      <w:spacing w:after="50" w:line="360" w:lineRule="auto"/>
    </w:pPr>
    <w:rPr>
      <w:sz w:val="24"/>
    </w:rPr>
  </w:style>
  <w:style w:type="paragraph" w:styleId="1270">
    <w:name w:val="xl23"/>
    <w:basedOn w:val="1074"/>
    <w:next w:val="1270"/>
    <w:link w:val="1074"/>
    <w:qFormat/>
    <w:pPr>
      <w:spacing w:before="100" w:beforeAutospacing="1" w:after="100" w:afterAutospacing="1" w:line="360" w:lineRule="auto"/>
      <w:widowControl/>
    </w:pPr>
    <w:rPr>
      <w:sz w:val="24"/>
      <w:szCs w:val="20"/>
    </w:rPr>
  </w:style>
  <w:style w:type="paragraph" w:styleId="1271">
    <w:name w:val="正文表格"/>
    <w:basedOn w:val="1074"/>
    <w:next w:val="1271"/>
    <w:link w:val="1272"/>
    <w:qFormat/>
    <w:pPr>
      <w:jc w:val="left"/>
    </w:pPr>
    <w:rPr>
      <w:rFonts w:ascii="宋体" w:hAnsi="宋体"/>
      <w:color w:val="000000"/>
      <w:szCs w:val="21"/>
    </w:rPr>
  </w:style>
  <w:style w:type="character" w:styleId="1272">
    <w:name w:val="正文表格 Char"/>
    <w:next w:val="1272"/>
    <w:link w:val="1271"/>
    <w:qFormat/>
    <w:rPr>
      <w:rFonts w:ascii="宋体" w:hAnsi="宋体"/>
      <w:color w:val="000000"/>
      <w:sz w:val="21"/>
      <w:szCs w:val="21"/>
    </w:rPr>
  </w:style>
  <w:style w:type="paragraph" w:styleId="1273">
    <w:name w:val="正文重点"/>
    <w:basedOn w:val="1074"/>
    <w:next w:val="1273"/>
    <w:link w:val="1274"/>
    <w:qFormat/>
    <w:pPr>
      <w:ind w:firstLine="482"/>
      <w:jc w:val="left"/>
      <w:spacing w:line="360" w:lineRule="auto"/>
    </w:pPr>
    <w:rPr>
      <w:b/>
      <w:sz w:val="24"/>
      <w:szCs w:val="20"/>
    </w:rPr>
  </w:style>
  <w:style w:type="character" w:styleId="1274">
    <w:name w:val="正文重点 Char"/>
    <w:next w:val="1274"/>
    <w:link w:val="1273"/>
    <w:qFormat/>
    <w:rPr>
      <w:b/>
      <w:sz w:val="24"/>
    </w:rPr>
  </w:style>
  <w:style w:type="paragraph" w:styleId="1275">
    <w:name w:val="标题1-附件"/>
    <w:basedOn w:val="1075"/>
    <w:next w:val="1275"/>
    <w:link w:val="1074"/>
    <w:qFormat/>
    <w:pPr>
      <w:jc w:val="left"/>
    </w:pPr>
    <w:rPr>
      <w:sz w:val="24"/>
      <w:szCs w:val="24"/>
    </w:rPr>
  </w:style>
  <w:style w:type="paragraph" w:styleId="1276">
    <w:name w:val="正文小标题"/>
    <w:basedOn w:val="1074"/>
    <w:next w:val="1088"/>
    <w:link w:val="1277"/>
    <w:qFormat/>
    <w:pPr>
      <w:ind w:firstLine="482"/>
      <w:jc w:val="left"/>
      <w:spacing w:before="312" w:after="312"/>
    </w:pPr>
    <w:rPr>
      <w:rFonts w:ascii="宋体" w:hAnsi="宋体"/>
      <w:b/>
      <w:i/>
      <w:color w:val="ff0000"/>
      <w:sz w:val="24"/>
      <w:szCs w:val="20"/>
    </w:rPr>
  </w:style>
  <w:style w:type="character" w:styleId="1277">
    <w:name w:val="正文小标题 Char"/>
    <w:next w:val="1277"/>
    <w:link w:val="1276"/>
    <w:qFormat/>
    <w:rPr>
      <w:rFonts w:ascii="宋体" w:hAnsi="宋体"/>
      <w:b/>
      <w:i/>
      <w:color w:val="ff0000"/>
      <w:sz w:val="24"/>
    </w:rPr>
  </w:style>
  <w:style w:type="paragraph" w:styleId="1278">
    <w:name w:val="正文大标题"/>
    <w:basedOn w:val="1276"/>
    <w:next w:val="1088"/>
    <w:link w:val="1279"/>
    <w:qFormat/>
    <w:pPr>
      <w:jc w:val="center"/>
    </w:pPr>
    <w:rPr>
      <w:i w:val="0"/>
      <w:color w:val="000000"/>
      <w:sz w:val="28"/>
      <w:szCs w:val="21"/>
    </w:rPr>
  </w:style>
  <w:style w:type="character" w:styleId="1279">
    <w:name w:val="正文大标题 Char"/>
    <w:next w:val="1279"/>
    <w:link w:val="1278"/>
    <w:qFormat/>
    <w:rPr>
      <w:rFonts w:ascii="宋体" w:hAnsi="宋体"/>
      <w:b/>
      <w:color w:val="000000"/>
      <w:sz w:val="28"/>
      <w:szCs w:val="21"/>
    </w:rPr>
  </w:style>
  <w:style w:type="paragraph" w:styleId="1280">
    <w:name w:val="注释"/>
    <w:basedOn w:val="1074"/>
    <w:next w:val="1280"/>
    <w:link w:val="1281"/>
    <w:qFormat/>
    <w:pPr>
      <w:ind w:left="420" w:hanging="420"/>
      <w:jc w:val="left"/>
    </w:pPr>
    <w:rPr>
      <w:rFonts w:ascii="宋体" w:hAnsi="宋体"/>
      <w:szCs w:val="21"/>
    </w:rPr>
  </w:style>
  <w:style w:type="character" w:styleId="1281">
    <w:name w:val="注释 Char"/>
    <w:next w:val="1281"/>
    <w:link w:val="1280"/>
    <w:qFormat/>
    <w:rPr>
      <w:rFonts w:ascii="宋体" w:hAnsi="宋体"/>
      <w:sz w:val="21"/>
      <w:szCs w:val="21"/>
    </w:rPr>
  </w:style>
  <w:style w:type="paragraph" w:styleId="1282">
    <w:name w:val="正文须知-1级"/>
    <w:basedOn w:val="1074"/>
    <w:next w:val="1074"/>
    <w:link w:val="1074"/>
    <w:qFormat/>
    <w:pPr>
      <w:numPr>
        <w:ilvl w:val="0"/>
        <w:numId w:val="7"/>
      </w:numPr>
      <w:spacing w:line="300" w:lineRule="auto"/>
    </w:pPr>
    <w:rPr>
      <w:rFonts w:ascii="宋体" w:hAnsi="Calibri"/>
      <w:sz w:val="24"/>
      <w:szCs w:val="21"/>
    </w:rPr>
  </w:style>
  <w:style w:type="paragraph" w:styleId="1283">
    <w:name w:val="正文须知-2级"/>
    <w:basedOn w:val="1074"/>
    <w:next w:val="1283"/>
    <w:link w:val="1074"/>
    <w:qFormat/>
    <w:pPr>
      <w:numPr>
        <w:ilvl w:val="1"/>
        <w:numId w:val="7"/>
      </w:numPr>
      <w:spacing w:line="300" w:lineRule="auto"/>
    </w:pPr>
    <w:rPr>
      <w:rFonts w:ascii="宋体" w:hAnsi="Calibri"/>
      <w:sz w:val="24"/>
      <w:szCs w:val="21"/>
    </w:rPr>
  </w:style>
  <w:style w:type="paragraph" w:styleId="1284">
    <w:name w:val="正文须知-3级"/>
    <w:basedOn w:val="1074"/>
    <w:next w:val="1284"/>
    <w:link w:val="1074"/>
    <w:qFormat/>
    <w:pPr>
      <w:numPr>
        <w:ilvl w:val="2"/>
        <w:numId w:val="7"/>
      </w:numPr>
      <w:ind w:hanging="355"/>
      <w:spacing w:line="300" w:lineRule="auto"/>
    </w:pPr>
    <w:rPr>
      <w:rFonts w:ascii="宋体" w:hAnsi="Calibri"/>
      <w:sz w:val="24"/>
      <w:szCs w:val="21"/>
    </w:rPr>
  </w:style>
  <w:style w:type="character" w:styleId="1285">
    <w:name w:val="纯文本 字符"/>
    <w:next w:val="1285"/>
    <w:link w:val="1074"/>
    <w:uiPriority w:val="99"/>
    <w:qFormat/>
    <w:rPr>
      <w:rFonts w:ascii="宋体" w:hAnsi="Courier New" w:eastAsia="宋体" w:cs="Times New Roman"/>
      <w:sz w:val="21"/>
      <w:szCs w:val="21"/>
      <w:lang w:val="en-US" w:eastAsia="zh-CN" w:bidi="ar-SA"/>
    </w:rPr>
  </w:style>
  <w:style w:type="paragraph" w:styleId="1286">
    <w:name w:val="表格1"/>
    <w:basedOn w:val="1074"/>
    <w:next w:val="1286"/>
    <w:link w:val="1074"/>
    <w:qFormat/>
    <w:pPr>
      <w:ind w:firstLine="480"/>
      <w:jc w:val="center"/>
    </w:pPr>
    <w:rPr>
      <w:sz w:val="24"/>
      <w:szCs w:val="20"/>
    </w:rPr>
  </w:style>
  <w:style w:type="character" w:styleId="1287">
    <w:name w:val="纯文本 字符1"/>
    <w:next w:val="1287"/>
    <w:link w:val="1074"/>
    <w:qFormat/>
    <w:rPr>
      <w:rFonts w:ascii="宋体" w:hAnsi="Courier New"/>
    </w:rPr>
  </w:style>
  <w:style w:type="character" w:styleId="1288">
    <w:name w:val="bjh-p"/>
    <w:next w:val="1288"/>
    <w:link w:val="1074"/>
    <w:qFormat/>
  </w:style>
  <w:style w:type="paragraph" w:styleId="1289">
    <w:name w:val="无标题条"/>
    <w:next w:val="1074"/>
    <w:link w:val="1074"/>
    <w:qFormat/>
    <w:pPr>
      <w:jc w:val="both"/>
    </w:pPr>
    <w:rPr>
      <w:sz w:val="21"/>
      <w:lang w:val="en-US" w:eastAsia="zh-CN" w:bidi="ar-SA"/>
    </w:rPr>
  </w:style>
  <w:style w:type="character" w:styleId="1290">
    <w:name w:val="正文格式 Char"/>
    <w:next w:val="1290"/>
    <w:link w:val="1291"/>
    <w:qFormat/>
    <w:rPr>
      <w:rFonts w:ascii="宋体" w:hAnsi="宋体"/>
      <w:sz w:val="24"/>
      <w:szCs w:val="24"/>
      <w:lang w:val="en-GB"/>
    </w:rPr>
  </w:style>
  <w:style w:type="paragraph" w:styleId="1291">
    <w:name w:val="正文格式"/>
    <w:basedOn w:val="1074"/>
    <w:next w:val="1291"/>
    <w:link w:val="1290"/>
    <w:qFormat/>
    <w:pPr>
      <w:ind w:firstLine="480"/>
      <w:spacing w:line="360" w:lineRule="auto"/>
    </w:pPr>
    <w:rPr>
      <w:rFonts w:ascii="宋体" w:hAnsi="宋体"/>
      <w:sz w:val="24"/>
      <w:lang w:val="en-GB"/>
    </w:rPr>
  </w:style>
  <w:style w:type="character" w:styleId="1292">
    <w:name w:val="标题 3 Char"/>
    <w:next w:val="1292"/>
    <w:link w:val="1074"/>
    <w:qFormat/>
    <w:rPr>
      <w:rFonts w:ascii="宋体" w:eastAsia="宋体"/>
      <w:b/>
      <w:sz w:val="24"/>
      <w:u w:val="single"/>
      <w:lang w:val="en-US" w:eastAsia="zh-CN" w:bidi="ar-SA"/>
    </w:rPr>
  </w:style>
  <w:style w:type="character" w:styleId="1293">
    <w:name w:val="正文缩进 Char"/>
    <w:next w:val="1293"/>
    <w:link w:val="1074"/>
    <w:qFormat/>
    <w:rPr>
      <w:rFonts w:ascii="宋体" w:eastAsia="宋体"/>
      <w:sz w:val="24"/>
      <w:szCs w:val="24"/>
      <w:lang w:val="en-US" w:eastAsia="zh-CN" w:bidi="ar-SA"/>
    </w:rPr>
  </w:style>
  <w:style w:type="character" w:styleId="1294">
    <w:name w:val="Char Char111"/>
    <w:next w:val="1294"/>
    <w:link w:val="1074"/>
    <w:qFormat/>
    <w:rPr>
      <w:rFonts w:ascii="宋体" w:eastAsia="宋体"/>
      <w:b/>
      <w:sz w:val="24"/>
      <w:u w:val="single"/>
      <w:lang w:val="en-US" w:eastAsia="zh-CN" w:bidi="ar-SA"/>
    </w:rPr>
  </w:style>
  <w:style w:type="character" w:styleId="1295">
    <w:name w:val="正文文本缩进 Char"/>
    <w:next w:val="1295"/>
    <w:link w:val="1074"/>
    <w:qFormat/>
    <w:rPr>
      <w:rFonts w:eastAsia="宋体"/>
      <w:sz w:val="24"/>
      <w:szCs w:val="24"/>
      <w:lang w:val="en-US" w:eastAsia="zh-CN" w:bidi="ar-SA"/>
    </w:rPr>
  </w:style>
  <w:style w:type="character" w:styleId="1296">
    <w:name w:val="列出段落 Char"/>
    <w:next w:val="1296"/>
    <w:link w:val="1074"/>
    <w:qFormat/>
    <w:rPr>
      <w:rFonts w:ascii="Calibri" w:hAnsi="Calibri" w:eastAsia="宋体"/>
      <w:sz w:val="21"/>
      <w:szCs w:val="22"/>
      <w:lang w:val="en-US" w:eastAsia="zh-CN" w:bidi="ar-SA"/>
    </w:rPr>
  </w:style>
  <w:style w:type="character" w:styleId="1297">
    <w:name w:val="页眉 Char"/>
    <w:next w:val="1297"/>
    <w:link w:val="1074"/>
    <w:qFormat/>
    <w:rPr>
      <w:rFonts w:eastAsia="宋体"/>
      <w:sz w:val="18"/>
      <w:szCs w:val="18"/>
      <w:lang w:val="en-US" w:eastAsia="zh-CN" w:bidi="ar-SA"/>
    </w:rPr>
  </w:style>
  <w:style w:type="character" w:styleId="1298">
    <w:name w:val="标题 2 Char"/>
    <w:next w:val="1298"/>
    <w:link w:val="1074"/>
    <w:qFormat/>
    <w:rPr>
      <w:rFonts w:ascii="Arial" w:hAnsi="Arial" w:eastAsia="黑体"/>
      <w:b/>
      <w:sz w:val="30"/>
      <w:lang w:val="en-US" w:eastAsia="zh-CN" w:bidi="ar-SA"/>
    </w:rPr>
  </w:style>
  <w:style w:type="paragraph" w:styleId="1299">
    <w:name w:val="字元 字元2"/>
    <w:basedOn w:val="1074"/>
    <w:next w:val="1299"/>
    <w:link w:val="1074"/>
    <w:qFormat/>
    <w:rPr>
      <w:rFonts w:ascii="Tahoma" w:hAnsi="Tahoma"/>
      <w:sz w:val="24"/>
      <w:szCs w:val="20"/>
    </w:rPr>
  </w:style>
  <w:style w:type="paragraph" w:styleId="1300">
    <w:name w:val="Char3 Char Char Char2"/>
    <w:basedOn w:val="1074"/>
    <w:next w:val="1300"/>
    <w:link w:val="1074"/>
    <w:qFormat/>
    <w:rPr>
      <w:rFonts w:ascii="Tahoma" w:hAnsi="Tahoma"/>
      <w:sz w:val="24"/>
      <w:szCs w:val="20"/>
    </w:rPr>
  </w:style>
  <w:style w:type="paragraph" w:styleId="1301">
    <w:name w:val="正文文本缩进2"/>
    <w:basedOn w:val="1074"/>
    <w:next w:val="1301"/>
    <w:link w:val="1074"/>
    <w:qFormat/>
    <w:pPr>
      <w:ind w:firstLine="480"/>
      <w:spacing w:line="480" w:lineRule="exact"/>
    </w:pPr>
    <w:rPr>
      <w:rFonts w:ascii="宋体" w:hAnsi="宋体"/>
      <w:sz w:val="24"/>
      <w:lang w:val="zh-CN" w:eastAsia="zh-CN"/>
    </w:rPr>
  </w:style>
  <w:style w:type="paragraph" w:styleId="1302">
    <w:name w:val="Char3"/>
    <w:basedOn w:val="1074"/>
    <w:next w:val="1302"/>
    <w:link w:val="1074"/>
    <w:qFormat/>
    <w:pPr>
      <w:tabs>
        <w:tab w:val="left" w:pos="360" w:leader="none"/>
      </w:tabs>
    </w:pPr>
    <w:rPr>
      <w:sz w:val="24"/>
    </w:rPr>
  </w:style>
  <w:style w:type="paragraph" w:styleId="1303">
    <w:name w:val="Char Char Char Char Char Char Char Char Char Char Char Char Char Char Char Char1"/>
    <w:basedOn w:val="1074"/>
    <w:next w:val="1303"/>
    <w:link w:val="1074"/>
    <w:qFormat/>
    <w:pPr>
      <w:jc w:val="center"/>
      <w:spacing w:after="160" w:line="240" w:lineRule="exact"/>
      <w:widowControl/>
    </w:pPr>
    <w:rPr>
      <w:rFonts w:ascii="宋体" w:hAnsi="宋体"/>
      <w:b/>
      <w:sz w:val="30"/>
      <w:szCs w:val="30"/>
      <w:lang w:eastAsia="en-US"/>
    </w:rPr>
  </w:style>
  <w:style w:type="paragraph" w:styleId="1304">
    <w:name w:val="Char Char1 Char Char Char Char Char Char1"/>
    <w:basedOn w:val="1074"/>
    <w:next w:val="1304"/>
    <w:link w:val="1074"/>
    <w:qFormat/>
    <w:pPr>
      <w:jc w:val="left"/>
      <w:spacing w:after="160" w:line="240" w:lineRule="exact"/>
      <w:widowControl/>
    </w:pPr>
    <w:rPr>
      <w:rFonts w:ascii="Verdana" w:hAnsi="Verdana" w:eastAsia="仿宋_GB2312"/>
      <w:sz w:val="24"/>
      <w:szCs w:val="20"/>
      <w:lang w:eastAsia="en-US"/>
    </w:rPr>
  </w:style>
  <w:style w:type="paragraph" w:styleId="1305">
    <w:name w:val="列出段落2"/>
    <w:basedOn w:val="1074"/>
    <w:next w:val="1305"/>
    <w:link w:val="1074"/>
    <w:qFormat/>
    <w:pPr>
      <w:ind w:firstLine="420"/>
    </w:pPr>
    <w:rPr>
      <w:rFonts w:ascii="Calibri" w:hAnsi="Calibri"/>
      <w:szCs w:val="22"/>
    </w:rPr>
  </w:style>
  <w:style w:type="paragraph" w:styleId="1306">
    <w:name w:val="Char Char Char1 Char2"/>
    <w:basedOn w:val="1074"/>
    <w:next w:val="1306"/>
    <w:link w:val="1074"/>
    <w:qFormat/>
    <w:rPr>
      <w:rFonts w:ascii="Tahoma" w:hAnsi="Tahoma"/>
      <w:sz w:val="24"/>
      <w:szCs w:val="20"/>
    </w:rPr>
  </w:style>
  <w:style w:type="paragraph" w:styleId="1307">
    <w:name w:val="Char Char Char2"/>
    <w:basedOn w:val="1074"/>
    <w:next w:val="1307"/>
    <w:link w:val="1074"/>
    <w:qFormat/>
    <w:rPr>
      <w:rFonts w:ascii="Tahoma" w:hAnsi="Tahoma"/>
      <w:sz w:val="24"/>
      <w:szCs w:val="20"/>
    </w:rPr>
  </w:style>
  <w:style w:type="paragraph" w:styleId="1308">
    <w:name w:val="Char Char Char Char Char Char Char2"/>
    <w:basedOn w:val="1074"/>
    <w:next w:val="1308"/>
    <w:link w:val="1074"/>
    <w:qFormat/>
    <w:pPr>
      <w:ind w:firstLine="200"/>
      <w:spacing w:line="360" w:lineRule="auto"/>
    </w:pPr>
    <w:rPr>
      <w:rFonts w:eastAsia="仿宋_GB2312"/>
      <w:sz w:val="24"/>
    </w:rPr>
  </w:style>
  <w:style w:type="paragraph" w:styleId="1309">
    <w:name w:val="正文缩进2"/>
    <w:basedOn w:val="1074"/>
    <w:next w:val="1309"/>
    <w:link w:val="1074"/>
    <w:qFormat/>
    <w:pPr>
      <w:ind w:firstLine="567"/>
      <w:spacing w:line="480" w:lineRule="exact"/>
      <w:widowControl/>
    </w:pPr>
    <w:rPr>
      <w:rFonts w:ascii="宋体"/>
      <w:color w:val="000000"/>
      <w:sz w:val="28"/>
      <w:szCs w:val="20"/>
      <w:lang w:val="zh-CN" w:eastAsia="zh-CN"/>
    </w:rPr>
  </w:style>
  <w:style w:type="paragraph" w:styleId="1310">
    <w:name w:val="Revision"/>
    <w:next w:val="1310"/>
    <w:link w:val="1074"/>
    <w:qFormat/>
    <w:rPr>
      <w:sz w:val="21"/>
      <w:szCs w:val="24"/>
      <w:lang w:val="en-US" w:eastAsia="zh-CN" w:bidi="ar-SA"/>
    </w:rPr>
  </w:style>
  <w:style w:type="paragraph" w:styleId="1311">
    <w:name w:val="Char22"/>
    <w:basedOn w:val="1074"/>
    <w:next w:val="1311"/>
    <w:link w:val="1074"/>
    <w:qFormat/>
    <w:rPr>
      <w:rFonts w:ascii="Tahoma" w:hAnsi="Tahoma"/>
      <w:sz w:val="24"/>
      <w:szCs w:val="20"/>
    </w:rPr>
  </w:style>
  <w:style w:type="paragraph" w:styleId="1312">
    <w:name w:val="Char Char Char Char Char Char Char Char Char Char2"/>
    <w:basedOn w:val="1074"/>
    <w:next w:val="1312"/>
    <w:link w:val="1074"/>
    <w:qFormat/>
    <w:rPr>
      <w:rFonts w:ascii="宋体" w:hAnsi="宋体" w:cs="Courier New"/>
      <w:sz w:val="32"/>
      <w:szCs w:val="32"/>
    </w:rPr>
  </w:style>
  <w:style w:type="paragraph" w:styleId="1313">
    <w:name w:val="Char2 Char Char Char Char Char Char1"/>
    <w:basedOn w:val="1074"/>
    <w:next w:val="1313"/>
    <w:link w:val="1074"/>
    <w:qFormat/>
    <w:pPr>
      <w:jc w:val="center"/>
      <w:spacing w:line="400" w:lineRule="exact"/>
      <w:widowControl/>
    </w:pPr>
  </w:style>
  <w:style w:type="character" w:styleId="1314">
    <w:name w:val="页脚 Char"/>
    <w:next w:val="1314"/>
    <w:link w:val="1074"/>
    <w:qFormat/>
    <w:rPr>
      <w:rFonts w:ascii="宋体" w:eastAsia="宋体"/>
      <w:sz w:val="18"/>
      <w:lang w:val="en-US" w:eastAsia="zh-CN" w:bidi="ar-SA"/>
    </w:rPr>
  </w:style>
  <w:style w:type="paragraph" w:styleId="1315">
    <w:name w:val="Char Char41"/>
    <w:basedOn w:val="1074"/>
    <w:next w:val="1315"/>
    <w:link w:val="1074"/>
    <w:qFormat/>
    <w:pPr>
      <w:jc w:val="center"/>
      <w:spacing w:line="400" w:lineRule="exact"/>
      <w:widowControl/>
    </w:pPr>
  </w:style>
  <w:style w:type="character" w:styleId="1316">
    <w:name w:val="批注文字 Char"/>
    <w:next w:val="1316"/>
    <w:link w:val="1074"/>
    <w:uiPriority w:val="99"/>
    <w:qFormat/>
    <w:rPr>
      <w:sz w:val="21"/>
      <w:szCs w:val="24"/>
    </w:rPr>
  </w:style>
  <w:style w:type="character" w:styleId="1317">
    <w:name w:val="标题 Char"/>
    <w:next w:val="1317"/>
    <w:link w:val="1074"/>
    <w:qFormat/>
    <w:rPr>
      <w:b/>
      <w:sz w:val="32"/>
    </w:rPr>
  </w:style>
  <w:style w:type="paragraph" w:styleId="1318">
    <w:name w:val="图例"/>
    <w:basedOn w:val="1074"/>
    <w:next w:val="1318"/>
    <w:link w:val="1074"/>
    <w:qFormat/>
    <w:pPr>
      <w:jc w:val="center"/>
      <w:spacing w:before="120" w:after="120" w:line="360" w:lineRule="auto"/>
    </w:pPr>
    <w:rPr>
      <w:rFonts w:eastAsia="仿宋_GB2312"/>
      <w:b/>
      <w:sz w:val="24"/>
      <w:szCs w:val="20"/>
    </w:rPr>
  </w:style>
  <w:style w:type="table" w:styleId="1319">
    <w:name w:val="Table Normal"/>
    <w:next w:val="1319"/>
    <w:link w:val="1074"/>
    <w:uiPriority w:val="2"/>
    <w:unhideWhenUsed/>
    <w:qFormat/>
    <w:pPr>
      <w:widowControl w:val="off"/>
    </w:pPr>
    <w:rPr>
      <w:rFonts w:ascii="Calibri" w:hAnsi="Calibri"/>
      <w:sz w:val="22"/>
      <w:szCs w:val="22"/>
      <w:lang w:val="en-US" w:eastAsia="en-US" w:bidi="ar-SA"/>
    </w:rPr>
    <w:tblPr/>
  </w:style>
  <w:style w:type="paragraph" w:styleId="1320">
    <w:name w:val="Table Paragraph"/>
    <w:basedOn w:val="1074"/>
    <w:next w:val="1320"/>
    <w:link w:val="1074"/>
    <w:uiPriority w:val="1"/>
    <w:qFormat/>
    <w:pPr>
      <w:jc w:val="left"/>
    </w:pPr>
    <w:rPr>
      <w:rFonts w:ascii="宋体" w:hAnsi="宋体" w:cs="宋体"/>
      <w:sz w:val="22"/>
      <w:szCs w:val="22"/>
      <w:lang w:eastAsia="en-US"/>
    </w:rPr>
  </w:style>
  <w:style w:type="paragraph" w:styleId="1321">
    <w:name w:val="成文日期"/>
    <w:basedOn w:val="1074"/>
    <w:next w:val="1321"/>
    <w:link w:val="1322"/>
    <w:qFormat/>
    <w:pPr>
      <w:ind w:right="400" w:firstLine="200"/>
      <w:jc w:val="right"/>
      <w:spacing w:line="570" w:lineRule="exact"/>
    </w:pPr>
    <w:rPr>
      <w:rFonts w:ascii="仿宋_GB2312" w:eastAsia="仿宋_GB2312"/>
      <w:sz w:val="32"/>
      <w:szCs w:val="20"/>
    </w:rPr>
  </w:style>
  <w:style w:type="character" w:styleId="1322">
    <w:name w:val="成文日期 Char"/>
    <w:next w:val="1322"/>
    <w:link w:val="1321"/>
    <w:rPr>
      <w:rFonts w:ascii="仿宋_GB2312" w:eastAsia="仿宋_GB2312"/>
      <w:sz w:val="32"/>
    </w:rPr>
  </w:style>
  <w:style w:type="paragraph" w:styleId="1323">
    <w:name w:val="修订"/>
    <w:next w:val="1323"/>
    <w:link w:val="1074"/>
    <w:uiPriority w:val="99"/>
    <w:unhideWhenUsed/>
    <w:rPr>
      <w:sz w:val="21"/>
      <w:szCs w:val="24"/>
      <w:lang w:val="en-US" w:eastAsia="zh-CN" w:bidi="ar-SA"/>
    </w:rPr>
  </w:style>
  <w:style w:type="character" w:styleId="1324">
    <w:name w:val="正文缩进 字符"/>
    <w:next w:val="1324"/>
    <w:link w:val="1074"/>
    <w:uiPriority w:val="99"/>
    <w:qFormat/>
    <w:rPr>
      <w:rFonts w:ascii="宋体" w:hAnsi="Times New Roman" w:eastAsia="宋体" w:cs="Times New Roman"/>
      <w:sz w:val="24"/>
    </w:rPr>
  </w:style>
  <w:style w:type="character" w:styleId="1325">
    <w:name w:val="正文文本 字符"/>
    <w:next w:val="1325"/>
    <w:link w:val="1074"/>
    <w:qFormat/>
    <w:rPr>
      <w:rFonts w:ascii="宋体" w:hAnsi="宋体"/>
      <w:sz w:val="24"/>
      <w:szCs w:val="24"/>
    </w:rPr>
  </w:style>
  <w:style w:type="paragraph" w:styleId="1326">
    <w:name w:val="纯文本1"/>
    <w:next w:val="1127"/>
    <w:link w:val="1074"/>
    <w:qFormat/>
    <w:pPr>
      <w:jc w:val="both"/>
      <w:widowControl w:val="off"/>
    </w:pPr>
    <w:rPr>
      <w:rFonts w:ascii="宋体" w:hAnsi="宋体"/>
      <w:sz w:val="26"/>
      <w:szCs w:val="24"/>
      <w:lang w:val="en-US" w:eastAsia="zh-CN" w:bidi="ar-SA"/>
    </w:rPr>
  </w:style>
  <w:style w:type="paragraph" w:styleId="1327">
    <w:name w:val="AONormal"/>
    <w:next w:val="1327"/>
    <w:link w:val="1074"/>
    <w:qFormat/>
    <w:pPr>
      <w:ind w:firstLine="440"/>
      <w:spacing w:line="400" w:lineRule="exact"/>
    </w:pPr>
    <w:rPr>
      <w:rFonts w:ascii="华文楷体" w:hAnsi="华文楷体" w:eastAsia="华文楷体" w:cs="华文楷体"/>
      <w:sz w:val="22"/>
      <w:szCs w:val="21"/>
      <w:lang w:val="en-US" w:eastAsia="zh-CN" w:bidi="ar-SA"/>
    </w:rPr>
  </w:style>
  <w:style w:type="paragraph" w:styleId="1328">
    <w:name w:val="正文11"/>
    <w:next w:val="1328"/>
    <w:link w:val="1074"/>
    <w:uiPriority w:val="99"/>
    <w:qFormat/>
    <w:pPr>
      <w:spacing w:line="240" w:lineRule="atLeast"/>
      <w:widowControl w:val="off"/>
    </w:pPr>
    <w:rPr>
      <w:rFonts w:ascii="宋体" w:hAnsi="Times New Roman" w:eastAsia="宋体" w:cs="宋体"/>
      <w:sz w:val="34"/>
      <w:szCs w:val="34"/>
      <w:lang w:val="en-US" w:eastAsia="zh-CN" w:bidi="ar-SA"/>
    </w:rPr>
  </w:style>
  <w:style w:type="paragraph" w:styleId="1329">
    <w:name w:val="一、"/>
    <w:next w:val="1329"/>
    <w:link w:val="1074"/>
    <w:qFormat/>
    <w:pPr>
      <w:ind w:firstLine="640"/>
      <w:jc w:val="both"/>
      <w:widowControl w:val="off"/>
    </w:pPr>
    <w:rPr>
      <w:rFonts w:ascii="Times New Roman" w:hAnsi="Times New Roman" w:eastAsia="黑体" w:cs="Times New Roman"/>
      <w:sz w:val="21"/>
      <w:szCs w:val="32"/>
      <w:lang w:val="en-US" w:eastAsia="zh-CN" w:bidi="ar-SA"/>
    </w:rPr>
  </w:style>
  <w:style w:type="paragraph" w:styleId="1330">
    <w:name w:val="列出段落"/>
    <w:basedOn w:val="1074"/>
    <w:next w:val="1330"/>
    <w:link w:val="1074"/>
    <w:uiPriority w:val="34"/>
    <w:qFormat/>
    <w:pPr>
      <w:ind w:firstLine="420"/>
    </w:pPr>
    <w:rPr>
      <w:rFonts w:ascii="Calibri" w:hAnsi="Calibri"/>
      <w:szCs w:val="22"/>
    </w:rPr>
  </w:style>
  <w:style w:type="paragraph" w:styleId="1331">
    <w:name w:val="纯文本11"/>
    <w:basedOn w:val="1074"/>
    <w:next w:val="1331"/>
    <w:link w:val="1074"/>
    <w:uiPriority w:val="99"/>
    <w:qFormat/>
    <w:rPr>
      <w:rFonts w:hint="eastAsia" w:ascii="宋体" w:hAnsi="Courier New"/>
      <w:szCs w:val="20"/>
    </w:rPr>
  </w:style>
  <w:style w:type="paragraph" w:styleId="1332">
    <w:name w:val="正文缩进11"/>
    <w:basedOn w:val="1074"/>
    <w:next w:val="1332"/>
    <w:link w:val="1074"/>
    <w:uiPriority w:val="99"/>
    <w:qFormat/>
    <w:pPr>
      <w:ind w:firstLine="420"/>
      <w:jc w:val="left"/>
    </w:pPr>
    <w:rPr>
      <w:rFonts w:ascii="宋体"/>
      <w:sz w:val="24"/>
    </w:rPr>
  </w:style>
  <w:style w:type="character" w:styleId="1333" w:default="1">
    <w:name w:val="Default Paragraph Font"/>
    <w:uiPriority w:val="1"/>
    <w:semiHidden/>
    <w:unhideWhenUsed/>
  </w:style>
  <w:style w:type="numbering" w:styleId="1334" w:default="1">
    <w:name w:val="No List"/>
    <w:uiPriority w:val="99"/>
    <w:semiHidden/>
    <w:unhideWhenUsed/>
  </w:style>
  <w:style w:type="table" w:styleId="13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2026-07-21T08:43:09Z</dcterms:modified>
</cp:coreProperties>
</file>