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firstLine="160"/>
        <w:spacing w:line="360" w:lineRule="auto"/>
        <w:rPr>
          <w:rFonts w:hint="eastAsia" w:ascii="CESI黑体-GB2312" w:hAnsi="CESI黑体-GB2312" w:cs="CESI黑体-GB2312"/>
          <w:sz w:val="32"/>
          <w:szCs w:val="32"/>
        </w:rPr>
      </w:pPr>
      <w:r>
        <w:rPr>
          <w:rFonts w:hint="eastAsia" w:ascii="CESI黑体-GB2312" w:hAnsi="CESI黑体-GB2312" w:cs="CESI黑体-GB2312"/>
          <w:sz w:val="32"/>
          <w:szCs w:val="32"/>
        </w:rPr>
      </w:r>
      <w:r/>
    </w:p>
    <w:p>
      <w:pPr>
        <w:pStyle w:val="995"/>
        <w:ind w:firstLine="300"/>
        <w:spacing w:line="360" w:lineRule="auto"/>
        <w:rPr>
          <w:sz w:val="60"/>
          <w:szCs w:val="60"/>
        </w:rPr>
      </w:pPr>
      <w:r>
        <w:rPr>
          <w:sz w:val="60"/>
          <w:szCs w:val="60"/>
        </w:rPr>
      </w:r>
      <w:r/>
    </w:p>
    <w:p>
      <w:pPr>
        <w:pStyle w:val="995"/>
        <w:jc w:val="center"/>
        <w:rPr>
          <w:b/>
          <w:bCs/>
          <w:sz w:val="60"/>
          <w:szCs w:val="60"/>
        </w:rPr>
      </w:pPr>
      <w:r>
        <w:rPr>
          <w:b/>
          <w:bCs/>
          <w:sz w:val="60"/>
          <w:szCs w:val="60"/>
        </w:rPr>
        <w:t xml:space="preserve">常州市政府采购项目</w:t>
      </w:r>
      <w:r>
        <w:rPr>
          <w:b/>
          <w:bCs/>
          <w:sz w:val="60"/>
          <w:szCs w:val="60"/>
        </w:rPr>
      </w:r>
      <w:r/>
    </w:p>
    <w:p>
      <w:pPr>
        <w:pStyle w:val="995"/>
        <w:jc w:val="center"/>
        <w:spacing w:line="800" w:lineRule="exact"/>
        <w:rPr>
          <w:rFonts w:ascii="CESI黑体-GB2312" w:hAnsi="CESI黑体-GB2312" w:eastAsia="CESI黑体-GB2312" w:cs="CESI黑体-GB2312"/>
          <w:sz w:val="32"/>
          <w:szCs w:val="32"/>
        </w:rPr>
      </w:pPr>
      <w:r>
        <w:rPr>
          <w:rFonts w:hint="eastAsia"/>
          <w:b/>
          <w:bCs/>
          <w:sz w:val="60"/>
          <w:szCs w:val="60"/>
        </w:rPr>
        <w:t xml:space="preserve">公开</w:t>
      </w:r>
      <w:r>
        <w:rPr>
          <w:b/>
          <w:bCs/>
          <w:sz w:val="60"/>
          <w:szCs w:val="60"/>
        </w:rPr>
        <w:t xml:space="preserve">招标文件</w:t>
      </w:r>
      <w:r>
        <w:rPr>
          <w:rFonts w:ascii="CESI黑体-GB2312" w:hAnsi="CESI黑体-GB2312" w:eastAsia="CESI黑体-GB2312" w:cs="CESI黑体-GB2312"/>
          <w:sz w:val="32"/>
          <w:szCs w:val="32"/>
        </w:rPr>
      </w:r>
      <w:r/>
    </w:p>
    <w:p>
      <w:pPr>
        <w:pStyle w:val="995"/>
        <w:jc w:val="center"/>
        <w:rPr>
          <w:b/>
          <w:bCs/>
          <w:sz w:val="60"/>
          <w:szCs w:val="60"/>
        </w:rPr>
      </w:pPr>
      <w:r>
        <w:rPr>
          <w:b/>
          <w:bCs/>
          <w:sz w:val="60"/>
          <w:szCs w:val="60"/>
        </w:rPr>
      </w:r>
      <w:r/>
    </w:p>
    <w:p>
      <w:pPr>
        <w:pStyle w:val="995"/>
        <w:jc w:val="center"/>
        <w:rPr>
          <w:b/>
          <w:bCs/>
          <w:sz w:val="60"/>
          <w:szCs w:val="60"/>
        </w:rPr>
      </w:pPr>
      <w:r>
        <w:rPr>
          <w:b/>
          <w:bCs/>
          <w:sz w:val="60"/>
          <w:szCs w:val="60"/>
        </w:rPr>
      </w:r>
      <w:r/>
    </w:p>
    <w:p>
      <w:pPr>
        <w:pStyle w:val="995"/>
        <w:jc w:val="center"/>
        <w:rPr>
          <w:rFonts w:hint="eastAsia"/>
          <w:b/>
          <w:bCs/>
          <w:sz w:val="60"/>
          <w:szCs w:val="60"/>
        </w:rPr>
      </w:pPr>
      <w:r>
        <w:rPr>
          <w:rFonts w:hint="eastAsia"/>
          <w:b/>
          <w:bCs/>
          <w:sz w:val="60"/>
          <w:szCs w:val="60"/>
        </w:rPr>
      </w:r>
      <w:r/>
    </w:p>
    <w:p>
      <w:pPr>
        <w:pStyle w:val="995"/>
        <w:ind w:left="2832" w:hanging="1900"/>
        <w:jc w:val="left"/>
        <w:spacing w:line="360" w:lineRule="auto"/>
        <w:tabs>
          <w:tab w:val="left" w:pos="3240" w:leader="none"/>
          <w:tab w:val="left" w:pos="3420" w:leader="none"/>
        </w:tabs>
        <w:rPr>
          <w:rFonts w:hint="eastAsia" w:eastAsia="宋体"/>
          <w:bCs/>
          <w:spacing w:val="-20"/>
          <w:sz w:val="36"/>
          <w:szCs w:val="36"/>
          <w:lang w:eastAsia="zh-CN"/>
        </w:rPr>
      </w:pPr>
      <w:r>
        <w:rPr>
          <w:bCs/>
          <w:sz w:val="36"/>
          <w:szCs w:val="36"/>
        </w:rPr>
        <w:t xml:space="preserve">项目名称：</w:t>
      </w:r>
      <w:r>
        <w:rPr>
          <w:rFonts w:hint="eastAsia"/>
          <w:bCs/>
          <w:spacing w:val="-20"/>
          <w:sz w:val="36"/>
          <w:szCs w:val="36"/>
          <w:lang w:eastAsia="zh-CN"/>
        </w:rPr>
        <w:t xml:space="preserve">2026-2029年变电所运维及电气零星维修</w:t>
      </w:r>
      <w:r>
        <w:rPr>
          <w:rFonts w:hint="eastAsia" w:eastAsia="宋体"/>
          <w:bCs/>
          <w:spacing w:val="-20"/>
          <w:sz w:val="36"/>
          <w:szCs w:val="36"/>
          <w:lang w:eastAsia="zh-CN"/>
        </w:rPr>
      </w:r>
      <w:r/>
    </w:p>
    <w:p>
      <w:pPr>
        <w:pStyle w:val="995"/>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JSZC-320400-JSZG-G2026-0044</w:t>
      </w:r>
      <w:r>
        <w:rPr>
          <w:rFonts w:hint="eastAsia" w:eastAsia="宋体"/>
          <w:bCs/>
          <w:sz w:val="36"/>
          <w:szCs w:val="36"/>
          <w:lang w:eastAsia="zh-CN"/>
        </w:rPr>
      </w:r>
      <w:r/>
    </w:p>
    <w:p>
      <w:pPr>
        <w:pStyle w:val="995"/>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常州市排水管理处</w:t>
      </w:r>
      <w:r>
        <w:rPr>
          <w:rFonts w:hint="eastAsia"/>
          <w:bCs/>
          <w:sz w:val="36"/>
          <w:szCs w:val="36"/>
        </w:rPr>
      </w:r>
      <w:r/>
    </w:p>
    <w:p>
      <w:pPr>
        <w:pStyle w:val="995"/>
        <w:ind w:left="2832" w:hanging="1900"/>
        <w:jc w:val="left"/>
        <w:spacing w:line="360" w:lineRule="auto"/>
        <w:tabs>
          <w:tab w:val="left" w:pos="3240" w:leader="none"/>
          <w:tab w:val="left" w:pos="3420" w:leader="none"/>
        </w:tabs>
        <w:rPr>
          <w:b/>
          <w:sz w:val="72"/>
        </w:rPr>
      </w:pPr>
      <w:r>
        <w:rPr>
          <w:rFonts w:hint="eastAsia"/>
          <w:bCs/>
          <w:sz w:val="36"/>
          <w:szCs w:val="36"/>
        </w:rPr>
        <w:t xml:space="preserve">招标代理机构</w:t>
      </w:r>
      <w:r>
        <w:rPr>
          <w:bCs/>
          <w:sz w:val="36"/>
          <w:szCs w:val="36"/>
        </w:rPr>
        <w:t xml:space="preserve">：</w:t>
      </w:r>
      <w:r>
        <w:rPr>
          <w:rFonts w:hint="eastAsia"/>
          <w:bCs/>
          <w:sz w:val="36"/>
          <w:szCs w:val="36"/>
        </w:rPr>
        <w:t xml:space="preserve">江苏中冠工程咨询有限公司</w:t>
      </w:r>
      <w:r>
        <w:rPr>
          <w:bCs/>
          <w:sz w:val="36"/>
          <w:szCs w:val="36"/>
        </w:rPr>
        <w:t xml:space="preserve"> </w:t>
      </w:r>
      <w:r>
        <w:rPr>
          <w:b/>
          <w:sz w:val="72"/>
        </w:rPr>
        <w:br w:type="page" w:clear="all"/>
      </w:r>
      <w:bookmarkStart w:id="0" w:name="_Toc5081"/>
      <w:r/>
      <w:bookmarkStart w:id="1" w:name="_Toc20162"/>
      <w:r/>
      <w:bookmarkStart w:id="2" w:name="_Toc99301418"/>
      <w:r/>
      <w:bookmarkStart w:id="3" w:name="_Toc26664"/>
      <w:r>
        <w:rPr>
          <w:b/>
          <w:sz w:val="36"/>
          <w:szCs w:val="36"/>
        </w:rPr>
        <w:t xml:space="preserve">目      录</w:t>
      </w:r>
      <w:bookmarkEnd w:id="0"/>
      <w:r/>
      <w:bookmarkEnd w:id="1"/>
      <w:r/>
      <w:bookmarkEnd w:id="2"/>
      <w:r/>
      <w:bookmarkEnd w:id="3"/>
      <w:r>
        <w:rPr>
          <w:b/>
          <w:sz w:val="72"/>
        </w:rPr>
      </w:r>
      <w:r/>
    </w:p>
    <w:p>
      <w:pPr>
        <w:pStyle w:val="995"/>
      </w:pPr>
      <w:r/>
      <w:r/>
    </w:p>
    <w:p>
      <w:pPr>
        <w:pStyle w:val="995"/>
      </w:pPr>
      <w:r/>
      <w:r/>
    </w:p>
    <w:p>
      <w:pPr>
        <w:pStyle w:val="995"/>
      </w:pPr>
      <w:r/>
      <w:r/>
    </w:p>
    <w:p>
      <w:pPr>
        <w:pStyle w:val="1050"/>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_Toc13176 </w:instrText>
      </w:r>
      <w:r>
        <w:rPr>
          <w:rFonts w:ascii="Times New Roman" w:hAnsi="Times New Roman"/>
        </w:rPr>
        <w:fldChar w:fldCharType="separate"/>
      </w:r>
      <w:r>
        <w:rPr>
          <w:szCs w:val="36"/>
        </w:rPr>
        <w:t xml:space="preserve">第一章   投标邀请</w:t>
      </w:r>
      <w:r>
        <w:tab/>
      </w:r>
      <w:r>
        <w:fldChar w:fldCharType="begin"/>
      </w:r>
      <w:r>
        <w:instrText xml:space="preserve"> PAGEREF _Toc13176 \h </w:instrText>
      </w:r>
      <w:r>
        <w:fldChar w:fldCharType="separate"/>
      </w:r>
      <w:r>
        <w:t xml:space="preserve">1</w:t>
      </w:r>
      <w:r>
        <w:fldChar w:fldCharType="end"/>
      </w:r>
      <w:r>
        <w:rPr>
          <w:rFonts w:ascii="Times New Roman" w:hAnsi="Times New Roman"/>
        </w:rPr>
        <w:fldChar w:fldCharType="end"/>
      </w:r>
      <w:r/>
    </w:p>
    <w:p>
      <w:pPr>
        <w:pStyle w:val="1050"/>
        <w:tabs>
          <w:tab w:val="right" w:pos="9072" w:leader="dot"/>
        </w:tabs>
      </w:pPr>
      <w:r>
        <w:rPr>
          <w:rFonts w:ascii="Times New Roman" w:hAnsi="Times New Roman"/>
        </w:rPr>
        <w:fldChar w:fldCharType="begin"/>
      </w:r>
      <w:r>
        <w:rPr>
          <w:rFonts w:ascii="Times New Roman" w:hAnsi="Times New Roman"/>
        </w:rPr>
        <w:instrText xml:space="preserve"> HYPERLINK \l _Toc17447 </w:instrText>
      </w:r>
      <w:r>
        <w:rPr>
          <w:rFonts w:ascii="Times New Roman" w:hAnsi="Times New Roman"/>
        </w:rPr>
        <w:fldChar w:fldCharType="separate"/>
      </w:r>
      <w:r>
        <w:rPr>
          <w:szCs w:val="36"/>
        </w:rPr>
        <w:t xml:space="preserve">第二章   投标人须知</w:t>
      </w:r>
      <w:r>
        <w:tab/>
      </w:r>
      <w:r>
        <w:fldChar w:fldCharType="begin"/>
      </w:r>
      <w:r>
        <w:instrText xml:space="preserve"> PAGEREF _Toc17447 \h </w:instrText>
      </w:r>
      <w:r>
        <w:fldChar w:fldCharType="separate"/>
      </w:r>
      <w:r>
        <w:t xml:space="preserve">5</w:t>
      </w:r>
      <w:r>
        <w:fldChar w:fldCharType="end"/>
      </w:r>
      <w:r>
        <w:rPr>
          <w:rFonts w:ascii="Times New Roman" w:hAnsi="Times New Roman"/>
        </w:rPr>
        <w:fldChar w:fldCharType="end"/>
      </w:r>
      <w:r/>
    </w:p>
    <w:p>
      <w:pPr>
        <w:pStyle w:val="1050"/>
        <w:tabs>
          <w:tab w:val="right" w:pos="9072" w:leader="dot"/>
        </w:tabs>
      </w:pPr>
      <w:r>
        <w:rPr>
          <w:rFonts w:ascii="Times New Roman" w:hAnsi="Times New Roman"/>
        </w:rPr>
        <w:fldChar w:fldCharType="begin"/>
      </w:r>
      <w:r>
        <w:rPr>
          <w:rFonts w:ascii="Times New Roman" w:hAnsi="Times New Roman"/>
        </w:rPr>
        <w:instrText xml:space="preserve"> HYPERLINK \l _Toc17622 </w:instrText>
      </w:r>
      <w:r>
        <w:rPr>
          <w:rFonts w:ascii="Times New Roman" w:hAnsi="Times New Roman"/>
        </w:rPr>
        <w:fldChar w:fldCharType="separate"/>
      </w:r>
      <w:r>
        <w:rPr>
          <w:szCs w:val="36"/>
        </w:rPr>
        <w:t xml:space="preserve">第三章   资格审查</w:t>
      </w:r>
      <w:r>
        <w:tab/>
      </w:r>
      <w:r>
        <w:fldChar w:fldCharType="begin"/>
      </w:r>
      <w:r>
        <w:instrText xml:space="preserve"> PAGEREF _Toc17622 \h </w:instrText>
      </w:r>
      <w:r>
        <w:fldChar w:fldCharType="separate"/>
      </w:r>
      <w:r>
        <w:t xml:space="preserve">19</w:t>
      </w:r>
      <w:r>
        <w:fldChar w:fldCharType="end"/>
      </w:r>
      <w:r>
        <w:rPr>
          <w:rFonts w:ascii="Times New Roman" w:hAnsi="Times New Roman"/>
        </w:rPr>
        <w:fldChar w:fldCharType="end"/>
      </w:r>
      <w:r/>
    </w:p>
    <w:p>
      <w:pPr>
        <w:pStyle w:val="1050"/>
        <w:tabs>
          <w:tab w:val="right" w:pos="9072" w:leader="dot"/>
        </w:tabs>
      </w:pPr>
      <w:r>
        <w:rPr>
          <w:rFonts w:ascii="Times New Roman" w:hAnsi="Times New Roman"/>
        </w:rPr>
        <w:fldChar w:fldCharType="begin"/>
      </w:r>
      <w:r>
        <w:rPr>
          <w:rFonts w:ascii="Times New Roman" w:hAnsi="Times New Roman"/>
        </w:rPr>
        <w:instrText xml:space="preserve"> HYPERLINK \l _Toc7435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_Toc7435 \h </w:instrText>
      </w:r>
      <w:r>
        <w:fldChar w:fldCharType="separate"/>
      </w:r>
      <w:r>
        <w:t xml:space="preserve">21</w:t>
      </w:r>
      <w:r>
        <w:fldChar w:fldCharType="end"/>
      </w:r>
      <w:r>
        <w:rPr>
          <w:rFonts w:ascii="Times New Roman" w:hAnsi="Times New Roman"/>
        </w:rPr>
        <w:fldChar w:fldCharType="end"/>
      </w:r>
      <w:r/>
    </w:p>
    <w:p>
      <w:pPr>
        <w:pStyle w:val="1050"/>
        <w:tabs>
          <w:tab w:val="right" w:pos="9072" w:leader="dot"/>
        </w:tabs>
      </w:pPr>
      <w:r>
        <w:rPr>
          <w:rFonts w:ascii="Times New Roman" w:hAnsi="Times New Roman"/>
        </w:rPr>
        <w:fldChar w:fldCharType="begin"/>
      </w:r>
      <w:r>
        <w:rPr>
          <w:rFonts w:ascii="Times New Roman" w:hAnsi="Times New Roman"/>
        </w:rPr>
        <w:instrText xml:space="preserve"> HYPERLINK \l _Toc28243 </w:instrText>
      </w:r>
      <w:r>
        <w:rPr>
          <w:rFonts w:ascii="Times New Roman" w:hAnsi="Times New Roman"/>
        </w:rPr>
        <w:fldChar w:fldCharType="separate"/>
      </w:r>
      <w:r>
        <w:rPr>
          <w:szCs w:val="36"/>
        </w:rPr>
        <w:t xml:space="preserve">第五章   采购需求</w:t>
      </w:r>
      <w:r>
        <w:tab/>
      </w:r>
      <w:r>
        <w:fldChar w:fldCharType="begin"/>
      </w:r>
      <w:r>
        <w:instrText xml:space="preserve"> PAGEREF _Toc28243 \h </w:instrText>
      </w:r>
      <w:r>
        <w:fldChar w:fldCharType="separate"/>
      </w:r>
      <w:r>
        <w:t xml:space="preserve">29</w:t>
      </w:r>
      <w:r>
        <w:fldChar w:fldCharType="end"/>
      </w:r>
      <w:r>
        <w:rPr>
          <w:rFonts w:ascii="Times New Roman" w:hAnsi="Times New Roman"/>
        </w:rPr>
        <w:fldChar w:fldCharType="end"/>
      </w:r>
      <w:r/>
    </w:p>
    <w:p>
      <w:pPr>
        <w:pStyle w:val="1050"/>
        <w:tabs>
          <w:tab w:val="right" w:pos="9072" w:leader="dot"/>
        </w:tabs>
      </w:pPr>
      <w:r>
        <w:rPr>
          <w:rFonts w:ascii="Times New Roman" w:hAnsi="Times New Roman"/>
        </w:rPr>
        <w:fldChar w:fldCharType="begin"/>
      </w:r>
      <w:r>
        <w:rPr>
          <w:rFonts w:ascii="Times New Roman" w:hAnsi="Times New Roman"/>
        </w:rPr>
        <w:instrText xml:space="preserve"> HYPERLINK \l _Toc29361 </w:instrText>
      </w:r>
      <w:r>
        <w:rPr>
          <w:rFonts w:ascii="Times New Roman" w:hAnsi="Times New Roman"/>
        </w:rPr>
        <w:fldChar w:fldCharType="separate"/>
      </w:r>
      <w:r>
        <w:rPr>
          <w:szCs w:val="36"/>
        </w:rPr>
        <w:t xml:space="preserve">第六章   拟签订的合同文本</w:t>
      </w:r>
      <w:r>
        <w:tab/>
      </w:r>
      <w:r>
        <w:fldChar w:fldCharType="begin"/>
      </w:r>
      <w:r>
        <w:instrText xml:space="preserve"> PAGEREF _Toc29361 \h </w:instrText>
      </w:r>
      <w:r>
        <w:fldChar w:fldCharType="separate"/>
      </w:r>
      <w:r>
        <w:t xml:space="preserve">29</w:t>
      </w:r>
      <w:r>
        <w:fldChar w:fldCharType="end"/>
      </w:r>
      <w:r>
        <w:rPr>
          <w:rFonts w:ascii="Times New Roman" w:hAnsi="Times New Roman"/>
        </w:rPr>
        <w:fldChar w:fldCharType="end"/>
      </w:r>
      <w:r/>
    </w:p>
    <w:p>
      <w:pPr>
        <w:pStyle w:val="1050"/>
        <w:tabs>
          <w:tab w:val="right" w:pos="9072" w:leader="dot"/>
        </w:tabs>
      </w:pPr>
      <w:r>
        <w:rPr>
          <w:rFonts w:ascii="Times New Roman" w:hAnsi="Times New Roman"/>
        </w:rPr>
        <w:fldChar w:fldCharType="begin"/>
      </w:r>
      <w:r>
        <w:rPr>
          <w:rFonts w:ascii="Times New Roman" w:hAnsi="Times New Roman"/>
        </w:rPr>
        <w:instrText xml:space="preserve"> HYPERLINK \l _Toc11047 </w:instrText>
      </w:r>
      <w:r>
        <w:rPr>
          <w:rFonts w:ascii="Times New Roman" w:hAnsi="Times New Roman"/>
        </w:rPr>
        <w:fldChar w:fldCharType="separate"/>
      </w:r>
      <w:r>
        <w:rPr>
          <w:szCs w:val="36"/>
        </w:rPr>
        <w:t xml:space="preserve">第七章   投标文件格式</w:t>
      </w:r>
      <w:r>
        <w:tab/>
      </w:r>
      <w:r>
        <w:fldChar w:fldCharType="begin"/>
      </w:r>
      <w:r>
        <w:instrText xml:space="preserve"> PAGEREF _Toc11047 \h </w:instrText>
      </w:r>
      <w:r>
        <w:fldChar w:fldCharType="separate"/>
      </w:r>
      <w:r>
        <w:t xml:space="preserve">108</w:t>
      </w:r>
      <w:r>
        <w:fldChar w:fldCharType="end"/>
      </w:r>
      <w:r>
        <w:rPr>
          <w:rFonts w:ascii="Times New Roman" w:hAnsi="Times New Roman"/>
        </w:rPr>
        <w:fldChar w:fldCharType="end"/>
      </w:r>
      <w:r/>
    </w:p>
    <w:p>
      <w:pPr>
        <w:pStyle w:val="1050"/>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995"/>
        <w:jc w:val="center"/>
        <w:spacing w:line="360" w:lineRule="auto"/>
        <w:rPr>
          <w:b/>
          <w:sz w:val="36"/>
          <w:szCs w:val="36"/>
        </w:rPr>
        <w:outlineLvl w:val="0"/>
      </w:pPr>
      <w:r>
        <w:rPr>
          <w:sz w:val="24"/>
        </w:rPr>
        <w:br w:type="page" w:clear="all"/>
      </w:r>
      <w:bookmarkStart w:id="4" w:name="_Toc13176"/>
      <w:r>
        <w:rPr>
          <w:b/>
          <w:sz w:val="36"/>
          <w:szCs w:val="36"/>
        </w:rPr>
        <w:t xml:space="preserve">第一章   投标邀请</w:t>
      </w:r>
      <w:bookmarkEnd w:id="4"/>
      <w:r>
        <w:rPr>
          <w:b/>
          <w:sz w:val="36"/>
          <w:szCs w:val="36"/>
        </w:rPr>
      </w:r>
      <w:r/>
    </w:p>
    <w:p>
      <w:pPr>
        <w:pStyle w:val="997"/>
        <w:jc w:val="left"/>
        <w:spacing w:before="0" w:line="360" w:lineRule="auto"/>
        <w:rPr>
          <w:rFonts w:ascii="Times New Roman" w:hAnsi="Times New Roman" w:eastAsia="宋体"/>
          <w:sz w:val="24"/>
          <w:szCs w:val="24"/>
        </w:rPr>
      </w:pPr>
      <w:r/>
      <w:bookmarkStart w:id="5" w:name="_Toc28359002"/>
      <w:r/>
      <w:bookmarkStart w:id="6" w:name="_Toc35393790"/>
      <w:r/>
      <w:bookmarkStart w:id="7" w:name="_Toc35393621"/>
      <w:r/>
      <w:bookmarkStart w:id="8" w:name="_Toc28359079"/>
      <w:r/>
      <w:bookmarkStart w:id="9" w:name="_Hlk24379207"/>
      <w:r>
        <w:rPr>
          <w:rFonts w:ascii="Times New Roman" w:hAnsi="Times New Roman" w:eastAsia="宋体"/>
          <w:sz w:val="24"/>
          <w:szCs w:val="24"/>
        </w:rPr>
        <w:t xml:space="preserve">一、项目基本情况</w:t>
      </w:r>
      <w:bookmarkEnd w:id="5"/>
      <w:r/>
      <w:bookmarkEnd w:id="6"/>
      <w:r/>
      <w:bookmarkEnd w:id="7"/>
      <w:r/>
      <w:bookmarkEnd w:id="8"/>
      <w:r>
        <w:rPr>
          <w:rFonts w:ascii="Times New Roman" w:hAnsi="Times New Roman" w:eastAsia="宋体"/>
          <w:sz w:val="24"/>
          <w:szCs w:val="24"/>
        </w:rPr>
      </w:r>
      <w:r/>
    </w:p>
    <w:p>
      <w:pPr>
        <w:pStyle w:val="995"/>
        <w:ind w:firstLine="480"/>
        <w:spacing w:line="360" w:lineRule="auto"/>
        <w:rPr>
          <w:rFonts w:hint="eastAsia" w:eastAsia="宋体"/>
          <w:sz w:val="24"/>
          <w:lang w:eastAsia="zh-CN"/>
        </w:rPr>
      </w:pPr>
      <w:r>
        <w:rPr>
          <w:sz w:val="24"/>
        </w:rPr>
        <w:t xml:space="preserve">项目编号：</w:t>
      </w:r>
      <w:r>
        <w:rPr>
          <w:rFonts w:hint="eastAsia"/>
          <w:sz w:val="24"/>
          <w:lang w:eastAsia="zh-CN"/>
        </w:rPr>
        <w:t xml:space="preserve">JSZC-320400-JSZG-G2026-0044</w:t>
      </w:r>
      <w:r>
        <w:rPr>
          <w:rFonts w:hint="eastAsia" w:eastAsia="宋体"/>
          <w:sz w:val="24"/>
          <w:lang w:eastAsia="zh-CN"/>
        </w:rPr>
      </w:r>
      <w:r/>
    </w:p>
    <w:p>
      <w:pPr>
        <w:pStyle w:val="995"/>
        <w:ind w:firstLine="480"/>
        <w:spacing w:line="360" w:lineRule="auto"/>
        <w:rPr>
          <w:rFonts w:hint="eastAsia" w:eastAsia="宋体"/>
          <w:sz w:val="24"/>
          <w:lang w:eastAsia="zh-CN"/>
        </w:rPr>
      </w:pPr>
      <w:r>
        <w:rPr>
          <w:sz w:val="24"/>
        </w:rPr>
        <w:t xml:space="preserve">项目名称：</w:t>
      </w:r>
      <w:r>
        <w:rPr>
          <w:rFonts w:hint="eastAsia"/>
          <w:sz w:val="24"/>
          <w:lang w:eastAsia="zh-CN"/>
        </w:rPr>
        <w:t xml:space="preserve">2026-2029年变电所运维及电气零星维修</w:t>
      </w:r>
      <w:r>
        <w:rPr>
          <w:rFonts w:hint="eastAsia" w:eastAsia="宋体"/>
          <w:sz w:val="24"/>
          <w:lang w:eastAsia="zh-CN"/>
        </w:rPr>
      </w:r>
      <w:r/>
    </w:p>
    <w:p>
      <w:pPr>
        <w:pStyle w:val="995"/>
        <w:ind w:firstLine="480"/>
        <w:spacing w:line="360" w:lineRule="auto"/>
        <w:rPr>
          <w:color w:val="000000"/>
          <w:sz w:val="24"/>
          <w:highlight w:val="none"/>
        </w:rPr>
      </w:pPr>
      <w:r>
        <w:rPr>
          <w:color w:val="000000"/>
          <w:sz w:val="24"/>
          <w:highlight w:val="none"/>
        </w:rPr>
        <w:t xml:space="preserve">预算金额：</w:t>
      </w:r>
      <w:r>
        <w:rPr>
          <w:rFonts w:hint="eastAsia"/>
          <w:color w:val="000000"/>
          <w:sz w:val="24"/>
          <w:highlight w:val="none"/>
        </w:rPr>
        <w:t xml:space="preserve">557.5665</w:t>
      </w:r>
      <w:r>
        <w:rPr>
          <w:color w:val="000000"/>
          <w:sz w:val="24"/>
          <w:highlight w:val="none"/>
        </w:rPr>
        <w:t xml:space="preserve">万元</w:t>
      </w:r>
      <w:r>
        <w:rPr>
          <w:color w:val="000000"/>
          <w:sz w:val="24"/>
          <w:highlight w:val="none"/>
        </w:rPr>
      </w:r>
      <w:r/>
    </w:p>
    <w:p>
      <w:pPr>
        <w:pStyle w:val="995"/>
        <w:ind w:firstLine="480"/>
        <w:spacing w:line="360" w:lineRule="auto"/>
        <w:rPr>
          <w:color w:val="000000"/>
          <w:sz w:val="24"/>
          <w:highlight w:val="none"/>
        </w:rPr>
      </w:pPr>
      <w:r>
        <w:rPr>
          <w:color w:val="000000"/>
          <w:sz w:val="24"/>
          <w:highlight w:val="none"/>
        </w:rPr>
        <w:t xml:space="preserve">最高限价（如有）：</w:t>
      </w:r>
      <w:bookmarkEnd w:id="9"/>
      <w:r>
        <w:rPr>
          <w:rFonts w:hint="eastAsia"/>
          <w:color w:val="000000"/>
          <w:sz w:val="24"/>
          <w:highlight w:val="none"/>
        </w:rPr>
        <w:t xml:space="preserve">557.5665</w:t>
      </w:r>
      <w:r>
        <w:rPr>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rPr>
        <w:t xml:space="preserve">185.8555</w:t>
      </w:r>
      <w:r>
        <w:rPr>
          <w:color w:val="000000"/>
          <w:sz w:val="24"/>
          <w:highlight w:val="none"/>
        </w:rPr>
        <w:t xml:space="preserve">万元</w:t>
      </w:r>
      <w:r>
        <w:rPr>
          <w:rFonts w:hint="eastAsia"/>
          <w:color w:val="000000"/>
          <w:sz w:val="24"/>
          <w:highlight w:val="none"/>
        </w:rPr>
        <w:t xml:space="preserve">/年</w:t>
      </w:r>
      <w:r>
        <w:rPr>
          <w:color w:val="000000"/>
          <w:sz w:val="24"/>
          <w:highlight w:val="none"/>
        </w:rPr>
      </w:r>
      <w:r/>
    </w:p>
    <w:p>
      <w:pPr>
        <w:pStyle w:val="995"/>
        <w:ind w:firstLine="480"/>
        <w:spacing w:line="360" w:lineRule="auto"/>
        <w:rPr>
          <w:color w:val="000000"/>
          <w:sz w:val="24"/>
          <w:highlight w:val="none"/>
        </w:rPr>
      </w:pPr>
      <w:r>
        <w:rPr>
          <w:color w:val="000000"/>
          <w:sz w:val="24"/>
          <w:highlight w:val="none"/>
        </w:rPr>
        <w:t xml:space="preserve">采购需求：采购</w:t>
      </w:r>
      <w:r>
        <w:rPr>
          <w:rFonts w:hint="eastAsia"/>
          <w:color w:val="000000"/>
          <w:sz w:val="24"/>
          <w:highlight w:val="none"/>
          <w:lang w:eastAsia="zh-CN"/>
        </w:rPr>
        <w:t xml:space="preserve">2026-2029年变电所运维及电气零星维修</w:t>
      </w:r>
      <w:r>
        <w:rPr>
          <w:color w:val="000000"/>
          <w:sz w:val="24"/>
          <w:highlight w:val="none"/>
        </w:rPr>
        <w:t xml:space="preserve">，详见</w:t>
      </w:r>
      <w:r>
        <w:rPr>
          <w:rFonts w:hint="eastAsia"/>
          <w:color w:val="000000"/>
          <w:sz w:val="24"/>
          <w:highlight w:val="none"/>
        </w:rPr>
        <w:t xml:space="preserve">“</w:t>
      </w:r>
      <w:r>
        <w:rPr>
          <w:color w:val="000000"/>
          <w:sz w:val="24"/>
          <w:highlight w:val="none"/>
        </w:rPr>
        <w:t xml:space="preserve">第五章 采购需求</w:t>
      </w:r>
      <w:r>
        <w:rPr>
          <w:rFonts w:hint="eastAsia"/>
          <w:color w:val="000000"/>
          <w:sz w:val="24"/>
          <w:highlight w:val="none"/>
        </w:rPr>
        <w:t xml:space="preserve">”</w:t>
      </w:r>
      <w:r>
        <w:rPr>
          <w:color w:val="000000"/>
          <w:sz w:val="24"/>
          <w:highlight w:val="none"/>
        </w:rPr>
        <w:t xml:space="preserve">。</w:t>
      </w:r>
      <w:r>
        <w:rPr>
          <w:color w:val="000000"/>
          <w:sz w:val="24"/>
          <w:highlight w:val="none"/>
        </w:rPr>
      </w:r>
      <w:r/>
    </w:p>
    <w:p>
      <w:pPr>
        <w:pStyle w:val="995"/>
        <w:ind w:firstLine="480"/>
        <w:spacing w:line="360" w:lineRule="auto"/>
        <w:rPr>
          <w:color w:val="000000"/>
          <w:sz w:val="24"/>
          <w:highlight w:val="none"/>
          <w:u w:val="single"/>
        </w:rPr>
      </w:pPr>
      <w:r>
        <w:rPr>
          <w:color w:val="000000"/>
          <w:sz w:val="24"/>
          <w:highlight w:val="none"/>
        </w:rPr>
        <w:t xml:space="preserve">合同履行期限：</w:t>
      </w:r>
      <w:r>
        <w:rPr>
          <w:rFonts w:hint="eastAsia"/>
          <w:bCs/>
          <w:color w:val="000000"/>
          <w:sz w:val="24"/>
          <w:highlight w:val="none"/>
        </w:rPr>
        <w:t xml:space="preserve">自合同签订之日起</w:t>
      </w:r>
      <w:r>
        <w:rPr>
          <w:rFonts w:hint="eastAsia" w:ascii="宋体" w:hAnsi="宋体"/>
          <w:color w:val="000000"/>
          <w:sz w:val="24"/>
          <w:highlight w:val="none"/>
        </w:rPr>
        <w:t xml:space="preserve">三年，合同一年一签</w:t>
      </w:r>
      <w:r>
        <w:rPr>
          <w:rFonts w:hint="eastAsia"/>
          <w:bCs/>
          <w:color w:val="000000"/>
          <w:sz w:val="24"/>
          <w:highlight w:val="none"/>
        </w:rPr>
        <w:t xml:space="preserve">。</w:t>
      </w:r>
      <w:r>
        <w:rPr>
          <w:color w:val="000000"/>
          <w:sz w:val="24"/>
          <w:highlight w:val="none"/>
          <w:u w:val="single"/>
        </w:rPr>
      </w:r>
      <w:r/>
    </w:p>
    <w:p>
      <w:pPr>
        <w:pStyle w:val="995"/>
        <w:ind w:firstLine="480"/>
        <w:spacing w:line="360" w:lineRule="auto"/>
        <w:rPr>
          <w:sz w:val="24"/>
        </w:rPr>
      </w:pPr>
      <w:r>
        <w:rPr>
          <w:sz w:val="24"/>
        </w:rPr>
        <w:t xml:space="preserve">本项目是否接受联合体投标：□是  </w:t>
      </w:r>
      <w:r>
        <w:t xml:space="preserve">■</w:t>
      </w:r>
      <w:r>
        <w:rPr>
          <w:sz w:val="24"/>
        </w:rPr>
        <w:t xml:space="preserve">否。</w:t>
      </w:r>
      <w:r>
        <w:rPr>
          <w:sz w:val="24"/>
        </w:rPr>
      </w:r>
      <w:r/>
    </w:p>
    <w:p>
      <w:pPr>
        <w:pStyle w:val="995"/>
        <w:ind w:firstLine="480"/>
        <w:spacing w:line="360" w:lineRule="auto"/>
        <w:rPr>
          <w:sz w:val="24"/>
        </w:rPr>
      </w:pPr>
      <w:r>
        <w:rPr>
          <w:sz w:val="24"/>
        </w:rPr>
        <w:t xml:space="preserve">本项目是否接受进口产品投标：□是  ■否。</w:t>
      </w:r>
      <w:r>
        <w:rPr>
          <w:sz w:val="24"/>
        </w:rPr>
      </w:r>
      <w:r/>
    </w:p>
    <w:p>
      <w:pPr>
        <w:pStyle w:val="997"/>
        <w:jc w:val="left"/>
        <w:spacing w:before="0" w:line="360" w:lineRule="auto"/>
        <w:rPr>
          <w:rFonts w:ascii="Times New Roman" w:hAnsi="Times New Roman" w:eastAsia="宋体"/>
          <w:sz w:val="24"/>
          <w:szCs w:val="24"/>
        </w:rPr>
      </w:pPr>
      <w:r/>
      <w:bookmarkStart w:id="10" w:name="_Toc28359003"/>
      <w:r/>
      <w:bookmarkStart w:id="11" w:name="_Toc35393622"/>
      <w:r/>
      <w:bookmarkStart w:id="12" w:name="_Toc28359080"/>
      <w:r/>
      <w:bookmarkStart w:id="13" w:name="_Toc35393791"/>
      <w:r>
        <w:rPr>
          <w:rFonts w:ascii="Times New Roman" w:hAnsi="Times New Roman" w:eastAsia="宋体"/>
          <w:sz w:val="24"/>
          <w:szCs w:val="24"/>
        </w:rPr>
        <w:t xml:space="preserve">二、申请人的资格要求（须同时满足）</w:t>
      </w:r>
      <w:bookmarkEnd w:id="10"/>
      <w:r/>
      <w:bookmarkEnd w:id="11"/>
      <w:r/>
      <w:bookmarkEnd w:id="12"/>
      <w:r/>
      <w:bookmarkEnd w:id="13"/>
      <w:r>
        <w:rPr>
          <w:rFonts w:ascii="Times New Roman" w:hAnsi="Times New Roman" w:eastAsia="宋体"/>
          <w:sz w:val="24"/>
          <w:szCs w:val="24"/>
        </w:rPr>
      </w:r>
      <w:r/>
    </w:p>
    <w:p>
      <w:pPr>
        <w:pStyle w:val="995"/>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95"/>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995"/>
        <w:ind w:firstLine="480"/>
        <w:spacing w:line="360" w:lineRule="auto"/>
        <w:rPr>
          <w:sz w:val="24"/>
        </w:rPr>
      </w:pPr>
      <w:r>
        <w:rPr>
          <w:rFonts w:hint="eastAsia"/>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sz w:val="24"/>
        </w:rPr>
      </w:r>
      <w:r/>
    </w:p>
    <w:p>
      <w:pPr>
        <w:pStyle w:val="995"/>
        <w:ind w:firstLine="480"/>
        <w:spacing w:line="360" w:lineRule="auto"/>
        <w:rPr>
          <w:sz w:val="24"/>
        </w:rPr>
      </w:pPr>
      <w:r/>
      <w:bookmarkStart w:id="14" w:name="_Toc28359081"/>
      <w:r/>
      <w:bookmarkStart w:id="15" w:name="_Toc28359004"/>
      <w:r>
        <w:rPr>
          <w:sz w:val="24"/>
        </w:rPr>
        <w:t xml:space="preserve">2.落实政府采购政策需满足的资格要求：</w:t>
      </w:r>
      <w:r>
        <w:rPr>
          <w:sz w:val="24"/>
        </w:rPr>
      </w:r>
      <w:r/>
    </w:p>
    <w:p>
      <w:pPr>
        <w:pStyle w:val="995"/>
        <w:ind w:firstLine="480"/>
        <w:spacing w:line="360" w:lineRule="auto"/>
        <w:rPr>
          <w:sz w:val="24"/>
        </w:rPr>
      </w:pPr>
      <w:r>
        <w:rPr>
          <w:sz w:val="24"/>
        </w:rPr>
        <w:t xml:space="preserve">2.1 中小企业政策</w:t>
      </w:r>
      <w:r>
        <w:rPr>
          <w:sz w:val="24"/>
        </w:rPr>
      </w:r>
      <w:r/>
    </w:p>
    <w:p>
      <w:pPr>
        <w:pStyle w:val="995"/>
        <w:ind w:firstLine="480"/>
        <w:spacing w:line="360" w:lineRule="auto"/>
        <w:rPr>
          <w:rFonts w:hint="eastAsia" w:ascii="宋体" w:hAnsi="宋体" w:cs="宋体"/>
          <w:sz w:val="24"/>
        </w:rPr>
      </w:pPr>
      <w:r>
        <w:rPr>
          <w:sz w:val="24"/>
        </w:rPr>
        <w:t xml:space="preserve">■</w:t>
      </w:r>
      <w:r>
        <w:rPr>
          <w:rFonts w:hint="eastAsia" w:ascii="宋体" w:hAnsi="宋体" w:cs="宋体"/>
          <w:sz w:val="24"/>
        </w:rPr>
        <w:t xml:space="preserve">本项目专门面向  </w:t>
      </w:r>
      <w:r>
        <w:rPr>
          <w:sz w:val="24"/>
        </w:rPr>
        <w:t xml:space="preserve">■</w:t>
      </w:r>
      <w:r>
        <w:rPr>
          <w:rFonts w:hint="eastAsia" w:ascii="宋体" w:hAnsi="宋体" w:cs="宋体"/>
          <w:sz w:val="24"/>
        </w:rPr>
        <w:t xml:space="preserve">中小 </w:t>
      </w:r>
      <w:r>
        <w:rPr>
          <w:sz w:val="24"/>
        </w:rPr>
        <w:t xml:space="preserve">□</w:t>
      </w:r>
      <w:r>
        <w:rPr>
          <w:rFonts w:hint="eastAsia" w:ascii="宋体" w:hAnsi="宋体" w:cs="宋体"/>
          <w:sz w:val="24"/>
        </w:rPr>
        <w:t xml:space="preserve">小微企业  采购。即：提供的服务全部由符合政策要求的中小/小微企业承接。</w:t>
      </w:r>
      <w:r>
        <w:rPr>
          <w:rFonts w:hint="eastAsia" w:ascii="宋体" w:hAnsi="宋体" w:cs="宋体"/>
          <w:sz w:val="24"/>
        </w:rPr>
      </w:r>
      <w:r/>
    </w:p>
    <w:p>
      <w:pPr>
        <w:pStyle w:val="995"/>
        <w:ind w:firstLine="480"/>
        <w:spacing w:line="360" w:lineRule="auto"/>
        <w:rPr>
          <w:rFonts w:hint="eastAsia" w:ascii="宋体" w:hAnsi="宋体" w:cs="宋体"/>
          <w:sz w:val="24"/>
        </w:rPr>
      </w:pPr>
      <w:r>
        <w:rPr>
          <w:sz w:val="24"/>
        </w:rPr>
        <w:t xml:space="preserve">2.2 其它落实政府采购政策的资格要求（如有）：</w:t>
      </w:r>
      <w:r>
        <w:rPr>
          <w:rFonts w:hint="eastAsia"/>
          <w:sz w:val="24"/>
        </w:rPr>
        <w:t xml:space="preserve">无</w:t>
      </w:r>
      <w:r>
        <w:rPr>
          <w:rFonts w:hint="eastAsia" w:ascii="宋体" w:hAnsi="宋体" w:cs="宋体"/>
          <w:sz w:val="24"/>
        </w:rPr>
      </w:r>
      <w:r/>
    </w:p>
    <w:p>
      <w:pPr>
        <w:pStyle w:val="995"/>
        <w:ind w:firstLine="480"/>
        <w:spacing w:line="360" w:lineRule="auto"/>
        <w:rPr>
          <w:i/>
          <w:iCs/>
          <w:sz w:val="24"/>
          <w:u w:val="single"/>
        </w:rPr>
      </w:pPr>
      <w:r>
        <w:rPr>
          <w:sz w:val="24"/>
        </w:rPr>
        <w:t xml:space="preserve">3.本项目的特定资格要求：</w:t>
      </w:r>
      <w:r>
        <w:rPr>
          <w:i/>
          <w:iCs/>
          <w:sz w:val="24"/>
          <w:u w:val="single"/>
        </w:rPr>
      </w:r>
      <w:r/>
    </w:p>
    <w:p>
      <w:pPr>
        <w:pStyle w:val="995"/>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3.1本项目是否接受分支机构参与投标：□是   ■否；</w:t>
      </w:r>
      <w:r>
        <w:rPr>
          <w:sz w:val="24"/>
        </w:rPr>
      </w:r>
      <w:r/>
    </w:p>
    <w:p>
      <w:pPr>
        <w:pStyle w:val="995"/>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rPr>
          <w:sz w:val="24"/>
        </w:rPr>
      </w:r>
      <w:r/>
    </w:p>
    <w:p>
      <w:pPr>
        <w:pStyle w:val="995"/>
        <w:ind w:left="991" w:firstLine="2"/>
        <w:spacing w:line="360" w:lineRule="auto"/>
        <w:tabs>
          <w:tab w:val="left" w:pos="900" w:leader="none"/>
          <w:tab w:val="left" w:pos="1134" w:leader="none"/>
          <w:tab w:val="left" w:pos="1589" w:leader="none"/>
          <w:tab w:val="left" w:pos="5521" w:leader="none"/>
        </w:tabs>
        <w:rPr>
          <w:sz w:val="24"/>
        </w:rPr>
      </w:pPr>
      <w:r>
        <w:rPr>
          <w:sz w:val="24"/>
        </w:rPr>
        <w:t xml:space="preserve">■否</w:t>
      </w:r>
      <w:r>
        <w:rPr>
          <w:sz w:val="24"/>
        </w:rPr>
      </w:r>
      <w:r/>
    </w:p>
    <w:p>
      <w:pPr>
        <w:pStyle w:val="995"/>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rPr>
          <w:sz w:val="24"/>
        </w:rPr>
      </w:r>
      <w:r/>
    </w:p>
    <w:p>
      <w:pPr>
        <w:pStyle w:val="995"/>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sz w:val="24"/>
          <w:highlight w:val="none"/>
        </w:rPr>
        <w:t xml:space="preserve">3.3其他特定资格要求</w:t>
      </w:r>
      <w:r>
        <w:rPr>
          <w:rFonts w:hint="eastAsia"/>
          <w:sz w:val="24"/>
          <w:highlight w:val="none"/>
        </w:rPr>
        <w:t xml:space="preserve">：</w:t>
      </w:r>
      <w:r>
        <w:rPr>
          <w:rFonts w:hint="eastAsia"/>
          <w:sz w:val="24"/>
          <w:highlight w:val="none"/>
        </w:rPr>
      </w:r>
      <w:r/>
    </w:p>
    <w:p>
      <w:pPr>
        <w:pStyle w:val="995"/>
        <w:ind w:firstLine="482"/>
        <w:spacing w:line="360" w:lineRule="auto"/>
        <w:tabs>
          <w:tab w:val="left" w:pos="900" w:leader="none"/>
          <w:tab w:val="left" w:pos="1134" w:leader="none"/>
          <w:tab w:val="left" w:pos="1589" w:leader="none"/>
          <w:tab w:val="left" w:pos="5521" w:leader="none"/>
        </w:tabs>
        <w:rPr>
          <w:rFonts w:hint="eastAsia"/>
          <w:b/>
          <w:bCs/>
          <w:sz w:val="24"/>
          <w:highlight w:val="none"/>
        </w:rPr>
      </w:pPr>
      <w:r>
        <w:rPr>
          <w:rFonts w:hint="eastAsia"/>
          <w:b/>
          <w:bCs/>
          <w:sz w:val="24"/>
          <w:highlight w:val="none"/>
        </w:rPr>
        <w:t xml:space="preserve">须具有有效的国家能源局颁发的五级（含）以上承装（修、试）电力设施许可证或2025年7月1日后国家能源局颁发的三级（含）以上承装（修、试）电力设施许可证。</w:t>
      </w:r>
      <w:r>
        <w:rPr>
          <w:rFonts w:hint="eastAsia"/>
          <w:b/>
          <w:bCs/>
          <w:sz w:val="24"/>
          <w:highlight w:val="none"/>
        </w:rPr>
      </w:r>
      <w:r/>
    </w:p>
    <w:p>
      <w:pPr>
        <w:pStyle w:val="997"/>
        <w:jc w:val="left"/>
        <w:spacing w:before="0" w:line="360" w:lineRule="auto"/>
        <w:widowControl/>
        <w:rPr>
          <w:rFonts w:ascii="Times New Roman" w:hAnsi="Times New Roman" w:eastAsia="宋体"/>
          <w:sz w:val="24"/>
          <w:szCs w:val="24"/>
        </w:rPr>
      </w:pPr>
      <w:r/>
      <w:bookmarkEnd w:id="14"/>
      <w:r/>
      <w:bookmarkEnd w:id="15"/>
      <w:r/>
      <w:bookmarkStart w:id="16" w:name="_Toc35393623"/>
      <w:r/>
      <w:bookmarkStart w:id="17" w:name="_Toc35393792"/>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995"/>
        <w:ind w:firstLine="480"/>
        <w:spacing w:line="360" w:lineRule="auto"/>
        <w:rPr>
          <w:sz w:val="24"/>
          <w:lang w:bidi="ar"/>
        </w:rPr>
      </w:pPr>
      <w:r>
        <w:rPr>
          <w:sz w:val="24"/>
          <w:lang w:bidi="ar"/>
        </w:rPr>
        <w:t xml:space="preserve">时间：</w:t>
      </w:r>
      <w:r>
        <w:rPr>
          <w:rFonts w:hint="eastAsia" w:ascii="宋体" w:hAnsi="宋体"/>
          <w:sz w:val="24"/>
          <w:lang w:bidi="ar"/>
        </w:rPr>
        <w:t xml:space="preserve">自招标文件公告发布之日起5个工作日</w:t>
      </w:r>
      <w:r>
        <w:rPr>
          <w:sz w:val="24"/>
          <w:lang w:bidi="ar"/>
        </w:rPr>
      </w:r>
      <w:r/>
    </w:p>
    <w:p>
      <w:pPr>
        <w:pStyle w:val="995"/>
        <w:ind w:firstLine="480"/>
        <w:spacing w:line="360" w:lineRule="auto"/>
        <w:rPr>
          <w:rFonts w:hint="eastAsia"/>
          <w:sz w:val="24"/>
        </w:rPr>
      </w:pPr>
      <w:r>
        <w:rPr>
          <w:sz w:val="24"/>
          <w:lang w:bidi="ar"/>
        </w:rPr>
        <w:t xml:space="preserve">地点：</w:t>
      </w:r>
      <w:r>
        <w:rPr>
          <w:rFonts w:hint="eastAsia"/>
          <w:sz w:val="24"/>
          <w:lang w:bidi="ar"/>
        </w:rPr>
        <w:t xml:space="preserve">政府采购一体化平台“苏采云”</w:t>
      </w:r>
      <w:r>
        <w:rPr>
          <w:rFonts w:hint="eastAsia"/>
          <w:sz w:val="24"/>
        </w:rPr>
      </w:r>
      <w:r/>
    </w:p>
    <w:p>
      <w:pPr>
        <w:pStyle w:val="995"/>
        <w:ind w:firstLine="480"/>
        <w:jc w:val="left"/>
        <w:spacing w:line="360" w:lineRule="auto"/>
        <w:widowControl/>
        <w:rPr>
          <w:sz w:val="24"/>
          <w:lang w:bidi="ar"/>
        </w:rPr>
      </w:pPr>
      <w:r>
        <w:rPr>
          <w:sz w:val="24"/>
          <w:lang w:bidi="ar"/>
        </w:rPr>
        <w:t xml:space="preserve">方式：供应商持CA数字认证证书登录</w:t>
      </w:r>
      <w:r>
        <w:rPr>
          <w:rFonts w:hint="eastAsia"/>
          <w:sz w:val="24"/>
          <w:lang w:bidi="ar"/>
        </w:rPr>
        <w:t xml:space="preserve">政府采购一体化平台“苏采云”</w:t>
      </w:r>
      <w:r>
        <w:rPr>
          <w:sz w:val="24"/>
          <w:lang w:bidi="ar"/>
        </w:rPr>
        <w:t xml:space="preserve">（</w:t>
      </w:r>
      <w:r>
        <w:rPr>
          <w:rFonts w:hint="eastAsia"/>
          <w:sz w:val="24"/>
          <w:lang w:bidi="ar"/>
        </w:rPr>
        <w:t xml:space="preserve">http：//jszfcg.jscz.gov.cn/jszc/login</w:t>
      </w:r>
      <w:r>
        <w:rPr>
          <w:sz w:val="24"/>
          <w:lang w:bidi="ar"/>
        </w:rPr>
        <w:t xml:space="preserve">）获取电子版招标文件。</w:t>
      </w:r>
      <w:r>
        <w:rPr>
          <w:sz w:val="24"/>
          <w:lang w:bidi="ar"/>
        </w:rPr>
      </w:r>
      <w:r/>
    </w:p>
    <w:p>
      <w:pPr>
        <w:pStyle w:val="995"/>
        <w:ind w:firstLine="480"/>
        <w:jc w:val="left"/>
        <w:spacing w:line="360" w:lineRule="auto"/>
        <w:widowControl/>
        <w:rPr>
          <w:sz w:val="24"/>
        </w:rPr>
      </w:pPr>
      <w:r>
        <w:rPr>
          <w:sz w:val="24"/>
          <w:lang w:bidi="ar"/>
        </w:rPr>
        <w:t xml:space="preserve">4.售价：</w:t>
      </w:r>
      <w:r>
        <w:rPr>
          <w:rFonts w:hint="eastAsia"/>
          <w:sz w:val="24"/>
          <w:u w:val="single"/>
          <w:lang w:bidi="ar"/>
        </w:rPr>
        <w:t xml:space="preserve">0</w:t>
      </w:r>
      <w:r>
        <w:rPr>
          <w:rFonts w:hint="eastAsia"/>
          <w:sz w:val="24"/>
          <w:lang w:bidi="ar"/>
        </w:rPr>
        <w:t xml:space="preserve">元</w:t>
      </w:r>
      <w:r>
        <w:rPr>
          <w:sz w:val="24"/>
          <w:lang w:bidi="ar"/>
        </w:rPr>
        <w:t xml:space="preserve">。</w:t>
      </w:r>
      <w:r>
        <w:rPr>
          <w:sz w:val="24"/>
        </w:rPr>
      </w:r>
      <w:r/>
    </w:p>
    <w:p>
      <w:pPr>
        <w:pStyle w:val="997"/>
        <w:jc w:val="left"/>
        <w:spacing w:before="0" w:line="360" w:lineRule="auto"/>
        <w:widowControl/>
        <w:rPr>
          <w:rFonts w:ascii="Times New Roman" w:hAnsi="Times New Roman" w:eastAsia="宋体"/>
          <w:sz w:val="24"/>
          <w:szCs w:val="24"/>
        </w:rPr>
      </w:pPr>
      <w:r/>
      <w:bookmarkStart w:id="18" w:name="_Toc28359005"/>
      <w:r/>
      <w:bookmarkStart w:id="19" w:name="_Toc28359082"/>
      <w:r/>
      <w:bookmarkStart w:id="20" w:name="_Toc35393793"/>
      <w:r/>
      <w:bookmarkStart w:id="21" w:name="_Toc35393624"/>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Pr>
          <w:rFonts w:ascii="Times New Roman" w:hAnsi="Times New Roman" w:eastAsia="宋体"/>
          <w:sz w:val="24"/>
          <w:szCs w:val="24"/>
        </w:rPr>
      </w:r>
      <w:r/>
    </w:p>
    <w:p>
      <w:pPr>
        <w:pStyle w:val="995"/>
        <w:ind w:firstLine="480"/>
        <w:spacing w:line="360" w:lineRule="auto"/>
        <w:rPr>
          <w:rFonts w:ascii="宋体" w:hAnsi="宋体"/>
          <w:bCs/>
          <w:sz w:val="24"/>
          <w:u w:val="single"/>
        </w:rPr>
      </w:pPr>
      <w:r>
        <w:rPr>
          <w:rFonts w:ascii="宋体" w:hAnsi="宋体"/>
          <w:sz w:val="24"/>
          <w:lang w:bidi="ar"/>
        </w:rPr>
        <w:t xml:space="preserve">投标截止时间、开标时间：</w:t>
      </w:r>
      <w:r>
        <w:rPr>
          <w:rFonts w:hint="eastAsia" w:ascii="宋体" w:hAnsi="宋体"/>
          <w:sz w:val="24"/>
          <w:highlight w:val="none"/>
          <w:lang w:bidi="ar"/>
        </w:rPr>
        <w:t xml:space="preserve">2026年8月</w:t>
      </w:r>
      <w:r>
        <w:rPr>
          <w:rFonts w:hint="eastAsia" w:ascii="宋体" w:hAnsi="宋体"/>
          <w:sz w:val="24"/>
          <w:highlight w:val="none"/>
          <w:lang w:val="en-US" w:eastAsia="zh-CN" w:bidi="ar"/>
        </w:rPr>
        <w:t xml:space="preserve">26</w:t>
      </w:r>
      <w:r>
        <w:rPr>
          <w:rFonts w:hint="eastAsia" w:ascii="宋体" w:hAnsi="宋体"/>
          <w:sz w:val="24"/>
          <w:highlight w:val="none"/>
          <w:lang w:bidi="ar"/>
        </w:rPr>
        <w:t xml:space="preserve">日</w:t>
      </w:r>
      <w:r>
        <w:rPr>
          <w:rFonts w:hint="eastAsia" w:ascii="宋体" w:hAnsi="宋体"/>
          <w:sz w:val="24"/>
          <w:lang w:val="en-US" w:eastAsia="zh-CN" w:bidi="ar"/>
        </w:rPr>
        <w:t xml:space="preserve">14:00</w:t>
      </w:r>
      <w:r>
        <w:rPr>
          <w:rFonts w:hint="eastAsia" w:ascii="宋体" w:hAnsi="宋体"/>
          <w:sz w:val="24"/>
          <w:lang w:bidi="ar"/>
        </w:rPr>
        <w:t xml:space="preserve">（北京时间）</w:t>
      </w:r>
      <w:r>
        <w:rPr>
          <w:rFonts w:ascii="宋体" w:hAnsi="宋体"/>
          <w:sz w:val="24"/>
          <w:lang w:bidi="ar"/>
        </w:rPr>
        <w:t xml:space="preserve">。</w:t>
      </w:r>
      <w:r>
        <w:rPr>
          <w:rFonts w:ascii="宋体" w:hAnsi="宋体"/>
          <w:bCs/>
          <w:sz w:val="24"/>
          <w:u w:val="single"/>
        </w:rPr>
      </w:r>
      <w:r/>
    </w:p>
    <w:p>
      <w:pPr>
        <w:pStyle w:val="995"/>
        <w:ind w:firstLine="480"/>
        <w:spacing w:line="360" w:lineRule="auto"/>
        <w:rPr>
          <w:sz w:val="24"/>
          <w:lang w:val="zh-TW" w:bidi="ar"/>
        </w:rPr>
      </w:pPr>
      <w:r>
        <w:rPr>
          <w:sz w:val="24"/>
          <w:lang w:bidi="ar"/>
        </w:rPr>
        <w:t xml:space="preserve">地点：</w:t>
      </w:r>
      <w:r>
        <w:rPr>
          <w:rFonts w:hint="eastAsia" w:ascii="宋体" w:hAnsi="宋体"/>
          <w:sz w:val="24"/>
        </w:rPr>
        <w:t xml:space="preserve">本项目采用不见面交易方式，无需到现场提交，投标人登录政府采购一体化平台“苏采云”供应商端，通过系统在线提交电子投标文件</w:t>
      </w:r>
      <w:r>
        <w:rPr>
          <w:sz w:val="24"/>
          <w:lang w:val="zh-TW" w:bidi="ar"/>
        </w:rPr>
        <w:t xml:space="preserve">。</w:t>
      </w:r>
      <w:r>
        <w:rPr>
          <w:sz w:val="24"/>
          <w:lang w:val="zh-TW" w:bidi="ar"/>
        </w:rPr>
      </w:r>
      <w:r/>
    </w:p>
    <w:p>
      <w:pPr>
        <w:pStyle w:val="997"/>
        <w:jc w:val="left"/>
        <w:spacing w:before="0" w:line="360" w:lineRule="auto"/>
        <w:rPr>
          <w:rFonts w:ascii="Times New Roman" w:hAnsi="Times New Roman" w:eastAsia="宋体"/>
          <w:sz w:val="24"/>
          <w:szCs w:val="24"/>
        </w:rPr>
      </w:pPr>
      <w:r/>
      <w:bookmarkStart w:id="22" w:name="_Toc35393625"/>
      <w:r/>
      <w:bookmarkStart w:id="23" w:name="_Toc28359084"/>
      <w:r/>
      <w:bookmarkStart w:id="24" w:name="_Toc28359007"/>
      <w:r/>
      <w:bookmarkStart w:id="25" w:name="_Toc35393794"/>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995"/>
        <w:ind w:firstLine="480"/>
        <w:spacing w:line="360" w:lineRule="auto"/>
        <w:rPr>
          <w:sz w:val="24"/>
        </w:rPr>
      </w:pPr>
      <w:r>
        <w:rPr>
          <w:sz w:val="24"/>
        </w:rPr>
        <w:t xml:space="preserve">自本公告发布之日起5个工作日。</w:t>
      </w:r>
      <w:r>
        <w:rPr>
          <w:sz w:val="24"/>
        </w:rPr>
      </w:r>
      <w:r/>
    </w:p>
    <w:p>
      <w:pPr>
        <w:pStyle w:val="997"/>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995"/>
        <w:ind w:firstLine="480"/>
        <w:spacing w:line="360" w:lineRule="auto"/>
        <w:rPr>
          <w:rFonts w:hint="eastAsia"/>
          <w:sz w:val="24"/>
        </w:rPr>
      </w:pPr>
      <w:r>
        <w:rPr>
          <w:sz w:val="24"/>
        </w:rPr>
        <w:t xml:space="preserve">1.本项目需要落实的政府采购政策：</w:t>
      </w:r>
      <w:r>
        <w:rPr>
          <w:rFonts w:hint="eastAsia"/>
          <w:sz w:val="24"/>
        </w:rPr>
        <w:t xml:space="preserve">中小企业政策。</w:t>
      </w:r>
      <w:r>
        <w:rPr>
          <w:rFonts w:hint="eastAsia"/>
          <w:sz w:val="24"/>
        </w:rPr>
      </w:r>
      <w:r/>
    </w:p>
    <w:p>
      <w:pPr>
        <w:pStyle w:val="995"/>
        <w:ind w:firstLine="480"/>
        <w:jc w:val="left"/>
        <w:spacing w:line="360" w:lineRule="auto"/>
        <w:widowControl/>
        <w:rPr>
          <w:bCs/>
          <w:sz w:val="24"/>
          <w:lang w:bidi="ar"/>
        </w:rPr>
      </w:pPr>
      <w:r>
        <w:rPr>
          <w:sz w:val="24"/>
        </w:rPr>
        <w:t xml:space="preserve">2</w:t>
      </w:r>
      <w:r>
        <w:rPr>
          <w:sz w:val="24"/>
          <w:lang w:bidi="ar"/>
        </w:rPr>
        <w:t xml:space="preserve">.</w:t>
      </w:r>
      <w:r>
        <w:rPr>
          <w:rFonts w:hint="eastAsia"/>
          <w:bCs/>
          <w:sz w:val="24"/>
          <w:lang w:bidi="ar"/>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rPr>
          <w:bCs/>
          <w:sz w:val="24"/>
          <w:lang w:bidi="ar"/>
        </w:rPr>
        <w:t xml:space="preserve">。</w:t>
      </w:r>
      <w:r>
        <w:rPr>
          <w:bCs/>
          <w:sz w:val="24"/>
          <w:lang w:bidi="ar"/>
        </w:rPr>
      </w:r>
      <w:r/>
    </w:p>
    <w:p>
      <w:pPr>
        <w:pStyle w:val="995"/>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995"/>
        <w:ind w:firstLine="480"/>
        <w:spacing w:line="360" w:lineRule="auto"/>
        <w:rPr>
          <w:sz w:val="24"/>
          <w:lang w:bidi="ar"/>
        </w:rPr>
      </w:pPr>
      <w:r>
        <w:rPr>
          <w:sz w:val="24"/>
          <w:lang w:bidi="ar"/>
        </w:rPr>
        <w:t xml:space="preserve">CA认证证书</w:t>
      </w:r>
      <w:r>
        <w:rPr>
          <w:rFonts w:hint="eastAsia"/>
          <w:sz w:val="24"/>
          <w:lang w:bidi="ar"/>
        </w:rPr>
        <w:t xml:space="preserve">办理（可邮寄）联系电话：</w:t>
      </w:r>
      <w:r>
        <w:rPr>
          <w:sz w:val="24"/>
          <w:lang w:bidi="ar"/>
        </w:rPr>
        <w:t xml:space="preserve">0519  85588120</w:t>
      </w:r>
      <w:r>
        <w:rPr>
          <w:sz w:val="24"/>
          <w:lang w:bidi="ar"/>
        </w:rPr>
      </w:r>
      <w:r/>
    </w:p>
    <w:p>
      <w:pPr>
        <w:pStyle w:val="995"/>
        <w:ind w:firstLine="480"/>
        <w:jc w:val="left"/>
        <w:spacing w:line="360" w:lineRule="auto"/>
        <w:widowControl/>
        <w:rPr>
          <w:sz w:val="24"/>
          <w:lang w:bidi="ar"/>
        </w:rPr>
      </w:pPr>
      <w:r>
        <w:rPr>
          <w:sz w:val="24"/>
          <w:lang w:bidi="ar"/>
        </w:rPr>
        <w:t xml:space="preserve">2.1办理CA认证证书</w:t>
      </w:r>
      <w:r>
        <w:rPr>
          <w:sz w:val="24"/>
          <w:lang w:bidi="ar"/>
        </w:rPr>
      </w:r>
      <w:r/>
    </w:p>
    <w:p>
      <w:pPr>
        <w:pStyle w:val="995"/>
        <w:ind w:firstLine="480"/>
        <w:jc w:val="left"/>
        <w:spacing w:line="360" w:lineRule="auto"/>
        <w:widowControl/>
        <w:rPr>
          <w:sz w:val="24"/>
        </w:rPr>
      </w:pPr>
      <w:r>
        <w:rPr>
          <w:rFonts w:hint="eastAsia"/>
          <w:sz w:val="24"/>
          <w:lang w:bidi="ar"/>
        </w:rPr>
        <w:t xml:space="preserve">供应商登录政府采购一体化平台“苏采云”“新CA办理指南”</w:t>
      </w:r>
      <w:r>
        <w:rPr>
          <w:sz w:val="24"/>
          <w:lang w:bidi="ar"/>
        </w:rPr>
        <w:t xml:space="preserve">，按照程序要求办理。</w:t>
      </w:r>
      <w:r>
        <w:rPr>
          <w:sz w:val="24"/>
        </w:rPr>
      </w:r>
      <w:r/>
    </w:p>
    <w:p>
      <w:pPr>
        <w:pStyle w:val="995"/>
        <w:ind w:firstLine="480"/>
        <w:spacing w:line="360" w:lineRule="auto"/>
        <w:rPr>
          <w:sz w:val="24"/>
          <w:lang w:bidi="ar"/>
        </w:rPr>
      </w:pPr>
      <w:r>
        <w:rPr>
          <w:sz w:val="24"/>
          <w:lang w:bidi="ar"/>
        </w:rPr>
        <w:t xml:space="preserve">2.2注册</w:t>
      </w:r>
      <w:r>
        <w:rPr>
          <w:sz w:val="24"/>
          <w:lang w:bidi="ar"/>
        </w:rPr>
      </w:r>
      <w:r/>
    </w:p>
    <w:p>
      <w:pPr>
        <w:pStyle w:val="995"/>
        <w:ind w:firstLine="480"/>
        <w:spacing w:line="360" w:lineRule="auto"/>
        <w:rPr>
          <w:sz w:val="24"/>
        </w:rPr>
      </w:pPr>
      <w:r>
        <w:rPr>
          <w:rFonts w:hint="eastAsia"/>
          <w:sz w:val="24"/>
        </w:rPr>
        <w:t xml:space="preserve">供应商登录政府采购一体化平台“苏采云”下载“用户注册”查阅后进行自助注册</w:t>
      </w:r>
      <w:r>
        <w:rPr>
          <w:sz w:val="24"/>
          <w:lang w:bidi="ar"/>
        </w:rPr>
        <w:t xml:space="preserve">。</w:t>
      </w:r>
      <w:r>
        <w:rPr>
          <w:sz w:val="24"/>
        </w:rPr>
      </w:r>
      <w:r/>
    </w:p>
    <w:p>
      <w:pPr>
        <w:pStyle w:val="995"/>
        <w:ind w:firstLine="480"/>
        <w:jc w:val="left"/>
        <w:spacing w:line="360" w:lineRule="auto"/>
        <w:widowControl/>
        <w:rPr>
          <w:sz w:val="24"/>
          <w:lang w:bidi="ar"/>
        </w:rPr>
      </w:pPr>
      <w:r>
        <w:rPr>
          <w:sz w:val="24"/>
          <w:lang w:bidi="ar"/>
        </w:rPr>
        <w:t xml:space="preserve">2.3</w:t>
      </w:r>
      <w:r>
        <w:rPr>
          <w:rFonts w:hint="eastAsia"/>
          <w:sz w:val="24"/>
          <w:lang w:bidi="ar"/>
        </w:rPr>
        <w:t xml:space="preserve">控件</w:t>
      </w:r>
      <w:r>
        <w:rPr>
          <w:sz w:val="24"/>
          <w:lang w:bidi="ar"/>
        </w:rPr>
        <w:t xml:space="preserve">、客户端下载</w:t>
      </w:r>
      <w:r>
        <w:rPr>
          <w:sz w:val="24"/>
          <w:lang w:bidi="ar"/>
        </w:rPr>
      </w:r>
      <w:r/>
    </w:p>
    <w:p>
      <w:pPr>
        <w:pStyle w:val="995"/>
        <w:ind w:firstLine="480"/>
        <w:jc w:val="left"/>
        <w:spacing w:line="360" w:lineRule="auto"/>
        <w:widowControl/>
        <w:rPr>
          <w:sz w:val="24"/>
        </w:rPr>
      </w:pPr>
      <w:r>
        <w:rPr>
          <w:rFonts w:hint="eastAsia"/>
          <w:sz w:val="24"/>
        </w:rPr>
        <w:t xml:space="preserve">供应商登录政府采购一体化平台“苏采云”下载“驱动下载”，安装驱动</w:t>
      </w:r>
      <w:r>
        <w:rPr>
          <w:sz w:val="24"/>
          <w:lang w:bidi="ar"/>
        </w:rPr>
        <w:t xml:space="preserve">。</w:t>
      </w:r>
      <w:r>
        <w:rPr>
          <w:sz w:val="24"/>
        </w:rPr>
      </w:r>
      <w:r/>
    </w:p>
    <w:p>
      <w:pPr>
        <w:pStyle w:val="995"/>
        <w:ind w:firstLine="480"/>
        <w:spacing w:line="360" w:lineRule="auto"/>
        <w:rPr>
          <w:sz w:val="24"/>
          <w:lang w:bidi="ar"/>
        </w:rPr>
      </w:pPr>
      <w:r>
        <w:rPr>
          <w:sz w:val="24"/>
          <w:lang w:bidi="ar"/>
        </w:rPr>
        <w:t xml:space="preserve">2.4获取电子招标文件</w:t>
      </w:r>
      <w:r>
        <w:rPr>
          <w:sz w:val="24"/>
          <w:lang w:bidi="ar"/>
        </w:rPr>
      </w:r>
      <w:r/>
    </w:p>
    <w:p>
      <w:pPr>
        <w:pStyle w:val="995"/>
        <w:ind w:firstLine="480"/>
        <w:spacing w:line="360" w:lineRule="auto"/>
        <w:rPr>
          <w:sz w:val="24"/>
          <w:lang w:bidi="ar"/>
        </w:rPr>
      </w:pPr>
      <w:r>
        <w:rPr>
          <w:sz w:val="24"/>
          <w:lang w:bidi="ar"/>
        </w:rPr>
        <w:t xml:space="preserve">供应商持CA数字认证证书登录</w:t>
      </w:r>
      <w:r>
        <w:rPr>
          <w:rFonts w:hint="eastAsia"/>
          <w:sz w:val="24"/>
          <w:lang w:bidi="ar"/>
        </w:rPr>
        <w:t xml:space="preserve">政府采购一体化平台“苏采云”</w:t>
      </w:r>
      <w:r>
        <w:rPr>
          <w:sz w:val="24"/>
          <w:lang w:bidi="ar"/>
        </w:rPr>
        <w:t xml:space="preserve">获取电子招标文件。未在规定期限内通过</w:t>
      </w:r>
      <w:r>
        <w:rPr>
          <w:rFonts w:hint="eastAsia"/>
          <w:sz w:val="24"/>
          <w:lang w:bidi="ar"/>
        </w:rPr>
        <w:t xml:space="preserve">政府采购一体化平台“苏采云”</w:t>
      </w:r>
      <w:r>
        <w:rPr>
          <w:sz w:val="24"/>
          <w:lang w:bidi="ar"/>
        </w:rPr>
        <w:t xml:space="preserve">获取招标文件的</w:t>
      </w:r>
      <w:r>
        <w:rPr>
          <w:b/>
          <w:sz w:val="24"/>
          <w:lang w:bidi="ar"/>
        </w:rPr>
        <w:t xml:space="preserve">投标无效</w:t>
      </w:r>
      <w:r>
        <w:rPr>
          <w:sz w:val="24"/>
          <w:lang w:bidi="ar"/>
        </w:rPr>
        <w:t xml:space="preserve">。</w:t>
      </w:r>
      <w:r>
        <w:rPr>
          <w:sz w:val="24"/>
          <w:lang w:bidi="ar"/>
        </w:rPr>
      </w:r>
      <w:r/>
    </w:p>
    <w:p>
      <w:pPr>
        <w:pStyle w:val="995"/>
        <w:ind w:firstLine="480"/>
        <w:spacing w:line="360" w:lineRule="auto"/>
        <w:rPr>
          <w:sz w:val="24"/>
          <w:lang w:bidi="ar"/>
        </w:rPr>
      </w:pPr>
      <w:r>
        <w:rPr>
          <w:sz w:val="24"/>
          <w:lang w:bidi="ar"/>
        </w:rPr>
        <w:t xml:space="preserve">2.5编制电子投标文件</w:t>
      </w:r>
      <w:r>
        <w:rPr>
          <w:sz w:val="24"/>
          <w:lang w:bidi="ar"/>
        </w:rPr>
      </w:r>
      <w:r/>
    </w:p>
    <w:p>
      <w:pPr>
        <w:pStyle w:val="995"/>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rPr>
          <w:sz w:val="24"/>
          <w:lang w:bidi="ar"/>
        </w:rPr>
      </w:r>
      <w:r/>
    </w:p>
    <w:p>
      <w:pPr>
        <w:pStyle w:val="995"/>
        <w:ind w:firstLine="480"/>
        <w:jc w:val="left"/>
        <w:spacing w:line="360" w:lineRule="auto"/>
        <w:widowControl/>
        <w:rPr>
          <w:sz w:val="24"/>
          <w:lang w:val="zh-TW" w:bidi="ar"/>
        </w:rPr>
      </w:pPr>
      <w:r>
        <w:rPr>
          <w:rFonts w:eastAsia="PMingLiU"/>
          <w:sz w:val="24"/>
          <w:lang w:val="zh-TW" w:eastAsia="zh-TW" w:bidi="ar"/>
        </w:rPr>
        <w:t xml:space="preserve">2</w:t>
      </w:r>
      <w:r>
        <w:rPr>
          <w:sz w:val="24"/>
          <w:lang w:val="zh-TW" w:eastAsia="zh-TW" w:bidi="ar"/>
        </w:rPr>
        <w:t xml:space="preserve">.6</w:t>
      </w:r>
      <w:r>
        <w:rPr>
          <w:sz w:val="24"/>
          <w:lang w:val="zh-TW" w:bidi="ar"/>
        </w:rPr>
        <w:t xml:space="preserve">提交电子投标文件</w:t>
      </w:r>
      <w:r>
        <w:rPr>
          <w:sz w:val="24"/>
          <w:lang w:val="zh-TW" w:bidi="ar"/>
        </w:rPr>
      </w:r>
      <w:r/>
    </w:p>
    <w:p>
      <w:pPr>
        <w:pStyle w:val="995"/>
        <w:ind w:firstLine="480"/>
        <w:jc w:val="left"/>
        <w:spacing w:line="360" w:lineRule="auto"/>
        <w:widowControl/>
        <w:rPr>
          <w:sz w:val="24"/>
          <w:lang w:bidi="ar"/>
        </w:rPr>
      </w:pPr>
      <w:r>
        <w:rPr>
          <w:sz w:val="24"/>
          <w:lang w:bidi="ar"/>
        </w:rPr>
        <w:t xml:space="preserve">供应商应于投标截止时间前在</w:t>
      </w:r>
      <w:r>
        <w:rPr>
          <w:rFonts w:hint="eastAsia"/>
          <w:sz w:val="24"/>
          <w:lang w:bidi="ar"/>
        </w:rPr>
        <w:t xml:space="preserve">政府采购一体化平台“苏采云”</w:t>
      </w:r>
      <w:r>
        <w:rPr>
          <w:sz w:val="24"/>
          <w:lang w:bidi="ar"/>
        </w:rPr>
        <w:t xml:space="preserve">提交电子投标文件，上传电子投标文件过程中请保持与互联网的连接畅通。</w:t>
      </w:r>
      <w:r>
        <w:rPr>
          <w:sz w:val="24"/>
          <w:lang w:bidi="ar"/>
        </w:rPr>
      </w:r>
      <w:r/>
    </w:p>
    <w:p>
      <w:pPr>
        <w:pStyle w:val="995"/>
        <w:ind w:firstLine="480"/>
        <w:jc w:val="left"/>
        <w:spacing w:line="360" w:lineRule="auto"/>
        <w:widowControl/>
        <w:rPr>
          <w:sz w:val="24"/>
          <w:lang w:eastAsia="zh-TW" w:bidi="ar"/>
        </w:rPr>
      </w:pPr>
      <w:r>
        <w:rPr>
          <w:rFonts w:eastAsia="PMingLiU"/>
          <w:sz w:val="24"/>
          <w:lang w:val="zh-TW" w:eastAsia="zh-TW"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995"/>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995"/>
        <w:ind w:firstLine="480"/>
        <w:spacing w:line="360" w:lineRule="auto"/>
        <w:rPr>
          <w:rFonts w:hint="eastAsia"/>
          <w:sz w:val="24"/>
          <w:lang w:val="zh-TW" w:bidi="ar"/>
        </w:rPr>
      </w:pPr>
      <w:r>
        <w:rPr>
          <w:rFonts w:eastAsia="PMingLiU"/>
          <w:sz w:val="24"/>
          <w:lang w:val="zh-TW" w:eastAsia="zh-TW" w:bidi="ar"/>
        </w:rPr>
        <w:t xml:space="preserve">2</w:t>
      </w:r>
      <w:r>
        <w:rPr>
          <w:rFonts w:hint="eastAsia"/>
          <w:sz w:val="24"/>
          <w:lang w:val="zh-TW" w:bidi="ar"/>
        </w:rPr>
        <w:t xml:space="preserve">.8注意事项</w:t>
      </w:r>
      <w:r>
        <w:rPr>
          <w:rFonts w:hint="eastAsia"/>
          <w:sz w:val="24"/>
          <w:lang w:val="zh-TW" w:bidi="ar"/>
        </w:rPr>
      </w:r>
      <w:r/>
    </w:p>
    <w:p>
      <w:pPr>
        <w:pStyle w:val="995"/>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995"/>
        <w:ind w:firstLine="480"/>
        <w:spacing w:line="360" w:lineRule="auto"/>
        <w:rPr>
          <w:sz w:val="24"/>
          <w:lang w:val="zh-TW" w:bidi="ar"/>
        </w:rPr>
      </w:pPr>
      <w:r>
        <w:rPr>
          <w:rFonts w:eastAsia="PMingLiU"/>
          <w:sz w:val="24"/>
          <w:lang w:val="zh-TW" w:eastAsia="zh-TW" w:bidi="ar"/>
        </w:rPr>
        <w:t xml:space="preserve">3</w:t>
      </w:r>
      <w:r>
        <w:rPr>
          <w:rFonts w:hint="eastAsia"/>
          <w:sz w:val="24"/>
          <w:lang w:val="zh-TW" w:bidi="ar"/>
        </w:rPr>
        <w:t xml:space="preserve">.关于常州市中小企业政府采购信用融资：</w:t>
      </w:r>
      <w:r>
        <w:rPr>
          <w:sz w:val="24"/>
          <w:lang w:val="zh-TW" w:bidi="ar"/>
        </w:rPr>
      </w:r>
      <w:r/>
    </w:p>
    <w:p>
      <w:pPr>
        <w:pStyle w:val="995"/>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rPr>
          <w:sz w:val="24"/>
          <w:lang w:val="zh-TW" w:bidi="ar"/>
        </w:rPr>
      </w:r>
      <w:r/>
    </w:p>
    <w:p>
      <w:pPr>
        <w:pStyle w:val="997"/>
        <w:jc w:val="left"/>
        <w:spacing w:before="0" w:line="360" w:lineRule="auto"/>
        <w:rPr>
          <w:rFonts w:ascii="Times New Roman" w:hAnsi="Times New Roman" w:eastAsia="宋体"/>
          <w:sz w:val="24"/>
          <w:szCs w:val="24"/>
        </w:rPr>
      </w:pPr>
      <w:r/>
      <w:bookmarkStart w:id="28" w:name="_Toc35393627"/>
      <w:r/>
      <w:bookmarkStart w:id="29" w:name="_Toc28359008"/>
      <w:r/>
      <w:bookmarkStart w:id="30" w:name="_Toc28359085"/>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995"/>
        <w:ind w:firstLine="482"/>
        <w:jc w:val="left"/>
        <w:spacing w:line="360" w:lineRule="auto"/>
        <w:widowControl/>
        <w:rPr>
          <w:b/>
          <w:sz w:val="24"/>
        </w:rPr>
      </w:pPr>
      <w:r>
        <w:rPr>
          <w:b/>
          <w:sz w:val="24"/>
        </w:rPr>
        <w:t xml:space="preserve">1.招标人信息</w:t>
      </w:r>
      <w:r>
        <w:rPr>
          <w:b/>
          <w:sz w:val="24"/>
        </w:rPr>
      </w:r>
      <w:r/>
    </w:p>
    <w:p>
      <w:pPr>
        <w:pStyle w:val="995"/>
        <w:ind w:firstLine="480"/>
        <w:jc w:val="left"/>
        <w:spacing w:line="360" w:lineRule="auto"/>
        <w:rPr>
          <w:rFonts w:hint="eastAsia" w:ascii="宋体" w:hAnsi="宋体" w:cs="宋体"/>
          <w:sz w:val="24"/>
        </w:rPr>
      </w:pPr>
      <w:r/>
      <w:bookmarkStart w:id="32" w:name="_Toc28359009"/>
      <w:r/>
      <w:bookmarkStart w:id="33" w:name="_Toc28359086"/>
      <w:r>
        <w:rPr>
          <w:rFonts w:hint="eastAsia" w:ascii="宋体" w:hAnsi="宋体" w:cs="宋体"/>
          <w:sz w:val="24"/>
        </w:rPr>
        <w:t xml:space="preserve">名 </w:t>
      </w:r>
      <w:r>
        <w:rPr>
          <w:rFonts w:ascii="宋体" w:hAnsi="宋体" w:cs="宋体"/>
          <w:sz w:val="24"/>
        </w:rPr>
        <w:t xml:space="preserve"> </w:t>
      </w:r>
      <w:r>
        <w:rPr>
          <w:rFonts w:hint="eastAsia" w:ascii="宋体" w:hAnsi="宋体" w:cs="宋体"/>
          <w:sz w:val="24"/>
        </w:rPr>
        <w:t xml:space="preserve">  称：常州市排水管理处</w:t>
      </w:r>
      <w:r>
        <w:rPr>
          <w:rFonts w:hint="eastAsia" w:ascii="宋体" w:hAnsi="宋体" w:cs="宋体"/>
          <w:sz w:val="24"/>
        </w:rPr>
      </w:r>
      <w:r/>
    </w:p>
    <w:p>
      <w:pPr>
        <w:pStyle w:val="995"/>
        <w:ind w:firstLine="480"/>
        <w:jc w:val="left"/>
        <w:spacing w:line="360" w:lineRule="auto"/>
        <w:rPr>
          <w:rFonts w:ascii="宋体" w:hAnsi="宋体" w:cs="宋体"/>
          <w:sz w:val="24"/>
          <w:highlight w:val="none"/>
        </w:rPr>
      </w:pPr>
      <w:r>
        <w:rPr>
          <w:rFonts w:hint="eastAsia" w:ascii="宋体" w:hAnsi="宋体" w:cs="宋体"/>
          <w:sz w:val="24"/>
        </w:rPr>
        <w:t xml:space="preserve">地</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  址：常州市天宁区飞龙东路116号</w:t>
      </w:r>
      <w:r>
        <w:rPr>
          <w:rFonts w:ascii="宋体" w:hAnsi="宋体" w:cs="宋体"/>
          <w:sz w:val="24"/>
          <w:highlight w:val="none"/>
        </w:rPr>
      </w:r>
      <w:r/>
    </w:p>
    <w:p>
      <w:pPr>
        <w:pStyle w:val="99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联系方式：0519-8557087</w:t>
      </w:r>
      <w:r>
        <w:rPr>
          <w:rFonts w:ascii="宋体" w:hAnsi="宋体" w:cs="宋体"/>
          <w:sz w:val="24"/>
          <w:highlight w:val="none"/>
        </w:rPr>
        <w:t xml:space="preserve">3</w:t>
      </w:r>
      <w:r>
        <w:rPr>
          <w:rFonts w:hint="eastAsia" w:ascii="宋体" w:hAnsi="宋体" w:cs="宋体"/>
          <w:sz w:val="24"/>
          <w:highlight w:val="none"/>
        </w:rPr>
      </w:r>
      <w:r/>
    </w:p>
    <w:p>
      <w:pPr>
        <w:pStyle w:val="995"/>
        <w:ind w:firstLine="482"/>
        <w:jc w:val="left"/>
        <w:spacing w:line="360" w:lineRule="auto"/>
        <w:rPr>
          <w:b/>
          <w:sz w:val="24"/>
        </w:rPr>
      </w:pPr>
      <w:r>
        <w:rPr>
          <w:b/>
          <w:sz w:val="24"/>
        </w:rPr>
        <w:t xml:space="preserve">2.招标代理机构信息</w:t>
      </w:r>
      <w:bookmarkEnd w:id="32"/>
      <w:r/>
      <w:bookmarkEnd w:id="33"/>
      <w:r>
        <w:rPr>
          <w:b/>
          <w:sz w:val="24"/>
        </w:rPr>
      </w:r>
      <w:r/>
    </w:p>
    <w:p>
      <w:pPr>
        <w:pStyle w:val="995"/>
        <w:ind w:firstLine="480"/>
        <w:spacing w:line="360" w:lineRule="auto"/>
        <w:rPr>
          <w:rFonts w:ascii="宋体" w:hAnsi="宋体" w:cs="宋体"/>
          <w:sz w:val="24"/>
        </w:rPr>
      </w:pPr>
      <w:r/>
      <w:bookmarkStart w:id="34" w:name="_Toc28359087"/>
      <w:r/>
      <w:bookmarkStart w:id="35" w:name="_Toc28359010"/>
      <w:r>
        <w:rPr>
          <w:rFonts w:hint="eastAsia" w:ascii="宋体" w:hAnsi="宋体" w:cs="宋体"/>
          <w:sz w:val="24"/>
        </w:rPr>
        <w:t xml:space="preserve">名     称：江苏中冠工程咨询有限公司</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rPr>
          <w:rFonts w:ascii="宋体" w:hAnsi="宋体" w:cs="宋体"/>
          <w:sz w:val="24"/>
        </w:rPr>
      </w:r>
      <w:r/>
    </w:p>
    <w:p>
      <w:pPr>
        <w:pStyle w:val="995"/>
        <w:ind w:firstLine="480"/>
        <w:jc w:val="left"/>
        <w:spacing w:line="360" w:lineRule="auto"/>
        <w:rPr>
          <w:sz w:val="24"/>
          <w:u w:val="single"/>
        </w:rPr>
      </w:pPr>
      <w:r>
        <w:rPr>
          <w:rFonts w:hint="eastAsia" w:ascii="宋体" w:hAnsi="宋体" w:cs="宋体"/>
          <w:sz w:val="24"/>
        </w:rPr>
        <w:t xml:space="preserve">联系方式：0519-85581855</w:t>
      </w:r>
      <w:r>
        <w:rPr>
          <w:sz w:val="24"/>
          <w:u w:val="single"/>
        </w:rPr>
      </w:r>
      <w:r/>
    </w:p>
    <w:p>
      <w:pPr>
        <w:pStyle w:val="995"/>
        <w:ind w:firstLine="482"/>
        <w:spacing w:line="360" w:lineRule="auto"/>
        <w:rPr>
          <w:b/>
          <w:sz w:val="24"/>
          <w:u w:val="single"/>
        </w:rPr>
      </w:pPr>
      <w:r>
        <w:rPr>
          <w:b/>
          <w:sz w:val="24"/>
        </w:rPr>
        <w:t xml:space="preserve">3.项目联系方式</w:t>
      </w:r>
      <w:bookmarkEnd w:id="34"/>
      <w:r/>
      <w:bookmarkEnd w:id="35"/>
      <w:r>
        <w:rPr>
          <w:b/>
          <w:sz w:val="24"/>
          <w:u w:val="single"/>
        </w:rPr>
      </w:r>
      <w:r/>
    </w:p>
    <w:p>
      <w:pPr>
        <w:pStyle w:val="995"/>
        <w:ind w:firstLine="480"/>
        <w:spacing w:line="360" w:lineRule="auto"/>
        <w:rPr>
          <w:rFonts w:ascii="宋体" w:hAnsi="宋体" w:cs="宋体"/>
          <w:sz w:val="24"/>
        </w:rPr>
      </w:pPr>
      <w:r>
        <w:rPr>
          <w:rFonts w:hint="eastAsia" w:ascii="宋体" w:hAnsi="宋体" w:cs="宋体"/>
          <w:sz w:val="24"/>
        </w:rPr>
        <w:t xml:space="preserve">项目联系人：朱先生</w:t>
      </w:r>
      <w:r>
        <w:rPr>
          <w:rFonts w:ascii="宋体" w:hAnsi="宋体" w:cs="宋体"/>
          <w:sz w:val="24"/>
        </w:rPr>
      </w:r>
      <w:r/>
    </w:p>
    <w:p>
      <w:pPr>
        <w:pStyle w:val="1035"/>
        <w:ind w:firstLine="480"/>
        <w:spacing w:line="360" w:lineRule="auto"/>
        <w:rPr>
          <w:rFonts w:ascii="Times New Roman" w:hAnsi="Times New Roman"/>
          <w:sz w:val="24"/>
          <w:szCs w:val="24"/>
        </w:rPr>
        <w:sectPr>
          <w:headerReference w:type="first" r:id="rId9"/>
          <w:footerReference w:type="default" r:id="rId14"/>
          <w:footnotePr/>
          <w:endnotePr/>
          <w:type w:val="nextColumn"/>
          <w:pgSz w:w="11907" w:h="16840" w:orient="portrait"/>
          <w:pgMar w:top="1418" w:right="1134" w:bottom="1418" w:left="1701" w:header="851" w:footer="851" w:gutter="0"/>
          <w:cols w:num="1" w:sep="0" w:space="1701" w:equalWidth="1"/>
          <w:docGrid w:linePitch="360"/>
          <w:titlePg/>
        </w:sectPr>
      </w:pPr>
      <w:r>
        <w:rPr>
          <w:rFonts w:hAnsi="宋体" w:cs="宋体"/>
          <w:sz w:val="24"/>
          <w:szCs w:val="24"/>
        </w:rPr>
        <w:t xml:space="preserve">电　　  话：0519-85581855</w:t>
      </w:r>
      <w:r>
        <w:rPr>
          <w:rFonts w:ascii="Times New Roman" w:hAnsi="Times New Roman"/>
          <w:sz w:val="24"/>
          <w:szCs w:val="24"/>
        </w:rPr>
      </w:r>
      <w:bookmarkStart w:id="36" w:name="_Toc127151777"/>
      <w:r/>
      <w:bookmarkStart w:id="37" w:name="_Toc150774783"/>
      <w:r/>
      <w:bookmarkStart w:id="38" w:name="_Toc264969275"/>
      <w:r/>
      <w:bookmarkStart w:id="39" w:name="_Toc226965856"/>
      <w:r/>
      <w:bookmarkStart w:id="40" w:name="_Toc305158854"/>
      <w:r/>
      <w:bookmarkStart w:id="41" w:name="_Toc512937850"/>
      <w:r/>
      <w:bookmarkStart w:id="42" w:name="_Toc353825548"/>
      <w:r/>
      <w:bookmarkStart w:id="43" w:name="_Toc127161488"/>
      <w:r/>
      <w:bookmarkStart w:id="44" w:name="_Toc353873938"/>
      <w:r/>
      <w:bookmarkStart w:id="45" w:name="_Toc305158928"/>
      <w:r/>
      <w:bookmarkStart w:id="46" w:name="_Toc195842950"/>
      <w:r/>
      <w:bookmarkStart w:id="47" w:name="_Toc265228423"/>
      <w:r>
        <w:rPr>
          <w:rFonts w:ascii="Times New Roman" w:hAnsi="Times New Roman"/>
          <w:sz w:val="24"/>
          <w:szCs w:val="24"/>
        </w:rPr>
      </w:r>
      <w:r/>
    </w:p>
    <w:p>
      <w:pPr>
        <w:pStyle w:val="995"/>
        <w:jc w:val="center"/>
        <w:spacing w:line="360" w:lineRule="auto"/>
        <w:rPr>
          <w:b/>
          <w:sz w:val="32"/>
          <w:szCs w:val="32"/>
        </w:rPr>
        <w:outlineLvl w:val="0"/>
      </w:pPr>
      <w:r/>
      <w:bookmarkStart w:id="48" w:name="_Toc17447"/>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997"/>
        <w:spacing w:before="0" w:line="360" w:lineRule="auto"/>
        <w:tabs>
          <w:tab w:val="center" w:pos="4592" w:leader="none"/>
          <w:tab w:val="left" w:pos="7860" w:leader="none"/>
        </w:tabs>
        <w:rPr>
          <w:rFonts w:ascii="Times New Roman" w:hAnsi="Times New Roman" w:eastAsia="宋体"/>
          <w:sz w:val="28"/>
        </w:rPr>
      </w:pPr>
      <w:r/>
      <w:bookmarkStart w:id="49" w:name="_Toc151193761"/>
      <w:r/>
      <w:bookmarkStart w:id="50" w:name="_Toc149720812"/>
      <w:r/>
      <w:bookmarkStart w:id="51" w:name="_Toc151193689"/>
      <w:r/>
      <w:bookmarkStart w:id="52" w:name="_Toc150774724"/>
      <w:r/>
      <w:bookmarkStart w:id="53" w:name="_Toc151190146"/>
      <w:r/>
      <w:bookmarkStart w:id="54" w:name="_Toc195842884"/>
      <w:r/>
      <w:bookmarkStart w:id="55" w:name="_Toc226965792"/>
      <w:r/>
      <w:bookmarkStart w:id="56" w:name="_Toc164608788"/>
      <w:r/>
      <w:bookmarkStart w:id="57" w:name="_Toc150480757"/>
      <w:r/>
      <w:bookmarkStart w:id="58" w:name="_Toc164229214"/>
      <w:r/>
      <w:bookmarkStart w:id="59" w:name="_Toc127161433"/>
      <w:r/>
      <w:bookmarkStart w:id="60" w:name="_Toc164351613"/>
      <w:r/>
      <w:bookmarkStart w:id="61" w:name="_Toc151193617"/>
      <w:r/>
      <w:bookmarkStart w:id="62" w:name="_Toc127151720"/>
      <w:r/>
      <w:bookmarkStart w:id="63" w:name="_Toc127151519"/>
      <w:r/>
      <w:bookmarkStart w:id="64" w:name="_Toc150774619"/>
      <w:r/>
      <w:bookmarkStart w:id="65" w:name="_Toc151193907"/>
      <w:r/>
      <w:bookmarkStart w:id="66" w:name="_Toc226309763"/>
      <w:r/>
      <w:bookmarkStart w:id="67" w:name="_Toc151193833"/>
      <w:r/>
      <w:bookmarkStart w:id="68" w:name="_Toc164229360"/>
      <w:r/>
      <w:bookmarkStart w:id="69" w:name="_Toc142311021"/>
      <w:r/>
      <w:bookmarkStart w:id="70" w:name="_Toc226965709"/>
      <w:r/>
      <w:bookmarkStart w:id="71" w:name="_Toc164608633"/>
      <w:r/>
      <w:bookmarkStart w:id="72" w:name="_Toc226337215"/>
      <w:r/>
      <w:bookmarkStart w:id="73" w:name="_Toc150509270"/>
      <w:r/>
      <w:bookmarkStart w:id="74" w:name="_Toc520356144"/>
      <w:r>
        <w:rPr>
          <w:rFonts w:ascii="Times New Roman" w:hAnsi="Times New Roman" w:eastAsia="宋体"/>
          <w:sz w:val="28"/>
        </w:rPr>
        <w:t xml:space="preserve">投标人须知资料表</w:t>
      </w:r>
      <w:r>
        <w:rPr>
          <w:rFonts w:ascii="Times New Roman" w:hAnsi="Times New Roman" w:eastAsia="宋体"/>
          <w:sz w:val="28"/>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95"/>
              <w:jc w:val="center"/>
              <w:rPr>
                <w:b/>
                <w:bCs/>
                <w:sz w:val="24"/>
              </w:rPr>
            </w:pPr>
            <w:r>
              <w:rPr>
                <w:b/>
                <w:sz w:val="24"/>
              </w:rPr>
              <w:t xml:space="preserve">条款号</w:t>
            </w:r>
            <w:r>
              <w:rPr>
                <w:b/>
                <w:bCs/>
                <w:sz w:val="24"/>
              </w:rPr>
            </w:r>
            <w:r/>
          </w:p>
        </w:tc>
        <w:tc>
          <w:tcPr>
            <w:tcW w:w="1701" w:type="dxa"/>
            <w:vAlign w:val="center"/>
            <w:textDirection w:val="lrTb"/>
            <w:noWrap w:val="false"/>
          </w:tcPr>
          <w:p>
            <w:pPr>
              <w:pStyle w:val="995"/>
              <w:jc w:val="center"/>
              <w:rPr>
                <w:b/>
                <w:bCs/>
                <w:sz w:val="24"/>
              </w:rPr>
            </w:pPr>
            <w:r>
              <w:rPr>
                <w:b/>
                <w:bCs/>
                <w:sz w:val="24"/>
              </w:rPr>
              <w:t xml:space="preserve">条目</w:t>
            </w:r>
            <w:r>
              <w:rPr>
                <w:b/>
                <w:bCs/>
                <w:sz w:val="24"/>
              </w:rPr>
            </w:r>
            <w:r/>
          </w:p>
        </w:tc>
        <w:tc>
          <w:tcPr>
            <w:tcW w:w="7540" w:type="dxa"/>
            <w:vAlign w:val="center"/>
            <w:textDirection w:val="lrTb"/>
            <w:noWrap w:val="false"/>
          </w:tcPr>
          <w:p>
            <w:pPr>
              <w:pStyle w:val="995"/>
              <w:jc w:val="center"/>
              <w:rPr>
                <w:b/>
                <w:bCs/>
                <w:sz w:val="24"/>
              </w:rPr>
            </w:pPr>
            <w:r>
              <w:rPr>
                <w:b/>
                <w:bCs/>
                <w:sz w:val="24"/>
              </w:rPr>
              <w:t xml:space="preserve">内容</w:t>
            </w:r>
            <w:r>
              <w:rPr>
                <w:b/>
                <w:bCs/>
                <w:sz w:val="24"/>
              </w:rPr>
            </w:r>
            <w:r/>
          </w:p>
        </w:tc>
      </w:tr>
      <w:tr>
        <w:trPr>
          <w:trHeight w:val="427"/>
        </w:trPr>
        <w:tc>
          <w:tcPr>
            <w:tcW w:w="988" w:type="dxa"/>
            <w:vAlign w:val="center"/>
            <w:textDirection w:val="lrTb"/>
            <w:noWrap w:val="false"/>
          </w:tcPr>
          <w:p>
            <w:pPr>
              <w:pStyle w:val="1035"/>
              <w:jc w:val="center"/>
              <w:rPr>
                <w:rFonts w:ascii="Times New Roman" w:hAnsi="Times New Roman"/>
                <w:sz w:val="24"/>
                <w:szCs w:val="24"/>
                <w:lang w:val="en-US" w:eastAsia="zh-CN"/>
              </w:rPr>
            </w:pPr>
            <w:r>
              <w:rPr>
                <w:rFonts w:ascii="Times New Roman" w:hAnsi="Times New Roman"/>
                <w:sz w:val="24"/>
                <w:szCs w:val="24"/>
                <w:lang w:val="en-US" w:eastAsia="zh-CN"/>
              </w:rPr>
              <w:t xml:space="preserve">2.2</w:t>
            </w:r>
            <w:r>
              <w:rPr>
                <w:rFonts w:ascii="Times New Roman" w:hAnsi="Times New Roman"/>
                <w:sz w:val="24"/>
                <w:szCs w:val="24"/>
                <w:lang w:val="en-US" w:eastAsia="zh-CN"/>
              </w:rPr>
            </w:r>
            <w:r/>
          </w:p>
        </w:tc>
        <w:tc>
          <w:tcPr>
            <w:tcW w:w="1701" w:type="dxa"/>
            <w:vAlign w:val="center"/>
            <w:textDirection w:val="lrTb"/>
            <w:noWrap w:val="false"/>
          </w:tcPr>
          <w:p>
            <w:pPr>
              <w:pStyle w:val="995"/>
              <w:jc w:val="center"/>
              <w:rPr>
                <w:sz w:val="24"/>
              </w:rPr>
            </w:pPr>
            <w:r>
              <w:rPr>
                <w:sz w:val="24"/>
              </w:rPr>
              <w:t xml:space="preserve">项目属性</w:t>
            </w:r>
            <w:r>
              <w:rPr>
                <w:sz w:val="24"/>
              </w:rPr>
            </w:r>
            <w:r/>
          </w:p>
        </w:tc>
        <w:tc>
          <w:tcPr>
            <w:tcW w:w="7540" w:type="dxa"/>
            <w:vAlign w:val="center"/>
            <w:textDirection w:val="lrTb"/>
            <w:noWrap w:val="false"/>
          </w:tcPr>
          <w:p>
            <w:pPr>
              <w:pStyle w:val="995"/>
              <w:jc w:val="left"/>
              <w:rPr>
                <w:sz w:val="24"/>
              </w:rPr>
            </w:pPr>
            <w:r>
              <w:rPr>
                <w:sz w:val="24"/>
              </w:rPr>
              <w:t xml:space="preserve">项目属性：</w:t>
            </w:r>
            <w:r>
              <w:rPr>
                <w:sz w:val="24"/>
              </w:rPr>
            </w:r>
            <w:r/>
          </w:p>
          <w:p>
            <w:pPr>
              <w:pStyle w:val="995"/>
              <w:jc w:val="left"/>
              <w:rPr>
                <w:sz w:val="24"/>
              </w:rPr>
            </w:pPr>
            <w:r>
              <w:rPr>
                <w:sz w:val="24"/>
              </w:rPr>
              <w:t xml:space="preserve">■服务</w:t>
            </w:r>
            <w:r>
              <w:rPr>
                <w:sz w:val="24"/>
              </w:rPr>
            </w:r>
            <w:r/>
          </w:p>
          <w:p>
            <w:pPr>
              <w:pStyle w:val="995"/>
              <w:jc w:val="left"/>
              <w:rPr>
                <w:rFonts w:hint="eastAsia"/>
                <w:sz w:val="24"/>
                <w:u w:val="single"/>
              </w:rPr>
            </w:pPr>
            <w:r>
              <w:rPr>
                <w:sz w:val="24"/>
              </w:rPr>
              <w:t xml:space="preserve">□货物</w:t>
            </w:r>
            <w:r>
              <w:rPr>
                <w:rFonts w:hint="eastAsia"/>
                <w:sz w:val="24"/>
                <w:u w:val="single"/>
              </w:rPr>
            </w:r>
            <w:r/>
          </w:p>
        </w:tc>
      </w:tr>
      <w:tr>
        <w:trPr>
          <w:trHeight w:val="549"/>
        </w:trPr>
        <w:tc>
          <w:tcPr>
            <w:tcW w:w="988" w:type="dxa"/>
            <w:vAlign w:val="center"/>
            <w:textDirection w:val="lrTb"/>
            <w:noWrap w:val="false"/>
          </w:tcPr>
          <w:p>
            <w:pPr>
              <w:pStyle w:val="1035"/>
              <w:jc w:val="center"/>
              <w:rPr>
                <w:rFonts w:ascii="Times New Roman" w:hAnsi="Times New Roman"/>
                <w:sz w:val="24"/>
                <w:szCs w:val="24"/>
                <w:lang w:val="en-US" w:eastAsia="zh-CN"/>
              </w:rPr>
            </w:pPr>
            <w:r>
              <w:rPr>
                <w:rFonts w:ascii="Times New Roman" w:hAnsi="Times New Roman"/>
                <w:sz w:val="24"/>
                <w:szCs w:val="24"/>
                <w:lang w:val="en-US" w:eastAsia="zh-CN"/>
              </w:rPr>
              <w:t xml:space="preserve">2.3</w:t>
            </w:r>
            <w:r>
              <w:rPr>
                <w:rFonts w:ascii="Times New Roman" w:hAnsi="Times New Roman"/>
                <w:sz w:val="24"/>
                <w:szCs w:val="24"/>
                <w:lang w:val="en-US" w:eastAsia="zh-CN"/>
              </w:rPr>
            </w:r>
            <w:r/>
          </w:p>
        </w:tc>
        <w:tc>
          <w:tcPr>
            <w:tcW w:w="1701" w:type="dxa"/>
            <w:vAlign w:val="center"/>
            <w:textDirection w:val="lrTb"/>
            <w:noWrap w:val="false"/>
          </w:tcPr>
          <w:p>
            <w:pPr>
              <w:pStyle w:val="995"/>
              <w:jc w:val="center"/>
              <w:rPr>
                <w:sz w:val="24"/>
              </w:rPr>
            </w:pPr>
            <w:r>
              <w:rPr>
                <w:sz w:val="24"/>
              </w:rPr>
              <w:t xml:space="preserve">科研仪器设备</w:t>
            </w:r>
            <w:r>
              <w:rPr>
                <w:sz w:val="24"/>
              </w:rPr>
            </w:r>
            <w:r/>
          </w:p>
        </w:tc>
        <w:tc>
          <w:tcPr>
            <w:tcW w:w="7540" w:type="dxa"/>
            <w:vAlign w:val="center"/>
            <w:textDirection w:val="lrTb"/>
            <w:noWrap w:val="false"/>
          </w:tcPr>
          <w:p>
            <w:pPr>
              <w:pStyle w:val="995"/>
              <w:jc w:val="left"/>
              <w:rPr>
                <w:sz w:val="24"/>
              </w:rPr>
            </w:pPr>
            <w:r>
              <w:rPr>
                <w:sz w:val="24"/>
              </w:rPr>
              <w:t xml:space="preserve">是否属于科研仪器设备采购项目：</w:t>
            </w:r>
            <w:r>
              <w:rPr>
                <w:sz w:val="24"/>
              </w:rPr>
            </w:r>
            <w:r/>
          </w:p>
          <w:p>
            <w:pPr>
              <w:pStyle w:val="995"/>
              <w:jc w:val="left"/>
              <w:rPr>
                <w:sz w:val="24"/>
              </w:rPr>
            </w:pPr>
            <w:r>
              <w:rPr>
                <w:sz w:val="24"/>
              </w:rPr>
              <w:t xml:space="preserve">□是</w:t>
            </w:r>
            <w:r>
              <w:rPr>
                <w:sz w:val="24"/>
              </w:rPr>
            </w:r>
            <w:r/>
          </w:p>
          <w:p>
            <w:pPr>
              <w:pStyle w:val="995"/>
              <w:jc w:val="left"/>
              <w:rPr>
                <w:sz w:val="24"/>
              </w:rPr>
            </w:pPr>
            <w:r>
              <w:rPr>
                <w:sz w:val="24"/>
              </w:rPr>
              <w:t xml:space="preserve">■否</w:t>
            </w:r>
            <w:r>
              <w:rPr>
                <w:sz w:val="24"/>
              </w:rPr>
            </w:r>
            <w:r/>
          </w:p>
        </w:tc>
      </w:tr>
      <w:tr>
        <w:trPr>
          <w:trHeight w:val="1490"/>
        </w:trPr>
        <w:tc>
          <w:tcPr>
            <w:tcW w:w="988" w:type="dxa"/>
            <w:vAlign w:val="center"/>
            <w:textDirection w:val="lrTb"/>
            <w:noWrap w:val="false"/>
          </w:tcPr>
          <w:p>
            <w:pPr>
              <w:pStyle w:val="1035"/>
              <w:jc w:val="center"/>
              <w:rPr>
                <w:rFonts w:ascii="Times New Roman" w:hAnsi="Times New Roman"/>
                <w:sz w:val="24"/>
                <w:szCs w:val="24"/>
                <w:lang w:val="en-US" w:eastAsia="zh-CN"/>
              </w:rPr>
            </w:pPr>
            <w:r>
              <w:rPr>
                <w:rFonts w:ascii="Times New Roman" w:hAnsi="Times New Roman" w:eastAsia="宋体" w:cs="Times New Roman"/>
                <w:sz w:val="24"/>
                <w:szCs w:val="24"/>
                <w:lang w:val="en-US" w:eastAsia="zh-CN"/>
              </w:rPr>
              <w:t xml:space="preserve">3.9</w:t>
            </w:r>
            <w:r>
              <w:rPr>
                <w:rFonts w:ascii="Times New Roman" w:hAnsi="Times New Roman"/>
                <w:sz w:val="24"/>
                <w:szCs w:val="24"/>
                <w:lang w:val="en-US" w:eastAsia="zh-CN"/>
              </w:rPr>
            </w:r>
            <w:r/>
          </w:p>
        </w:tc>
        <w:tc>
          <w:tcPr>
            <w:tcW w:w="1701" w:type="dxa"/>
            <w:vAlign w:val="center"/>
            <w:textDirection w:val="lrTb"/>
            <w:noWrap w:val="false"/>
          </w:tcPr>
          <w:p>
            <w:pPr>
              <w:pStyle w:val="995"/>
              <w:jc w:val="center"/>
              <w:spacing w:line="360" w:lineRule="exact"/>
              <w:rPr>
                <w:sz w:val="24"/>
              </w:rPr>
            </w:pPr>
            <w:r>
              <w:rPr>
                <w:rFonts w:hint="eastAsia"/>
                <w:sz w:val="24"/>
              </w:rPr>
              <w:t xml:space="preserve">本国产品政策支持</w:t>
            </w:r>
            <w:r>
              <w:rPr>
                <w:sz w:val="24"/>
              </w:rPr>
            </w:r>
            <w:r/>
          </w:p>
        </w:tc>
        <w:tc>
          <w:tcPr>
            <w:tcW w:w="7540" w:type="dxa"/>
            <w:vAlign w:val="center"/>
            <w:textDirection w:val="lrTb"/>
            <w:noWrap w:val="false"/>
          </w:tcPr>
          <w:p>
            <w:pPr>
              <w:pStyle w:val="995"/>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bCs/>
                <w:sz w:val="24"/>
                <w:lang w:val="en-US" w:eastAsia="zh-CN"/>
              </w:rPr>
              <w:t xml:space="preserve">不</w:t>
            </w:r>
            <w:r>
              <w:rPr>
                <w:rFonts w:hint="eastAsia"/>
                <w:b/>
                <w:bCs/>
                <w:sz w:val="24"/>
              </w:rPr>
              <w:t xml:space="preserve">适用</w:t>
            </w:r>
            <w:r>
              <w:rPr>
                <w:rFonts w:hint="eastAsia"/>
                <w:sz w:val="24"/>
              </w:rPr>
              <w:t xml:space="preserve">。</w:t>
            </w:r>
            <w:r>
              <w:rPr>
                <w:rFonts w:hint="eastAsia"/>
                <w:sz w:val="24"/>
              </w:rPr>
            </w:r>
            <w:r/>
          </w:p>
          <w:p>
            <w:pPr>
              <w:pStyle w:val="995"/>
              <w:jc w:val="left"/>
              <w:spacing w:line="360" w:lineRule="exac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sz w:val="24"/>
              </w:rPr>
            </w:r>
            <w:r/>
          </w:p>
        </w:tc>
      </w:tr>
      <w:tr>
        <w:trPr>
          <w:trHeight w:val="421"/>
        </w:trPr>
        <w:tc>
          <w:tcPr>
            <w:tcW w:w="988" w:type="dxa"/>
            <w:vAlign w:val="center"/>
            <w:textDirection w:val="lrTb"/>
            <w:noWrap w:val="false"/>
          </w:tcPr>
          <w:p>
            <w:pPr>
              <w:pStyle w:val="1035"/>
              <w:jc w:val="center"/>
              <w:rPr>
                <w:rFonts w:ascii="Times New Roman" w:hAnsi="Times New Roman"/>
                <w:sz w:val="24"/>
                <w:szCs w:val="24"/>
                <w:lang w:val="en-US" w:eastAsia="zh-CN"/>
              </w:rPr>
            </w:pPr>
            <w:r>
              <w:rPr>
                <w:rFonts w:ascii="Times New Roman" w:hAnsi="Times New Roman" w:eastAsia="宋体" w:cs="Times New Roman"/>
                <w:sz w:val="24"/>
                <w:szCs w:val="24"/>
                <w:lang w:val="en-US" w:eastAsia="zh-CN"/>
              </w:rPr>
              <w:t xml:space="preserve">5.2.5</w:t>
            </w:r>
            <w:r>
              <w:rPr>
                <w:rFonts w:ascii="Times New Roman" w:hAnsi="Times New Roman"/>
                <w:sz w:val="24"/>
                <w:szCs w:val="24"/>
                <w:lang w:val="en-US" w:eastAsia="zh-CN"/>
              </w:rPr>
            </w:r>
            <w:r/>
          </w:p>
        </w:tc>
        <w:tc>
          <w:tcPr>
            <w:tcW w:w="1701" w:type="dxa"/>
            <w:vAlign w:val="center"/>
            <w:textDirection w:val="lrTb"/>
            <w:noWrap w:val="false"/>
          </w:tcPr>
          <w:p>
            <w:pPr>
              <w:pStyle w:val="995"/>
              <w:jc w:val="center"/>
              <w:rPr>
                <w:sz w:val="24"/>
              </w:rPr>
            </w:pPr>
            <w:r>
              <w:rPr>
                <w:sz w:val="24"/>
              </w:rPr>
              <w:t xml:space="preserve">标的所属行业</w:t>
            </w:r>
            <w:r>
              <w:rPr>
                <w:sz w:val="24"/>
              </w:rPr>
            </w:r>
            <w:r/>
          </w:p>
        </w:tc>
        <w:tc>
          <w:tcPr>
            <w:tcW w:w="7540" w:type="dxa"/>
            <w:vAlign w:val="center"/>
            <w:textDirection w:val="lrTb"/>
            <w:noWrap w:val="false"/>
          </w:tcPr>
          <w:p>
            <w:pPr>
              <w:pStyle w:val="995"/>
              <w:jc w:val="left"/>
              <w:rPr>
                <w:rFonts w:hint="eastAsia"/>
                <w:sz w:val="24"/>
              </w:rPr>
            </w:pPr>
            <w:r>
              <w:rPr>
                <w:sz w:val="24"/>
              </w:rPr>
              <w:t xml:space="preserve">本项目采购标的对应的中小企业划分标准所属行业：</w:t>
            </w:r>
            <w:r>
              <w:rPr>
                <w:rFonts w:hint="eastAsia"/>
                <w:b/>
                <w:bCs/>
                <w:sz w:val="24"/>
              </w:rPr>
              <w:t xml:space="preserve">其他未列明行业</w:t>
            </w:r>
            <w:r>
              <w:rPr>
                <w:rFonts w:hint="eastAsia"/>
                <w:sz w:val="24"/>
              </w:rPr>
            </w:r>
            <w:r/>
          </w:p>
        </w:tc>
      </w:tr>
      <w:tr>
        <w:trPr>
          <w:trHeight w:val="596"/>
        </w:trPr>
        <w:tc>
          <w:tcPr>
            <w:tcW w:w="988" w:type="dxa"/>
            <w:vAlign w:val="center"/>
            <w:textDirection w:val="lrTb"/>
            <w:noWrap w:val="false"/>
          </w:tcPr>
          <w:p>
            <w:pPr>
              <w:pStyle w:val="1035"/>
              <w:jc w:val="center"/>
              <w:rPr>
                <w:rFonts w:ascii="Times New Roman" w:hAnsi="Times New Roman"/>
                <w:sz w:val="24"/>
                <w:szCs w:val="24"/>
                <w:lang w:val="en-US" w:eastAsia="zh-CN"/>
              </w:rPr>
            </w:pPr>
            <w:r>
              <w:rPr>
                <w:rFonts w:ascii="Times New Roman" w:hAnsi="Times New Roman"/>
                <w:sz w:val="24"/>
                <w:szCs w:val="24"/>
                <w:lang w:val="en-US" w:eastAsia="zh-CN"/>
              </w:rPr>
              <w:t xml:space="preserve">1</w:t>
            </w:r>
            <w:r>
              <w:rPr>
                <w:rFonts w:ascii="Times New Roman" w:hAnsi="Times New Roman"/>
                <w:sz w:val="24"/>
                <w:szCs w:val="24"/>
                <w:lang w:val="en-US" w:eastAsia="zh-CN"/>
              </w:rPr>
              <w:t xml:space="preserve">1.2</w:t>
            </w:r>
            <w:r>
              <w:rPr>
                <w:rFonts w:ascii="Times New Roman" w:hAnsi="Times New Roman"/>
                <w:sz w:val="24"/>
                <w:szCs w:val="24"/>
                <w:lang w:val="en-US" w:eastAsia="zh-CN"/>
              </w:rPr>
            </w:r>
            <w:r/>
          </w:p>
        </w:tc>
        <w:tc>
          <w:tcPr>
            <w:tcW w:w="1701" w:type="dxa"/>
            <w:vAlign w:val="center"/>
            <w:textDirection w:val="lrTb"/>
            <w:noWrap w:val="false"/>
          </w:tcPr>
          <w:p>
            <w:pPr>
              <w:pStyle w:val="995"/>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995"/>
              <w:jc w:val="left"/>
              <w:rPr>
                <w:sz w:val="24"/>
              </w:rPr>
            </w:pPr>
            <w:r>
              <w:rPr>
                <w:rFonts w:hint="eastAsia"/>
                <w:sz w:val="24"/>
              </w:rPr>
              <w:t xml:space="preserve">投标报价的特殊规定：</w:t>
            </w:r>
            <w:r>
              <w:rPr>
                <w:sz w:val="24"/>
              </w:rPr>
            </w:r>
            <w:r/>
          </w:p>
          <w:p>
            <w:pPr>
              <w:pStyle w:val="995"/>
              <w:jc w:val="left"/>
              <w:rPr>
                <w:sz w:val="24"/>
              </w:rPr>
            </w:pPr>
            <w:r>
              <w:rPr>
                <w:sz w:val="24"/>
              </w:rPr>
              <w:t xml:space="preserve">■无</w:t>
            </w:r>
            <w:r>
              <w:rPr>
                <w:sz w:val="24"/>
              </w:rPr>
            </w:r>
            <w:r/>
          </w:p>
          <w:p>
            <w:pPr>
              <w:pStyle w:val="995"/>
              <w:jc w:val="left"/>
              <w:rPr>
                <w:rFonts w:hint="eastAsia"/>
                <w:sz w:val="24"/>
              </w:rPr>
            </w:pPr>
            <w:r>
              <w:rPr>
                <w:sz w:val="24"/>
              </w:rPr>
              <w:t xml:space="preserve">□有</w:t>
            </w:r>
            <w:r>
              <w:rPr>
                <w:rFonts w:hint="eastAsia"/>
                <w:sz w:val="24"/>
              </w:rPr>
            </w:r>
            <w:r/>
          </w:p>
        </w:tc>
      </w:tr>
      <w:tr>
        <w:trPr>
          <w:trHeight w:val="337"/>
        </w:trPr>
        <w:tc>
          <w:tcPr>
            <w:tcW w:w="988" w:type="dxa"/>
            <w:vAlign w:val="center"/>
            <w:textDirection w:val="lrTb"/>
            <w:noWrap w:val="false"/>
          </w:tcPr>
          <w:p>
            <w:pPr>
              <w:pStyle w:val="1035"/>
              <w:jc w:val="center"/>
              <w:rPr>
                <w:rFonts w:ascii="Times New Roman" w:hAnsi="Times New Roman"/>
                <w:sz w:val="24"/>
                <w:szCs w:val="24"/>
                <w:lang w:val="en-US" w:eastAsia="zh-CN"/>
              </w:rPr>
            </w:pPr>
            <w:r>
              <w:rPr>
                <w:rFonts w:ascii="Times New Roman" w:hAnsi="Times New Roman"/>
                <w:sz w:val="24"/>
                <w:szCs w:val="24"/>
                <w:lang w:val="en-US" w:eastAsia="zh-CN"/>
              </w:rPr>
              <w:t xml:space="preserve">12</w:t>
            </w:r>
            <w:r>
              <w:rPr>
                <w:rFonts w:ascii="Times New Roman" w:hAnsi="Times New Roman"/>
                <w:sz w:val="24"/>
                <w:szCs w:val="24"/>
                <w:lang w:val="en-US" w:eastAsia="zh-CN"/>
              </w:rPr>
            </w:r>
            <w:r/>
          </w:p>
        </w:tc>
        <w:tc>
          <w:tcPr>
            <w:tcW w:w="1701" w:type="dxa"/>
            <w:vAlign w:val="center"/>
            <w:textDirection w:val="lrTb"/>
            <w:noWrap w:val="false"/>
          </w:tcPr>
          <w:p>
            <w:pPr>
              <w:pStyle w:val="995"/>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995"/>
              <w:jc w:val="left"/>
              <w:rPr>
                <w:sz w:val="24"/>
              </w:rPr>
            </w:pPr>
            <w:r>
              <w:rPr>
                <w:rFonts w:hint="eastAsia"/>
                <w:sz w:val="24"/>
              </w:rPr>
              <w:t xml:space="preserve">免收</w:t>
            </w:r>
            <w:r>
              <w:rPr>
                <w:sz w:val="24"/>
              </w:rPr>
            </w:r>
            <w:r/>
          </w:p>
        </w:tc>
      </w:tr>
      <w:tr>
        <w:trPr>
          <w:trHeight w:val="316"/>
        </w:trPr>
        <w:tc>
          <w:tcPr>
            <w:tcW w:w="988" w:type="dxa"/>
            <w:vAlign w:val="center"/>
            <w:textDirection w:val="lrTb"/>
            <w:noWrap w:val="false"/>
          </w:tcPr>
          <w:p>
            <w:pPr>
              <w:pStyle w:val="1035"/>
              <w:jc w:val="center"/>
              <w:rPr>
                <w:rFonts w:ascii="Times New Roman" w:hAnsi="Times New Roman"/>
                <w:sz w:val="24"/>
                <w:szCs w:val="24"/>
                <w:lang w:val="en-US" w:eastAsia="zh-CN"/>
              </w:rPr>
            </w:pPr>
            <w:r>
              <w:rPr>
                <w:rFonts w:ascii="Times New Roman" w:hAnsi="Times New Roman"/>
                <w:sz w:val="24"/>
                <w:szCs w:val="24"/>
                <w:lang w:val="en-US" w:eastAsia="zh-CN"/>
              </w:rPr>
              <w:t xml:space="preserve">13.1</w:t>
            </w:r>
            <w:r>
              <w:rPr>
                <w:rFonts w:ascii="Times New Roman" w:hAnsi="Times New Roman"/>
                <w:sz w:val="24"/>
                <w:szCs w:val="24"/>
                <w:lang w:val="en-US" w:eastAsia="zh-CN"/>
              </w:rPr>
            </w:r>
            <w:r/>
          </w:p>
        </w:tc>
        <w:tc>
          <w:tcPr>
            <w:tcW w:w="1701" w:type="dxa"/>
            <w:vAlign w:val="center"/>
            <w:textDirection w:val="lrTb"/>
            <w:noWrap w:val="false"/>
          </w:tcPr>
          <w:p>
            <w:pPr>
              <w:pStyle w:val="995"/>
              <w:jc w:val="center"/>
              <w:rPr>
                <w:sz w:val="24"/>
              </w:rPr>
            </w:pPr>
            <w:r>
              <w:rPr>
                <w:sz w:val="24"/>
              </w:rPr>
              <w:t xml:space="preserve">投标有效期</w:t>
            </w:r>
            <w:r>
              <w:rPr>
                <w:sz w:val="24"/>
              </w:rPr>
            </w:r>
            <w:r/>
          </w:p>
        </w:tc>
        <w:tc>
          <w:tcPr>
            <w:tcW w:w="7540" w:type="dxa"/>
            <w:vAlign w:val="center"/>
            <w:textDirection w:val="lrTb"/>
            <w:noWrap w:val="false"/>
          </w:tcPr>
          <w:p>
            <w:pPr>
              <w:pStyle w:val="995"/>
              <w:jc w:val="left"/>
              <w:rPr>
                <w:sz w:val="24"/>
              </w:rPr>
            </w:pPr>
            <w:r>
              <w:rPr>
                <w:sz w:val="24"/>
              </w:rPr>
              <w:t xml:space="preserve">自提交投标文件的截止之日起算120日历天。</w:t>
            </w:r>
            <w:r>
              <w:rPr>
                <w:sz w:val="24"/>
              </w:rPr>
            </w:r>
            <w:r/>
          </w:p>
        </w:tc>
      </w:tr>
      <w:tr>
        <w:trPr>
          <w:trHeight w:val="550"/>
        </w:trPr>
        <w:tc>
          <w:tcPr>
            <w:tcW w:w="988" w:type="dxa"/>
            <w:vAlign w:val="center"/>
            <w:textDirection w:val="lrTb"/>
            <w:noWrap w:val="false"/>
          </w:tcPr>
          <w:p>
            <w:pPr>
              <w:pStyle w:val="1035"/>
              <w:jc w:val="center"/>
              <w:rPr>
                <w:rFonts w:ascii="Times New Roman" w:hAnsi="Times New Roman"/>
                <w:sz w:val="24"/>
                <w:szCs w:val="24"/>
                <w:lang w:val="en-US" w:eastAsia="zh-CN"/>
              </w:rPr>
            </w:pPr>
            <w:r>
              <w:rPr>
                <w:rFonts w:ascii="Times New Roman" w:hAnsi="Times New Roman"/>
                <w:sz w:val="24"/>
                <w:szCs w:val="24"/>
                <w:lang w:val="en-US" w:eastAsia="zh-CN"/>
              </w:rPr>
              <w:t xml:space="preserve">25.5</w:t>
            </w:r>
            <w:r>
              <w:rPr>
                <w:rFonts w:ascii="Times New Roman" w:hAnsi="Times New Roman"/>
                <w:sz w:val="24"/>
                <w:szCs w:val="24"/>
                <w:lang w:val="en-US" w:eastAsia="zh-CN"/>
              </w:rPr>
            </w:r>
            <w:r/>
          </w:p>
        </w:tc>
        <w:tc>
          <w:tcPr>
            <w:tcW w:w="1701" w:type="dxa"/>
            <w:vAlign w:val="center"/>
            <w:textDirection w:val="lrTb"/>
            <w:noWrap w:val="false"/>
          </w:tcPr>
          <w:p>
            <w:pPr>
              <w:pStyle w:val="995"/>
              <w:jc w:val="center"/>
              <w:rPr>
                <w:sz w:val="24"/>
              </w:rPr>
            </w:pPr>
            <w:r>
              <w:rPr>
                <w:sz w:val="24"/>
              </w:rPr>
              <w:t xml:space="preserve">分包</w:t>
            </w:r>
            <w:r>
              <w:rPr>
                <w:sz w:val="24"/>
              </w:rPr>
            </w:r>
            <w:r/>
          </w:p>
        </w:tc>
        <w:tc>
          <w:tcPr>
            <w:tcW w:w="7540" w:type="dxa"/>
            <w:vAlign w:val="center"/>
            <w:textDirection w:val="lrTb"/>
            <w:noWrap w:val="false"/>
          </w:tcPr>
          <w:p>
            <w:pPr>
              <w:pStyle w:val="995"/>
              <w:jc w:val="left"/>
              <w:rPr>
                <w:sz w:val="24"/>
              </w:rPr>
            </w:pPr>
            <w:r>
              <w:rPr>
                <w:sz w:val="24"/>
              </w:rPr>
              <w:t xml:space="preserve">本项目的非主体、非关键性工作是否允许分包：</w:t>
            </w:r>
            <w:r>
              <w:rPr>
                <w:sz w:val="24"/>
              </w:rPr>
            </w:r>
            <w:r/>
          </w:p>
          <w:p>
            <w:pPr>
              <w:pStyle w:val="995"/>
              <w:jc w:val="left"/>
              <w:rPr>
                <w:sz w:val="24"/>
              </w:rPr>
            </w:pPr>
            <w:r>
              <w:rPr>
                <w:sz w:val="24"/>
              </w:rPr>
              <w:t xml:space="preserve">■不允许</w:t>
            </w:r>
            <w:r>
              <w:rPr>
                <w:sz w:val="24"/>
              </w:rPr>
            </w:r>
            <w:r/>
          </w:p>
          <w:p>
            <w:pPr>
              <w:pStyle w:val="995"/>
              <w:jc w:val="left"/>
              <w:rPr>
                <w:rFonts w:hint="eastAsia"/>
                <w:sz w:val="24"/>
              </w:rPr>
            </w:pPr>
            <w:r>
              <w:rPr>
                <w:sz w:val="24"/>
              </w:rPr>
              <w:t xml:space="preserve">□允许</w:t>
            </w:r>
            <w:r>
              <w:rPr>
                <w:rFonts w:hint="eastAsia"/>
                <w:sz w:val="24"/>
              </w:rPr>
            </w:r>
            <w:r/>
          </w:p>
        </w:tc>
      </w:tr>
      <w:tr>
        <w:trPr>
          <w:trHeight w:val="358"/>
        </w:trPr>
        <w:tc>
          <w:tcPr>
            <w:tcW w:w="988" w:type="dxa"/>
            <w:vAlign w:val="center"/>
            <w:textDirection w:val="lrTb"/>
            <w:noWrap w:val="false"/>
          </w:tcPr>
          <w:p>
            <w:pPr>
              <w:pStyle w:val="1035"/>
              <w:jc w:val="center"/>
              <w:rPr>
                <w:rFonts w:ascii="Times New Roman" w:hAnsi="Times New Roman"/>
                <w:sz w:val="24"/>
                <w:szCs w:val="24"/>
                <w:lang w:val="en-US" w:eastAsia="zh-CN"/>
              </w:rPr>
            </w:pPr>
            <w:r>
              <w:rPr>
                <w:rFonts w:ascii="Times New Roman" w:hAnsi="Times New Roman"/>
                <w:sz w:val="24"/>
                <w:szCs w:val="24"/>
                <w:lang w:val="en-US" w:eastAsia="zh-CN"/>
              </w:rPr>
              <w:t xml:space="preserve">26.1.1</w:t>
            </w:r>
            <w:r>
              <w:rPr>
                <w:rFonts w:ascii="Times New Roman" w:hAnsi="Times New Roman"/>
                <w:sz w:val="24"/>
                <w:szCs w:val="24"/>
                <w:lang w:val="en-US" w:eastAsia="zh-CN"/>
              </w:rPr>
            </w:r>
            <w:r/>
          </w:p>
        </w:tc>
        <w:tc>
          <w:tcPr>
            <w:tcW w:w="1701" w:type="dxa"/>
            <w:vAlign w:val="center"/>
            <w:textDirection w:val="lrTb"/>
            <w:noWrap w:val="false"/>
          </w:tcPr>
          <w:p>
            <w:pPr>
              <w:pStyle w:val="995"/>
              <w:jc w:val="center"/>
              <w:rPr>
                <w:sz w:val="24"/>
              </w:rPr>
            </w:pPr>
            <w:r>
              <w:rPr>
                <w:sz w:val="24"/>
              </w:rPr>
              <w:t xml:space="preserve">询问</w:t>
            </w:r>
            <w:r>
              <w:rPr>
                <w:sz w:val="24"/>
              </w:rPr>
            </w:r>
            <w:r/>
          </w:p>
        </w:tc>
        <w:tc>
          <w:tcPr>
            <w:tcW w:w="7540" w:type="dxa"/>
            <w:vAlign w:val="center"/>
            <w:textDirection w:val="lrTb"/>
            <w:noWrap w:val="false"/>
          </w:tcPr>
          <w:p>
            <w:pPr>
              <w:pStyle w:val="995"/>
              <w:jc w:val="left"/>
              <w:rPr>
                <w:sz w:val="24"/>
              </w:rPr>
            </w:pPr>
            <w:r>
              <w:rPr>
                <w:sz w:val="24"/>
              </w:rPr>
              <w:t xml:space="preserve">询问送达形式：</w:t>
            </w:r>
            <w:r>
              <w:rPr>
                <w:rFonts w:hint="eastAsia"/>
                <w:sz w:val="24"/>
              </w:rPr>
              <w:t xml:space="preserve">书面方式</w:t>
            </w:r>
            <w:r>
              <w:rPr>
                <w:sz w:val="24"/>
              </w:rPr>
            </w:r>
            <w:r/>
          </w:p>
        </w:tc>
      </w:tr>
      <w:tr>
        <w:trPr>
          <w:trHeight w:val="1295"/>
        </w:trPr>
        <w:tc>
          <w:tcPr>
            <w:tcW w:w="988" w:type="dxa"/>
            <w:vAlign w:val="center"/>
            <w:textDirection w:val="lrTb"/>
            <w:noWrap w:val="false"/>
          </w:tcPr>
          <w:p>
            <w:pPr>
              <w:pStyle w:val="1035"/>
              <w:jc w:val="center"/>
              <w:rPr>
                <w:rFonts w:ascii="Times New Roman" w:hAnsi="Times New Roman"/>
                <w:sz w:val="24"/>
                <w:szCs w:val="24"/>
                <w:lang w:val="en-US" w:eastAsia="zh-CN"/>
              </w:rPr>
            </w:pPr>
            <w:r>
              <w:rPr>
                <w:rFonts w:ascii="Times New Roman" w:hAnsi="Times New Roman"/>
                <w:sz w:val="24"/>
                <w:szCs w:val="24"/>
                <w:lang w:val="en-US" w:eastAsia="zh-CN"/>
              </w:rPr>
              <w:t xml:space="preserve">26.3</w:t>
            </w:r>
            <w:r>
              <w:rPr>
                <w:rFonts w:ascii="Times New Roman" w:hAnsi="Times New Roman"/>
                <w:sz w:val="24"/>
                <w:szCs w:val="24"/>
                <w:lang w:val="en-US" w:eastAsia="zh-CN"/>
              </w:rPr>
            </w:r>
            <w:r/>
          </w:p>
        </w:tc>
        <w:tc>
          <w:tcPr>
            <w:tcW w:w="1701" w:type="dxa"/>
            <w:vAlign w:val="center"/>
            <w:textDirection w:val="lrTb"/>
            <w:noWrap w:val="false"/>
          </w:tcPr>
          <w:p>
            <w:pPr>
              <w:pStyle w:val="995"/>
              <w:jc w:val="center"/>
              <w:rPr>
                <w:sz w:val="24"/>
              </w:rPr>
            </w:pPr>
            <w:r>
              <w:rPr>
                <w:sz w:val="24"/>
              </w:rPr>
              <w:t xml:space="preserve">联系方式</w:t>
            </w:r>
            <w:r>
              <w:rPr>
                <w:sz w:val="24"/>
              </w:rPr>
            </w:r>
            <w:r/>
          </w:p>
        </w:tc>
        <w:tc>
          <w:tcPr>
            <w:tcW w:w="7540" w:type="dxa"/>
            <w:vAlign w:val="center"/>
            <w:textDirection w:val="lrTb"/>
            <w:noWrap w:val="false"/>
          </w:tcPr>
          <w:p>
            <w:pPr>
              <w:pStyle w:val="995"/>
              <w:jc w:val="left"/>
              <w:rPr>
                <w:sz w:val="24"/>
              </w:rPr>
            </w:pPr>
            <w:r>
              <w:rPr>
                <w:sz w:val="24"/>
              </w:rPr>
              <w:t xml:space="preserve">接收询问和质疑的联系方式</w:t>
            </w:r>
            <w:r>
              <w:rPr>
                <w:sz w:val="24"/>
              </w:rPr>
            </w:r>
            <w:r/>
          </w:p>
          <w:p>
            <w:pPr>
              <w:pStyle w:val="995"/>
              <w:jc w:val="left"/>
              <w:rPr>
                <w:sz w:val="24"/>
              </w:rPr>
            </w:pPr>
            <w:r>
              <w:rPr>
                <w:sz w:val="24"/>
              </w:rPr>
              <w:t xml:space="preserve">联系部门：</w:t>
            </w:r>
            <w:r>
              <w:rPr>
                <w:rFonts w:hint="eastAsia"/>
                <w:sz w:val="24"/>
              </w:rPr>
              <w:t xml:space="preserve">江苏中冠工程咨询有限公司</w:t>
            </w:r>
            <w:r>
              <w:rPr>
                <w:sz w:val="24"/>
              </w:rPr>
              <w:t xml:space="preserve">；</w:t>
            </w:r>
            <w:r>
              <w:rPr>
                <w:sz w:val="24"/>
              </w:rPr>
            </w:r>
            <w:r/>
          </w:p>
          <w:p>
            <w:pPr>
              <w:pStyle w:val="995"/>
              <w:jc w:val="left"/>
              <w:rPr>
                <w:sz w:val="24"/>
              </w:rPr>
            </w:pPr>
            <w:r>
              <w:rPr>
                <w:sz w:val="24"/>
              </w:rPr>
              <w:t xml:space="preserve">联系电话：0519-85581855；</w:t>
            </w:r>
            <w:r>
              <w:rPr>
                <w:sz w:val="24"/>
              </w:rPr>
            </w:r>
            <w:r/>
          </w:p>
          <w:p>
            <w:pPr>
              <w:pStyle w:val="995"/>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rPr>
                <w:sz w:val="24"/>
              </w:rPr>
            </w:r>
            <w:r/>
          </w:p>
        </w:tc>
      </w:tr>
      <w:tr>
        <w:trPr>
          <w:trHeight w:val="421"/>
        </w:trPr>
        <w:tc>
          <w:tcPr>
            <w:tcW w:w="988" w:type="dxa"/>
            <w:vAlign w:val="center"/>
            <w:textDirection w:val="lrTb"/>
            <w:noWrap w:val="false"/>
          </w:tcPr>
          <w:p>
            <w:pPr>
              <w:pStyle w:val="1035"/>
              <w:jc w:val="center"/>
              <w:rPr>
                <w:rFonts w:ascii="Times New Roman" w:hAnsi="Times New Roman"/>
                <w:sz w:val="24"/>
                <w:szCs w:val="24"/>
                <w:lang w:val="en-US" w:eastAsia="zh-CN"/>
              </w:rPr>
            </w:pPr>
            <w:r>
              <w:rPr>
                <w:rFonts w:ascii="Times New Roman" w:hAnsi="Times New Roman"/>
                <w:sz w:val="24"/>
                <w:szCs w:val="24"/>
                <w:lang w:val="en-US" w:eastAsia="zh-CN"/>
              </w:rPr>
              <w:t xml:space="preserve">27</w:t>
            </w:r>
            <w:r>
              <w:rPr>
                <w:rFonts w:ascii="Times New Roman" w:hAnsi="Times New Roman"/>
                <w:sz w:val="24"/>
                <w:szCs w:val="24"/>
                <w:lang w:val="en-US" w:eastAsia="zh-CN"/>
              </w:rPr>
            </w:r>
            <w:r/>
          </w:p>
        </w:tc>
        <w:tc>
          <w:tcPr>
            <w:tcW w:w="1701" w:type="dxa"/>
            <w:vAlign w:val="center"/>
            <w:textDirection w:val="lrTb"/>
            <w:noWrap w:val="false"/>
          </w:tcPr>
          <w:p>
            <w:pPr>
              <w:pStyle w:val="995"/>
              <w:jc w:val="center"/>
              <w:rPr>
                <w:sz w:val="24"/>
              </w:rPr>
            </w:pPr>
            <w:r>
              <w:rPr>
                <w:sz w:val="24"/>
              </w:rPr>
              <w:t xml:space="preserve">代理费</w:t>
            </w:r>
            <w:r>
              <w:rPr>
                <w:sz w:val="24"/>
              </w:rPr>
            </w:r>
            <w:r/>
          </w:p>
        </w:tc>
        <w:tc>
          <w:tcPr>
            <w:tcW w:w="7540" w:type="dxa"/>
            <w:vAlign w:val="center"/>
            <w:textDirection w:val="lrTb"/>
            <w:noWrap w:val="false"/>
          </w:tcPr>
          <w:p>
            <w:pPr>
              <w:pStyle w:val="995"/>
              <w:jc w:val="left"/>
              <w:rPr>
                <w:sz w:val="24"/>
              </w:rPr>
            </w:pPr>
            <w:r>
              <w:rPr>
                <w:rFonts w:hint="eastAsia" w:ascii="宋体" w:hAnsi="宋体" w:cs="宋体"/>
                <w:b/>
                <w:sz w:val="24"/>
              </w:rPr>
              <w:t xml:space="preserve">（一）收费对象：</w:t>
            </w:r>
            <w:r>
              <w:rPr>
                <w:sz w:val="24"/>
              </w:rPr>
            </w:r>
            <w:r/>
          </w:p>
          <w:p>
            <w:pPr>
              <w:pStyle w:val="995"/>
              <w:jc w:val="left"/>
              <w:rPr>
                <w:rFonts w:hint="eastAsia" w:ascii="宋体" w:hAnsi="宋体" w:cs="宋体"/>
                <w:sz w:val="24"/>
              </w:rPr>
            </w:pPr>
            <w:r>
              <w:rPr>
                <w:sz w:val="24"/>
              </w:rPr>
              <w:t xml:space="preserve">□招标人</w:t>
            </w:r>
            <w:r>
              <w:rPr>
                <w:rFonts w:hint="eastAsia" w:ascii="宋体" w:hAnsi="宋体" w:cs="宋体"/>
                <w:sz w:val="24"/>
              </w:rPr>
            </w:r>
            <w:r/>
          </w:p>
          <w:p>
            <w:pPr>
              <w:pStyle w:val="995"/>
              <w:jc w:val="left"/>
              <w:rPr>
                <w:rFonts w:hint="eastAsia" w:ascii="宋体" w:hAnsi="宋体" w:cs="宋体"/>
                <w:sz w:val="24"/>
              </w:rPr>
            </w:pPr>
            <w:r>
              <w:rPr>
                <w:sz w:val="24"/>
              </w:rPr>
              <w:t xml:space="preserve">■中标人</w:t>
            </w:r>
            <w:r>
              <w:rPr>
                <w:rFonts w:hint="eastAsia"/>
                <w:sz w:val="24"/>
              </w:rPr>
              <w:t xml:space="preserve">，</w:t>
            </w:r>
            <w:r>
              <w:rPr>
                <w:rFonts w:ascii="宋体" w:hAnsi="宋体" w:cs="宋体"/>
                <w:color w:val="000000"/>
                <w:sz w:val="24"/>
              </w:rPr>
              <w:t xml:space="preserve">因</w:t>
            </w:r>
            <w:r>
              <w:rPr>
                <w:rFonts w:hint="eastAsia" w:ascii="宋体" w:hAnsi="宋体" w:cs="宋体"/>
                <w:color w:val="000000"/>
                <w:sz w:val="24"/>
              </w:rPr>
              <w:t xml:space="preserve">招标人</w:t>
            </w:r>
            <w:r>
              <w:rPr>
                <w:rFonts w:ascii="宋体" w:hAnsi="宋体" w:cs="宋体"/>
                <w:color w:val="000000"/>
                <w:sz w:val="24"/>
              </w:rPr>
              <w:t xml:space="preserve">预算金额包含代理费，本项目向中标人收取代理费。</w:t>
            </w:r>
            <w:r>
              <w:rPr>
                <w:rFonts w:hint="eastAsia" w:ascii="宋体" w:hAnsi="宋体" w:cs="宋体"/>
                <w:sz w:val="24"/>
              </w:rPr>
            </w:r>
            <w:r/>
          </w:p>
          <w:p>
            <w:pPr>
              <w:pStyle w:val="995"/>
              <w:jc w:val="left"/>
              <w:rPr>
                <w:b/>
                <w:bCs/>
                <w:sz w:val="24"/>
              </w:rPr>
            </w:pPr>
            <w:r>
              <w:rPr>
                <w:rFonts w:hint="eastAsia"/>
                <w:b/>
                <w:bCs/>
                <w:sz w:val="24"/>
              </w:rPr>
              <w:t xml:space="preserve">（二）</w:t>
            </w:r>
            <w:r>
              <w:rPr>
                <w:b/>
                <w:bCs/>
                <w:sz w:val="24"/>
              </w:rPr>
              <w:t xml:space="preserve">收费标准：</w:t>
            </w:r>
            <w:r>
              <w:rPr>
                <w:b/>
                <w:bCs/>
                <w:sz w:val="24"/>
              </w:rPr>
            </w:r>
            <w:r/>
          </w:p>
          <w:p>
            <w:pPr>
              <w:pStyle w:val="995"/>
              <w:jc w:val="left"/>
              <w:rPr>
                <w:color w:val="000000"/>
                <w:sz w:val="24"/>
                <w:highlight w:val="none"/>
              </w:rPr>
            </w:pPr>
            <w:r>
              <w:rPr>
                <w:rFonts w:hint="eastAsia"/>
                <w:color w:val="000000"/>
                <w:sz w:val="24"/>
                <w:highlight w:val="none"/>
              </w:rPr>
              <w:t xml:space="preserve">按</w:t>
            </w:r>
            <w:r>
              <w:rPr>
                <w:rFonts w:hint="eastAsia"/>
                <w:color w:val="000000"/>
                <w:sz w:val="24"/>
                <w:highlight w:val="none"/>
                <w:lang w:val="en-US" w:eastAsia="zh-CN"/>
              </w:rPr>
              <w:t xml:space="preserve">每年</w:t>
            </w:r>
            <w:r>
              <w:rPr>
                <w:rFonts w:hint="eastAsia"/>
                <w:color w:val="000000"/>
                <w:sz w:val="24"/>
                <w:highlight w:val="none"/>
              </w:rPr>
              <w:t xml:space="preserve">中标金额的0.8%计算并支付</w:t>
            </w:r>
            <w:r>
              <w:rPr>
                <w:color w:val="000000"/>
                <w:sz w:val="24"/>
                <w:highlight w:val="none"/>
              </w:rPr>
              <w:t xml:space="preserve">代理费</w:t>
            </w:r>
            <w:r>
              <w:rPr>
                <w:rFonts w:hint="eastAsia"/>
                <w:color w:val="000000"/>
                <w:sz w:val="24"/>
                <w:highlight w:val="none"/>
                <w:lang w:eastAsia="zh-CN"/>
              </w:rPr>
              <w:t xml:space="preserve">，每签订一年服务合同，计取一次该年度招标代理服务费；若后续年度不予续签，则不再产生后续年度代理服务费</w:t>
            </w:r>
            <w:r>
              <w:rPr>
                <w:color w:val="000000"/>
                <w:sz w:val="24"/>
                <w:highlight w:val="none"/>
              </w:rPr>
              <w:t xml:space="preserve">；</w:t>
            </w:r>
            <w:r>
              <w:rPr>
                <w:color w:val="000000"/>
                <w:sz w:val="24"/>
                <w:highlight w:val="none"/>
              </w:rPr>
            </w:r>
            <w:r/>
          </w:p>
          <w:p>
            <w:pPr>
              <w:pStyle w:val="995"/>
              <w:jc w:val="left"/>
              <w:rPr>
                <w:rFonts w:hint="eastAsia" w:ascii="宋体" w:hAnsi="宋体"/>
                <w:sz w:val="24"/>
              </w:rPr>
            </w:pPr>
            <w:r>
              <w:rPr>
                <w:sz w:val="24"/>
              </w:rPr>
              <w:t xml:space="preserve">缴纳时间：</w:t>
            </w:r>
            <w:r>
              <w:rPr>
                <w:rFonts w:hint="eastAsia" w:ascii="宋体" w:hAnsi="宋体"/>
                <w:sz w:val="24"/>
              </w:rPr>
              <w:t xml:space="preserve">在发出中标通知书后五个工作日内</w:t>
            </w:r>
            <w:r>
              <w:rPr>
                <w:sz w:val="24"/>
              </w:rPr>
              <w:t xml:space="preserve">。</w:t>
            </w:r>
            <w:r>
              <w:rPr>
                <w:rFonts w:hint="eastAsia" w:ascii="宋体" w:hAnsi="宋体"/>
                <w:sz w:val="24"/>
              </w:rPr>
            </w:r>
            <w:r/>
          </w:p>
          <w:p>
            <w:pPr>
              <w:pStyle w:val="995"/>
              <w:jc w:val="left"/>
              <w:rPr>
                <w:sz w:val="24"/>
              </w:rPr>
            </w:pPr>
            <w:r>
              <w:rPr>
                <w:rFonts w:hint="eastAsia"/>
                <w:sz w:val="24"/>
              </w:rPr>
              <w:t xml:space="preserve">收款户名：江苏中冠工程咨询有限公司</w:t>
            </w:r>
            <w:r>
              <w:rPr>
                <w:sz w:val="24"/>
              </w:rPr>
            </w:r>
            <w:r/>
          </w:p>
          <w:p>
            <w:pPr>
              <w:pStyle w:val="995"/>
              <w:jc w:val="left"/>
              <w:rPr>
                <w:rFonts w:hint="eastAsia"/>
                <w:sz w:val="24"/>
              </w:rPr>
            </w:pPr>
            <w:r>
              <w:rPr>
                <w:rFonts w:hint="eastAsia"/>
                <w:sz w:val="24"/>
              </w:rPr>
              <w:t xml:space="preserve">开户银行：中国工商银行常州分行营业部营业室</w:t>
            </w:r>
            <w:r>
              <w:rPr>
                <w:rFonts w:hint="eastAsia"/>
                <w:sz w:val="24"/>
              </w:rPr>
            </w:r>
            <w:r/>
          </w:p>
          <w:p>
            <w:pPr>
              <w:pStyle w:val="995"/>
              <w:jc w:val="left"/>
              <w:rPr>
                <w:sz w:val="24"/>
              </w:rPr>
            </w:pPr>
            <w:r>
              <w:rPr>
                <w:rFonts w:hint="eastAsia"/>
                <w:sz w:val="24"/>
              </w:rPr>
              <w:t xml:space="preserve">账    号：1105020119000676959</w:t>
            </w:r>
            <w:r>
              <w:rPr>
                <w:sz w:val="24"/>
              </w:rPr>
            </w:r>
            <w:r/>
          </w:p>
        </w:tc>
      </w:tr>
    </w:tbl>
    <w:p>
      <w:pPr>
        <w:pStyle w:val="995"/>
        <w:jc w:val="both"/>
        <w:spacing w:line="360" w:lineRule="auto"/>
        <w:tabs>
          <w:tab w:val="left" w:pos="5580" w:leader="none"/>
        </w:tabs>
        <w:rPr>
          <w:sz w:val="24"/>
        </w:rPr>
        <w:sectPr>
          <w:headerReference w:type="first" r:id="rId10"/>
          <w:footerReference w:type="default" r:id="rId15"/>
          <w:footnotePr/>
          <w:endnotePr/>
          <w:type w:val="nextPage"/>
          <w:pgSz w:w="11907" w:h="16840" w:orient="portrait"/>
          <w:pgMar w:top="1418" w:right="1134" w:bottom="1418" w:left="1701" w:header="851" w:footer="851" w:gutter="0"/>
          <w:cols w:num="1" w:sep="0" w:space="1701" w:equalWidth="1"/>
          <w:docGrid w:linePitch="360"/>
          <w:titlePg/>
        </w:sectPr>
      </w:pPr>
      <w:r>
        <w:rPr>
          <w:sz w:val="24"/>
        </w:rPr>
      </w:r>
      <w:r/>
    </w:p>
    <w:p>
      <w:pPr>
        <w:pStyle w:val="995"/>
        <w:jc w:val="center"/>
        <w:spacing w:before="240" w:after="240"/>
        <w:rPr>
          <w:b/>
          <w:sz w:val="28"/>
          <w:szCs w:val="28"/>
        </w:rPr>
      </w:pPr>
      <w:r/>
      <w:bookmarkStart w:id="75" w:name="_Toc127151517"/>
      <w:r/>
      <w:bookmarkStart w:id="76" w:name="_Toc265228355"/>
      <w:r/>
      <w:bookmarkStart w:id="77" w:name="_Toc150480755"/>
      <w:r/>
      <w:bookmarkStart w:id="78" w:name="_Toc150774722"/>
      <w:r/>
      <w:bookmarkStart w:id="79" w:name="_Toc226337213"/>
      <w:r/>
      <w:bookmarkStart w:id="80" w:name="_Toc353825542"/>
      <w:r/>
      <w:bookmarkStart w:id="81" w:name="_Toc195842882"/>
      <w:r/>
      <w:bookmarkStart w:id="82" w:name="_Toc305158785"/>
      <w:r/>
      <w:bookmarkStart w:id="83" w:name="_Toc142311019"/>
      <w:r/>
      <w:bookmarkStart w:id="84" w:name="_Toc305158859"/>
      <w:r/>
      <w:bookmarkStart w:id="85" w:name="_Toc226965790"/>
      <w:r/>
      <w:bookmarkStart w:id="86" w:name="_Toc353873662"/>
      <w:r/>
      <w:bookmarkStart w:id="87" w:name="_Toc353873932"/>
      <w:r/>
      <w:bookmarkStart w:id="88" w:name="_Toc264969207"/>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rPr>
      </w:r>
      <w:r/>
    </w:p>
    <w:p>
      <w:pPr>
        <w:pStyle w:val="997"/>
        <w:jc w:val="left"/>
        <w:spacing w:before="0" w:line="360" w:lineRule="auto"/>
        <w:tabs>
          <w:tab w:val="center" w:pos="4592" w:leader="none"/>
          <w:tab w:val="left" w:pos="7860" w:leader="none"/>
        </w:tabs>
        <w:rPr>
          <w:rFonts w:ascii="Times New Roman" w:hAnsi="Times New Roman" w:eastAsia="宋体"/>
          <w:sz w:val="28"/>
        </w:rPr>
      </w:pPr>
      <w:r/>
      <w:bookmarkStart w:id="89" w:name="_Toc520356143"/>
      <w:r/>
      <w:bookmarkStart w:id="90" w:name="_Toc127151518"/>
      <w:r>
        <w:rPr>
          <w:rFonts w:ascii="Times New Roman" w:hAnsi="Times New Roman" w:eastAsia="宋体"/>
          <w:sz w:val="28"/>
        </w:rPr>
        <w:tab/>
      </w:r>
      <w:bookmarkStart w:id="91" w:name="_Toc151190145"/>
      <w:r/>
      <w:bookmarkStart w:id="92" w:name="_Toc305158860"/>
      <w:r/>
      <w:bookmarkStart w:id="93" w:name="_Toc150480756"/>
      <w:r/>
      <w:bookmarkStart w:id="94" w:name="_Toc151193616"/>
      <w:r/>
      <w:bookmarkStart w:id="95" w:name="_Toc150774618"/>
      <w:r/>
      <w:bookmarkStart w:id="96" w:name="_Toc226309762"/>
      <w:r/>
      <w:bookmarkStart w:id="97" w:name="_Toc226337214"/>
      <w:r/>
      <w:bookmarkStart w:id="98" w:name="_Toc226965708"/>
      <w:r/>
      <w:bookmarkStart w:id="99" w:name="_Toc151193832"/>
      <w:r/>
      <w:bookmarkStart w:id="100" w:name="_Toc264969208"/>
      <w:r/>
      <w:bookmarkStart w:id="101" w:name="_Toc226965791"/>
      <w:r/>
      <w:bookmarkStart w:id="102" w:name="_Toc142311020"/>
      <w:r/>
      <w:bookmarkStart w:id="103" w:name="_Toc305158786"/>
      <w:r/>
      <w:bookmarkStart w:id="104" w:name="_Toc150509269"/>
      <w:r/>
      <w:bookmarkStart w:id="105" w:name="_Toc151193760"/>
      <w:r/>
      <w:bookmarkStart w:id="106" w:name="_Toc150774723"/>
      <w:r/>
      <w:bookmarkStart w:id="107" w:name="_Toc195842883"/>
      <w:r/>
      <w:bookmarkStart w:id="108" w:name="_Toc265228356"/>
      <w:r/>
      <w:bookmarkStart w:id="109" w:name="_Toc151193688"/>
      <w:r/>
      <w:bookmarkStart w:id="110" w:name="_Toc151193906"/>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r>
      <w:r/>
    </w:p>
    <w:p>
      <w:pPr>
        <w:pStyle w:val="995"/>
        <w:numPr>
          <w:ilvl w:val="0"/>
          <w:numId w:val="10"/>
        </w:numPr>
        <w:ind w:left="357" w:hanging="357"/>
        <w:spacing w:line="360" w:lineRule="auto"/>
        <w:tabs>
          <w:tab w:val="left" w:pos="360" w:leader="none"/>
        </w:tabs>
        <w:rPr>
          <w:sz w:val="24"/>
        </w:rPr>
        <w:outlineLvl w:val="1"/>
      </w:pPr>
      <w:r/>
      <w:bookmarkStart w:id="111" w:name="_Toc265228357"/>
      <w:r/>
      <w:bookmarkStart w:id="112" w:name="_Toc305158787"/>
      <w:r/>
      <w:bookmarkStart w:id="113" w:name="_Toc264969209"/>
      <w:r/>
      <w:bookmarkStart w:id="114" w:name="_Toc305158861"/>
      <w:r>
        <w:rPr>
          <w:sz w:val="24"/>
        </w:rPr>
        <w:t xml:space="preserve">招标人、招标代理机构、投标人</w:t>
      </w:r>
      <w:bookmarkEnd w:id="111"/>
      <w:r/>
      <w:bookmarkEnd w:id="112"/>
      <w:r/>
      <w:bookmarkEnd w:id="113"/>
      <w:r/>
      <w:bookmarkEnd w:id="114"/>
      <w:r>
        <w:rPr>
          <w:rFonts w:hint="eastAsia"/>
          <w:sz w:val="24"/>
        </w:rPr>
        <w:t xml:space="preserve">、联合体</w:t>
      </w:r>
      <w:r>
        <w:rPr>
          <w:sz w:val="24"/>
        </w:rPr>
      </w:r>
      <w:r/>
    </w:p>
    <w:p>
      <w:pPr>
        <w:pStyle w:val="995"/>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招标人、招标代理机构：指依法进行政府采购的国家机关、事业单位、团体组织，及其委托的招标代理机构。本项目招标人、招标代理机构见第一章《投标邀请》。</w:t>
      </w:r>
      <w:r>
        <w:rPr>
          <w:sz w:val="24"/>
        </w:rPr>
      </w:r>
      <w:r/>
    </w:p>
    <w:p>
      <w:pPr>
        <w:pStyle w:val="995"/>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）：指向招标人提供货物、工程或者服务的法人、其他组织或者自然人。</w:t>
      </w:r>
      <w:r>
        <w:rPr>
          <w:sz w:val="24"/>
        </w:rPr>
      </w:r>
      <w:r/>
    </w:p>
    <w:p>
      <w:pPr>
        <w:pStyle w:val="995"/>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995"/>
        <w:numPr>
          <w:ilvl w:val="0"/>
          <w:numId w:val="10"/>
        </w:numPr>
        <w:ind w:left="357" w:hanging="357"/>
        <w:spacing w:line="360" w:lineRule="auto"/>
        <w:tabs>
          <w:tab w:val="left" w:pos="360" w:leader="none"/>
        </w:tabs>
        <w:rPr>
          <w:sz w:val="24"/>
        </w:rPr>
        <w:outlineLvl w:val="1"/>
      </w:pPr>
      <w:r/>
      <w:bookmarkStart w:id="115" w:name="_Toc151193618"/>
      <w:r/>
      <w:bookmarkStart w:id="116" w:name="_Toc226309764"/>
      <w:r/>
      <w:bookmarkStart w:id="117" w:name="_Toc150774725"/>
      <w:r/>
      <w:bookmarkStart w:id="118" w:name="_Toc151193762"/>
      <w:r/>
      <w:bookmarkStart w:id="119" w:name="_Toc151193908"/>
      <w:r/>
      <w:bookmarkStart w:id="120" w:name="_Toc127151721"/>
      <w:r/>
      <w:bookmarkStart w:id="121" w:name="_Toc264969210"/>
      <w:r/>
      <w:bookmarkStart w:id="122" w:name="_Toc164608634"/>
      <w:r/>
      <w:bookmarkStart w:id="123" w:name="_Toc151193834"/>
      <w:r/>
      <w:bookmarkStart w:id="124" w:name="_Toc305158862"/>
      <w:r/>
      <w:bookmarkStart w:id="125" w:name="_Toc127151520"/>
      <w:r/>
      <w:bookmarkStart w:id="126" w:name="_Toc226337216"/>
      <w:r/>
      <w:bookmarkStart w:id="127" w:name="_Toc164229215"/>
      <w:r/>
      <w:bookmarkStart w:id="128" w:name="_Toc149720813"/>
      <w:r/>
      <w:bookmarkStart w:id="129" w:name="_Toc150480758"/>
      <w:r/>
      <w:bookmarkStart w:id="130" w:name="_Toc151193690"/>
      <w:r/>
      <w:bookmarkStart w:id="131" w:name="_Toc151190147"/>
      <w:r/>
      <w:bookmarkStart w:id="132" w:name="_Toc164608789"/>
      <w:r/>
      <w:bookmarkStart w:id="133" w:name="_Toc164229361"/>
      <w:r/>
      <w:bookmarkStart w:id="134" w:name="_Toc305158788"/>
      <w:r/>
      <w:bookmarkStart w:id="135" w:name="_Toc164351614"/>
      <w:r/>
      <w:bookmarkStart w:id="136" w:name="_Toc142311022"/>
      <w:r/>
      <w:bookmarkStart w:id="137" w:name="_Toc226965793"/>
      <w:r/>
      <w:bookmarkStart w:id="138" w:name="_Toc226965710"/>
      <w:r/>
      <w:bookmarkStart w:id="139" w:name="_Toc127161434"/>
      <w:r/>
      <w:bookmarkStart w:id="140" w:name="_Toc195842885"/>
      <w:r/>
      <w:bookmarkStart w:id="141" w:name="_Toc150509271"/>
      <w:r/>
      <w:bookmarkStart w:id="142" w:name="_Toc150774620"/>
      <w:r/>
      <w:bookmarkStart w:id="143" w:name="_Toc265228358"/>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995"/>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264969212"/>
      <w:r/>
      <w:bookmarkStart w:id="145" w:name="_Toc127151522"/>
      <w:r/>
      <w:bookmarkStart w:id="146" w:name="_Toc142311024"/>
      <w:r/>
      <w:bookmarkStart w:id="147" w:name="_Toc151190149"/>
      <w:r/>
      <w:bookmarkStart w:id="148" w:name="_Toc151193836"/>
      <w:r/>
      <w:bookmarkStart w:id="149" w:name="_Toc226337218"/>
      <w:r/>
      <w:bookmarkStart w:id="150" w:name="_Toc226965795"/>
      <w:r/>
      <w:bookmarkStart w:id="151" w:name="_Toc150509273"/>
      <w:r/>
      <w:bookmarkStart w:id="152" w:name="_Toc305158864"/>
      <w:r/>
      <w:bookmarkStart w:id="153" w:name="_Toc151193620"/>
      <w:r/>
      <w:bookmarkStart w:id="154" w:name="_Toc151193910"/>
      <w:r/>
      <w:bookmarkStart w:id="155" w:name="_Toc265228360"/>
      <w:r/>
      <w:bookmarkStart w:id="156" w:name="_Toc150480760"/>
      <w:r/>
      <w:bookmarkStart w:id="157" w:name="_Toc151193692"/>
      <w:r/>
      <w:bookmarkStart w:id="158" w:name="_Toc226309766"/>
      <w:r/>
      <w:bookmarkStart w:id="159" w:name="_Toc520356146"/>
      <w:r/>
      <w:bookmarkStart w:id="160" w:name="_Toc305158790"/>
      <w:r/>
      <w:bookmarkStart w:id="161" w:name="_Toc151193764"/>
      <w:r/>
      <w:bookmarkStart w:id="162" w:name="_Toc195842887"/>
      <w:r/>
      <w:bookmarkStart w:id="163" w:name="_Toc226965712"/>
      <w:r/>
      <w:bookmarkStart w:id="164" w:name="_Toc150774727"/>
      <w:r/>
      <w:bookmarkStart w:id="165" w:name="_Toc150774622"/>
      <w:r>
        <w:rPr>
          <w:sz w:val="28"/>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995"/>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95"/>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95"/>
        <w:numPr>
          <w:ilvl w:val="2"/>
          <w:numId w:val="10"/>
        </w:numPr>
        <w:spacing w:line="360" w:lineRule="auto"/>
        <w:tabs>
          <w:tab w:val="left" w:pos="1980" w:leader="none"/>
        </w:tabs>
        <w:rPr>
          <w:sz w:val="24"/>
        </w:rPr>
      </w:pPr>
      <w:r>
        <w:rPr>
          <w:sz w:val="24"/>
        </w:rPr>
        <w:t xml:space="preserve">中小企业定义：</w:t>
      </w:r>
      <w:r>
        <w:rPr>
          <w:sz w:val="24"/>
        </w:rPr>
      </w:r>
      <w:r/>
    </w:p>
    <w:p>
      <w:pPr>
        <w:pStyle w:val="99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5.2.1.1</w:t>
      </w: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99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5.2.1.2</w:t>
      </w:r>
      <w:r>
        <w:rPr>
          <w:sz w:val="24"/>
        </w:rPr>
        <w:t xml:space="preserve">供应商提供的货物、工程或者服务符合下列情形的，享受中小企业扶持政策：</w:t>
      </w:r>
      <w:r>
        <w:rPr>
          <w:sz w:val="24"/>
        </w:rPr>
      </w:r>
      <w:r/>
    </w:p>
    <w:p>
      <w:pPr>
        <w:pStyle w:val="995"/>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995"/>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995"/>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99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5.2.1.3</w:t>
      </w:r>
      <w:r>
        <w:rPr>
          <w:sz w:val="24"/>
        </w:rPr>
        <w:t xml:space="preserve">在货物采购项目中，供应商提供的货物既有中小企业制造货物，也有大型企业制造货物的，不享受中小企业扶持政策。</w:t>
      </w:r>
      <w:r>
        <w:rPr>
          <w:sz w:val="24"/>
        </w:rPr>
      </w:r>
      <w:r/>
    </w:p>
    <w:p>
      <w:pPr>
        <w:pStyle w:val="99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5.2.1.4</w:t>
      </w:r>
      <w:r>
        <w:rPr>
          <w:sz w:val="24"/>
        </w:rPr>
        <w:t xml:space="preserve">以联合体形式参加政府采购活动，联合体各方均为中小企业的，联合体视同中小企业。其中，联合体各方均为小微企业的，联合体视同小微企业。</w:t>
      </w:r>
      <w:r>
        <w:rPr>
          <w:sz w:val="24"/>
        </w:rPr>
      </w:r>
      <w:r/>
    </w:p>
    <w:p>
      <w:pPr>
        <w:pStyle w:val="995"/>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95"/>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9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5.2.3.1</w:t>
      </w:r>
      <w:r>
        <w:rPr>
          <w:sz w:val="24"/>
        </w:rPr>
        <w:t xml:space="preserve">安置的残疾人占本单位在职职工人数的比例不低于25%（含25%），并且安置的残疾人人数不少于10 人（含10 人）；</w:t>
      </w:r>
      <w:r>
        <w:rPr>
          <w:sz w:val="24"/>
        </w:rPr>
      </w:r>
      <w:r/>
    </w:p>
    <w:p>
      <w:pPr>
        <w:pStyle w:val="99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5.2.3.2</w:t>
      </w:r>
      <w:r>
        <w:rPr>
          <w:sz w:val="24"/>
        </w:rPr>
        <w:t xml:space="preserve">依法与安置的每位残疾人签订了一年以上（含一年）的劳动合同或服务协议；</w:t>
      </w:r>
      <w:r>
        <w:rPr>
          <w:sz w:val="24"/>
        </w:rPr>
      </w:r>
      <w:r/>
    </w:p>
    <w:p>
      <w:pPr>
        <w:pStyle w:val="99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5.2.3.3</w:t>
      </w:r>
      <w:r>
        <w:rPr>
          <w:sz w:val="24"/>
        </w:rPr>
        <w:t xml:space="preserve">为安置的每位残疾人按月足额缴纳了基本养老保险、基本医疗保险、失业保险、工伤保险和生育保险等社会保险费；</w:t>
      </w:r>
      <w:r>
        <w:rPr>
          <w:sz w:val="24"/>
        </w:rPr>
      </w:r>
      <w:r/>
    </w:p>
    <w:p>
      <w:pPr>
        <w:pStyle w:val="99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5.2.3.4</w:t>
      </w:r>
      <w:r>
        <w:rPr>
          <w:sz w:val="24"/>
        </w:rPr>
        <w:t xml:space="preserve">通过银行等金融机构向安置的每位残疾人，按月支付了不低于单位所在区县适用的经省级人民政府批准的月最低工资标准的工资；</w:t>
      </w:r>
      <w:r>
        <w:rPr>
          <w:sz w:val="24"/>
        </w:rPr>
      </w:r>
      <w:r/>
    </w:p>
    <w:p>
      <w:pPr>
        <w:pStyle w:val="99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5.2.3.5</w:t>
      </w: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99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995"/>
        <w:numPr>
          <w:ilvl w:val="2"/>
          <w:numId w:val="10"/>
        </w:numPr>
        <w:spacing w:line="360" w:lineRule="auto"/>
        <w:tabs>
          <w:tab w:val="left" w:pos="1980" w:leader="none"/>
        </w:tabs>
        <w:rPr>
          <w:sz w:val="24"/>
        </w:rPr>
      </w:pPr>
      <w:r>
        <w:rPr>
          <w:sz w:val="24"/>
        </w:rPr>
        <w:t xml:space="preserve">本项目是否专门面向中小企业预留采购份额见第一章《投标邀请》。</w:t>
      </w:r>
      <w:r>
        <w:rPr>
          <w:sz w:val="24"/>
        </w:rPr>
      </w:r>
      <w:r/>
    </w:p>
    <w:p>
      <w:pPr>
        <w:pStyle w:val="995"/>
        <w:numPr>
          <w:ilvl w:val="2"/>
          <w:numId w:val="10"/>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995"/>
        <w:numPr>
          <w:ilvl w:val="2"/>
          <w:numId w:val="10"/>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95"/>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95"/>
        <w:numPr>
          <w:ilvl w:val="2"/>
          <w:numId w:val="10"/>
        </w:numPr>
        <w:spacing w:line="360" w:lineRule="auto"/>
        <w:tabs>
          <w:tab w:val="left" w:pos="1980" w:leader="none"/>
        </w:tabs>
        <w:rPr>
          <w:sz w:val="24"/>
        </w:rPr>
      </w:pPr>
      <w:r>
        <w:rPr>
          <w:sz w:val="24"/>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95"/>
        <w:numPr>
          <w:ilvl w:val="2"/>
          <w:numId w:val="10"/>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995"/>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995"/>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95"/>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95"/>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rPr>
          <w:sz w:val="24"/>
        </w:rPr>
      </w:r>
      <w:r/>
    </w:p>
    <w:p>
      <w:pPr>
        <w:pStyle w:val="995"/>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95"/>
        <w:numPr>
          <w:ilvl w:val="2"/>
          <w:numId w:val="10"/>
        </w:numPr>
        <w:spacing w:line="360" w:lineRule="auto"/>
        <w:tabs>
          <w:tab w:val="left" w:pos="1980" w:leader="none"/>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rFonts w:hint="eastAsia"/>
          <w:sz w:val="24"/>
        </w:rPr>
        <w:t xml:space="preserve">绿色采购政策</w:t>
      </w:r>
      <w:r>
        <w:rPr>
          <w:sz w:val="24"/>
        </w:rPr>
      </w:r>
      <w:r/>
    </w:p>
    <w:p>
      <w:pPr>
        <w:pStyle w:val="995"/>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rPr>
          <w:b/>
          <w:sz w:val="24"/>
        </w:rPr>
      </w:r>
      <w:r/>
    </w:p>
    <w:p>
      <w:pPr>
        <w:pStyle w:val="995"/>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995"/>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rPr>
          <w:sz w:val="24"/>
        </w:rPr>
      </w:r>
      <w:r/>
    </w:p>
    <w:p>
      <w:pPr>
        <w:pStyle w:val="995"/>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sz w:val="24"/>
        </w:rPr>
        <w:t xml:space="preserve">，</w:t>
      </w:r>
      <w:r>
        <w:rPr>
          <w:sz w:val="24"/>
        </w:rPr>
        <w:t xml:space="preserve">依据相关需求标准确定采购需求，在采购文件和采购合同中载明具体需求、履约验收条款和违约责任。</w:t>
      </w:r>
      <w:r>
        <w:rPr>
          <w:sz w:val="24"/>
        </w:rPr>
      </w:r>
      <w:r/>
    </w:p>
    <w:p>
      <w:pPr>
        <w:pStyle w:val="995"/>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rPr>
          <w:sz w:val="24"/>
        </w:rPr>
      </w:r>
      <w:r/>
    </w:p>
    <w:p>
      <w:pPr>
        <w:pStyle w:val="995"/>
        <w:ind w:left="1080"/>
        <w:spacing w:line="360" w:lineRule="auto"/>
        <w:tabs>
          <w:tab w:val="left" w:pos="2014" w:leader="none"/>
        </w:tabs>
        <w:rPr>
          <w:sz w:val="24"/>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采购本国产品的支持政策</w:t>
      </w:r>
      <w:r>
        <w:rPr>
          <w:rFonts w:hint="eastAsia" w:ascii="Times New Roman" w:hAnsi="Times New Roman" w:eastAsia="宋体" w:cs="Times New Roman"/>
          <w:sz w:val="24"/>
          <w:lang w:val="en-US" w:eastAsia="zh-CN"/>
        </w:rPr>
      </w:r>
      <w:r/>
    </w:p>
    <w:p>
      <w:pPr>
        <w:pStyle w:val="995"/>
        <w:ind w:left="1080"/>
        <w:spacing w:line="360" w:lineRule="auto"/>
        <w:tabs>
          <w:tab w:val="left" w:pos="2014" w:leader="none"/>
        </w:tabs>
        <w:rPr>
          <w:sz w:val="24"/>
        </w:rPr>
      </w:pPr>
      <w:r>
        <w:rPr>
          <w:rFonts w:hint="eastAsia" w:ascii="Times New Roman" w:hAnsi="Times New Roman" w:eastAsia="宋体" w:cs="Times New Roman"/>
          <w:b/>
          <w:bCs/>
          <w:sz w:val="24"/>
          <w:szCs w:val="24"/>
          <w:lang w:val="en-US" w:eastAsia="zh-CN" w:bidi="ar-SA"/>
        </w:rPr>
        <w:t xml:space="preserve">根据《国务院办公厅关于在政府采购中实施本国产品标准及相关政策的通知》（国办发〔2025〕34号）文件要求，在政府采购中实施本国产品标准及相关支持政策。</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投标人应自行承担所有与准备和参加投标有关的费用，无论投标的结果如何，招标人或招标代理机构在任何情况下均无承担这些费用的义务和责任。</w:t>
      </w:r>
      <w:r>
        <w:rPr>
          <w:sz w:val="24"/>
        </w:rPr>
      </w:r>
      <w:r/>
    </w:p>
    <w:p>
      <w:pPr>
        <w:pStyle w:val="997"/>
        <w:spacing w:before="0" w:line="360" w:lineRule="auto"/>
        <w:rPr>
          <w:rFonts w:ascii="Times New Roman" w:hAnsi="Times New Roman" w:eastAsia="宋体"/>
          <w:sz w:val="28"/>
        </w:rPr>
      </w:pPr>
      <w:r/>
      <w:bookmarkStart w:id="166" w:name="_1.8_计量单位"/>
      <w:r/>
      <w:bookmarkEnd w:id="166"/>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995"/>
        <w:numPr>
          <w:ilvl w:val="0"/>
          <w:numId w:val="10"/>
        </w:numPr>
        <w:ind w:left="357" w:hanging="357"/>
        <w:spacing w:line="360" w:lineRule="auto"/>
        <w:tabs>
          <w:tab w:val="left" w:pos="360" w:leader="none"/>
          <w:tab w:val="left" w:pos="900" w:leader="none"/>
        </w:tabs>
        <w:rPr>
          <w:sz w:val="24"/>
        </w:rPr>
        <w:outlineLvl w:val="1"/>
      </w:pPr>
      <w:r/>
      <w:bookmarkStart w:id="167" w:name="_Toc164351617"/>
      <w:r/>
      <w:bookmarkStart w:id="168" w:name="_Toc164229364"/>
      <w:r/>
      <w:bookmarkStart w:id="169" w:name="_Toc164608792"/>
      <w:r/>
      <w:bookmarkStart w:id="170" w:name="_Toc195842888"/>
      <w:r/>
      <w:bookmarkStart w:id="171" w:name="_Toc226965796"/>
      <w:r/>
      <w:bookmarkStart w:id="172" w:name="_Toc150774728"/>
      <w:r/>
      <w:bookmarkStart w:id="173" w:name="_Toc164229218"/>
      <w:r/>
      <w:bookmarkStart w:id="174" w:name="_Toc150509274"/>
      <w:r/>
      <w:bookmarkStart w:id="175" w:name="_Toc150480761"/>
      <w:r/>
      <w:bookmarkStart w:id="176" w:name="_Toc305158865"/>
      <w:r/>
      <w:bookmarkStart w:id="177" w:name="_Toc150774623"/>
      <w:r/>
      <w:bookmarkStart w:id="178" w:name="_Toc226309767"/>
      <w:r/>
      <w:bookmarkStart w:id="179" w:name="_Toc149720816"/>
      <w:r/>
      <w:bookmarkStart w:id="180" w:name="_Toc265228361"/>
      <w:r/>
      <w:bookmarkStart w:id="181" w:name="_Toc142311025"/>
      <w:r/>
      <w:bookmarkStart w:id="182" w:name="_Toc264969213"/>
      <w:r/>
      <w:bookmarkStart w:id="183" w:name="_Toc226337219"/>
      <w:r/>
      <w:bookmarkStart w:id="184" w:name="_Toc151190150"/>
      <w:r/>
      <w:bookmarkStart w:id="185" w:name="_Toc164608637"/>
      <w:r/>
      <w:bookmarkStart w:id="186" w:name="_Toc305158791"/>
      <w:r/>
      <w:bookmarkStart w:id="187" w:name="_Toc127151724"/>
      <w:r/>
      <w:bookmarkStart w:id="188" w:name="_Toc226965713"/>
      <w:r/>
      <w:bookmarkStart w:id="189" w:name="_Toc151193765"/>
      <w:r/>
      <w:bookmarkStart w:id="190" w:name="_Toc151193621"/>
      <w:r/>
      <w:bookmarkStart w:id="191" w:name="_Toc151193693"/>
      <w:r/>
      <w:bookmarkStart w:id="192" w:name="_Toc520356147"/>
      <w:r/>
      <w:bookmarkStart w:id="193" w:name="_Toc127151523"/>
      <w:r/>
      <w:bookmarkStart w:id="194" w:name="_Toc151193911"/>
      <w:r/>
      <w:bookmarkStart w:id="195" w:name="_Toc127161437"/>
      <w:r/>
      <w:bookmarkStart w:id="196" w:name="_Toc151193837"/>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995"/>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投标邀请</w:t>
      </w:r>
      <w:r>
        <w:rPr>
          <w:sz w:val="24"/>
        </w:rPr>
      </w:r>
      <w:r/>
    </w:p>
    <w:p>
      <w:pPr>
        <w:pStyle w:val="995"/>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995"/>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995"/>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995"/>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95"/>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995"/>
        <w:numPr>
          <w:ilvl w:val="0"/>
          <w:numId w:val="11"/>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995"/>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995"/>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招标人或招标代理机构对已发出的招标文件进行必要澄清或者修改的，将在原公告发布媒体上以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95"/>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995"/>
        <w:ind w:left="1080"/>
        <w:spacing w:line="360" w:lineRule="auto"/>
        <w:tabs>
          <w:tab w:val="left" w:pos="1080" w:leader="none"/>
          <w:tab w:val="left" w:pos="1561" w:leader="none"/>
        </w:tabs>
        <w:rPr>
          <w:sz w:val="28"/>
        </w:rPr>
      </w:pPr>
      <w:r/>
      <w:bookmarkStart w:id="197" w:name="_Toc305158868"/>
      <w:r/>
      <w:bookmarkStart w:id="198" w:name="_Toc150774626"/>
      <w:r/>
      <w:bookmarkStart w:id="199" w:name="_Toc264969216"/>
      <w:r/>
      <w:bookmarkStart w:id="200" w:name="_Toc150774731"/>
      <w:r/>
      <w:bookmarkStart w:id="201" w:name="_Toc520356150"/>
      <w:r/>
      <w:bookmarkStart w:id="202" w:name="_Toc150480764"/>
      <w:r/>
      <w:bookmarkStart w:id="203" w:name="_Toc226965799"/>
      <w:r/>
      <w:bookmarkStart w:id="204" w:name="_Toc151193624"/>
      <w:r/>
      <w:bookmarkStart w:id="205" w:name="_Toc226309770"/>
      <w:r/>
      <w:bookmarkStart w:id="206" w:name="_Toc151193696"/>
      <w:r/>
      <w:bookmarkStart w:id="207" w:name="_Toc151193840"/>
      <w:r/>
      <w:bookmarkStart w:id="208" w:name="_Toc305158794"/>
      <w:r/>
      <w:bookmarkStart w:id="209" w:name="_Toc142311028"/>
      <w:r/>
      <w:bookmarkStart w:id="210" w:name="_Toc516367020"/>
      <w:r/>
      <w:bookmarkStart w:id="211" w:name="_Toc226337222"/>
      <w:r/>
      <w:bookmarkStart w:id="212" w:name="_Toc265228364"/>
      <w:r/>
      <w:bookmarkStart w:id="213" w:name="_Toc150509277"/>
      <w:r/>
      <w:bookmarkStart w:id="214" w:name="_Toc226965716"/>
      <w:r/>
      <w:bookmarkStart w:id="215" w:name="_Toc195842891"/>
      <w:r/>
      <w:bookmarkStart w:id="216" w:name="_Toc127151526"/>
      <w:r/>
      <w:bookmarkStart w:id="217" w:name="_Toc151193768"/>
      <w:r/>
      <w:bookmarkStart w:id="218" w:name="_Toc151193914"/>
      <w:r/>
      <w:bookmarkStart w:id="219" w:name="_Toc151190153"/>
      <w:r>
        <w:rPr>
          <w:sz w:val="28"/>
        </w:rPr>
      </w:r>
      <w:r/>
    </w:p>
    <w:p>
      <w:pPr>
        <w:pStyle w:val="997"/>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10"/>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995"/>
        <w:numPr>
          <w:ilvl w:val="0"/>
          <w:numId w:val="10"/>
        </w:numPr>
        <w:ind w:left="357" w:hanging="357"/>
        <w:spacing w:line="360" w:lineRule="auto"/>
        <w:tabs>
          <w:tab w:val="left" w:pos="360" w:leader="none"/>
          <w:tab w:val="left" w:pos="900" w:leader="none"/>
        </w:tabs>
        <w:rPr>
          <w:sz w:val="24"/>
        </w:rPr>
        <w:outlineLvl w:val="1"/>
      </w:pPr>
      <w:r/>
      <w:bookmarkStart w:id="220" w:name="_Toc151193841"/>
      <w:r/>
      <w:bookmarkStart w:id="221" w:name="_Toc195842892"/>
      <w:r/>
      <w:bookmarkStart w:id="222" w:name="_Toc305158795"/>
      <w:r/>
      <w:bookmarkStart w:id="223" w:name="_Toc151193625"/>
      <w:r/>
      <w:bookmarkStart w:id="224" w:name="_Toc127161441"/>
      <w:r/>
      <w:bookmarkStart w:id="225" w:name="_Toc264969217"/>
      <w:r/>
      <w:bookmarkStart w:id="226" w:name="_Toc151193769"/>
      <w:r/>
      <w:bookmarkStart w:id="227" w:name="_Toc226337223"/>
      <w:r/>
      <w:bookmarkStart w:id="228" w:name="_Toc164351621"/>
      <w:r/>
      <w:bookmarkStart w:id="229" w:name="_Toc520356151"/>
      <w:r/>
      <w:bookmarkStart w:id="230" w:name="_Toc226309771"/>
      <w:r/>
      <w:bookmarkStart w:id="231" w:name="_Toc164608796"/>
      <w:r/>
      <w:bookmarkStart w:id="232" w:name="_Toc226965717"/>
      <w:r/>
      <w:bookmarkStart w:id="233" w:name="_Toc305158869"/>
      <w:r/>
      <w:bookmarkStart w:id="234" w:name="_Toc226965800"/>
      <w:r/>
      <w:bookmarkStart w:id="235" w:name="_Toc127151527"/>
      <w:r/>
      <w:bookmarkStart w:id="236" w:name="_Toc265228365"/>
      <w:r/>
      <w:bookmarkStart w:id="237" w:name="_Toc151193697"/>
      <w:r/>
      <w:bookmarkStart w:id="238" w:name="_Toc149720820"/>
      <w:r/>
      <w:bookmarkStart w:id="239" w:name="_Toc127151728"/>
      <w:r/>
      <w:bookmarkStart w:id="240" w:name="_Toc151190154"/>
      <w:r/>
      <w:bookmarkStart w:id="241" w:name="_Toc150480765"/>
      <w:r/>
      <w:bookmarkStart w:id="242" w:name="_Toc516367021"/>
      <w:r/>
      <w:bookmarkStart w:id="243" w:name="_Toc151193915"/>
      <w:r/>
      <w:bookmarkStart w:id="244" w:name="_Toc142311029"/>
      <w:r/>
      <w:bookmarkStart w:id="245" w:name="_Toc150774627"/>
      <w:r/>
      <w:bookmarkStart w:id="246" w:name="_Toc164229222"/>
      <w:r/>
      <w:bookmarkStart w:id="247" w:name="_Toc150774732"/>
      <w:r/>
      <w:bookmarkStart w:id="248" w:name="_Toc150509278"/>
      <w:r/>
      <w:bookmarkStart w:id="249" w:name="_Toc164229368"/>
      <w:r/>
      <w:bookmarkStart w:id="250" w:name="_Toc164608641"/>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bookmarkStart w:id="251" w:name="_Toc226965801"/>
      <w:r/>
      <w:bookmarkStart w:id="252" w:name="_Toc149720821"/>
      <w:r/>
      <w:bookmarkStart w:id="253" w:name="_Toc226309772"/>
      <w:r/>
      <w:bookmarkStart w:id="254" w:name="_Toc164229369"/>
      <w:r/>
      <w:bookmarkStart w:id="255" w:name="_Toc164351622"/>
      <w:r/>
      <w:bookmarkStart w:id="256" w:name="_Toc150509279"/>
      <w:r/>
      <w:bookmarkStart w:id="257" w:name="_Toc305158870"/>
      <w:r/>
      <w:bookmarkStart w:id="258" w:name="_Ref467306676"/>
      <w:r/>
      <w:bookmarkStart w:id="259" w:name="_Ref467306195"/>
      <w:r/>
      <w:bookmarkStart w:id="260" w:name="_Toc516367022"/>
      <w:r/>
      <w:bookmarkStart w:id="261" w:name="_Toc151193842"/>
      <w:r/>
      <w:bookmarkStart w:id="262" w:name="_Toc127161442"/>
      <w:r/>
      <w:bookmarkStart w:id="263" w:name="_Toc151193626"/>
      <w:r/>
      <w:bookmarkStart w:id="264" w:name="_Toc150774628"/>
      <w:r/>
      <w:bookmarkStart w:id="265" w:name="_Toc142311030"/>
      <w:r/>
      <w:bookmarkStart w:id="266" w:name="_Toc127151528"/>
      <w:r/>
      <w:bookmarkStart w:id="267" w:name="_Toc226965718"/>
      <w:r/>
      <w:bookmarkStart w:id="268" w:name="_Toc164608797"/>
      <w:r/>
      <w:bookmarkStart w:id="269" w:name="_Toc151193916"/>
      <w:r/>
      <w:bookmarkStart w:id="270" w:name="_Toc151193698"/>
      <w:r/>
      <w:bookmarkStart w:id="271" w:name="_Toc226337224"/>
      <w:r/>
      <w:bookmarkStart w:id="272" w:name="_Toc264969218"/>
      <w:r/>
      <w:bookmarkStart w:id="273" w:name="_Toc127151729"/>
      <w:r/>
      <w:bookmarkStart w:id="274" w:name="_Toc151193770"/>
      <w:r/>
      <w:bookmarkStart w:id="275" w:name="_Toc195842893"/>
      <w:r/>
      <w:bookmarkStart w:id="276" w:name="_Toc164608642"/>
      <w:r/>
      <w:bookmarkStart w:id="277" w:name="_Toc150774733"/>
      <w:r/>
      <w:bookmarkStart w:id="278" w:name="_Toc265228366"/>
      <w:r/>
      <w:bookmarkStart w:id="279" w:name="_Toc151190155"/>
      <w:r/>
      <w:bookmarkStart w:id="280" w:name="_Toc150480766"/>
      <w:r/>
      <w:bookmarkStart w:id="281" w:name="_Toc164229223"/>
      <w:r/>
      <w:bookmarkStart w:id="282" w:name="_Toc305158796"/>
      <w:r/>
      <w:bookmarkStart w:id="283" w:name="_Toc520356152"/>
      <w:r>
        <w:rPr>
          <w:sz w:val="24"/>
        </w:rPr>
        <w:t xml:space="preserve">投标文件</w:t>
      </w:r>
      <w:bookmarkEnd w:id="258"/>
      <w:r/>
      <w:bookmarkEnd w:id="259"/>
      <w:r/>
      <w:bookmarkEnd w:id="260"/>
      <w:r>
        <w:rPr>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4"/>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bookmarkStart w:id="285" w:name="_Toc164608644"/>
      <w:r/>
      <w:bookmarkStart w:id="286" w:name="_Toc151190157"/>
      <w:r/>
      <w:bookmarkStart w:id="287" w:name="_Toc164608799"/>
      <w:r/>
      <w:bookmarkStart w:id="288" w:name="_Toc127151530"/>
      <w:r/>
      <w:bookmarkStart w:id="289" w:name="_Toc150774735"/>
      <w:r/>
      <w:bookmarkStart w:id="290" w:name="_Toc142311032"/>
      <w:r/>
      <w:bookmarkStart w:id="291" w:name="_Toc151193844"/>
      <w:r/>
      <w:bookmarkStart w:id="292" w:name="_Toc164351624"/>
      <w:r/>
      <w:bookmarkStart w:id="293" w:name="_Toc150774630"/>
      <w:r/>
      <w:bookmarkStart w:id="294" w:name="_Toc151193628"/>
      <w:r/>
      <w:bookmarkStart w:id="295" w:name="_Toc151193918"/>
      <w:r/>
      <w:bookmarkStart w:id="296" w:name="_Toc150480768"/>
      <w:r/>
      <w:bookmarkStart w:id="297" w:name="_Toc151193772"/>
      <w:r/>
      <w:bookmarkStart w:id="298" w:name="_Toc164229225"/>
      <w:r/>
      <w:bookmarkStart w:id="299" w:name="_Toc150509281"/>
      <w:r/>
      <w:bookmarkStart w:id="300" w:name="_Toc164229371"/>
      <w:r/>
      <w:bookmarkStart w:id="301" w:name="_Toc520356155"/>
      <w:r/>
      <w:bookmarkStart w:id="302" w:name="_Toc127151731"/>
      <w:r/>
      <w:bookmarkStart w:id="303" w:name="_Toc151193700"/>
      <w:r/>
      <w:bookmarkStart w:id="304" w:name="_Toc149720823"/>
      <w:r/>
      <w:bookmarkStart w:id="305" w:name="_Toc127161444"/>
      <w:r/>
      <w:bookmarkStart w:id="306" w:name="_Toc195842895"/>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995"/>
        <w:numPr>
          <w:ilvl w:val="2"/>
          <w:numId w:val="10"/>
        </w:numPr>
        <w:spacing w:line="360" w:lineRule="auto"/>
        <w:tabs>
          <w:tab w:val="left" w:pos="1980" w:leader="none"/>
        </w:tabs>
        <w:rPr>
          <w:sz w:val="24"/>
        </w:rPr>
      </w:pPr>
      <w:r>
        <w:rPr>
          <w:rFonts w:hint="eastAsia"/>
          <w:sz w:val="24"/>
        </w:rPr>
        <w:t xml:space="preserve">报价包括招标文件所确定的招标范围内的全部服务的报价，应包括为完成本项目所需要的全部费用以及投标人企业利润、税金和政策性文件规定及合同包含的所有风险、责任等各项应有费用。</w:t>
      </w:r>
      <w:r>
        <w:rPr>
          <w:sz w:val="24"/>
        </w:rPr>
      </w:r>
      <w:r/>
    </w:p>
    <w:p>
      <w:pPr>
        <w:pStyle w:val="995"/>
        <w:numPr>
          <w:ilvl w:val="2"/>
          <w:numId w:val="10"/>
        </w:numPr>
        <w:spacing w:line="360" w:lineRule="auto"/>
        <w:tabs>
          <w:tab w:val="left" w:pos="1980" w:leader="none"/>
        </w:tabs>
        <w:rPr>
          <w:sz w:val="24"/>
        </w:rPr>
      </w:pPr>
      <w:r>
        <w:rPr>
          <w:sz w:val="24"/>
        </w:rPr>
        <w:t xml:space="preserve">按照招标文件要求完成本项目的全部相关服务费用。</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招标人不得向</w:t>
      </w:r>
      <w:r>
        <w:rPr>
          <w:rFonts w:hint="eastAsia"/>
          <w:sz w:val="24"/>
        </w:rPr>
        <w:t xml:space="preserve">投标人</w:t>
      </w:r>
      <w:r>
        <w:rPr>
          <w:sz w:val="24"/>
        </w:rPr>
        <w:t xml:space="preserve">索要或者接受其给予的赠品、回扣或者与采购无关的其他商品、服务。</w:t>
      </w:r>
      <w:r>
        <w:rPr>
          <w:sz w:val="24"/>
        </w:rPr>
      </w:r>
      <w:r/>
    </w:p>
    <w:p>
      <w:pPr>
        <w:pStyle w:val="99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995"/>
        <w:numPr>
          <w:ilvl w:val="0"/>
          <w:numId w:val="10"/>
        </w:numPr>
        <w:ind w:left="357" w:hanging="357"/>
        <w:spacing w:line="360" w:lineRule="auto"/>
        <w:tabs>
          <w:tab w:val="left" w:pos="360" w:leader="none"/>
          <w:tab w:val="left" w:pos="900" w:leader="none"/>
        </w:tabs>
        <w:rPr>
          <w:rFonts w:hint="eastAsia"/>
          <w:sz w:val="24"/>
        </w:rPr>
        <w:outlineLvl w:val="1"/>
      </w:pPr>
      <w:r/>
      <w:bookmarkStart w:id="307" w:name="_Toc150480769"/>
      <w:r/>
      <w:bookmarkStart w:id="308" w:name="_Toc264969221"/>
      <w:r/>
      <w:bookmarkStart w:id="309" w:name="_Toc150774631"/>
      <w:r/>
      <w:bookmarkStart w:id="310" w:name="_Toc164229372"/>
      <w:r/>
      <w:bookmarkStart w:id="311" w:name="_Toc226965804"/>
      <w:r/>
      <w:bookmarkStart w:id="312" w:name="_Toc151193629"/>
      <w:r/>
      <w:bookmarkStart w:id="313" w:name="_Toc149720824"/>
      <w:r/>
      <w:bookmarkStart w:id="314" w:name="_Toc127151531"/>
      <w:r/>
      <w:bookmarkStart w:id="315" w:name="_Ref467306513"/>
      <w:r/>
      <w:bookmarkStart w:id="316" w:name="_Toc305158799"/>
      <w:r/>
      <w:bookmarkStart w:id="317" w:name="_Toc305158873"/>
      <w:r/>
      <w:bookmarkStart w:id="318" w:name="_Toc164608800"/>
      <w:r/>
      <w:bookmarkStart w:id="319" w:name="_Toc164229226"/>
      <w:r/>
      <w:bookmarkStart w:id="320" w:name="_Toc151193701"/>
      <w:r/>
      <w:bookmarkStart w:id="321" w:name="_Toc150509282"/>
      <w:r/>
      <w:bookmarkStart w:id="322" w:name="_Toc127151732"/>
      <w:r/>
      <w:bookmarkStart w:id="323" w:name="_Toc195842896"/>
      <w:r/>
      <w:bookmarkStart w:id="324" w:name="_Toc150774736"/>
      <w:r/>
      <w:bookmarkStart w:id="325" w:name="_Toc226309775"/>
      <w:r/>
      <w:bookmarkStart w:id="326" w:name="_Toc151190158"/>
      <w:r/>
      <w:bookmarkStart w:id="327" w:name="_Toc151193773"/>
      <w:r/>
      <w:bookmarkStart w:id="328" w:name="_Toc226965721"/>
      <w:r/>
      <w:bookmarkStart w:id="329" w:name="_Toc520356156"/>
      <w:r/>
      <w:bookmarkStart w:id="330" w:name="_Toc226337227"/>
      <w:r/>
      <w:bookmarkStart w:id="331" w:name="_Toc164608645"/>
      <w:r/>
      <w:bookmarkStart w:id="332" w:name="_Toc265228369"/>
      <w:r/>
      <w:bookmarkStart w:id="333" w:name="_Toc151193919"/>
      <w:r/>
      <w:bookmarkStart w:id="334" w:name="_Toc151193845"/>
      <w:r/>
      <w:bookmarkStart w:id="335" w:name="_Toc127161445"/>
      <w:r/>
      <w:bookmarkStart w:id="336" w:name="_Toc142311033"/>
      <w:r/>
      <w:bookmarkStart w:id="337" w:name="_Toc164351625"/>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sz w:val="24"/>
        </w:rPr>
      </w:r>
      <w:r/>
    </w:p>
    <w:p>
      <w:pPr>
        <w:pStyle w:val="995"/>
        <w:ind w:left="357"/>
        <w:spacing w:line="360" w:lineRule="auto"/>
        <w:tabs>
          <w:tab w:val="left" w:pos="360" w:leader="none"/>
        </w:tabs>
        <w:rPr>
          <w:sz w:val="24"/>
        </w:rPr>
      </w:pPr>
      <w:r>
        <w:rPr>
          <w:rFonts w:hint="eastAsia"/>
          <w:sz w:val="24"/>
        </w:rPr>
        <w:t xml:space="preserve">根据江苏省和常州市的相关文件规定，免收投标保证金。</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bookmarkStart w:id="338" w:name="_Toc151193920"/>
      <w:r/>
      <w:bookmarkStart w:id="339" w:name="_Toc151193702"/>
      <w:r/>
      <w:bookmarkStart w:id="340" w:name="_Toc164229227"/>
      <w:r/>
      <w:bookmarkStart w:id="341" w:name="_Toc142311034"/>
      <w:r/>
      <w:bookmarkStart w:id="342" w:name="_Toc305158874"/>
      <w:r/>
      <w:bookmarkStart w:id="343" w:name="_Toc164608801"/>
      <w:r/>
      <w:bookmarkStart w:id="344" w:name="_Toc265228370"/>
      <w:r/>
      <w:bookmarkStart w:id="345" w:name="_Toc226309776"/>
      <w:r/>
      <w:bookmarkStart w:id="346" w:name="_Toc164608646"/>
      <w:r/>
      <w:bookmarkStart w:id="347" w:name="_Toc195842897"/>
      <w:r/>
      <w:bookmarkStart w:id="348" w:name="_Toc127161446"/>
      <w:r/>
      <w:bookmarkStart w:id="349" w:name="_Toc164351626"/>
      <w:r/>
      <w:bookmarkStart w:id="350" w:name="_Toc150774737"/>
      <w:r/>
      <w:bookmarkStart w:id="351" w:name="_Toc127151733"/>
      <w:r/>
      <w:bookmarkStart w:id="352" w:name="_Toc226965722"/>
      <w:r/>
      <w:bookmarkStart w:id="353" w:name="_Toc150480770"/>
      <w:r/>
      <w:bookmarkStart w:id="354" w:name="_Toc127151532"/>
      <w:r/>
      <w:bookmarkStart w:id="355" w:name="_Toc264969222"/>
      <w:r/>
      <w:bookmarkStart w:id="356" w:name="_Toc150774632"/>
      <w:r/>
      <w:bookmarkStart w:id="357" w:name="_Toc150509283"/>
      <w:r/>
      <w:bookmarkStart w:id="358" w:name="_Toc151190159"/>
      <w:r/>
      <w:bookmarkStart w:id="359" w:name="_Toc149720825"/>
      <w:r/>
      <w:bookmarkStart w:id="360" w:name="_Toc226337228"/>
      <w:r/>
      <w:bookmarkStart w:id="361" w:name="_Toc151193846"/>
      <w:r/>
      <w:bookmarkStart w:id="362" w:name="_Toc151193630"/>
      <w:r/>
      <w:bookmarkStart w:id="363" w:name="_Toc151193774"/>
      <w:r/>
      <w:bookmarkStart w:id="364" w:name="_Toc305158800"/>
      <w:r/>
      <w:bookmarkStart w:id="365" w:name="_Toc164229373"/>
      <w:r/>
      <w:bookmarkStart w:id="366" w:name="_Toc520356157"/>
      <w:r/>
      <w:bookmarkStart w:id="367" w:name="_Toc226965805"/>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bookmarkStart w:id="368" w:name="_Toc151193703"/>
      <w:r/>
      <w:bookmarkStart w:id="369" w:name="_Toc265228371"/>
      <w:r/>
      <w:bookmarkStart w:id="370" w:name="_Toc127151734"/>
      <w:r/>
      <w:bookmarkStart w:id="371" w:name="_Toc150774738"/>
      <w:r/>
      <w:bookmarkStart w:id="372" w:name="_Toc150480771"/>
      <w:r/>
      <w:bookmarkStart w:id="373" w:name="_Toc305158875"/>
      <w:r/>
      <w:bookmarkStart w:id="374" w:name="_Toc150774633"/>
      <w:r/>
      <w:bookmarkStart w:id="375" w:name="_Toc226337229"/>
      <w:r/>
      <w:bookmarkStart w:id="376" w:name="_Toc520356158"/>
      <w:r/>
      <w:bookmarkStart w:id="377" w:name="_Toc164229228"/>
      <w:r/>
      <w:bookmarkStart w:id="378" w:name="_Toc127151533"/>
      <w:r/>
      <w:bookmarkStart w:id="379" w:name="_Toc164608802"/>
      <w:r/>
      <w:bookmarkStart w:id="380" w:name="_Toc149720826"/>
      <w:r/>
      <w:bookmarkStart w:id="381" w:name="_Toc164608647"/>
      <w:r/>
      <w:bookmarkStart w:id="382" w:name="_Toc195842898"/>
      <w:r/>
      <w:bookmarkStart w:id="383" w:name="_Toc151193921"/>
      <w:r/>
      <w:bookmarkStart w:id="384" w:name="_Toc151190160"/>
      <w:r/>
      <w:bookmarkStart w:id="385" w:name="_Toc142311035"/>
      <w:r/>
      <w:bookmarkStart w:id="386" w:name="_Toc164351627"/>
      <w:r/>
      <w:bookmarkStart w:id="387" w:name="_Toc151193631"/>
      <w:r/>
      <w:bookmarkStart w:id="388" w:name="_Toc305158801"/>
      <w:r/>
      <w:bookmarkStart w:id="389" w:name="_Toc127161447"/>
      <w:r/>
      <w:bookmarkStart w:id="390" w:name="_Toc150509284"/>
      <w:r/>
      <w:bookmarkStart w:id="391" w:name="_Toc264969223"/>
      <w:r/>
      <w:bookmarkStart w:id="392" w:name="_Toc226309777"/>
      <w:r/>
      <w:bookmarkStart w:id="393" w:name="_Toc226965723"/>
      <w:r/>
      <w:bookmarkStart w:id="394" w:name="_Toc226965806"/>
      <w:r/>
      <w:bookmarkStart w:id="395" w:name="_Toc164229374"/>
      <w:r/>
      <w:bookmarkStart w:id="396" w:name="_Toc151193847"/>
      <w:r/>
      <w:bookmarkStart w:id="397" w:name="_Toc151193775"/>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bookmarkStart w:id="398" w:name="_Toc151193922"/>
      <w:r/>
      <w:bookmarkStart w:id="399" w:name="_Toc264969224"/>
      <w:r/>
      <w:bookmarkStart w:id="400" w:name="_Toc142311036"/>
      <w:r/>
      <w:bookmarkStart w:id="401" w:name="_Toc226337230"/>
      <w:r/>
      <w:bookmarkStart w:id="402" w:name="_Toc151193704"/>
      <w:r/>
      <w:bookmarkStart w:id="403" w:name="_Toc226965807"/>
      <w:r/>
      <w:bookmarkStart w:id="404" w:name="_Toc520356159"/>
      <w:r/>
      <w:bookmarkStart w:id="405" w:name="_Toc150774634"/>
      <w:r/>
      <w:bookmarkStart w:id="406" w:name="_Toc265228372"/>
      <w:r/>
      <w:bookmarkStart w:id="407" w:name="_Toc305158876"/>
      <w:r/>
      <w:bookmarkStart w:id="408" w:name="_Toc151193632"/>
      <w:r/>
      <w:bookmarkStart w:id="409" w:name="_Toc150509285"/>
      <w:r/>
      <w:bookmarkStart w:id="410" w:name="_Toc305158802"/>
      <w:r/>
      <w:bookmarkStart w:id="411" w:name="_Toc127151534"/>
      <w:r/>
      <w:bookmarkStart w:id="412" w:name="_Toc195842899"/>
      <w:r/>
      <w:bookmarkStart w:id="413" w:name="_Toc151190161"/>
      <w:r/>
      <w:bookmarkStart w:id="414" w:name="_Toc150480772"/>
      <w:r/>
      <w:bookmarkStart w:id="415" w:name="_Toc226965724"/>
      <w:r/>
      <w:bookmarkStart w:id="416" w:name="_Toc226309778"/>
      <w:r/>
      <w:bookmarkStart w:id="417" w:name="_Toc151193776"/>
      <w:r/>
      <w:bookmarkStart w:id="418" w:name="_Toc151193848"/>
      <w:r/>
      <w:bookmarkStart w:id="419" w:name="_Toc150774739"/>
      <w:r>
        <w:rPr>
          <w:sz w:val="24"/>
        </w:rPr>
        <w:t xml:space="preserve">招标文件要求签字的内容（如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995"/>
        <w:ind w:left="357"/>
        <w:spacing w:line="360" w:lineRule="auto"/>
        <w:tabs>
          <w:tab w:val="left" w:pos="900" w:leader="none"/>
          <w:tab w:val="left" w:pos="1080" w:leader="none"/>
        </w:tabs>
      </w:pPr>
      <w:r/>
      <w:r/>
    </w:p>
    <w:p>
      <w:pPr>
        <w:pStyle w:val="997"/>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995"/>
        <w:numPr>
          <w:ilvl w:val="0"/>
          <w:numId w:val="10"/>
        </w:numPr>
        <w:ind w:left="357" w:hanging="357"/>
        <w:spacing w:line="360" w:lineRule="auto"/>
        <w:tabs>
          <w:tab w:val="left" w:pos="360" w:leader="none"/>
          <w:tab w:val="left" w:pos="900" w:leader="none"/>
        </w:tabs>
        <w:rPr>
          <w:sz w:val="24"/>
        </w:rPr>
        <w:outlineLvl w:val="1"/>
      </w:pPr>
      <w:r/>
      <w:bookmarkStart w:id="420" w:name="_Toc164229376"/>
      <w:r/>
      <w:bookmarkStart w:id="421" w:name="_Toc164229230"/>
      <w:r/>
      <w:bookmarkStart w:id="422" w:name="_Toc305158877"/>
      <w:r/>
      <w:bookmarkStart w:id="423" w:name="_Toc127161449"/>
      <w:r/>
      <w:bookmarkStart w:id="424" w:name="_Toc151193923"/>
      <w:r/>
      <w:bookmarkStart w:id="425" w:name="_Toc151193849"/>
      <w:r/>
      <w:bookmarkStart w:id="426" w:name="_Toc305158803"/>
      <w:r/>
      <w:bookmarkStart w:id="427" w:name="_Toc164608649"/>
      <w:r/>
      <w:bookmarkStart w:id="428" w:name="_Toc265228373"/>
      <w:r/>
      <w:bookmarkStart w:id="429" w:name="_Toc226309779"/>
      <w:r/>
      <w:bookmarkStart w:id="430" w:name="_Toc151193777"/>
      <w:r/>
      <w:bookmarkStart w:id="431" w:name="_Toc195842900"/>
      <w:r/>
      <w:bookmarkStart w:id="432" w:name="_Toc127151736"/>
      <w:r/>
      <w:bookmarkStart w:id="433" w:name="_Toc264969225"/>
      <w:r/>
      <w:bookmarkStart w:id="434" w:name="_Toc150774635"/>
      <w:r/>
      <w:bookmarkStart w:id="435" w:name="_Toc226965808"/>
      <w:r/>
      <w:bookmarkStart w:id="436" w:name="_Toc164608804"/>
      <w:r/>
      <w:bookmarkStart w:id="437" w:name="_Toc151193705"/>
      <w:r/>
      <w:bookmarkStart w:id="438" w:name="_Toc127151535"/>
      <w:r/>
      <w:bookmarkStart w:id="439" w:name="_Toc520356160"/>
      <w:r/>
      <w:bookmarkStart w:id="440" w:name="_Toc226337231"/>
      <w:r/>
      <w:bookmarkStart w:id="441" w:name="_Toc150774740"/>
      <w:r/>
      <w:bookmarkStart w:id="442" w:name="_Toc226965725"/>
      <w:r/>
      <w:bookmarkStart w:id="443" w:name="_Toc151193633"/>
      <w:r/>
      <w:bookmarkStart w:id="444" w:name="_Toc149720828"/>
      <w:r/>
      <w:bookmarkStart w:id="445" w:name="_Toc164351629"/>
      <w:r/>
      <w:bookmarkStart w:id="446" w:name="_Toc150480773"/>
      <w:r/>
      <w:bookmarkStart w:id="447" w:name="_Toc150509286"/>
      <w:r/>
      <w:bookmarkStart w:id="448" w:name="_Toc151190162"/>
      <w:r/>
      <w:bookmarkStart w:id="449" w:name="_Toc142311037"/>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lang w:bidi="ar"/>
        </w:rPr>
        <w:t xml:space="preserve">政府采购一体化平台“苏采云”</w:t>
      </w:r>
      <w:r>
        <w:rPr>
          <w:sz w:val="24"/>
        </w:rPr>
        <w:t xml:space="preserve">。投标人根据招标文件及</w:t>
      </w:r>
      <w:r>
        <w:rPr>
          <w:rFonts w:hint="eastAsia"/>
          <w:sz w:val="24"/>
          <w:lang w:bidi="ar"/>
        </w:rPr>
        <w:t xml:space="preserve">政府采购一体化平台“苏采云”</w:t>
      </w:r>
      <w:r>
        <w:rPr>
          <w:sz w:val="24"/>
        </w:rPr>
        <w:t xml:space="preserve">供应商操作手册要求编制、生成并提交电子投标文件。</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招标人及招标代理机构拒绝接受通过</w:t>
      </w:r>
      <w:r>
        <w:rPr>
          <w:rFonts w:hint="eastAsia"/>
          <w:sz w:val="24"/>
        </w:rPr>
        <w:t xml:space="preserve">政府采购一体化平台“苏采云”</w:t>
      </w:r>
      <w:r>
        <w:rPr>
          <w:sz w:val="24"/>
        </w:rPr>
        <w:t xml:space="preserve">以外任何形式提交的投标文件。</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bookmarkStart w:id="450" w:name="_Toc305158878"/>
      <w:r/>
      <w:bookmarkStart w:id="451" w:name="_Toc226309780"/>
      <w:r/>
      <w:bookmarkStart w:id="452" w:name="_Toc127161450"/>
      <w:r/>
      <w:bookmarkStart w:id="453" w:name="_Toc151190163"/>
      <w:r/>
      <w:bookmarkStart w:id="454" w:name="_Toc265228374"/>
      <w:r/>
      <w:bookmarkStart w:id="455" w:name="_Toc151193850"/>
      <w:r/>
      <w:bookmarkStart w:id="456" w:name="_Toc226337232"/>
      <w:r/>
      <w:bookmarkStart w:id="457" w:name="_Toc264969226"/>
      <w:r/>
      <w:bookmarkStart w:id="458" w:name="_Toc151193924"/>
      <w:r/>
      <w:bookmarkStart w:id="459" w:name="_Toc226965809"/>
      <w:r/>
      <w:bookmarkStart w:id="460" w:name="_Toc150774636"/>
      <w:r/>
      <w:bookmarkStart w:id="461" w:name="_Toc151193778"/>
      <w:r/>
      <w:bookmarkStart w:id="462" w:name="_Toc226965726"/>
      <w:r/>
      <w:bookmarkStart w:id="463" w:name="_Toc151193706"/>
      <w:r/>
      <w:bookmarkStart w:id="464" w:name="_Toc195842901"/>
      <w:r/>
      <w:bookmarkStart w:id="465" w:name="_Toc149720829"/>
      <w:r/>
      <w:bookmarkStart w:id="466" w:name="_Toc127151536"/>
      <w:r/>
      <w:bookmarkStart w:id="467" w:name="_Toc305158804"/>
      <w:r/>
      <w:bookmarkStart w:id="468" w:name="_Toc142311038"/>
      <w:r/>
      <w:bookmarkStart w:id="469" w:name="_Toc150509287"/>
      <w:r/>
      <w:bookmarkStart w:id="470" w:name="_Toc520356161"/>
      <w:r/>
      <w:bookmarkStart w:id="471" w:name="_Toc164608650"/>
      <w:r/>
      <w:bookmarkStart w:id="472" w:name="_Toc127151737"/>
      <w:r/>
      <w:bookmarkStart w:id="473" w:name="_Toc151193634"/>
      <w:r/>
      <w:bookmarkStart w:id="474" w:name="_Toc164351630"/>
      <w:r/>
      <w:bookmarkStart w:id="475" w:name="_Toc150774741"/>
      <w:r/>
      <w:bookmarkStart w:id="476" w:name="_Toc164229231"/>
      <w:r/>
      <w:bookmarkStart w:id="477" w:name="_Toc164608805"/>
      <w:r/>
      <w:bookmarkStart w:id="478" w:name="_Toc164229377"/>
      <w:r/>
      <w:bookmarkStart w:id="479" w:name="_Toc150480774"/>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bookmarkStart w:id="480" w:name="_Toc150774637"/>
      <w:r/>
      <w:bookmarkStart w:id="481" w:name="_Toc150774742"/>
      <w:r/>
      <w:bookmarkStart w:id="482" w:name="_Toc164229378"/>
      <w:r/>
      <w:bookmarkStart w:id="483" w:name="_Toc265228375"/>
      <w:r/>
      <w:bookmarkStart w:id="484" w:name="_Toc264969227"/>
      <w:r/>
      <w:bookmarkStart w:id="485" w:name="_Toc149720830"/>
      <w:r/>
      <w:bookmarkStart w:id="486" w:name="_Toc150509288"/>
      <w:r/>
      <w:bookmarkStart w:id="487" w:name="_Toc226337233"/>
      <w:r/>
      <w:bookmarkStart w:id="488" w:name="_Toc151193707"/>
      <w:r/>
      <w:bookmarkStart w:id="489" w:name="_Toc127151738"/>
      <w:r/>
      <w:bookmarkStart w:id="490" w:name="_Toc520356162"/>
      <w:r/>
      <w:bookmarkStart w:id="491" w:name="_Toc151190164"/>
      <w:r/>
      <w:bookmarkStart w:id="492" w:name="_Toc151193779"/>
      <w:r/>
      <w:bookmarkStart w:id="493" w:name="_Toc226309781"/>
      <w:r/>
      <w:bookmarkStart w:id="494" w:name="_Toc226965810"/>
      <w:r/>
      <w:bookmarkStart w:id="495" w:name="_Toc195842902"/>
      <w:r/>
      <w:bookmarkStart w:id="496" w:name="_Toc127151537"/>
      <w:r/>
      <w:bookmarkStart w:id="497" w:name="_Toc127161451"/>
      <w:r/>
      <w:bookmarkStart w:id="498" w:name="_Toc151193851"/>
      <w:r/>
      <w:bookmarkStart w:id="499" w:name="_Toc151193925"/>
      <w:r/>
      <w:bookmarkStart w:id="500" w:name="_Toc142311039"/>
      <w:r/>
      <w:bookmarkStart w:id="501" w:name="_Toc150480775"/>
      <w:r/>
      <w:bookmarkStart w:id="502" w:name="_Toc151193635"/>
      <w:r/>
      <w:bookmarkStart w:id="503" w:name="_Toc226965727"/>
      <w:r/>
      <w:bookmarkStart w:id="504" w:name="_Toc164608651"/>
      <w:r/>
      <w:bookmarkStart w:id="505" w:name="_Toc305158805"/>
      <w:r/>
      <w:bookmarkStart w:id="506" w:name="_Toc164229232"/>
      <w:r/>
      <w:bookmarkStart w:id="507" w:name="_Toc164351631"/>
      <w:r/>
      <w:bookmarkStart w:id="508" w:name="_Toc305158879"/>
      <w:r/>
      <w:bookmarkStart w:id="509" w:name="_Toc164608806"/>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995"/>
        <w:spacing w:line="360" w:lineRule="auto"/>
        <w:rPr>
          <w:sz w:val="24"/>
        </w:rPr>
      </w:pPr>
      <w:r>
        <w:rPr>
          <w:sz w:val="24"/>
        </w:rPr>
      </w:r>
      <w:r/>
    </w:p>
    <w:p>
      <w:pPr>
        <w:pStyle w:val="997"/>
        <w:spacing w:before="0" w:line="360" w:lineRule="auto"/>
        <w:rPr>
          <w:rFonts w:ascii="Times New Roman" w:hAnsi="Times New Roman" w:eastAsia="宋体"/>
          <w:sz w:val="28"/>
        </w:rPr>
      </w:pPr>
      <w:r/>
      <w:bookmarkStart w:id="510" w:name="_Toc226337234"/>
      <w:r/>
      <w:bookmarkStart w:id="511" w:name="_Toc150774743"/>
      <w:r/>
      <w:bookmarkStart w:id="512" w:name="_Toc226309782"/>
      <w:r/>
      <w:bookmarkStart w:id="513" w:name="_Toc305158880"/>
      <w:r/>
      <w:bookmarkStart w:id="514" w:name="_Toc150774638"/>
      <w:r/>
      <w:bookmarkStart w:id="515" w:name="_Toc151193780"/>
      <w:r/>
      <w:bookmarkStart w:id="516" w:name="_Toc226965728"/>
      <w:r/>
      <w:bookmarkStart w:id="517" w:name="_Toc265228376"/>
      <w:r/>
      <w:bookmarkStart w:id="518" w:name="_Toc151193636"/>
      <w:r/>
      <w:bookmarkStart w:id="519" w:name="_Toc264969228"/>
      <w:r/>
      <w:bookmarkStart w:id="520" w:name="_Toc151193926"/>
      <w:r/>
      <w:bookmarkStart w:id="521" w:name="_Toc151193708"/>
      <w:r/>
      <w:bookmarkStart w:id="522" w:name="_Toc195842903"/>
      <w:r/>
      <w:bookmarkStart w:id="523" w:name="_Toc127151538"/>
      <w:r/>
      <w:bookmarkStart w:id="524" w:name="_Toc150509289"/>
      <w:r/>
      <w:bookmarkStart w:id="525" w:name="_Toc150480776"/>
      <w:r/>
      <w:bookmarkStart w:id="526" w:name="_Toc142311040"/>
      <w:r/>
      <w:bookmarkStart w:id="527" w:name="_Toc305158806"/>
      <w:r/>
      <w:bookmarkStart w:id="528" w:name="_Toc151190165"/>
      <w:r/>
      <w:bookmarkStart w:id="529" w:name="_Toc520356163"/>
      <w:r/>
      <w:bookmarkStart w:id="530" w:name="_Toc151193852"/>
      <w:r/>
      <w:bookmarkStart w:id="531" w:name="_Toc226965811"/>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995"/>
        <w:numPr>
          <w:ilvl w:val="0"/>
          <w:numId w:val="10"/>
        </w:numPr>
        <w:ind w:left="357" w:hanging="357"/>
        <w:spacing w:line="360" w:lineRule="auto"/>
        <w:tabs>
          <w:tab w:val="left" w:pos="360" w:leader="none"/>
          <w:tab w:val="left" w:pos="900" w:leader="none"/>
        </w:tabs>
        <w:rPr>
          <w:sz w:val="24"/>
        </w:rPr>
        <w:outlineLvl w:val="1"/>
      </w:pPr>
      <w:r/>
      <w:bookmarkStart w:id="532" w:name="_Toc151190166"/>
      <w:r/>
      <w:bookmarkStart w:id="533" w:name="_Toc127151539"/>
      <w:r/>
      <w:bookmarkStart w:id="534" w:name="_Toc127161453"/>
      <w:r/>
      <w:bookmarkStart w:id="535" w:name="_Toc149720832"/>
      <w:r/>
      <w:bookmarkStart w:id="536" w:name="_Toc142311041"/>
      <w:r/>
      <w:bookmarkStart w:id="537" w:name="_Toc151193709"/>
      <w:r/>
      <w:bookmarkStart w:id="538" w:name="_Toc520356164"/>
      <w:r/>
      <w:bookmarkStart w:id="539" w:name="_Toc195842904"/>
      <w:r/>
      <w:bookmarkStart w:id="540" w:name="_Toc264969229"/>
      <w:r/>
      <w:bookmarkStart w:id="541" w:name="_Toc150480777"/>
      <w:r/>
      <w:bookmarkStart w:id="542" w:name="_Toc150774639"/>
      <w:r/>
      <w:bookmarkStart w:id="543" w:name="_Toc226965812"/>
      <w:r/>
      <w:bookmarkStart w:id="544" w:name="_Toc151193927"/>
      <w:r/>
      <w:bookmarkStart w:id="545" w:name="_Toc226337235"/>
      <w:r/>
      <w:bookmarkStart w:id="546" w:name="_Toc164608808"/>
      <w:r/>
      <w:bookmarkStart w:id="547" w:name="_Toc265228377"/>
      <w:r/>
      <w:bookmarkStart w:id="548" w:name="_Toc226965729"/>
      <w:r/>
      <w:bookmarkStart w:id="549" w:name="_Toc150774744"/>
      <w:r/>
      <w:bookmarkStart w:id="550" w:name="_Toc164351633"/>
      <w:r/>
      <w:bookmarkStart w:id="551" w:name="_Toc164608653"/>
      <w:r/>
      <w:bookmarkStart w:id="552" w:name="_Toc305158881"/>
      <w:r/>
      <w:bookmarkStart w:id="553" w:name="_Toc151193781"/>
      <w:r/>
      <w:bookmarkStart w:id="554" w:name="_Toc164229234"/>
      <w:r/>
      <w:bookmarkStart w:id="555" w:name="_Toc151193853"/>
      <w:r/>
      <w:bookmarkStart w:id="556" w:name="_Toc164229380"/>
      <w:r/>
      <w:bookmarkStart w:id="557" w:name="_Toc127151740"/>
      <w:r/>
      <w:bookmarkStart w:id="558" w:name="_Toc150509290"/>
      <w:r/>
      <w:bookmarkStart w:id="559" w:name="_Toc226309783"/>
      <w:r/>
      <w:bookmarkStart w:id="560" w:name="_Toc151193637"/>
      <w:r/>
      <w:bookmarkStart w:id="561" w:name="_Toc305158807"/>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招标人或招标代理机构将按招标文件的规定，在投标截止时间的同一时间和招标文件预先确定的地点组织开标。</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。投标人超过规定时间未确认但是未提出疑义的，系统将视同已确认</w:t>
      </w:r>
      <w:r>
        <w:rPr>
          <w:sz w:val="24"/>
        </w:rPr>
        <w:t xml:space="preserve">。</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投标人代表对开标过程和开标记录有疑义，以及认为招标人、招标代理机构相关工作人员有需要回避的情形的，应当场</w:t>
      </w:r>
      <w:r>
        <w:rPr>
          <w:rFonts w:hint="eastAsia"/>
          <w:sz w:val="24"/>
        </w:rPr>
        <w:t xml:space="preserve">通过业务系统</w:t>
      </w:r>
      <w:r>
        <w:rPr>
          <w:sz w:val="24"/>
        </w:rPr>
        <w:t xml:space="preserve">提出询问或者回避申请。招标人、招标代理机构对投标人代表提出的询问或者回避申请将及时处理。</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政府采购一体化平台“苏采云”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95"/>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95"/>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95"/>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95"/>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95"/>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bookmarkEnd w:id="562"/>
      <w:r/>
      <w:bookmarkStart w:id="563" w:name="_Toc127151540"/>
      <w:r/>
      <w:bookmarkStart w:id="564" w:name="_Toc151193638"/>
      <w:r/>
      <w:bookmarkStart w:id="565" w:name="_Toc151193782"/>
      <w:r/>
      <w:bookmarkStart w:id="566" w:name="_Toc164608654"/>
      <w:r/>
      <w:bookmarkStart w:id="567" w:name="_Toc226965730"/>
      <w:r/>
      <w:bookmarkStart w:id="568" w:name="_Toc305158882"/>
      <w:r/>
      <w:bookmarkStart w:id="569" w:name="_Toc226965813"/>
      <w:r/>
      <w:bookmarkStart w:id="570" w:name="_Toc195842905"/>
      <w:r/>
      <w:bookmarkStart w:id="571" w:name="_Toc150774745"/>
      <w:r/>
      <w:bookmarkStart w:id="572" w:name="_Toc265228378"/>
      <w:r/>
      <w:bookmarkStart w:id="573" w:name="_Toc150509291"/>
      <w:r/>
      <w:bookmarkStart w:id="574" w:name="_Toc264969230"/>
      <w:r/>
      <w:bookmarkStart w:id="575" w:name="_Toc142311042"/>
      <w:r/>
      <w:bookmarkStart w:id="576" w:name="_Toc150480778"/>
      <w:r/>
      <w:bookmarkStart w:id="577" w:name="_Toc164229381"/>
      <w:r/>
      <w:bookmarkStart w:id="578" w:name="_Toc164351634"/>
      <w:r/>
      <w:bookmarkStart w:id="579" w:name="_Toc305158808"/>
      <w:r/>
      <w:bookmarkStart w:id="580" w:name="_Toc151193854"/>
      <w:r/>
      <w:bookmarkStart w:id="581" w:name="_Toc151193928"/>
      <w:r/>
      <w:bookmarkStart w:id="582" w:name="_Toc151193710"/>
      <w:r/>
      <w:bookmarkStart w:id="583" w:name="_Toc149720833"/>
      <w:r/>
      <w:bookmarkStart w:id="584" w:name="_Toc151190167"/>
      <w:r/>
      <w:bookmarkStart w:id="585" w:name="_Toc226337236"/>
      <w:r/>
      <w:bookmarkStart w:id="586" w:name="_Toc226309784"/>
      <w:r/>
      <w:bookmarkStart w:id="587" w:name="_Toc164608809"/>
      <w:r/>
      <w:bookmarkStart w:id="588" w:name="_Toc127161454"/>
      <w:r/>
      <w:bookmarkStart w:id="589" w:name="_Toc164229235"/>
      <w:r/>
      <w:bookmarkStart w:id="590" w:name="_Toc150774640"/>
      <w:r/>
      <w:bookmarkStart w:id="591" w:name="_Toc127151741"/>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规定。依法自行选定评审专家的，招标人和招标代理机构将查询有关信用记录，对具有行贿、受贿、欺诈等不良信用记录的人员，拒绝其参与政府采购活动。</w:t>
      </w:r>
      <w:bookmarkEnd w:id="592"/>
      <w:r/>
      <w:bookmarkStart w:id="593" w:name="_Toc520356169"/>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995"/>
        <w:ind w:left="1080"/>
        <w:spacing w:line="360" w:lineRule="auto"/>
        <w:tabs>
          <w:tab w:val="left" w:pos="360" w:leader="none"/>
          <w:tab w:val="left" w:pos="1080" w:leader="none"/>
        </w:tabs>
        <w:rPr>
          <w:sz w:val="24"/>
        </w:rPr>
      </w:pPr>
      <w:r>
        <w:rPr>
          <w:sz w:val="24"/>
        </w:rPr>
      </w:r>
      <w:r/>
    </w:p>
    <w:p>
      <w:pPr>
        <w:pStyle w:val="997"/>
        <w:spacing w:before="0" w:line="360" w:lineRule="auto"/>
        <w:rPr>
          <w:rFonts w:ascii="Times New Roman" w:hAnsi="Times New Roman" w:eastAsia="宋体"/>
          <w:sz w:val="28"/>
        </w:rPr>
      </w:pPr>
      <w:r/>
      <w:bookmarkStart w:id="594" w:name="_Toc195842910"/>
      <w:r/>
      <w:bookmarkStart w:id="595" w:name="_Toc226337241"/>
      <w:r/>
      <w:bookmarkStart w:id="596" w:name="_Toc151193715"/>
      <w:r/>
      <w:bookmarkStart w:id="597" w:name="_Toc142311047"/>
      <w:r/>
      <w:bookmarkStart w:id="598" w:name="_Toc150774645"/>
      <w:r/>
      <w:bookmarkStart w:id="599" w:name="_Toc127151545"/>
      <w:r/>
      <w:bookmarkStart w:id="600" w:name="_Toc264969235"/>
      <w:r/>
      <w:bookmarkStart w:id="601" w:name="_Toc150774750"/>
      <w:r/>
      <w:bookmarkStart w:id="602" w:name="_Toc151193643"/>
      <w:r/>
      <w:bookmarkStart w:id="603" w:name="_Toc150509296"/>
      <w:r/>
      <w:bookmarkStart w:id="604" w:name="_Toc151193787"/>
      <w:r/>
      <w:bookmarkStart w:id="605" w:name="_Toc305158813"/>
      <w:r/>
      <w:bookmarkStart w:id="606" w:name="_Toc151190172"/>
      <w:r/>
      <w:bookmarkStart w:id="607" w:name="_Toc151193859"/>
      <w:r/>
      <w:bookmarkStart w:id="608" w:name="_Toc150480783"/>
      <w:r/>
      <w:bookmarkStart w:id="609" w:name="_Toc265228383"/>
      <w:r/>
      <w:bookmarkStart w:id="610" w:name="_Toc226965735"/>
      <w:r/>
      <w:bookmarkStart w:id="611" w:name="_Toc305158887"/>
      <w:r/>
      <w:bookmarkStart w:id="612" w:name="_Toc226965818"/>
      <w:r/>
      <w:bookmarkStart w:id="613" w:name="_Toc151193933"/>
      <w:r/>
      <w:bookmarkStart w:id="614" w:name="_Toc226309789"/>
      <w:r>
        <w:rPr>
          <w:rFonts w:ascii="Times New Roman" w:hAnsi="Times New Roman" w:eastAsia="宋体"/>
          <w:sz w:val="28"/>
        </w:rPr>
        <w:t xml:space="preserve">六   </w:t>
      </w:r>
      <w:bookmarkEnd w:id="593"/>
      <w:r>
        <w:rPr>
          <w:rFonts w:ascii="Times New Roman" w:hAnsi="Times New Roman" w:eastAsia="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935"/>
      <w:r/>
      <w:bookmarkStart w:id="616" w:name="_Toc149720840"/>
      <w:r/>
      <w:bookmarkStart w:id="617" w:name="_Toc164351641"/>
      <w:r/>
      <w:bookmarkStart w:id="618" w:name="_Toc226337243"/>
      <w:r/>
      <w:bookmarkStart w:id="619" w:name="_Toc164229242"/>
      <w:r/>
      <w:bookmarkStart w:id="620" w:name="_Toc226309791"/>
      <w:r/>
      <w:bookmarkStart w:id="621" w:name="_Toc151193789"/>
      <w:r/>
      <w:bookmarkStart w:id="622" w:name="_Toc265228385"/>
      <w:r/>
      <w:bookmarkStart w:id="623" w:name="_Toc127151547"/>
      <w:r/>
      <w:bookmarkStart w:id="624" w:name="_Toc150509298"/>
      <w:r/>
      <w:bookmarkStart w:id="625" w:name="_Toc305158815"/>
      <w:r/>
      <w:bookmarkStart w:id="626" w:name="_Toc264969237"/>
      <w:r/>
      <w:bookmarkStart w:id="627" w:name="_Toc151190174"/>
      <w:r/>
      <w:bookmarkStart w:id="628" w:name="_Toc226965737"/>
      <w:r/>
      <w:bookmarkStart w:id="629" w:name="_Toc127151748"/>
      <w:r/>
      <w:bookmarkStart w:id="630" w:name="_Toc151193861"/>
      <w:r/>
      <w:bookmarkStart w:id="631" w:name="_Toc150480785"/>
      <w:r/>
      <w:bookmarkStart w:id="632" w:name="_Toc151193717"/>
      <w:r/>
      <w:bookmarkStart w:id="633" w:name="_Toc127161461"/>
      <w:r/>
      <w:bookmarkStart w:id="634" w:name="_Toc151193645"/>
      <w:r/>
      <w:bookmarkStart w:id="635" w:name="_Toc142311049"/>
      <w:r/>
      <w:bookmarkStart w:id="636" w:name="_Toc164608661"/>
      <w:r/>
      <w:bookmarkStart w:id="637" w:name="_Toc226965820"/>
      <w:r/>
      <w:bookmarkStart w:id="638" w:name="_Toc305158889"/>
      <w:r/>
      <w:bookmarkStart w:id="639" w:name="_Toc164608816"/>
      <w:r/>
      <w:bookmarkStart w:id="640" w:name="_Toc150774647"/>
      <w:r/>
      <w:bookmarkStart w:id="641" w:name="_Toc150774752"/>
      <w:r/>
      <w:bookmarkStart w:id="642" w:name="_Toc195842912"/>
      <w:r/>
      <w:bookmarkStart w:id="643" w:name="_Toc164229388"/>
      <w:r>
        <w:rPr>
          <w:rFonts w:ascii="Times New Roman" w:hAnsi="Times New Roman" w:eastAsia="宋体"/>
          <w:sz w:val="28"/>
        </w:rPr>
      </w:r>
      <w:r/>
    </w:p>
    <w:p>
      <w:pPr>
        <w:pStyle w:val="995"/>
        <w:numPr>
          <w:ilvl w:val="0"/>
          <w:numId w:val="10"/>
        </w:numPr>
        <w:ind w:left="357" w:hanging="357"/>
        <w:spacing w:line="360" w:lineRule="auto"/>
        <w:tabs>
          <w:tab w:val="left" w:pos="360" w:leader="none"/>
          <w:tab w:val="left" w:pos="90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招标人将在评标报告确定的中标候选人名单中按顺序确定中标人，中标候选人并列的，由招标人</w:t>
      </w:r>
      <w:r>
        <w:rPr>
          <w:rFonts w:hint="eastAsia"/>
          <w:sz w:val="24"/>
        </w:rPr>
        <w:t xml:space="preserve">依法</w:t>
      </w:r>
      <w:r>
        <w:rPr>
          <w:sz w:val="24"/>
        </w:rPr>
        <w:t xml:space="preserve">确定</w:t>
      </w:r>
      <w:r>
        <w:rPr>
          <w:rFonts w:hint="eastAsia"/>
          <w:sz w:val="24"/>
        </w:rPr>
        <w:t xml:space="preserve">。</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bookmarkStart w:id="644" w:name="_Toc149720842"/>
      <w:r/>
      <w:bookmarkStart w:id="645" w:name="_Toc226337245"/>
      <w:r/>
      <w:bookmarkStart w:id="646" w:name="_Toc226965822"/>
      <w:r/>
      <w:bookmarkStart w:id="647" w:name="_Toc164229390"/>
      <w:r/>
      <w:bookmarkStart w:id="648" w:name="_Toc164351643"/>
      <w:r/>
      <w:bookmarkStart w:id="649" w:name="_Toc164608663"/>
      <w:r/>
      <w:bookmarkStart w:id="650" w:name="_Toc305158891"/>
      <w:r/>
      <w:bookmarkStart w:id="651" w:name="_Toc150774754"/>
      <w:r/>
      <w:bookmarkStart w:id="652" w:name="_Ref467306425"/>
      <w:r/>
      <w:bookmarkStart w:id="653" w:name="_Ref467307090"/>
      <w:r/>
      <w:bookmarkStart w:id="654" w:name="_Toc520356176"/>
      <w:r/>
      <w:bookmarkStart w:id="655" w:name="_Toc127151549"/>
      <w:r/>
      <w:bookmarkStart w:id="656" w:name="_Toc226965739"/>
      <w:r/>
      <w:bookmarkStart w:id="657" w:name="_Toc142311051"/>
      <w:r/>
      <w:bookmarkStart w:id="658" w:name="_Toc127161463"/>
      <w:r/>
      <w:bookmarkStart w:id="659" w:name="_Toc226309793"/>
      <w:r/>
      <w:bookmarkStart w:id="660" w:name="_Toc265228387"/>
      <w:r/>
      <w:bookmarkStart w:id="661" w:name="_Toc305158817"/>
      <w:r/>
      <w:bookmarkStart w:id="662" w:name="_Toc151193863"/>
      <w:r/>
      <w:bookmarkStart w:id="663" w:name="_Toc150480787"/>
      <w:r/>
      <w:bookmarkStart w:id="664" w:name="_Toc127151750"/>
      <w:r/>
      <w:bookmarkStart w:id="665" w:name="_Toc264969239"/>
      <w:r/>
      <w:bookmarkStart w:id="666" w:name="_Toc150774649"/>
      <w:r/>
      <w:bookmarkStart w:id="667" w:name="_Toc151193937"/>
      <w:r/>
      <w:bookmarkStart w:id="668" w:name="_Toc195842914"/>
      <w:r/>
      <w:bookmarkStart w:id="669" w:name="_Toc151193647"/>
      <w:r/>
      <w:bookmarkStart w:id="670" w:name="_Toc150509300"/>
      <w:r/>
      <w:bookmarkStart w:id="671" w:name="_Toc151190176"/>
      <w:r/>
      <w:bookmarkStart w:id="672" w:name="_Toc151193719"/>
      <w:r/>
      <w:bookmarkStart w:id="673" w:name="_Toc151193791"/>
      <w:r/>
      <w:bookmarkStart w:id="674" w:name="_Toc164608818"/>
      <w:r/>
      <w:bookmarkStart w:id="675" w:name="_Toc164229244"/>
      <w:r>
        <w:rPr>
          <w:sz w:val="24"/>
        </w:rPr>
        <w:t xml:space="preserve">中标公告与中标通知书</w:t>
      </w:r>
      <w:bookmarkEnd w:id="650"/>
      <w:r/>
      <w:bookmarkEnd w:id="661"/>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招标人或招标代理机构自中标人确定之日起2个工作日内，</w:t>
      </w:r>
      <w:r>
        <w:rPr>
          <w:sz w:val="24"/>
        </w:rPr>
        <w:t xml:space="preserve">在</w:t>
      </w:r>
      <w:r>
        <w:rPr>
          <w:rFonts w:hint="eastAsia"/>
          <w:sz w:val="24"/>
        </w:rPr>
        <w:t xml:space="preserve">常州市政府采购网</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中标通知书对招标人和中标供应商均具有法律效力。中标通知书发出后，招标人改变中标结果的，或者中标供应商放弃中标项目的，应当依法承担法律责任。</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995"/>
        <w:numPr>
          <w:ilvl w:val="2"/>
          <w:numId w:val="10"/>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995"/>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995"/>
        <w:numPr>
          <w:ilvl w:val="2"/>
          <w:numId w:val="10"/>
        </w:numPr>
        <w:spacing w:line="360" w:lineRule="auto"/>
        <w:tabs>
          <w:tab w:val="left" w:pos="1980" w:leader="none"/>
        </w:tabs>
        <w:rPr>
          <w:sz w:val="24"/>
        </w:rPr>
      </w:pPr>
      <w:r>
        <w:rPr>
          <w:sz w:val="24"/>
        </w:rPr>
        <w:t xml:space="preserve">投标人的报价均超过了采购预算，招标人不能支付的；</w:t>
      </w:r>
      <w:r>
        <w:rPr>
          <w:sz w:val="24"/>
        </w:rPr>
      </w:r>
      <w:r/>
    </w:p>
    <w:p>
      <w:pPr>
        <w:pStyle w:val="995"/>
        <w:numPr>
          <w:ilvl w:val="2"/>
          <w:numId w:val="10"/>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995"/>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废标后，招标人将废标理由通知所有投标人。</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65228388"/>
      <w:r/>
      <w:bookmarkStart w:id="677" w:name="_Toc264969240"/>
      <w:r/>
      <w:bookmarkStart w:id="678" w:name="_Toc305158818"/>
      <w:r/>
      <w:bookmarkStart w:id="679" w:name="_Ref467306377"/>
      <w:r/>
      <w:bookmarkStart w:id="680" w:name="_Toc226965740"/>
      <w:r/>
      <w:bookmarkStart w:id="681" w:name="_Toc151193720"/>
      <w:r/>
      <w:bookmarkStart w:id="682" w:name="_Toc164608664"/>
      <w:r/>
      <w:bookmarkStart w:id="683" w:name="_Toc150774650"/>
      <w:r/>
      <w:bookmarkStart w:id="684" w:name="_Toc150480788"/>
      <w:r/>
      <w:bookmarkStart w:id="685" w:name="_Ref467307204"/>
      <w:r/>
      <w:bookmarkStart w:id="686" w:name="_Toc520356175"/>
      <w:r/>
      <w:bookmarkStart w:id="687" w:name="_Toc164229391"/>
      <w:r/>
      <w:bookmarkStart w:id="688" w:name="_Toc151190177"/>
      <w:r/>
      <w:bookmarkStart w:id="689" w:name="_Ref467306978"/>
      <w:r/>
      <w:bookmarkStart w:id="690" w:name="_Toc149720843"/>
      <w:r/>
      <w:bookmarkStart w:id="691" w:name="_Toc226309794"/>
      <w:r/>
      <w:bookmarkStart w:id="692" w:name="_Toc127151751"/>
      <w:r/>
      <w:bookmarkStart w:id="693" w:name="_Toc151193648"/>
      <w:r/>
      <w:bookmarkStart w:id="694" w:name="_Toc151193864"/>
      <w:r/>
      <w:bookmarkStart w:id="695" w:name="_Toc226965823"/>
      <w:r/>
      <w:bookmarkStart w:id="696" w:name="_Ref467307062"/>
      <w:r/>
      <w:bookmarkStart w:id="697" w:name="_Toc164229245"/>
      <w:r/>
      <w:bookmarkStart w:id="698" w:name="_Toc226337246"/>
      <w:r/>
      <w:bookmarkStart w:id="699" w:name="_Toc150774755"/>
      <w:r/>
      <w:bookmarkStart w:id="700" w:name="_Toc164351644"/>
      <w:r/>
      <w:bookmarkStart w:id="701" w:name="_Toc150509301"/>
      <w:r/>
      <w:bookmarkStart w:id="702" w:name="_Toc142311052"/>
      <w:r/>
      <w:bookmarkStart w:id="703" w:name="_Toc195842915"/>
      <w:r/>
      <w:bookmarkStart w:id="704" w:name="_Toc151193792"/>
      <w:r/>
      <w:bookmarkStart w:id="705" w:name="_Toc164608819"/>
      <w:r/>
      <w:bookmarkStart w:id="706" w:name="_Toc151193938"/>
      <w:r/>
      <w:bookmarkStart w:id="707" w:name="_Toc305158892"/>
      <w:r/>
      <w:bookmarkStart w:id="708" w:name="_Toc127151550"/>
      <w:r/>
      <w:bookmarkStart w:id="709" w:name="_Toc127161464"/>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中标人、招标人应当自中标通知书发出之日起30日内，按照招标文件和中标人投标文件的规定签订书面合同</w:t>
      </w:r>
      <w:r>
        <w:rPr>
          <w:rFonts w:hint="eastAsia" w:ascii="宋体" w:hAnsi="宋体"/>
          <w:sz w:val="24"/>
        </w:rPr>
        <w:t xml:space="preserve">（中标人须在中标通知书发出之日起15日内缴纳履约保证金或提交履约保函，中标人不按照招标文件要求提交履约保证金的，取消其中标资格，招标人可以按照评标委员会提出的中标候选人名单排序依次确定其他中标候选人为中标人，也可以重新招标）</w:t>
      </w:r>
      <w:r>
        <w:rPr>
          <w:sz w:val="24"/>
        </w:rPr>
        <w:t xml:space="preserve">。所签订的合同不得对招标文件确定的事项和中标人投标文件作实质性修改。</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与招标人签订合同的，招标人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联合体中标的，联合体各方应当共同与招标人签订合同，就中标项目向招标人承担连带责任。</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。中标人就采购项目和分包项目向招标人负责，分包供应商就分包项目承担责任。</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bookmarkEnd w:id="652"/>
      <w:r/>
      <w:bookmarkEnd w:id="653"/>
      <w:r/>
      <w:bookmarkEnd w:id="654"/>
      <w:r>
        <w:rPr>
          <w:sz w:val="24"/>
        </w:rPr>
        <w:t xml:space="preserve">询问与质疑</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95"/>
        <w:numPr>
          <w:ilvl w:val="2"/>
          <w:numId w:val="10"/>
        </w:numPr>
        <w:spacing w:line="360" w:lineRule="auto"/>
        <w:tabs>
          <w:tab w:val="left" w:pos="1980" w:leader="none"/>
        </w:tabs>
        <w:rPr>
          <w:sz w:val="24"/>
        </w:rPr>
      </w:pPr>
      <w:r>
        <w:rPr>
          <w:sz w:val="24"/>
        </w:rPr>
        <w:t xml:space="preserve">投标人对政府采购活动事项有疑问的，可依法提出询问，并按《投标人须知资料表》载明的形式送达招标人或招标代理机构。</w:t>
      </w:r>
      <w:r>
        <w:rPr>
          <w:sz w:val="24"/>
        </w:rPr>
      </w:r>
      <w:r/>
    </w:p>
    <w:p>
      <w:pPr>
        <w:pStyle w:val="995"/>
        <w:numPr>
          <w:ilvl w:val="2"/>
          <w:numId w:val="10"/>
        </w:numPr>
        <w:spacing w:line="360" w:lineRule="auto"/>
        <w:tabs>
          <w:tab w:val="left" w:pos="1980" w:leader="none"/>
        </w:tabs>
        <w:rPr>
          <w:sz w:val="24"/>
        </w:rPr>
      </w:pPr>
      <w:r>
        <w:rPr>
          <w:sz w:val="24"/>
        </w:rPr>
        <w:t xml:space="preserve">招标人或招标代理机构对供应商依法提出的询问，在3个工作日内作出答复，但答复的内容不得涉及商业秘密。</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95"/>
        <w:numPr>
          <w:ilvl w:val="2"/>
          <w:numId w:val="10"/>
        </w:numPr>
        <w:spacing w:line="360" w:lineRule="auto"/>
        <w:tabs>
          <w:tab w:val="left" w:pos="1980" w:leader="none"/>
        </w:tabs>
        <w:rPr>
          <w:rFonts w:hint="eastAsia"/>
          <w:sz w:val="24"/>
        </w:rPr>
      </w:pPr>
      <w:r>
        <w:rPr>
          <w:sz w:val="24"/>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rPr>
          <w:rFonts w:hint="eastAsia"/>
          <w:sz w:val="24"/>
        </w:rPr>
      </w:r>
      <w:r/>
    </w:p>
    <w:p>
      <w:pPr>
        <w:pStyle w:val="995"/>
        <w:numPr>
          <w:ilvl w:val="2"/>
          <w:numId w:val="10"/>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招标文件中采购需求以及相关部分（第四章、第五章以及投标人资格要求）由招标人负责制定和管理，对该部分内容有询问或者质疑的，投标人应当向招标人书面提出，由招标人负责接收和回复。</w:t>
      </w:r>
      <w:r>
        <w:rPr>
          <w:sz w:val="24"/>
        </w:rPr>
      </w:r>
      <w:r/>
    </w:p>
    <w:p>
      <w:pPr>
        <w:pStyle w:val="995"/>
        <w:numPr>
          <w:ilvl w:val="2"/>
          <w:numId w:val="10"/>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80"/>
          <w:color w:val="000000"/>
        </w:rPr>
        <w:t xml:space="preserve">http</w:t>
      </w:r>
      <w:r>
        <w:rPr>
          <w:rStyle w:val="1080"/>
          <w:rFonts w:hint="eastAsia"/>
          <w:color w:val="000000"/>
        </w:rPr>
        <w:t xml:space="preserve">：</w:t>
      </w:r>
      <w:r>
        <w:rPr>
          <w:rStyle w:val="1080"/>
          <w:color w:val="000000"/>
        </w:rPr>
        <w:t xml:space="preserve">//gk</w:t>
      </w:r>
      <w:bookmarkStart w:id="710" w:name="_Hlt100654014"/>
      <w:r>
        <w:rPr>
          <w:rStyle w:val="1080"/>
          <w:color w:val="000000"/>
        </w:rPr>
        <w:t xml:space="preserve">s</w:t>
      </w:r>
      <w:bookmarkEnd w:id="710"/>
      <w:r>
        <w:rPr>
          <w:rStyle w:val="1080"/>
          <w:color w:val="000000"/>
        </w:rPr>
        <w:t xml:space="preserve">.m</w:t>
      </w:r>
      <w:bookmarkStart w:id="711" w:name="_Hlt100653993"/>
      <w:r/>
      <w:bookmarkStart w:id="712" w:name="_Hlt100653994"/>
      <w:r>
        <w:rPr>
          <w:rStyle w:val="1080"/>
          <w:color w:val="000000"/>
        </w:rPr>
        <w:t xml:space="preserve">o</w:t>
      </w:r>
      <w:bookmarkEnd w:id="711"/>
      <w:r/>
      <w:bookmarkEnd w:id="712"/>
      <w:r>
        <w:rPr>
          <w:rStyle w:val="1080"/>
          <w:color w:val="000000"/>
        </w:rPr>
        <w:t xml:space="preserve">f.gov.cn/ztztz/zhengfucaigouguanli/201802/t20180201_2804589.htm</w:t>
      </w:r>
      <w:r>
        <w:fldChar w:fldCharType="end"/>
      </w:r>
      <w:r>
        <w:rPr>
          <w:rFonts w:hint="eastAsia"/>
        </w:rPr>
        <w:t xml:space="preserve">）</w:t>
      </w:r>
      <w:r>
        <w:rPr>
          <w:sz w:val="24"/>
        </w:rPr>
      </w:r>
      <w:r/>
    </w:p>
    <w:p>
      <w:pPr>
        <w:pStyle w:val="995"/>
        <w:numPr>
          <w:ilvl w:val="2"/>
          <w:numId w:val="10"/>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995"/>
        <w:numPr>
          <w:ilvl w:val="2"/>
          <w:numId w:val="10"/>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投标人应在法定质疑期内一次性提出针对同一采购程序环节的质疑，法定质疑期内针对同一采购程序环节再次提出的质疑，招标人、招标代理机构有权不予答复。</w:t>
      </w:r>
      <w:r>
        <w:rPr>
          <w:rFonts w:hint="eastAsia"/>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995"/>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9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收费对象、收费标准及缴纳时间见《投标人须知资料表》。由中标人支付的，中标人须一次性向招标代理机构缴纳代理费，投标报价应包含代理费用。</w:t>
      </w:r>
      <w:r>
        <w:rPr>
          <w:sz w:val="24"/>
        </w:rPr>
      </w:r>
      <w:r/>
    </w:p>
    <w:p>
      <w:pPr>
        <w:pStyle w:val="995"/>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995"/>
        <w:ind w:left="360"/>
        <w:spacing w:line="360" w:lineRule="auto"/>
        <w:tabs>
          <w:tab w:val="left" w:pos="360" w:leader="none"/>
          <w:tab w:val="left" w:pos="1080" w:leader="none"/>
        </w:tabs>
        <w:rPr>
          <w:sz w:val="24"/>
        </w:rPr>
      </w:pPr>
      <w:r>
        <w:rPr>
          <w:sz w:val="24"/>
        </w:rPr>
      </w:r>
      <w:r/>
    </w:p>
    <w:p>
      <w:pPr>
        <w:pStyle w:val="995"/>
        <w:jc w:val="center"/>
        <w:spacing w:line="360" w:lineRule="auto"/>
        <w:rPr>
          <w:b/>
          <w:sz w:val="36"/>
          <w:szCs w:val="36"/>
        </w:rPr>
        <w:outlineLvl w:val="0"/>
      </w:pPr>
      <w:r/>
      <w:bookmarkStart w:id="713" w:name="_Toc305158822"/>
      <w:r/>
      <w:bookmarkStart w:id="714" w:name="_Toc353825544"/>
      <w:r/>
      <w:bookmarkStart w:id="715" w:name="_Toc265228392"/>
      <w:r/>
      <w:bookmarkStart w:id="716" w:name="_Toc226337250"/>
      <w:r/>
      <w:bookmarkStart w:id="717" w:name="_Toc226965827"/>
      <w:r/>
      <w:bookmarkStart w:id="718" w:name="_Toc142311056"/>
      <w:r/>
      <w:bookmarkStart w:id="719" w:name="_Toc127151554"/>
      <w:r/>
      <w:bookmarkStart w:id="720" w:name="_Toc264969244"/>
      <w:r/>
      <w:bookmarkStart w:id="721" w:name="_Toc150774759"/>
      <w:r/>
      <w:bookmarkStart w:id="722" w:name="_Toc353873934"/>
      <w:r/>
      <w:bookmarkStart w:id="723" w:name="_Toc353873664"/>
      <w:r/>
      <w:bookmarkStart w:id="724" w:name="_Toc305158896"/>
      <w:r/>
      <w:bookmarkStart w:id="725" w:name="_Toc150480792"/>
      <w:r>
        <w:rPr>
          <w:sz w:val="24"/>
        </w:rPr>
        <w:br w:type="page" w:clear="all"/>
      </w:r>
      <w:bookmarkStart w:id="726" w:name="_Toc17622"/>
      <w:r>
        <w:rPr>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资格审查</w:t>
      </w:r>
      <w:bookmarkEnd w:id="726"/>
      <w:r/>
      <w:bookmarkStart w:id="727" w:name="_Toc487900382"/>
      <w:r>
        <w:rPr>
          <w:b/>
          <w:sz w:val="36"/>
          <w:szCs w:val="36"/>
        </w:rPr>
      </w:r>
      <w:r/>
    </w:p>
    <w:p>
      <w:pPr>
        <w:pStyle w:val="995"/>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Pr>
          <w:b/>
          <w:sz w:val="24"/>
        </w:rPr>
      </w:r>
      <w:r/>
    </w:p>
    <w:p>
      <w:pPr>
        <w:pStyle w:val="995"/>
        <w:numPr>
          <w:ilvl w:val="0"/>
          <w:numId w:val="12"/>
        </w:numPr>
        <w:ind w:left="426" w:hanging="426"/>
        <w:spacing w:line="360" w:lineRule="auto"/>
        <w:tabs>
          <w:tab w:val="left" w:pos="426" w:leader="none"/>
          <w:tab w:val="left" w:pos="851" w:leader="none"/>
        </w:tabs>
        <w:rPr>
          <w:sz w:val="24"/>
        </w:rPr>
        <w:outlineLvl w:val="1"/>
      </w:pPr>
      <w:r>
        <w:rPr>
          <w:sz w:val="24"/>
        </w:rPr>
        <w:t xml:space="preserve">开标结束后，</w:t>
      </w:r>
      <w:r>
        <w:rPr>
          <w:rFonts w:hint="eastAsia"/>
          <w:sz w:val="24"/>
        </w:rPr>
        <w:t xml:space="preserve">招标代理机构</w:t>
      </w:r>
      <w:r>
        <w:rPr>
          <w:sz w:val="24"/>
        </w:rPr>
        <w:t xml:space="preserve">将根据《资格审查要求》中的规定，对投标人进行资格审查，并形成资格审查结果。</w:t>
      </w:r>
      <w:r>
        <w:rPr>
          <w:sz w:val="24"/>
        </w:rPr>
      </w:r>
      <w:r/>
    </w:p>
    <w:p>
      <w:pPr>
        <w:pStyle w:val="995"/>
        <w:numPr>
          <w:ilvl w:val="0"/>
          <w:numId w:val="12"/>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rPr>
          <w:sz w:val="24"/>
        </w:rPr>
      </w:r>
      <w:r/>
    </w:p>
    <w:p>
      <w:pPr>
        <w:pStyle w:val="995"/>
        <w:numPr>
          <w:ilvl w:val="0"/>
          <w:numId w:val="12"/>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995"/>
        <w:numPr>
          <w:ilvl w:val="0"/>
          <w:numId w:val="12"/>
        </w:numPr>
        <w:ind w:left="426" w:hanging="426"/>
        <w:spacing w:line="360" w:lineRule="auto"/>
        <w:tabs>
          <w:tab w:val="left" w:pos="426" w:leader="none"/>
          <w:tab w:val="left" w:pos="851" w:leader="none"/>
        </w:tabs>
        <w:rPr>
          <w:sz w:val="24"/>
        </w:rPr>
        <w:outlineLvl w:val="1"/>
      </w:pPr>
      <w:r>
        <w:rPr>
          <w:sz w:val="24"/>
        </w:rPr>
        <w:t xml:space="preserve">资格审查合格的投标人不足3家的，</w:t>
      </w:r>
      <w:r>
        <w:rPr>
          <w:rFonts w:hint="eastAsia"/>
          <w:sz w:val="24"/>
        </w:rPr>
        <w:t xml:space="preserve">本项目</w:t>
      </w:r>
      <w:r>
        <w:rPr>
          <w:sz w:val="24"/>
        </w:rPr>
        <w:t xml:space="preserve">不进行评标。</w:t>
      </w:r>
      <w:r>
        <w:rPr>
          <w:sz w:val="24"/>
        </w:rPr>
      </w:r>
      <w:r/>
    </w:p>
    <w:p>
      <w:pPr>
        <w:pStyle w:val="995"/>
        <w:jc w:val="left"/>
        <w:widowControl/>
        <w:rPr>
          <w:sz w:val="24"/>
        </w:rPr>
      </w:pPr>
      <w:r>
        <w:rPr>
          <w:sz w:val="24"/>
        </w:rPr>
      </w:r>
      <w:r/>
    </w:p>
    <w:p>
      <w:pPr>
        <w:pStyle w:val="995"/>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343"/>
        <w:gridCol w:w="4725"/>
        <w:gridCol w:w="1545"/>
      </w:tblGrid>
      <w:tr>
        <w:trPr>
          <w:cantSplit/>
          <w:trHeight w:val="468"/>
          <w:tblHeader/>
        </w:trPr>
        <w:tc>
          <w:tcPr>
            <w:tcW w:w="851" w:type="dxa"/>
            <w:vAlign w:val="center"/>
            <w:textDirection w:val="lrTb"/>
            <w:noWrap w:val="false"/>
          </w:tcPr>
          <w:p>
            <w:pPr>
              <w:pStyle w:val="995"/>
              <w:jc w:val="center"/>
              <w:tabs>
                <w:tab w:val="left" w:pos="1080" w:leader="none"/>
              </w:tabs>
              <w:rPr>
                <w:b/>
                <w:sz w:val="24"/>
              </w:rPr>
            </w:pPr>
            <w:r/>
            <w:bookmarkStart w:id="729" w:name="_Hlt487972895"/>
            <w:r/>
            <w:bookmarkEnd w:id="729"/>
            <w:r>
              <w:rPr>
                <w:b/>
                <w:sz w:val="24"/>
              </w:rPr>
              <w:t xml:space="preserve">序号</w:t>
            </w:r>
            <w:r>
              <w:rPr>
                <w:b/>
                <w:sz w:val="24"/>
              </w:rPr>
            </w:r>
            <w:r/>
          </w:p>
        </w:tc>
        <w:tc>
          <w:tcPr>
            <w:tcW w:w="2343" w:type="dxa"/>
            <w:vAlign w:val="center"/>
            <w:textDirection w:val="lrTb"/>
            <w:noWrap w:val="false"/>
          </w:tcPr>
          <w:p>
            <w:pPr>
              <w:pStyle w:val="995"/>
              <w:jc w:val="center"/>
              <w:tabs>
                <w:tab w:val="left" w:pos="1080" w:leader="none"/>
              </w:tabs>
              <w:rPr>
                <w:b/>
                <w:sz w:val="24"/>
              </w:rPr>
            </w:pPr>
            <w:r>
              <w:rPr>
                <w:b/>
                <w:sz w:val="24"/>
              </w:rPr>
              <w:t xml:space="preserve">审查因素</w:t>
            </w:r>
            <w:r>
              <w:rPr>
                <w:b/>
                <w:sz w:val="24"/>
              </w:rPr>
            </w:r>
            <w:r/>
          </w:p>
        </w:tc>
        <w:tc>
          <w:tcPr>
            <w:tcW w:w="4725" w:type="dxa"/>
            <w:vAlign w:val="center"/>
            <w:textDirection w:val="lrTb"/>
            <w:noWrap w:val="false"/>
          </w:tcPr>
          <w:p>
            <w:pPr>
              <w:pStyle w:val="995"/>
              <w:jc w:val="center"/>
              <w:tabs>
                <w:tab w:val="left" w:pos="1080" w:leader="none"/>
              </w:tabs>
              <w:rPr>
                <w:b/>
                <w:sz w:val="24"/>
              </w:rPr>
            </w:pPr>
            <w:r>
              <w:rPr>
                <w:b/>
                <w:sz w:val="24"/>
              </w:rPr>
              <w:t xml:space="preserve">审查内容</w:t>
            </w:r>
            <w:r>
              <w:rPr>
                <w:b/>
                <w:sz w:val="24"/>
              </w:rPr>
            </w:r>
            <w:r/>
          </w:p>
        </w:tc>
        <w:tc>
          <w:tcPr>
            <w:tcW w:w="1545" w:type="dxa"/>
            <w:vAlign w:val="center"/>
            <w:textDirection w:val="lrTb"/>
            <w:noWrap w:val="false"/>
          </w:tcPr>
          <w:p>
            <w:pPr>
              <w:pStyle w:val="995"/>
              <w:jc w:val="center"/>
              <w:tabs>
                <w:tab w:val="left" w:pos="1080" w:leader="none"/>
              </w:tabs>
              <w:rPr>
                <w:b/>
                <w:sz w:val="24"/>
              </w:rPr>
            </w:pPr>
            <w:r>
              <w:rPr>
                <w:b/>
                <w:sz w:val="24"/>
              </w:rPr>
              <w:t xml:space="preserve">格式要求</w:t>
            </w:r>
            <w:r>
              <w:rPr>
                <w:b/>
                <w:sz w:val="24"/>
              </w:rPr>
            </w:r>
            <w:r/>
          </w:p>
        </w:tc>
      </w:tr>
      <w:tr>
        <w:trPr>
          <w:cantSplit/>
          <w:trHeight w:val="468"/>
        </w:trPr>
        <w:tc>
          <w:tcPr>
            <w:tcW w:w="851" w:type="dxa"/>
            <w:vAlign w:val="center"/>
            <w:textDirection w:val="lrTb"/>
            <w:noWrap w:val="false"/>
          </w:tcPr>
          <w:p>
            <w:pPr>
              <w:pStyle w:val="995"/>
              <w:jc w:val="center"/>
              <w:tabs>
                <w:tab w:val="left" w:pos="1080" w:leader="none"/>
              </w:tabs>
              <w:rPr>
                <w:sz w:val="24"/>
              </w:rPr>
            </w:pPr>
            <w:r>
              <w:rPr>
                <w:sz w:val="24"/>
              </w:rPr>
              <w:t xml:space="preserve">1</w:t>
            </w:r>
            <w:r>
              <w:rPr>
                <w:sz w:val="24"/>
              </w:rPr>
            </w:r>
            <w:r/>
          </w:p>
        </w:tc>
        <w:tc>
          <w:tcPr>
            <w:tcW w:w="2343" w:type="dxa"/>
            <w:vAlign w:val="center"/>
            <w:textDirection w:val="lrTb"/>
            <w:noWrap w:val="false"/>
          </w:tcPr>
          <w:p>
            <w:pPr>
              <w:pStyle w:val="995"/>
              <w:tabs>
                <w:tab w:val="left" w:pos="1080" w:leader="none"/>
              </w:tabs>
              <w:rPr>
                <w:sz w:val="24"/>
              </w:rPr>
            </w:pPr>
            <w:r>
              <w:rPr>
                <w:sz w:val="24"/>
              </w:rPr>
              <w:t xml:space="preserve">满足《中华人民共和国政府采购法》第二十二条规定及法律法规的其他规定</w:t>
            </w:r>
            <w:r>
              <w:rPr>
                <w:sz w:val="24"/>
              </w:rPr>
            </w:r>
            <w:r/>
          </w:p>
        </w:tc>
        <w:tc>
          <w:tcPr>
            <w:tcW w:w="4725" w:type="dxa"/>
            <w:vAlign w:val="center"/>
            <w:textDirection w:val="lrTb"/>
            <w:noWrap w:val="false"/>
          </w:tcPr>
          <w:p>
            <w:pPr>
              <w:pStyle w:val="995"/>
              <w:tabs>
                <w:tab w:val="left" w:pos="1080" w:leader="none"/>
              </w:tabs>
              <w:rPr>
                <w:sz w:val="24"/>
              </w:rPr>
            </w:pPr>
            <w:r>
              <w:rPr>
                <w:sz w:val="24"/>
              </w:rPr>
              <w:t xml:space="preserve">具体规定见第一章《投标邀请》</w:t>
            </w:r>
            <w:r>
              <w:rPr>
                <w:sz w:val="24"/>
              </w:rPr>
            </w:r>
            <w:r/>
          </w:p>
        </w:tc>
        <w:tc>
          <w:tcPr>
            <w:tcW w:w="1545" w:type="dxa"/>
            <w:vAlign w:val="center"/>
            <w:textDirection w:val="lrTb"/>
            <w:noWrap w:val="false"/>
          </w:tcPr>
          <w:p>
            <w:pPr>
              <w:pStyle w:val="995"/>
              <w:tabs>
                <w:tab w:val="left" w:pos="1080" w:leader="none"/>
              </w:tabs>
              <w:rPr>
                <w:sz w:val="24"/>
              </w:rPr>
            </w:pPr>
            <w:r>
              <w:rPr>
                <w:sz w:val="24"/>
              </w:rPr>
            </w:r>
            <w:r/>
          </w:p>
        </w:tc>
      </w:tr>
      <w:tr>
        <w:trPr>
          <w:cantSplit/>
          <w:trHeight w:val="468"/>
        </w:trPr>
        <w:tc>
          <w:tcPr>
            <w:tcW w:w="851" w:type="dxa"/>
            <w:vAlign w:val="center"/>
            <w:textDirection w:val="lrTb"/>
            <w:noWrap w:val="false"/>
          </w:tcPr>
          <w:p>
            <w:pPr>
              <w:pStyle w:val="995"/>
              <w:jc w:val="center"/>
              <w:tabs>
                <w:tab w:val="left" w:pos="1080" w:leader="none"/>
              </w:tabs>
              <w:rPr>
                <w:sz w:val="24"/>
              </w:rPr>
            </w:pPr>
            <w:r>
              <w:rPr>
                <w:sz w:val="24"/>
              </w:rPr>
              <w:t xml:space="preserve">1</w:t>
            </w:r>
            <w:r>
              <w:rPr>
                <w:rFonts w:hint="eastAsia"/>
                <w:sz w:val="24"/>
              </w:rPr>
              <w:t xml:space="preserve">-1</w:t>
            </w:r>
            <w:r>
              <w:rPr>
                <w:sz w:val="24"/>
              </w:rPr>
            </w:r>
            <w:r/>
          </w:p>
        </w:tc>
        <w:tc>
          <w:tcPr>
            <w:tcW w:w="2343" w:type="dxa"/>
            <w:vAlign w:val="center"/>
            <w:textDirection w:val="lrTb"/>
            <w:noWrap w:val="false"/>
          </w:tcPr>
          <w:p>
            <w:pPr>
              <w:pStyle w:val="995"/>
              <w:tabs>
                <w:tab w:val="left" w:pos="1080" w:leader="none"/>
              </w:tabs>
              <w:rPr>
                <w:sz w:val="24"/>
              </w:rPr>
            </w:pPr>
            <w:r>
              <w:rPr>
                <w:rFonts w:hint="eastAsia"/>
                <w:sz w:val="24"/>
              </w:rPr>
              <w:t xml:space="preserve">投标人资格声明函</w:t>
            </w:r>
            <w:r>
              <w:rPr>
                <w:sz w:val="24"/>
              </w:rPr>
            </w:r>
            <w:r/>
          </w:p>
        </w:tc>
        <w:tc>
          <w:tcPr>
            <w:tcW w:w="4725" w:type="dxa"/>
            <w:vAlign w:val="center"/>
            <w:textDirection w:val="lrTb"/>
            <w:noWrap w:val="false"/>
          </w:tcPr>
          <w:p>
            <w:pPr>
              <w:pStyle w:val="995"/>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545" w:type="dxa"/>
            <w:vAlign w:val="center"/>
            <w:textDirection w:val="lrTb"/>
            <w:noWrap w:val="false"/>
          </w:tcPr>
          <w:p>
            <w:pPr>
              <w:pStyle w:val="995"/>
              <w:tabs>
                <w:tab w:val="left" w:pos="1080" w:leader="none"/>
              </w:tabs>
              <w:rPr>
                <w:sz w:val="24"/>
              </w:rPr>
            </w:pPr>
            <w:r>
              <w:rPr>
                <w:sz w:val="24"/>
              </w:rPr>
              <w:t xml:space="preserve">格式见《投标文件格式》</w:t>
            </w:r>
            <w:r>
              <w:rPr>
                <w:sz w:val="24"/>
              </w:rPr>
            </w:r>
            <w:r/>
          </w:p>
        </w:tc>
      </w:tr>
      <w:tr>
        <w:trPr>
          <w:cantSplit/>
          <w:trHeight w:val="468"/>
        </w:trPr>
        <w:tc>
          <w:tcPr>
            <w:tcW w:w="851" w:type="dxa"/>
            <w:vAlign w:val="center"/>
            <w:textDirection w:val="lrTb"/>
            <w:noWrap w:val="false"/>
          </w:tcPr>
          <w:p>
            <w:pPr>
              <w:pStyle w:val="995"/>
              <w:jc w:val="center"/>
              <w:tabs>
                <w:tab w:val="left" w:pos="1080" w:leader="none"/>
              </w:tabs>
              <w:rPr>
                <w:sz w:val="24"/>
              </w:rPr>
            </w:pPr>
            <w:r>
              <w:rPr>
                <w:rFonts w:hint="eastAsia"/>
                <w:sz w:val="24"/>
              </w:rPr>
              <w:t xml:space="preserve">1-2</w:t>
            </w:r>
            <w:r>
              <w:rPr>
                <w:sz w:val="24"/>
              </w:rPr>
            </w:r>
            <w:r/>
          </w:p>
        </w:tc>
        <w:tc>
          <w:tcPr>
            <w:tcW w:w="2343" w:type="dxa"/>
            <w:vAlign w:val="center"/>
            <w:textDirection w:val="lrTb"/>
            <w:noWrap w:val="false"/>
          </w:tcPr>
          <w:p>
            <w:pPr>
              <w:pStyle w:val="995"/>
              <w:tabs>
                <w:tab w:val="left" w:pos="1080" w:leader="none"/>
              </w:tabs>
              <w:rPr>
                <w:sz w:val="24"/>
              </w:rPr>
            </w:pPr>
            <w:r>
              <w:rPr>
                <w:sz w:val="24"/>
              </w:rPr>
              <w:t xml:space="preserve">投标人信用记录</w:t>
            </w:r>
            <w:r>
              <w:rPr>
                <w:sz w:val="24"/>
              </w:rPr>
            </w:r>
            <w:r/>
          </w:p>
        </w:tc>
        <w:tc>
          <w:tcPr>
            <w:tcW w:w="4725" w:type="dxa"/>
            <w:vAlign w:val="center"/>
            <w:textDirection w:val="lrTb"/>
            <w:noWrap w:val="false"/>
          </w:tcPr>
          <w:p>
            <w:pPr>
              <w:pStyle w:val="995"/>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95"/>
              <w:tabs>
                <w:tab w:val="left" w:pos="900" w:leader="none"/>
                <w:tab w:val="left" w:pos="1980" w:leader="none"/>
              </w:tabs>
              <w:rPr>
                <w:sz w:val="24"/>
              </w:rPr>
            </w:pPr>
            <w:r>
              <w:rPr>
                <w:sz w:val="24"/>
              </w:rPr>
              <w:t xml:space="preserve">截止时点：投标截止时间以后、</w:t>
            </w:r>
            <w:r>
              <w:rPr>
                <w:rFonts w:hint="eastAsia"/>
                <w:sz w:val="24"/>
              </w:rPr>
              <w:t xml:space="preserve">资格审查阶段招标人或</w:t>
            </w:r>
            <w:r>
              <w:rPr>
                <w:sz w:val="24"/>
              </w:rPr>
              <w:t xml:space="preserve">招标代理机构的实际查询时间；</w:t>
            </w:r>
            <w:r>
              <w:rPr>
                <w:sz w:val="24"/>
              </w:rPr>
            </w:r>
            <w:r/>
          </w:p>
          <w:p>
            <w:pPr>
              <w:pStyle w:val="995"/>
              <w:tabs>
                <w:tab w:val="left" w:pos="900" w:leader="none"/>
                <w:tab w:val="left" w:pos="1980" w:leader="none"/>
              </w:tabs>
              <w:rPr>
                <w:sz w:val="24"/>
              </w:rPr>
            </w:pPr>
            <w:r>
              <w:rPr>
                <w:sz w:val="24"/>
              </w:rPr>
              <w:t xml:space="preserve">信用信息查询记录和证据留存具体方式：查询结果网页打印页作为查询记录和证据，与其他招标文件一并保存；</w:t>
            </w:r>
            <w:r>
              <w:rPr>
                <w:sz w:val="24"/>
              </w:rPr>
            </w:r>
            <w:r/>
          </w:p>
          <w:p>
            <w:pPr>
              <w:pStyle w:val="995"/>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545" w:type="dxa"/>
            <w:vAlign w:val="center"/>
            <w:textDirection w:val="lrTb"/>
            <w:noWrap w:val="false"/>
          </w:tcPr>
          <w:p>
            <w:pPr>
              <w:pStyle w:val="995"/>
              <w:tabs>
                <w:tab w:val="left" w:pos="1080" w:leader="none"/>
              </w:tabs>
              <w:rPr>
                <w:sz w:val="24"/>
              </w:rPr>
            </w:pPr>
            <w:r>
              <w:rPr>
                <w:sz w:val="24"/>
              </w:rPr>
              <w:t xml:space="preserve">无须投标人提供，由</w:t>
            </w:r>
            <w:r>
              <w:rPr>
                <w:rFonts w:hint="eastAsia"/>
                <w:sz w:val="24"/>
              </w:rPr>
              <w:t xml:space="preserve">招标代理机构</w:t>
            </w:r>
            <w:r/>
            <w:r>
              <w:rPr>
                <w:sz w:val="24"/>
              </w:rPr>
              <w:t xml:space="preserve">查询</w:t>
            </w:r>
            <w:r>
              <w:rPr>
                <w:sz w:val="24"/>
              </w:rPr>
            </w:r>
            <w:r/>
          </w:p>
        </w:tc>
      </w:tr>
      <w:tr>
        <w:trPr>
          <w:cantSplit/>
          <w:trHeight w:val="468"/>
        </w:trPr>
        <w:tc>
          <w:tcPr>
            <w:tcW w:w="851" w:type="dxa"/>
            <w:vAlign w:val="center"/>
            <w:textDirection w:val="lrTb"/>
            <w:noWrap w:val="false"/>
          </w:tcPr>
          <w:p>
            <w:pPr>
              <w:pStyle w:val="995"/>
              <w:jc w:val="center"/>
              <w:tabs>
                <w:tab w:val="left" w:pos="1080" w:leader="none"/>
              </w:tabs>
              <w:rPr>
                <w:sz w:val="24"/>
              </w:rPr>
            </w:pPr>
            <w:r>
              <w:rPr>
                <w:sz w:val="24"/>
              </w:rPr>
              <w:t xml:space="preserve">2</w:t>
            </w:r>
            <w:r>
              <w:rPr>
                <w:sz w:val="24"/>
              </w:rPr>
            </w:r>
            <w:r/>
          </w:p>
        </w:tc>
        <w:tc>
          <w:tcPr>
            <w:tcW w:w="2343" w:type="dxa"/>
            <w:vAlign w:val="center"/>
            <w:textDirection w:val="lrTb"/>
            <w:noWrap w:val="false"/>
          </w:tcPr>
          <w:p>
            <w:pPr>
              <w:pStyle w:val="995"/>
              <w:tabs>
                <w:tab w:val="left" w:pos="1080" w:leader="none"/>
              </w:tabs>
              <w:rPr>
                <w:sz w:val="24"/>
              </w:rPr>
            </w:pPr>
            <w:r>
              <w:rPr>
                <w:sz w:val="24"/>
              </w:rPr>
              <w:t xml:space="preserve">落实政府采购政策需满足的资格要求</w:t>
            </w:r>
            <w:r>
              <w:rPr>
                <w:sz w:val="24"/>
              </w:rPr>
            </w:r>
            <w:r/>
          </w:p>
        </w:tc>
        <w:tc>
          <w:tcPr>
            <w:tcW w:w="4725" w:type="dxa"/>
            <w:vAlign w:val="center"/>
            <w:textDirection w:val="lrTb"/>
            <w:noWrap w:val="false"/>
          </w:tcPr>
          <w:p>
            <w:pPr>
              <w:pStyle w:val="995"/>
              <w:tabs>
                <w:tab w:val="left" w:pos="1080" w:leader="none"/>
              </w:tabs>
              <w:rPr>
                <w:sz w:val="24"/>
              </w:rPr>
            </w:pPr>
            <w:r>
              <w:rPr>
                <w:sz w:val="24"/>
              </w:rPr>
              <w:t xml:space="preserve">具体要求见第一章《投标邀请》</w:t>
            </w:r>
            <w:r>
              <w:rPr>
                <w:sz w:val="24"/>
              </w:rPr>
            </w:r>
            <w:r/>
          </w:p>
        </w:tc>
        <w:tc>
          <w:tcPr>
            <w:tcW w:w="1545" w:type="dxa"/>
            <w:vAlign w:val="center"/>
            <w:textDirection w:val="lrTb"/>
            <w:noWrap w:val="false"/>
          </w:tcPr>
          <w:p>
            <w:pPr>
              <w:pStyle w:val="995"/>
              <w:tabs>
                <w:tab w:val="left" w:pos="1080" w:leader="none"/>
              </w:tabs>
              <w:rPr>
                <w:sz w:val="24"/>
              </w:rPr>
            </w:pPr>
            <w:r>
              <w:rPr>
                <w:sz w:val="24"/>
              </w:rPr>
            </w:r>
            <w:r/>
          </w:p>
        </w:tc>
      </w:tr>
      <w:tr>
        <w:trPr>
          <w:cantSplit/>
          <w:trHeight w:val="468"/>
        </w:trPr>
        <w:tc>
          <w:tcPr>
            <w:tcW w:w="851" w:type="dxa"/>
            <w:vAlign w:val="center"/>
            <w:textDirection w:val="lrTb"/>
            <w:noWrap w:val="false"/>
          </w:tcPr>
          <w:p>
            <w:pPr>
              <w:pStyle w:val="995"/>
              <w:jc w:val="center"/>
              <w:tabs>
                <w:tab w:val="left" w:pos="1080" w:leader="none"/>
              </w:tabs>
              <w:rPr>
                <w:sz w:val="24"/>
              </w:rPr>
            </w:pPr>
            <w:r>
              <w:rPr>
                <w:sz w:val="24"/>
              </w:rPr>
              <w:t xml:space="preserve">2-1</w:t>
            </w:r>
            <w:r>
              <w:rPr>
                <w:sz w:val="24"/>
              </w:rPr>
            </w:r>
            <w:r/>
          </w:p>
        </w:tc>
        <w:tc>
          <w:tcPr>
            <w:tcW w:w="2343" w:type="dxa"/>
            <w:vAlign w:val="center"/>
            <w:textDirection w:val="lrTb"/>
            <w:noWrap w:val="false"/>
          </w:tcPr>
          <w:p>
            <w:pPr>
              <w:pStyle w:val="995"/>
              <w:tabs>
                <w:tab w:val="left" w:pos="1080" w:leader="none"/>
              </w:tabs>
              <w:rPr>
                <w:sz w:val="24"/>
              </w:rPr>
            </w:pPr>
            <w:r>
              <w:rPr>
                <w:sz w:val="24"/>
              </w:rPr>
              <w:t xml:space="preserve">中小企业声明函</w:t>
            </w:r>
            <w:r>
              <w:rPr>
                <w:sz w:val="24"/>
              </w:rPr>
            </w:r>
            <w:r/>
          </w:p>
        </w:tc>
        <w:tc>
          <w:tcPr>
            <w:tcW w:w="4725" w:type="dxa"/>
            <w:vAlign w:val="center"/>
            <w:textDirection w:val="lrTb"/>
            <w:noWrap w:val="false"/>
          </w:tcPr>
          <w:p>
            <w:pPr>
              <w:pStyle w:val="995"/>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995"/>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995"/>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rPr>
                <w:sz w:val="24"/>
              </w:rPr>
            </w:r>
            <w:r/>
          </w:p>
        </w:tc>
        <w:tc>
          <w:tcPr>
            <w:tcW w:w="1545" w:type="dxa"/>
            <w:vAlign w:val="center"/>
            <w:textDirection w:val="lrTb"/>
            <w:noWrap w:val="false"/>
          </w:tcPr>
          <w:p>
            <w:pPr>
              <w:pStyle w:val="995"/>
              <w:tabs>
                <w:tab w:val="left" w:pos="1080" w:leader="none"/>
              </w:tabs>
              <w:rPr>
                <w:sz w:val="24"/>
              </w:rPr>
            </w:pPr>
            <w:r>
              <w:rPr>
                <w:sz w:val="24"/>
              </w:rPr>
              <w:t xml:space="preserve">格式见《投标文件格式》</w:t>
            </w:r>
            <w:r>
              <w:rPr>
                <w:sz w:val="24"/>
              </w:rPr>
            </w:r>
            <w:r/>
          </w:p>
        </w:tc>
      </w:tr>
      <w:tr>
        <w:trPr>
          <w:cantSplit/>
          <w:trHeight w:val="468"/>
        </w:trPr>
        <w:tc>
          <w:tcPr>
            <w:tcW w:w="851" w:type="dxa"/>
            <w:vAlign w:val="center"/>
            <w:textDirection w:val="lrTb"/>
            <w:noWrap w:val="false"/>
          </w:tcPr>
          <w:p>
            <w:pPr>
              <w:pStyle w:val="995"/>
              <w:jc w:val="center"/>
              <w:tabs>
                <w:tab w:val="left" w:pos="1080" w:leader="none"/>
              </w:tabs>
              <w:rPr>
                <w:sz w:val="24"/>
              </w:rPr>
            </w:pPr>
            <w:r>
              <w:rPr>
                <w:sz w:val="24"/>
              </w:rPr>
              <w:t xml:space="preserve">2-2</w:t>
            </w:r>
            <w:r>
              <w:rPr>
                <w:sz w:val="24"/>
              </w:rPr>
            </w:r>
            <w:r/>
          </w:p>
        </w:tc>
        <w:tc>
          <w:tcPr>
            <w:tcW w:w="2343" w:type="dxa"/>
            <w:vAlign w:val="center"/>
            <w:textDirection w:val="lrTb"/>
            <w:noWrap w:val="false"/>
          </w:tcPr>
          <w:p>
            <w:pPr>
              <w:pStyle w:val="995"/>
              <w:tabs>
                <w:tab w:val="left" w:pos="1080" w:leader="none"/>
              </w:tabs>
              <w:rPr>
                <w:sz w:val="24"/>
              </w:rPr>
            </w:pPr>
            <w:r>
              <w:rPr>
                <w:sz w:val="24"/>
              </w:rPr>
              <w:t xml:space="preserve">其它落实政府采购政策的资格要求</w:t>
            </w:r>
            <w:r>
              <w:rPr>
                <w:sz w:val="24"/>
              </w:rPr>
            </w:r>
            <w:r/>
          </w:p>
        </w:tc>
        <w:tc>
          <w:tcPr>
            <w:tcW w:w="4725" w:type="dxa"/>
            <w:vAlign w:val="center"/>
            <w:textDirection w:val="lrTb"/>
            <w:noWrap w:val="false"/>
          </w:tcPr>
          <w:p>
            <w:pPr>
              <w:pStyle w:val="995"/>
              <w:tabs>
                <w:tab w:val="left" w:pos="1080" w:leader="none"/>
              </w:tabs>
              <w:rPr>
                <w:sz w:val="24"/>
              </w:rPr>
            </w:pPr>
            <w:r>
              <w:rPr>
                <w:sz w:val="24"/>
              </w:rPr>
              <w:t xml:space="preserve">如有，见第一章《投标邀请》</w:t>
            </w:r>
            <w:r>
              <w:rPr>
                <w:sz w:val="24"/>
              </w:rPr>
            </w:r>
            <w:r/>
          </w:p>
        </w:tc>
        <w:tc>
          <w:tcPr>
            <w:tcW w:w="1545" w:type="dxa"/>
            <w:vAlign w:val="center"/>
            <w:textDirection w:val="lrTb"/>
            <w:noWrap w:val="false"/>
          </w:tcPr>
          <w:p>
            <w:pPr>
              <w:pStyle w:val="995"/>
              <w:tabs>
                <w:tab w:val="left" w:pos="1080" w:leader="none"/>
              </w:tabs>
              <w:rPr>
                <w:sz w:val="24"/>
              </w:rPr>
            </w:pPr>
            <w:r>
              <w:rPr>
                <w:sz w:val="24"/>
              </w:rPr>
              <w:t xml:space="preserve">提供证明文件的电子件或电子证照</w:t>
            </w:r>
            <w:r>
              <w:rPr>
                <w:sz w:val="24"/>
              </w:rPr>
            </w:r>
            <w:r/>
          </w:p>
        </w:tc>
      </w:tr>
      <w:tr>
        <w:trPr>
          <w:cantSplit/>
          <w:trHeight w:val="468"/>
        </w:trPr>
        <w:tc>
          <w:tcPr>
            <w:tcW w:w="851" w:type="dxa"/>
            <w:vAlign w:val="center"/>
            <w:textDirection w:val="lrTb"/>
            <w:noWrap w:val="false"/>
          </w:tcPr>
          <w:p>
            <w:pPr>
              <w:pStyle w:val="995"/>
              <w:jc w:val="center"/>
              <w:tabs>
                <w:tab w:val="left" w:pos="1080" w:leader="none"/>
              </w:tabs>
              <w:rPr>
                <w:sz w:val="24"/>
              </w:rPr>
            </w:pPr>
            <w:r>
              <w:rPr>
                <w:sz w:val="24"/>
              </w:rPr>
              <w:t xml:space="preserve">3</w:t>
            </w:r>
            <w:r>
              <w:rPr>
                <w:sz w:val="24"/>
              </w:rPr>
            </w:r>
            <w:r/>
          </w:p>
        </w:tc>
        <w:tc>
          <w:tcPr>
            <w:tcW w:w="2343" w:type="dxa"/>
            <w:vAlign w:val="center"/>
            <w:textDirection w:val="lrTb"/>
            <w:noWrap w:val="false"/>
          </w:tcPr>
          <w:p>
            <w:pPr>
              <w:pStyle w:val="995"/>
              <w:tabs>
                <w:tab w:val="left" w:pos="1080" w:leader="none"/>
              </w:tabs>
              <w:rPr>
                <w:sz w:val="24"/>
              </w:rPr>
            </w:pPr>
            <w:r>
              <w:rPr>
                <w:sz w:val="24"/>
              </w:rPr>
              <w:t xml:space="preserve">本项目的特定资格要求</w:t>
            </w:r>
            <w:r>
              <w:rPr>
                <w:sz w:val="24"/>
              </w:rPr>
            </w:r>
            <w:r/>
          </w:p>
        </w:tc>
        <w:tc>
          <w:tcPr>
            <w:tcW w:w="4725" w:type="dxa"/>
            <w:vAlign w:val="center"/>
            <w:textDirection w:val="lrTb"/>
            <w:noWrap w:val="false"/>
          </w:tcPr>
          <w:p>
            <w:pPr>
              <w:pStyle w:val="995"/>
              <w:tabs>
                <w:tab w:val="left" w:pos="1080" w:leader="none"/>
              </w:tabs>
              <w:rPr>
                <w:sz w:val="24"/>
              </w:rPr>
            </w:pPr>
            <w:r>
              <w:rPr>
                <w:sz w:val="24"/>
              </w:rPr>
              <w:t xml:space="preserve">如有，见第一章《投标邀请》</w:t>
            </w:r>
            <w:r>
              <w:rPr>
                <w:sz w:val="24"/>
              </w:rPr>
            </w:r>
            <w:r/>
          </w:p>
        </w:tc>
        <w:tc>
          <w:tcPr>
            <w:tcW w:w="1545" w:type="dxa"/>
            <w:vAlign w:val="center"/>
            <w:textDirection w:val="lrTb"/>
            <w:noWrap w:val="false"/>
          </w:tcPr>
          <w:p>
            <w:pPr>
              <w:pStyle w:val="995"/>
              <w:tabs>
                <w:tab w:val="left" w:pos="1080" w:leader="none"/>
              </w:tabs>
              <w:rPr>
                <w:sz w:val="24"/>
              </w:rPr>
            </w:pPr>
            <w:r>
              <w:rPr>
                <w:sz w:val="24"/>
              </w:rPr>
            </w:r>
            <w:r/>
          </w:p>
        </w:tc>
      </w:tr>
      <w:tr>
        <w:trPr>
          <w:cantSplit/>
          <w:trHeight w:val="4548"/>
        </w:trPr>
        <w:tc>
          <w:tcPr>
            <w:tcW w:w="851" w:type="dxa"/>
            <w:vAlign w:val="center"/>
            <w:textDirection w:val="lrTb"/>
            <w:noWrap w:val="false"/>
          </w:tcPr>
          <w:p>
            <w:pPr>
              <w:pStyle w:val="995"/>
              <w:jc w:val="center"/>
              <w:tabs>
                <w:tab w:val="left" w:pos="1080" w:leader="none"/>
              </w:tabs>
              <w:rPr>
                <w:sz w:val="24"/>
              </w:rPr>
            </w:pPr>
            <w:r>
              <w:rPr>
                <w:sz w:val="24"/>
              </w:rPr>
              <w:t xml:space="preserve">3-1</w:t>
            </w:r>
            <w:r>
              <w:rPr>
                <w:sz w:val="24"/>
              </w:rPr>
            </w:r>
            <w:r/>
          </w:p>
        </w:tc>
        <w:tc>
          <w:tcPr>
            <w:tcW w:w="2343" w:type="dxa"/>
            <w:vAlign w:val="center"/>
            <w:textDirection w:val="lrTb"/>
            <w:noWrap w:val="false"/>
          </w:tcPr>
          <w:p>
            <w:pPr>
              <w:pStyle w:val="995"/>
              <w:tabs>
                <w:tab w:val="left" w:pos="1080" w:leader="none"/>
              </w:tabs>
              <w:rPr>
                <w:sz w:val="24"/>
              </w:rPr>
            </w:pPr>
            <w:r>
              <w:rPr>
                <w:sz w:val="24"/>
              </w:rPr>
              <w:t xml:space="preserve">是否接受联合体投标</w:t>
            </w:r>
            <w:r>
              <w:rPr>
                <w:sz w:val="24"/>
              </w:rPr>
            </w:r>
            <w:r/>
          </w:p>
        </w:tc>
        <w:tc>
          <w:tcPr>
            <w:tcW w:w="4725" w:type="dxa"/>
            <w:vAlign w:val="center"/>
            <w:textDirection w:val="lrTb"/>
            <w:noWrap w:val="false"/>
          </w:tcPr>
          <w:p>
            <w:pPr>
              <w:pStyle w:val="995"/>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995"/>
              <w:tabs>
                <w:tab w:val="left" w:pos="1080" w:leader="none"/>
              </w:tabs>
              <w:rPr>
                <w:sz w:val="24"/>
              </w:rPr>
            </w:pPr>
            <w:r>
              <w:rPr>
                <w:sz w:val="24"/>
              </w:rPr>
              <w:t xml:space="preserve">2、</w:t>
            </w:r>
            <w:r>
              <w:rPr>
                <w:rFonts w:hint="eastAsia"/>
                <w:sz w:val="24"/>
              </w:rPr>
              <w:t xml:space="preserve">联合体各成员单位均须提供本表中序号1-1、1-2的证明文件。</w:t>
            </w:r>
            <w:r>
              <w:rPr>
                <w:sz w:val="24"/>
              </w:rPr>
            </w:r>
            <w:r/>
          </w:p>
          <w:p>
            <w:pPr>
              <w:pStyle w:val="995"/>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rPr>
                <w:sz w:val="24"/>
              </w:rPr>
            </w:r>
            <w:r/>
          </w:p>
          <w:p>
            <w:pPr>
              <w:pStyle w:val="995"/>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995"/>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995"/>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rPr>
                <w:sz w:val="24"/>
              </w:rPr>
            </w:r>
            <w:r/>
          </w:p>
          <w:p>
            <w:pPr>
              <w:pStyle w:val="995"/>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1545" w:type="dxa"/>
            <w:vAlign w:val="center"/>
            <w:textDirection w:val="lrTb"/>
            <w:noWrap w:val="false"/>
          </w:tcPr>
          <w:p>
            <w:pPr>
              <w:pStyle w:val="995"/>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rPr>
                <w:sz w:val="24"/>
              </w:rPr>
            </w:r>
            <w:r/>
          </w:p>
          <w:p>
            <w:pPr>
              <w:pStyle w:val="995"/>
              <w:tabs>
                <w:tab w:val="left" w:pos="1080" w:leader="none"/>
              </w:tabs>
              <w:rPr>
                <w:sz w:val="24"/>
              </w:rPr>
            </w:pPr>
            <w:r>
              <w:rPr>
                <w:sz w:val="24"/>
              </w:rPr>
              <w:t xml:space="preserve">格式见《投标文件格式》</w:t>
            </w:r>
            <w:r>
              <w:rPr>
                <w:sz w:val="24"/>
              </w:rPr>
            </w:r>
            <w:r/>
          </w:p>
        </w:tc>
      </w:tr>
      <w:tr>
        <w:trPr>
          <w:cantSplit/>
          <w:trHeight w:val="460"/>
        </w:trPr>
        <w:tc>
          <w:tcPr>
            <w:tcW w:w="851" w:type="dxa"/>
            <w:vAlign w:val="center"/>
            <w:textDirection w:val="lrTb"/>
            <w:noWrap w:val="false"/>
          </w:tcPr>
          <w:p>
            <w:pPr>
              <w:pStyle w:val="995"/>
              <w:jc w:val="center"/>
              <w:tabs>
                <w:tab w:val="left" w:pos="1080" w:leader="none"/>
              </w:tabs>
              <w:rPr>
                <w:sz w:val="24"/>
              </w:rPr>
            </w:pPr>
            <w:r>
              <w:rPr>
                <w:sz w:val="24"/>
              </w:rPr>
              <w:t xml:space="preserve">3-2</w:t>
            </w:r>
            <w:r>
              <w:rPr>
                <w:sz w:val="24"/>
              </w:rPr>
            </w:r>
            <w:r/>
          </w:p>
        </w:tc>
        <w:tc>
          <w:tcPr>
            <w:tcW w:w="2343" w:type="dxa"/>
            <w:vAlign w:val="center"/>
            <w:textDirection w:val="lrTb"/>
            <w:noWrap w:val="false"/>
          </w:tcPr>
          <w:p>
            <w:pPr>
              <w:pStyle w:val="995"/>
              <w:tabs>
                <w:tab w:val="left" w:pos="1080" w:leader="none"/>
              </w:tabs>
              <w:rPr>
                <w:sz w:val="24"/>
              </w:rPr>
            </w:pPr>
            <w:r>
              <w:rPr>
                <w:sz w:val="24"/>
              </w:rPr>
              <w:t xml:space="preserve">其他特定资格要求</w:t>
            </w:r>
            <w:r>
              <w:rPr>
                <w:sz w:val="24"/>
              </w:rPr>
            </w:r>
            <w:r/>
          </w:p>
        </w:tc>
        <w:tc>
          <w:tcPr>
            <w:tcW w:w="4725" w:type="dxa"/>
            <w:vAlign w:val="center"/>
            <w:textDirection w:val="lrTb"/>
            <w:noWrap w:val="false"/>
          </w:tcPr>
          <w:p>
            <w:pPr>
              <w:pStyle w:val="995"/>
              <w:tabs>
                <w:tab w:val="left" w:pos="1080" w:leader="none"/>
              </w:tabs>
              <w:rPr>
                <w:sz w:val="24"/>
              </w:rPr>
            </w:pPr>
            <w:r>
              <w:rPr>
                <w:sz w:val="24"/>
              </w:rPr>
              <w:t xml:space="preserve">如有，见第一章《投标邀请》</w:t>
            </w:r>
            <w:r>
              <w:rPr>
                <w:sz w:val="24"/>
              </w:rPr>
            </w:r>
            <w:r/>
          </w:p>
        </w:tc>
        <w:tc>
          <w:tcPr>
            <w:tcW w:w="1545" w:type="dxa"/>
            <w:vAlign w:val="center"/>
            <w:textDirection w:val="lrTb"/>
            <w:noWrap w:val="false"/>
          </w:tcPr>
          <w:p>
            <w:pPr>
              <w:pStyle w:val="995"/>
              <w:tabs>
                <w:tab w:val="left" w:pos="1080" w:leader="none"/>
              </w:tabs>
              <w:rPr>
                <w:sz w:val="24"/>
              </w:rPr>
            </w:pPr>
            <w:r>
              <w:rPr>
                <w:sz w:val="24"/>
              </w:rPr>
              <w:t xml:space="preserve">提供证明文件的电子件或电子证照</w:t>
            </w:r>
            <w:r>
              <w:rPr>
                <w:sz w:val="24"/>
              </w:rPr>
            </w:r>
            <w:r/>
          </w:p>
        </w:tc>
      </w:tr>
    </w:tbl>
    <w:p>
      <w:pPr>
        <w:pStyle w:val="995"/>
        <w:jc w:val="center"/>
        <w:spacing w:line="360" w:lineRule="auto"/>
        <w:rPr>
          <w:b/>
          <w:sz w:val="36"/>
          <w:szCs w:val="36"/>
        </w:rPr>
        <w:outlineLvl w:val="0"/>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73940"/>
      <w:r/>
      <w:bookmarkStart w:id="732" w:name="_Toc127151779"/>
      <w:r/>
      <w:bookmarkStart w:id="733" w:name="_Toc353825550"/>
      <w:r/>
      <w:bookmarkStart w:id="734" w:name="_Toc127161490"/>
      <w:r>
        <w:rPr>
          <w:sz w:val="24"/>
        </w:rPr>
        <w:br w:type="page" w:clear="all"/>
      </w:r>
      <w:bookmarkStart w:id="735" w:name="_Toc7435"/>
      <w:r>
        <w:rPr>
          <w:b/>
          <w:sz w:val="36"/>
          <w:szCs w:val="36"/>
        </w:rPr>
        <w:t xml:space="preserve">第四章   </w:t>
      </w:r>
      <w:bookmarkEnd w:id="730"/>
      <w:r/>
      <w:bookmarkEnd w:id="731"/>
      <w:r/>
      <w:bookmarkEnd w:id="732"/>
      <w:r/>
      <w:bookmarkEnd w:id="733"/>
      <w:r/>
      <w:bookmarkEnd w:id="734"/>
      <w:r/>
      <w:bookmarkStart w:id="736" w:name="_Hlt164229061"/>
      <w:r/>
      <w:bookmarkEnd w:id="736"/>
      <w:r>
        <w:rPr>
          <w:b/>
          <w:sz w:val="36"/>
          <w:szCs w:val="36"/>
        </w:rPr>
        <w:t xml:space="preserve">评标程序、评标方法和评标标准</w:t>
      </w:r>
      <w:bookmarkEnd w:id="735"/>
      <w:r>
        <w:rPr>
          <w:b/>
          <w:sz w:val="36"/>
          <w:szCs w:val="36"/>
        </w:rPr>
      </w:r>
      <w:r/>
    </w:p>
    <w:p>
      <w:pPr>
        <w:pStyle w:val="995"/>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95"/>
        <w:numPr>
          <w:ilvl w:val="0"/>
          <w:numId w:val="13"/>
        </w:numPr>
        <w:spacing w:line="360" w:lineRule="auto"/>
        <w:tabs>
          <w:tab w:val="left" w:pos="360" w:leader="none"/>
          <w:tab w:val="left" w:pos="900" w:leader="none"/>
        </w:tabs>
        <w:rPr>
          <w:sz w:val="24"/>
        </w:rPr>
        <w:outlineLvl w:val="1"/>
      </w:pPr>
      <w:r/>
      <w:bookmarkStart w:id="737" w:name="_Toc151190168"/>
      <w:r/>
      <w:bookmarkStart w:id="738" w:name="_Toc150480779"/>
      <w:r/>
      <w:bookmarkStart w:id="739" w:name="_Toc164229236"/>
      <w:r/>
      <w:bookmarkStart w:id="740" w:name="_Toc264969231"/>
      <w:r/>
      <w:bookmarkStart w:id="741" w:name="_Toc305158883"/>
      <w:r/>
      <w:bookmarkStart w:id="742" w:name="_Toc164351635"/>
      <w:r/>
      <w:bookmarkStart w:id="743" w:name="_Toc226965814"/>
      <w:r/>
      <w:bookmarkStart w:id="744" w:name="_Toc226337237"/>
      <w:r/>
      <w:bookmarkStart w:id="745" w:name="_Toc149720834"/>
      <w:r/>
      <w:bookmarkStart w:id="746" w:name="_Toc151193639"/>
      <w:r/>
      <w:bookmarkStart w:id="747" w:name="_Toc226965731"/>
      <w:r/>
      <w:bookmarkStart w:id="748" w:name="_Toc142311043"/>
      <w:r/>
      <w:bookmarkStart w:id="749" w:name="_Toc164608655"/>
      <w:r/>
      <w:bookmarkStart w:id="750" w:name="_Toc151193783"/>
      <w:r/>
      <w:bookmarkStart w:id="751" w:name="_Toc195842906"/>
      <w:r/>
      <w:bookmarkStart w:id="752" w:name="_Toc226309785"/>
      <w:r/>
      <w:bookmarkStart w:id="753" w:name="_Toc151193855"/>
      <w:r/>
      <w:bookmarkStart w:id="754" w:name="_Toc151193711"/>
      <w:r/>
      <w:bookmarkStart w:id="755" w:name="_Toc127151541"/>
      <w:r/>
      <w:bookmarkStart w:id="756" w:name="_Toc150774641"/>
      <w:r/>
      <w:bookmarkStart w:id="757" w:name="_Toc151193929"/>
      <w:r/>
      <w:bookmarkStart w:id="758" w:name="_Toc127161455"/>
      <w:r/>
      <w:bookmarkStart w:id="759" w:name="_Toc265228379"/>
      <w:r/>
      <w:bookmarkStart w:id="760" w:name="_Toc127151742"/>
      <w:r/>
      <w:bookmarkStart w:id="761" w:name="_Toc150774746"/>
      <w:r/>
      <w:bookmarkStart w:id="762" w:name="_Toc150509292"/>
      <w:r/>
      <w:bookmarkStart w:id="763" w:name="_Toc164229382"/>
      <w:r/>
      <w:bookmarkStart w:id="764" w:name="_Toc305158809"/>
      <w:r/>
      <w:bookmarkStart w:id="765" w:name="_Toc164608810"/>
      <w:r/>
      <w:bookmarkStart w:id="766" w:name="_Toc353825551"/>
      <w:r/>
      <w:bookmarkStart w:id="767" w:name="_Toc353873941"/>
      <w:r/>
      <w:bookmarkStart w:id="768" w:name="_Toc226965828"/>
      <w:r/>
      <w:bookmarkStart w:id="769" w:name="_Toc264969245"/>
      <w:r/>
      <w:bookmarkStart w:id="770" w:name="_Toc353873665"/>
      <w:r/>
      <w:bookmarkStart w:id="771" w:name="_Toc150480793"/>
      <w:r/>
      <w:bookmarkStart w:id="772" w:name="_Toc353825545"/>
      <w:r/>
      <w:bookmarkStart w:id="773" w:name="_Toc305158823"/>
      <w:r/>
      <w:bookmarkStart w:id="774" w:name="_Toc150774760"/>
      <w:r/>
      <w:bookmarkStart w:id="775" w:name="_Toc265228393"/>
      <w:r/>
      <w:bookmarkStart w:id="776" w:name="_Toc195842920"/>
      <w:r/>
      <w:bookmarkStart w:id="777" w:name="_Toc127151555"/>
      <w:r/>
      <w:bookmarkStart w:id="778" w:name="_Toc353873935"/>
      <w:r/>
      <w:bookmarkStart w:id="779" w:name="_Toc142311057"/>
      <w:r/>
      <w:bookmarkStart w:id="780" w:name="_Toc226337251"/>
      <w:r/>
      <w:bookmarkStart w:id="781" w:name="_Toc305158897"/>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2" w:name="_Toc520356167"/>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995"/>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rPr>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483"/>
        </w:trPr>
        <w:tc>
          <w:tcPr>
            <w:tcW w:w="750" w:type="dxa"/>
            <w:vAlign w:val="center"/>
            <w:textDirection w:val="lrTb"/>
            <w:noWrap w:val="false"/>
          </w:tcPr>
          <w:p>
            <w:pPr>
              <w:pStyle w:val="995"/>
              <w:jc w:val="center"/>
              <w:widowControl/>
              <w:rPr>
                <w:b/>
                <w:sz w:val="24"/>
              </w:rPr>
            </w:pPr>
            <w:r>
              <w:rPr>
                <w:b/>
                <w:sz w:val="24"/>
              </w:rPr>
              <w:t xml:space="preserve">序号</w:t>
            </w:r>
            <w:r>
              <w:rPr>
                <w:b/>
                <w:sz w:val="24"/>
              </w:rPr>
            </w:r>
            <w:r/>
          </w:p>
        </w:tc>
        <w:tc>
          <w:tcPr>
            <w:tcW w:w="1813" w:type="dxa"/>
            <w:vAlign w:val="center"/>
            <w:textDirection w:val="lrTb"/>
            <w:noWrap w:val="false"/>
          </w:tcPr>
          <w:p>
            <w:pPr>
              <w:pStyle w:val="995"/>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995"/>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1</w:t>
            </w:r>
            <w:r>
              <w:rPr>
                <w:sz w:val="24"/>
              </w:rPr>
            </w:r>
            <w:r/>
          </w:p>
        </w:tc>
        <w:tc>
          <w:tcPr>
            <w:tcW w:w="1813" w:type="dxa"/>
            <w:vAlign w:val="center"/>
            <w:textDirection w:val="lrTb"/>
            <w:noWrap w:val="false"/>
          </w:tcPr>
          <w:p>
            <w:pPr>
              <w:pStyle w:val="995"/>
              <w:jc w:val="left"/>
              <w:widowControl/>
              <w:rPr>
                <w:sz w:val="24"/>
              </w:rPr>
            </w:pPr>
            <w:r>
              <w:rPr>
                <w:rFonts w:hint="eastAsia"/>
                <w:sz w:val="24"/>
              </w:rPr>
              <w:t xml:space="preserve">投标函、</w:t>
            </w:r>
            <w:r>
              <w:rPr>
                <w:rFonts w:hint="eastAsia"/>
                <w:sz w:val="24"/>
              </w:rPr>
              <w:t xml:space="preserve">法定代表人资格证明书和政府采购供应商信用承诺书</w:t>
            </w:r>
            <w:r>
              <w:rPr>
                <w:sz w:val="24"/>
              </w:rPr>
            </w:r>
            <w:r/>
          </w:p>
        </w:tc>
        <w:tc>
          <w:tcPr>
            <w:tcW w:w="6725" w:type="dxa"/>
            <w:vAlign w:val="center"/>
            <w:textDirection w:val="lrTb"/>
            <w:noWrap w:val="false"/>
          </w:tcPr>
          <w:p>
            <w:pPr>
              <w:pStyle w:val="995"/>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2</w:t>
            </w:r>
            <w:r>
              <w:rPr>
                <w:sz w:val="24"/>
              </w:rPr>
            </w:r>
            <w:r/>
          </w:p>
        </w:tc>
        <w:tc>
          <w:tcPr>
            <w:tcW w:w="1813" w:type="dxa"/>
            <w:vAlign w:val="center"/>
            <w:textDirection w:val="lrTb"/>
            <w:noWrap w:val="false"/>
          </w:tcPr>
          <w:p>
            <w:pPr>
              <w:pStyle w:val="995"/>
              <w:jc w:val="left"/>
              <w:widowControl/>
              <w:rPr>
                <w:sz w:val="24"/>
              </w:rPr>
            </w:pPr>
            <w:r>
              <w:rPr>
                <w:sz w:val="24"/>
              </w:rPr>
              <w:t xml:space="preserve">投标完整性</w:t>
            </w:r>
            <w:r>
              <w:rPr>
                <w:sz w:val="24"/>
              </w:rPr>
            </w:r>
            <w:r/>
          </w:p>
        </w:tc>
        <w:tc>
          <w:tcPr>
            <w:tcW w:w="6725" w:type="dxa"/>
            <w:vAlign w:val="center"/>
            <w:textDirection w:val="lrTb"/>
            <w:noWrap w:val="false"/>
          </w:tcPr>
          <w:p>
            <w:pPr>
              <w:pStyle w:val="995"/>
              <w:jc w:val="left"/>
              <w:widowControl/>
              <w:rPr>
                <w:sz w:val="24"/>
              </w:rPr>
            </w:pPr>
            <w:r>
              <w:rPr>
                <w:rFonts w:hint="eastAsia"/>
                <w:sz w:val="24"/>
              </w:rPr>
              <w:t xml:space="preserve">未</w:t>
            </w:r>
            <w:r>
              <w:rPr>
                <w:sz w:val="24"/>
              </w:rPr>
              <w:t xml:space="preserve">将一个采购包中的内容拆开投标；</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3</w:t>
            </w:r>
            <w:r>
              <w:rPr>
                <w:sz w:val="24"/>
              </w:rPr>
            </w:r>
            <w:r/>
          </w:p>
        </w:tc>
        <w:tc>
          <w:tcPr>
            <w:tcW w:w="1813" w:type="dxa"/>
            <w:vAlign w:val="center"/>
            <w:textDirection w:val="lrTb"/>
            <w:noWrap w:val="false"/>
          </w:tcPr>
          <w:p>
            <w:pPr>
              <w:pStyle w:val="995"/>
              <w:jc w:val="left"/>
              <w:widowControl/>
              <w:rPr>
                <w:sz w:val="24"/>
              </w:rPr>
            </w:pPr>
            <w:r>
              <w:rPr>
                <w:sz w:val="24"/>
              </w:rPr>
              <w:t xml:space="preserve">投标报价</w:t>
            </w:r>
            <w:r>
              <w:rPr>
                <w:sz w:val="24"/>
              </w:rPr>
            </w:r>
            <w:r/>
          </w:p>
        </w:tc>
        <w:tc>
          <w:tcPr>
            <w:tcW w:w="6725" w:type="dxa"/>
            <w:vAlign w:val="center"/>
            <w:textDirection w:val="lrTb"/>
            <w:noWrap w:val="false"/>
          </w:tcPr>
          <w:p>
            <w:pPr>
              <w:pStyle w:val="995"/>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4</w:t>
            </w:r>
            <w:r>
              <w:rPr>
                <w:sz w:val="24"/>
              </w:rPr>
            </w:r>
            <w:r/>
          </w:p>
        </w:tc>
        <w:tc>
          <w:tcPr>
            <w:tcW w:w="1813" w:type="dxa"/>
            <w:vAlign w:val="center"/>
            <w:textDirection w:val="lrTb"/>
            <w:noWrap w:val="false"/>
          </w:tcPr>
          <w:p>
            <w:pPr>
              <w:pStyle w:val="995"/>
              <w:jc w:val="left"/>
              <w:widowControl/>
              <w:rPr>
                <w:sz w:val="24"/>
              </w:rPr>
            </w:pPr>
            <w:r>
              <w:rPr>
                <w:sz w:val="24"/>
              </w:rPr>
              <w:t xml:space="preserve">报价唯一性</w:t>
            </w:r>
            <w:r>
              <w:rPr>
                <w:sz w:val="24"/>
              </w:rPr>
            </w:r>
            <w:r/>
          </w:p>
        </w:tc>
        <w:tc>
          <w:tcPr>
            <w:tcW w:w="6725" w:type="dxa"/>
            <w:vAlign w:val="center"/>
            <w:textDirection w:val="lrTb"/>
            <w:noWrap w:val="false"/>
          </w:tcPr>
          <w:p>
            <w:pPr>
              <w:pStyle w:val="995"/>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5</w:t>
            </w:r>
            <w:r>
              <w:rPr>
                <w:sz w:val="24"/>
              </w:rPr>
            </w:r>
            <w:r/>
          </w:p>
        </w:tc>
        <w:tc>
          <w:tcPr>
            <w:tcW w:w="1813" w:type="dxa"/>
            <w:vAlign w:val="center"/>
            <w:textDirection w:val="lrTb"/>
            <w:noWrap w:val="false"/>
          </w:tcPr>
          <w:p>
            <w:pPr>
              <w:pStyle w:val="995"/>
              <w:jc w:val="left"/>
              <w:widowControl/>
              <w:rPr>
                <w:sz w:val="24"/>
              </w:rPr>
            </w:pPr>
            <w:r>
              <w:rPr>
                <w:sz w:val="24"/>
              </w:rPr>
              <w:t xml:space="preserve">投标有效期</w:t>
            </w:r>
            <w:r>
              <w:rPr>
                <w:sz w:val="24"/>
              </w:rPr>
            </w:r>
            <w:r/>
          </w:p>
        </w:tc>
        <w:tc>
          <w:tcPr>
            <w:tcW w:w="6725" w:type="dxa"/>
            <w:vAlign w:val="center"/>
            <w:textDirection w:val="lrTb"/>
            <w:noWrap w:val="false"/>
          </w:tcPr>
          <w:p>
            <w:pPr>
              <w:pStyle w:val="995"/>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6</w:t>
            </w:r>
            <w:r>
              <w:rPr>
                <w:sz w:val="24"/>
              </w:rPr>
            </w:r>
            <w:r/>
          </w:p>
        </w:tc>
        <w:tc>
          <w:tcPr>
            <w:tcW w:w="1813" w:type="dxa"/>
            <w:vAlign w:val="center"/>
            <w:textDirection w:val="lrTb"/>
            <w:noWrap w:val="false"/>
          </w:tcPr>
          <w:p>
            <w:pPr>
              <w:pStyle w:val="995"/>
              <w:jc w:val="left"/>
              <w:widowControl/>
              <w:rPr>
                <w:sz w:val="24"/>
              </w:rPr>
            </w:pPr>
            <w:r>
              <w:rPr>
                <w:sz w:val="24"/>
              </w:rPr>
              <w:t xml:space="preserve">签署、加盖公章</w:t>
            </w:r>
            <w:r>
              <w:rPr>
                <w:sz w:val="24"/>
              </w:rPr>
            </w:r>
            <w:r/>
          </w:p>
        </w:tc>
        <w:tc>
          <w:tcPr>
            <w:tcW w:w="6725" w:type="dxa"/>
            <w:vAlign w:val="center"/>
            <w:textDirection w:val="lrTb"/>
            <w:noWrap w:val="false"/>
          </w:tcPr>
          <w:p>
            <w:pPr>
              <w:pStyle w:val="995"/>
              <w:jc w:val="left"/>
              <w:widowControl/>
              <w:rPr>
                <w:sz w:val="24"/>
              </w:rPr>
            </w:pPr>
            <w:r>
              <w:rPr>
                <w:sz w:val="24"/>
              </w:rPr>
              <w:t xml:space="preserve">按照招标文件要求签署、加盖公章的；</w:t>
            </w:r>
            <w:r>
              <w:rPr>
                <w:sz w:val="24"/>
              </w:rPr>
            </w:r>
            <w:r/>
          </w:p>
        </w:tc>
      </w:tr>
      <w:tr>
        <w:trPr>
          <w:trHeight w:val="685"/>
        </w:trPr>
        <w:tc>
          <w:tcPr>
            <w:tcW w:w="750" w:type="dxa"/>
            <w:vAlign w:val="center"/>
            <w:textDirection w:val="lrTb"/>
            <w:noWrap w:val="false"/>
          </w:tcPr>
          <w:p>
            <w:pPr>
              <w:pStyle w:val="995"/>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995"/>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995"/>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8</w:t>
            </w:r>
            <w:r>
              <w:rPr>
                <w:sz w:val="24"/>
              </w:rPr>
            </w:r>
            <w:r/>
          </w:p>
        </w:tc>
        <w:tc>
          <w:tcPr>
            <w:tcW w:w="1813" w:type="dxa"/>
            <w:vAlign w:val="center"/>
            <w:textDirection w:val="lrTb"/>
            <w:noWrap w:val="false"/>
          </w:tcPr>
          <w:p>
            <w:pPr>
              <w:pStyle w:val="995"/>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995"/>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9</w:t>
            </w:r>
            <w:r>
              <w:rPr>
                <w:sz w:val="24"/>
              </w:rPr>
            </w:r>
            <w:r/>
          </w:p>
        </w:tc>
        <w:tc>
          <w:tcPr>
            <w:tcW w:w="1813" w:type="dxa"/>
            <w:vAlign w:val="center"/>
            <w:textDirection w:val="lrTb"/>
            <w:noWrap w:val="false"/>
          </w:tcPr>
          <w:p>
            <w:pPr>
              <w:pStyle w:val="995"/>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995"/>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10</w:t>
            </w:r>
            <w:r>
              <w:rPr>
                <w:sz w:val="24"/>
              </w:rPr>
            </w:r>
            <w:r/>
          </w:p>
        </w:tc>
        <w:tc>
          <w:tcPr>
            <w:tcW w:w="1813" w:type="dxa"/>
            <w:vAlign w:val="center"/>
            <w:textDirection w:val="lrTb"/>
            <w:noWrap w:val="false"/>
          </w:tcPr>
          <w:p>
            <w:pPr>
              <w:pStyle w:val="995"/>
              <w:jc w:val="left"/>
              <w:widowControl/>
              <w:rPr>
                <w:sz w:val="24"/>
              </w:rPr>
            </w:pPr>
            <w:r>
              <w:rPr>
                <w:sz w:val="24"/>
              </w:rPr>
              <w:t xml:space="preserve">分包意向协议</w:t>
            </w:r>
            <w:r>
              <w:rPr>
                <w:sz w:val="24"/>
              </w:rPr>
            </w:r>
            <w:r/>
          </w:p>
          <w:p>
            <w:pPr>
              <w:pStyle w:val="995"/>
              <w:jc w:val="left"/>
              <w:widowControl/>
              <w:rPr>
                <w:sz w:val="24"/>
              </w:rPr>
            </w:pPr>
            <w:r>
              <w:rPr>
                <w:sz w:val="24"/>
              </w:rPr>
              <w:t xml:space="preserve">（如有）</w:t>
            </w:r>
            <w:r>
              <w:rPr>
                <w:sz w:val="24"/>
              </w:rPr>
            </w:r>
            <w:r/>
          </w:p>
        </w:tc>
        <w:tc>
          <w:tcPr>
            <w:tcW w:w="6725" w:type="dxa"/>
            <w:vAlign w:val="center"/>
            <w:textDirection w:val="lrTb"/>
            <w:noWrap w:val="false"/>
          </w:tcPr>
          <w:p>
            <w:pPr>
              <w:pStyle w:val="995"/>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11</w:t>
            </w:r>
            <w:r>
              <w:rPr>
                <w:sz w:val="24"/>
              </w:rPr>
            </w:r>
            <w:r/>
          </w:p>
        </w:tc>
        <w:tc>
          <w:tcPr>
            <w:tcW w:w="1813" w:type="dxa"/>
            <w:vAlign w:val="center"/>
            <w:textDirection w:val="lrTb"/>
            <w:noWrap w:val="false"/>
          </w:tcPr>
          <w:p>
            <w:pPr>
              <w:pStyle w:val="995"/>
              <w:jc w:val="left"/>
              <w:widowControl/>
              <w:rPr>
                <w:sz w:val="24"/>
              </w:rPr>
            </w:pPr>
            <w:r>
              <w:rPr>
                <w:sz w:val="24"/>
              </w:rPr>
              <w:t xml:space="preserve">报价的修正（如有）</w:t>
            </w:r>
            <w:r>
              <w:rPr>
                <w:sz w:val="24"/>
              </w:rPr>
            </w:r>
            <w:r/>
          </w:p>
        </w:tc>
        <w:tc>
          <w:tcPr>
            <w:tcW w:w="6725" w:type="dxa"/>
            <w:vAlign w:val="center"/>
            <w:textDirection w:val="lrTb"/>
            <w:noWrap w:val="false"/>
          </w:tcPr>
          <w:p>
            <w:pPr>
              <w:pStyle w:val="995"/>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12</w:t>
            </w:r>
            <w:r>
              <w:rPr>
                <w:sz w:val="24"/>
              </w:rPr>
            </w:r>
            <w:r/>
          </w:p>
        </w:tc>
        <w:tc>
          <w:tcPr>
            <w:tcW w:w="1813" w:type="dxa"/>
            <w:vAlign w:val="center"/>
            <w:textDirection w:val="lrTb"/>
            <w:noWrap w:val="false"/>
          </w:tcPr>
          <w:p>
            <w:pPr>
              <w:pStyle w:val="995"/>
              <w:jc w:val="left"/>
              <w:widowControl/>
              <w:rPr>
                <w:sz w:val="24"/>
              </w:rPr>
            </w:pPr>
            <w:r>
              <w:rPr>
                <w:sz w:val="24"/>
              </w:rPr>
              <w:t xml:space="preserve">报价合理性</w:t>
            </w:r>
            <w:r>
              <w:rPr>
                <w:sz w:val="24"/>
              </w:rPr>
            </w:r>
            <w:r/>
          </w:p>
        </w:tc>
        <w:tc>
          <w:tcPr>
            <w:tcW w:w="6725" w:type="dxa"/>
            <w:vAlign w:val="center"/>
            <w:textDirection w:val="lrTb"/>
            <w:noWrap w:val="false"/>
          </w:tcPr>
          <w:p>
            <w:pPr>
              <w:pStyle w:val="995"/>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13</w:t>
            </w:r>
            <w:r>
              <w:rPr>
                <w:sz w:val="24"/>
              </w:rPr>
            </w:r>
            <w:r/>
          </w:p>
        </w:tc>
        <w:tc>
          <w:tcPr>
            <w:tcW w:w="1813" w:type="dxa"/>
            <w:vAlign w:val="center"/>
            <w:textDirection w:val="lrTb"/>
            <w:noWrap w:val="false"/>
          </w:tcPr>
          <w:p>
            <w:pPr>
              <w:pStyle w:val="995"/>
              <w:jc w:val="left"/>
              <w:widowControl/>
              <w:rPr>
                <w:sz w:val="24"/>
              </w:rPr>
            </w:pPr>
            <w:r>
              <w:rPr>
                <w:sz w:val="24"/>
              </w:rPr>
              <w:t xml:space="preserve">进口产品</w:t>
            </w:r>
            <w:r>
              <w:rPr>
                <w:sz w:val="24"/>
              </w:rPr>
            </w:r>
            <w:r/>
          </w:p>
          <w:p>
            <w:pPr>
              <w:pStyle w:val="995"/>
              <w:jc w:val="left"/>
              <w:widowControl/>
              <w:rPr>
                <w:sz w:val="24"/>
              </w:rPr>
            </w:pPr>
            <w:r>
              <w:rPr>
                <w:sz w:val="24"/>
              </w:rPr>
              <w:t xml:space="preserve">（如有）</w:t>
            </w:r>
            <w:r>
              <w:rPr>
                <w:sz w:val="24"/>
              </w:rPr>
            </w:r>
            <w:r/>
          </w:p>
        </w:tc>
        <w:tc>
          <w:tcPr>
            <w:tcW w:w="6725" w:type="dxa"/>
            <w:vAlign w:val="center"/>
            <w:textDirection w:val="lrTb"/>
            <w:noWrap w:val="false"/>
          </w:tcPr>
          <w:p>
            <w:pPr>
              <w:pStyle w:val="995"/>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14</w:t>
            </w:r>
            <w:r>
              <w:rPr>
                <w:sz w:val="24"/>
              </w:rPr>
            </w:r>
            <w:r/>
          </w:p>
        </w:tc>
        <w:tc>
          <w:tcPr>
            <w:tcW w:w="1813" w:type="dxa"/>
            <w:vAlign w:val="center"/>
            <w:textDirection w:val="lrTb"/>
            <w:noWrap w:val="false"/>
          </w:tcPr>
          <w:p>
            <w:pPr>
              <w:pStyle w:val="995"/>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995"/>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95"/>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p>
            <w:pPr>
              <w:pStyle w:val="995"/>
              <w:jc w:val="left"/>
              <w:widowControl/>
              <w:rPr>
                <w:sz w:val="24"/>
              </w:rPr>
            </w:pPr>
            <w:r>
              <w:rPr>
                <w:rFonts w:hint="eastAsia"/>
                <w:sz w:val="24"/>
              </w:rPr>
              <w:t xml:space="preserve">2）</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995"/>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rPr>
                <w:sz w:val="24"/>
              </w:rPr>
            </w:r>
            <w:r/>
          </w:p>
          <w:p>
            <w:pPr>
              <w:pStyle w:val="995"/>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15</w:t>
            </w:r>
            <w:r>
              <w:rPr>
                <w:sz w:val="24"/>
              </w:rPr>
            </w:r>
            <w:r/>
          </w:p>
        </w:tc>
        <w:tc>
          <w:tcPr>
            <w:tcW w:w="1813" w:type="dxa"/>
            <w:vAlign w:val="center"/>
            <w:textDirection w:val="lrTb"/>
            <w:noWrap w:val="false"/>
          </w:tcPr>
          <w:p>
            <w:pPr>
              <w:pStyle w:val="995"/>
              <w:jc w:val="left"/>
              <w:widowControl/>
              <w:rPr>
                <w:sz w:val="24"/>
              </w:rPr>
            </w:pPr>
            <w:r>
              <w:rPr>
                <w:sz w:val="24"/>
              </w:rPr>
              <w:t xml:space="preserve">公平竞争</w:t>
            </w:r>
            <w:r>
              <w:rPr>
                <w:sz w:val="24"/>
              </w:rPr>
            </w:r>
            <w:r/>
          </w:p>
        </w:tc>
        <w:tc>
          <w:tcPr>
            <w:tcW w:w="6725" w:type="dxa"/>
            <w:vAlign w:val="center"/>
            <w:textDirection w:val="lrTb"/>
            <w:noWrap w:val="false"/>
          </w:tcPr>
          <w:p>
            <w:pPr>
              <w:pStyle w:val="995"/>
              <w:jc w:val="left"/>
              <w:widowControl/>
              <w:rPr>
                <w:sz w:val="24"/>
              </w:rPr>
            </w:pPr>
            <w:r>
              <w:rPr>
                <w:sz w:val="24"/>
              </w:rPr>
              <w:t xml:space="preserve">投标人遵循公平竞争的原则，不存在恶意串通，妨碍其他投标人的竞争行为，不存在损害招标人或者其他投标人的合法权益情形的；</w:t>
            </w:r>
            <w:r>
              <w:rPr>
                <w:sz w:val="24"/>
              </w:rPr>
            </w:r>
            <w:r/>
          </w:p>
        </w:tc>
      </w:tr>
      <w:tr>
        <w:trPr>
          <w:trHeight w:val="685"/>
        </w:trPr>
        <w:tc>
          <w:tcPr>
            <w:tcW w:w="750" w:type="dxa"/>
            <w:vAlign w:val="center"/>
            <w:textDirection w:val="lrTb"/>
            <w:noWrap w:val="false"/>
          </w:tcPr>
          <w:p>
            <w:pPr>
              <w:pStyle w:val="995"/>
              <w:jc w:val="center"/>
              <w:widowControl/>
              <w:rPr>
                <w:sz w:val="24"/>
              </w:rPr>
            </w:pPr>
            <w:r>
              <w:rPr>
                <w:sz w:val="24"/>
              </w:rPr>
              <w:t xml:space="preserve">16</w:t>
            </w:r>
            <w:r>
              <w:rPr>
                <w:sz w:val="24"/>
              </w:rPr>
            </w:r>
            <w:r/>
          </w:p>
        </w:tc>
        <w:tc>
          <w:tcPr>
            <w:tcW w:w="1813" w:type="dxa"/>
            <w:vAlign w:val="center"/>
            <w:textDirection w:val="lrTb"/>
            <w:noWrap w:val="false"/>
          </w:tcPr>
          <w:p>
            <w:pPr>
              <w:pStyle w:val="995"/>
              <w:jc w:val="left"/>
              <w:widowControl/>
              <w:rPr>
                <w:sz w:val="24"/>
              </w:rPr>
            </w:pPr>
            <w:r>
              <w:rPr>
                <w:sz w:val="24"/>
              </w:rPr>
              <w:t xml:space="preserve">串通投标</w:t>
            </w:r>
            <w:r>
              <w:rPr>
                <w:sz w:val="24"/>
              </w:rPr>
            </w:r>
            <w:r/>
          </w:p>
        </w:tc>
        <w:tc>
          <w:tcPr>
            <w:tcW w:w="6725" w:type="dxa"/>
            <w:vAlign w:val="center"/>
            <w:textDirection w:val="lrTb"/>
            <w:noWrap w:val="false"/>
          </w:tcPr>
          <w:p>
            <w:pPr>
              <w:pStyle w:val="995"/>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r>
      <w:tr>
        <w:trPr>
          <w:trHeight w:val="456"/>
        </w:trPr>
        <w:tc>
          <w:tcPr>
            <w:tcW w:w="750" w:type="dxa"/>
            <w:vAlign w:val="center"/>
            <w:textDirection w:val="lrTb"/>
            <w:noWrap w:val="false"/>
          </w:tcPr>
          <w:p>
            <w:pPr>
              <w:pStyle w:val="995"/>
              <w:jc w:val="center"/>
              <w:widowControl/>
              <w:rPr>
                <w:sz w:val="24"/>
              </w:rPr>
            </w:pPr>
            <w:r>
              <w:rPr>
                <w:sz w:val="24"/>
              </w:rPr>
              <w:t xml:space="preserve">17</w:t>
            </w:r>
            <w:r>
              <w:rPr>
                <w:sz w:val="24"/>
              </w:rPr>
            </w:r>
            <w:r/>
          </w:p>
        </w:tc>
        <w:tc>
          <w:tcPr>
            <w:tcW w:w="1813" w:type="dxa"/>
            <w:vAlign w:val="center"/>
            <w:textDirection w:val="lrTb"/>
            <w:noWrap w:val="false"/>
          </w:tcPr>
          <w:p>
            <w:pPr>
              <w:pStyle w:val="995"/>
              <w:jc w:val="left"/>
              <w:widowControl/>
              <w:rPr>
                <w:sz w:val="24"/>
              </w:rPr>
            </w:pPr>
            <w:r>
              <w:rPr>
                <w:sz w:val="24"/>
              </w:rPr>
              <w:t xml:space="preserve">附加条件</w:t>
            </w:r>
            <w:r>
              <w:rPr>
                <w:sz w:val="24"/>
              </w:rPr>
            </w:r>
            <w:r/>
          </w:p>
        </w:tc>
        <w:tc>
          <w:tcPr>
            <w:tcW w:w="6725" w:type="dxa"/>
            <w:vAlign w:val="center"/>
            <w:textDirection w:val="lrTb"/>
            <w:noWrap w:val="false"/>
          </w:tcPr>
          <w:p>
            <w:pPr>
              <w:pStyle w:val="995"/>
              <w:jc w:val="left"/>
              <w:widowControl/>
              <w:rPr>
                <w:sz w:val="24"/>
              </w:rPr>
            </w:pPr>
            <w:r>
              <w:rPr>
                <w:sz w:val="24"/>
              </w:rPr>
              <w:t xml:space="preserve">投标文件</w:t>
            </w:r>
            <w:r>
              <w:rPr>
                <w:rFonts w:hint="eastAsia"/>
                <w:sz w:val="24"/>
              </w:rPr>
              <w:t xml:space="preserve">未</w:t>
            </w:r>
            <w:r>
              <w:rPr>
                <w:sz w:val="24"/>
              </w:rPr>
              <w:t xml:space="preserve">含有招标人不能接受的附加条件的；</w:t>
            </w:r>
            <w:r>
              <w:rPr>
                <w:sz w:val="24"/>
              </w:rPr>
            </w:r>
            <w:r/>
          </w:p>
        </w:tc>
      </w:tr>
      <w:tr>
        <w:trPr>
          <w:trHeight w:val="685"/>
        </w:trPr>
        <w:tc>
          <w:tcPr>
            <w:tcW w:w="750" w:type="dxa"/>
            <w:vAlign w:val="center"/>
            <w:textDirection w:val="lrTb"/>
            <w:noWrap w:val="false"/>
          </w:tcPr>
          <w:p>
            <w:pPr>
              <w:pStyle w:val="995"/>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995"/>
              <w:jc w:val="left"/>
              <w:widowControl/>
              <w:rPr>
                <w:sz w:val="24"/>
              </w:rPr>
            </w:pPr>
            <w:r>
              <w:rPr>
                <w:sz w:val="24"/>
              </w:rPr>
              <w:t xml:space="preserve">其他无效情形</w:t>
            </w:r>
            <w:r>
              <w:rPr>
                <w:sz w:val="24"/>
              </w:rPr>
            </w:r>
            <w:r/>
          </w:p>
        </w:tc>
        <w:tc>
          <w:tcPr>
            <w:tcW w:w="6725" w:type="dxa"/>
            <w:vAlign w:val="center"/>
            <w:textDirection w:val="lrTb"/>
            <w:noWrap w:val="false"/>
          </w:tcPr>
          <w:p>
            <w:pPr>
              <w:pStyle w:val="995"/>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r>
    </w:tbl>
    <w:p>
      <w:pPr>
        <w:pStyle w:val="995"/>
        <w:numPr>
          <w:ilvl w:val="0"/>
          <w:numId w:val="14"/>
        </w:numPr>
        <w:spacing w:line="360" w:lineRule="auto"/>
        <w:tabs>
          <w:tab w:val="left" w:pos="900" w:leader="none"/>
          <w:tab w:val="left" w:pos="1080" w:leader="none"/>
          <w:tab w:val="left" w:pos="1589" w:leader="none"/>
        </w:tabs>
        <w:rPr>
          <w:sz w:val="24"/>
        </w:rPr>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995"/>
        <w:numPr>
          <w:ilvl w:val="0"/>
          <w:numId w:val="13"/>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995"/>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995"/>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无，按下述2.4.2-2.4.7项规定修正。</w:t>
      </w:r>
      <w:r>
        <w:rPr>
          <w:sz w:val="24"/>
        </w:rPr>
      </w:r>
      <w:r/>
    </w:p>
    <w:p>
      <w:pPr>
        <w:pStyle w:val="995"/>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995"/>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995"/>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995"/>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995"/>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995"/>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995"/>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995"/>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6</w:t>
      </w:r>
      <w:r>
        <w:rPr>
          <w:sz w:val="24"/>
        </w:rPr>
        <w:t xml:space="preserve">%的扣除，用扣除后的价格参加评审。</w:t>
      </w:r>
      <w:r>
        <w:rPr>
          <w:sz w:val="24"/>
        </w:rPr>
      </w:r>
      <w:r/>
    </w:p>
    <w:p>
      <w:pPr>
        <w:pStyle w:val="995"/>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95"/>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95"/>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995"/>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95"/>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995"/>
        <w:numPr>
          <w:ilvl w:val="2"/>
          <w:numId w:val="13"/>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995"/>
        <w:numPr>
          <w:ilvl w:val="0"/>
          <w:numId w:val="13"/>
        </w:numPr>
        <w:spacing w:line="360" w:lineRule="auto"/>
        <w:tabs>
          <w:tab w:val="left" w:pos="360" w:leader="none"/>
          <w:tab w:val="left" w:pos="900" w:leader="none"/>
        </w:tabs>
        <w:rPr>
          <w:sz w:val="24"/>
        </w:rPr>
        <w:outlineLvl w:val="1"/>
      </w:pPr>
      <w:r>
        <w:rPr>
          <w:sz w:val="24"/>
        </w:rPr>
        <w:t xml:space="preserve">投标文件的比较和评价</w:t>
      </w:r>
      <w:bookmarkEnd w:id="766"/>
      <w:r/>
      <w:bookmarkEnd w:id="767"/>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995"/>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995"/>
        <w:ind w:left="1985"/>
        <w:spacing w:line="360" w:lineRule="auto"/>
        <w:tabs>
          <w:tab w:val="left" w:pos="900" w:leader="none"/>
          <w:tab w:val="left" w:pos="1589" w:leader="none"/>
          <w:tab w:val="left" w:pos="1701" w:leader="none"/>
        </w:tabs>
        <w:rPr>
          <w:sz w:val="24"/>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995"/>
        <w:numPr>
          <w:ilvl w:val="0"/>
          <w:numId w:val="13"/>
        </w:numPr>
        <w:spacing w:line="360" w:lineRule="auto"/>
        <w:tabs>
          <w:tab w:val="left" w:pos="360" w:leader="none"/>
          <w:tab w:val="left" w:pos="900" w:leader="none"/>
        </w:tabs>
        <w:rPr>
          <w:sz w:val="24"/>
        </w:rPr>
        <w:outlineLvl w:val="1"/>
      </w:pPr>
      <w:r>
        <w:rPr>
          <w:sz w:val="24"/>
        </w:rPr>
        <w:t xml:space="preserve">确定</w:t>
      </w:r>
      <w:bookmarkStart w:id="783" w:name="_Toc226965819"/>
      <w:r/>
      <w:bookmarkStart w:id="784" w:name="_Ref467307010"/>
      <w:r/>
      <w:bookmarkStart w:id="785" w:name="_Toc151193860"/>
      <w:r/>
      <w:bookmarkStart w:id="786" w:name="_Toc226337242"/>
      <w:r/>
      <w:bookmarkStart w:id="787" w:name="_Toc164229387"/>
      <w:r/>
      <w:bookmarkStart w:id="788" w:name="_Toc150774751"/>
      <w:r/>
      <w:bookmarkStart w:id="789" w:name="_Toc520356170"/>
      <w:r/>
      <w:bookmarkStart w:id="790" w:name="_Toc305158814"/>
      <w:r/>
      <w:bookmarkStart w:id="791" w:name="_Toc151193788"/>
      <w:r/>
      <w:bookmarkStart w:id="792" w:name="_Toc150774646"/>
      <w:r/>
      <w:bookmarkStart w:id="793" w:name="_Toc164608660"/>
      <w:r/>
      <w:bookmarkStart w:id="794" w:name="_Toc127161460"/>
      <w:r/>
      <w:bookmarkStart w:id="795" w:name="_Toc164229241"/>
      <w:r/>
      <w:bookmarkStart w:id="796" w:name="_Toc164351640"/>
      <w:r/>
      <w:bookmarkStart w:id="797" w:name="_Toc142311048"/>
      <w:r/>
      <w:bookmarkStart w:id="798" w:name="_Toc226965736"/>
      <w:r/>
      <w:bookmarkStart w:id="799" w:name="_Toc150480784"/>
      <w:r/>
      <w:bookmarkStart w:id="800" w:name="_Toc151193716"/>
      <w:r/>
      <w:bookmarkStart w:id="801" w:name="_Toc151193644"/>
      <w:r/>
      <w:bookmarkStart w:id="802" w:name="_Toc127151747"/>
      <w:r/>
      <w:bookmarkStart w:id="803" w:name="_Toc151193934"/>
      <w:r/>
      <w:bookmarkStart w:id="804" w:name="_Toc151190173"/>
      <w:r/>
      <w:bookmarkStart w:id="805" w:name="_Toc305158888"/>
      <w:r/>
      <w:bookmarkStart w:id="806" w:name="_Toc264969236"/>
      <w:r/>
      <w:bookmarkStart w:id="807" w:name="_Toc265228384"/>
      <w:r/>
      <w:bookmarkStart w:id="808" w:name="_Toc127151546"/>
      <w:r/>
      <w:bookmarkStart w:id="809" w:name="_Toc150509297"/>
      <w:r/>
      <w:bookmarkStart w:id="810" w:name="_Toc149720839"/>
      <w:r/>
      <w:bookmarkStart w:id="811" w:name="_Toc164608815"/>
      <w:r/>
      <w:bookmarkStart w:id="812" w:name="_Toc226309790"/>
      <w:r/>
      <w:bookmarkStart w:id="813" w:name="_Toc195842911"/>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35"/>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具体要求：</w:t>
      </w:r>
      <w:r>
        <w:rPr>
          <w:rFonts w:ascii="Times New Roman" w:hAnsi="Times New Roman"/>
          <w:sz w:val="24"/>
          <w:szCs w:val="24"/>
        </w:rPr>
        <w:t xml:space="preserve">按实施方案优劣顺序排列。</w:t>
      </w:r>
      <w:r>
        <w:rPr>
          <w:rFonts w:ascii="Times New Roman" w:hAnsi="Times New Roman"/>
          <w:sz w:val="24"/>
          <w:szCs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95"/>
        <w:numPr>
          <w:ilvl w:val="0"/>
          <w:numId w:val="13"/>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995"/>
        <w:numPr>
          <w:ilvl w:val="1"/>
          <w:numId w:val="13"/>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评标委员会在评标过程中发现投标人有行贿、提供虚假材料或者串通等违法行为时，有向招标人、招标代理机构或者有关部门报告的职责。</w:t>
      </w:r>
      <w:r>
        <w:rPr>
          <w:sz w:val="24"/>
        </w:rPr>
      </w:r>
      <w:r/>
    </w:p>
    <w:p>
      <w:pPr>
        <w:pStyle w:val="995"/>
        <w:jc w:val="center"/>
        <w:spacing w:line="360" w:lineRule="auto"/>
        <w:tabs>
          <w:tab w:val="left" w:pos="360" w:leader="none"/>
          <w:tab w:val="left" w:pos="900" w:leader="none"/>
        </w:tabs>
        <w:rPr>
          <w:rFonts w:hint="eastAsia"/>
          <w:b/>
          <w:sz w:val="24"/>
        </w:rPr>
        <w:outlineLvl w:val="1"/>
      </w:pPr>
      <w:r>
        <w:rPr>
          <w:b/>
          <w:sz w:val="24"/>
        </w:rPr>
        <w:br w:type="page" w:clear="all"/>
      </w:r>
      <w:r>
        <w:rPr>
          <w:b/>
          <w:sz w:val="24"/>
        </w:rPr>
        <w:t xml:space="preserve">二、评标标准</w:t>
      </w:r>
      <w:r>
        <w:rPr>
          <w:rFonts w:hint="eastAsia"/>
          <w:b/>
          <w:sz w:val="24"/>
        </w:rPr>
      </w:r>
      <w:r/>
    </w:p>
    <w:tbl>
      <w:tblPr>
        <w:tblW w:w="102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410"/>
        <w:gridCol w:w="840"/>
        <w:gridCol w:w="4808"/>
        <w:gridCol w:w="2466"/>
      </w:tblGrid>
      <w:tr>
        <w:trPr>
          <w:trHeight w:val="483"/>
        </w:trPr>
        <w:tc>
          <w:tcPr>
            <w:tcW w:w="763" w:type="dxa"/>
            <w:vAlign w:val="center"/>
            <w:textDirection w:val="lrTb"/>
            <w:noWrap w:val="false"/>
          </w:tcPr>
          <w:p>
            <w:pPr>
              <w:pStyle w:val="995"/>
              <w:ind w:firstLine="28"/>
              <w:jc w:val="center"/>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410" w:type="dxa"/>
            <w:vAlign w:val="center"/>
            <w:textDirection w:val="lrTb"/>
            <w:noWrap w:val="false"/>
          </w:tcPr>
          <w:p>
            <w:pPr>
              <w:pStyle w:val="995"/>
              <w:ind w:firstLine="28"/>
              <w:jc w:val="center"/>
              <w:rPr>
                <w:rFonts w:hint="eastAsia" w:ascii="宋体" w:hAnsi="宋体" w:cs="宋体"/>
                <w:b/>
                <w:sz w:val="24"/>
              </w:rPr>
            </w:pPr>
            <w:r>
              <w:rPr>
                <w:rFonts w:hint="eastAsia" w:ascii="宋体" w:hAnsi="宋体" w:cs="宋体"/>
                <w:b/>
                <w:sz w:val="24"/>
              </w:rPr>
              <w:t xml:space="preserve">评分因素</w:t>
            </w:r>
            <w:r>
              <w:rPr>
                <w:rFonts w:hint="eastAsia" w:ascii="宋体" w:hAnsi="宋体" w:cs="宋体"/>
                <w:b/>
                <w:sz w:val="24"/>
              </w:rPr>
            </w:r>
            <w:r/>
          </w:p>
        </w:tc>
        <w:tc>
          <w:tcPr>
            <w:tcW w:w="840" w:type="dxa"/>
            <w:vAlign w:val="center"/>
            <w:textDirection w:val="lrTb"/>
            <w:noWrap w:val="false"/>
          </w:tcPr>
          <w:p>
            <w:pPr>
              <w:pStyle w:val="995"/>
              <w:ind w:firstLine="28"/>
              <w:jc w:val="center"/>
              <w:rPr>
                <w:rFonts w:hint="eastAsia" w:ascii="宋体" w:hAnsi="宋体" w:cs="宋体"/>
                <w:b/>
                <w:sz w:val="24"/>
              </w:rPr>
            </w:pPr>
            <w:r>
              <w:rPr>
                <w:rFonts w:hint="eastAsia" w:ascii="宋体" w:hAnsi="宋体" w:cs="宋体"/>
                <w:b/>
                <w:sz w:val="24"/>
              </w:rPr>
              <w:t xml:space="preserve">分值</w:t>
            </w:r>
            <w:r>
              <w:rPr>
                <w:rFonts w:hint="eastAsia" w:ascii="宋体" w:hAnsi="宋体" w:cs="宋体"/>
                <w:b/>
                <w:sz w:val="24"/>
              </w:rPr>
            </w:r>
            <w:r/>
          </w:p>
        </w:tc>
        <w:tc>
          <w:tcPr>
            <w:tcW w:w="4808" w:type="dxa"/>
            <w:vAlign w:val="center"/>
            <w:textDirection w:val="lrTb"/>
            <w:noWrap w:val="false"/>
          </w:tcPr>
          <w:p>
            <w:pPr>
              <w:pStyle w:val="995"/>
              <w:ind w:firstLine="28"/>
              <w:jc w:val="center"/>
              <w:rPr>
                <w:rFonts w:hint="eastAsia" w:ascii="宋体" w:hAnsi="宋体" w:cs="宋体"/>
                <w:b/>
                <w:sz w:val="24"/>
              </w:rPr>
            </w:pPr>
            <w:r>
              <w:rPr>
                <w:rFonts w:hint="eastAsia" w:ascii="宋体" w:hAnsi="宋体" w:cs="宋体"/>
                <w:b/>
                <w:sz w:val="24"/>
              </w:rPr>
              <w:t xml:space="preserve">评分标准</w:t>
            </w:r>
            <w:r>
              <w:rPr>
                <w:rFonts w:hint="eastAsia" w:ascii="宋体" w:hAnsi="宋体" w:cs="宋体"/>
                <w:b/>
                <w:sz w:val="24"/>
              </w:rPr>
            </w:r>
            <w:r/>
          </w:p>
        </w:tc>
        <w:tc>
          <w:tcPr>
            <w:tcW w:w="2466" w:type="dxa"/>
            <w:vAlign w:val="center"/>
            <w:textDirection w:val="lrTb"/>
            <w:noWrap w:val="false"/>
          </w:tcPr>
          <w:p>
            <w:pPr>
              <w:pStyle w:val="995"/>
              <w:jc w:val="center"/>
              <w:rPr>
                <w:rFonts w:hint="eastAsia" w:ascii="宋体" w:hAnsi="宋体" w:cs="宋体"/>
                <w:b/>
                <w:sz w:val="24"/>
              </w:rPr>
            </w:pPr>
            <w:r>
              <w:rPr>
                <w:rFonts w:hint="eastAsia" w:ascii="宋体" w:hAnsi="宋体" w:cs="宋体"/>
                <w:b/>
                <w:sz w:val="24"/>
              </w:rPr>
              <w:t xml:space="preserve">说明</w:t>
            </w:r>
            <w:r>
              <w:rPr>
                <w:rFonts w:hint="eastAsia" w:ascii="宋体" w:hAnsi="宋体" w:cs="宋体"/>
                <w:b/>
                <w:sz w:val="24"/>
              </w:rPr>
            </w:r>
            <w:r/>
          </w:p>
        </w:tc>
      </w:tr>
      <w:tr>
        <w:trPr>
          <w:trHeight w:val="1951"/>
        </w:trPr>
        <w:tc>
          <w:tcPr>
            <w:tcW w:w="763" w:type="dxa"/>
            <w:vAlign w:val="center"/>
            <w:textDirection w:val="lrTb"/>
            <w:noWrap w:val="false"/>
          </w:tcPr>
          <w:p>
            <w:pPr>
              <w:pStyle w:val="995"/>
              <w:ind w:firstLine="28"/>
              <w:jc w:val="center"/>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rPr>
            </w:r>
            <w:r/>
          </w:p>
        </w:tc>
        <w:tc>
          <w:tcPr>
            <w:tcW w:w="1410" w:type="dxa"/>
            <w:vAlign w:val="center"/>
            <w:textDirection w:val="lrTb"/>
            <w:noWrap w:val="false"/>
          </w:tcPr>
          <w:p>
            <w:pPr>
              <w:pStyle w:val="995"/>
              <w:ind w:firstLine="28"/>
              <w:jc w:val="center"/>
              <w:rPr>
                <w:rFonts w:hint="eastAsia" w:ascii="宋体" w:hAnsi="宋体" w:cs="宋体"/>
                <w:b/>
                <w:sz w:val="24"/>
              </w:rPr>
            </w:pPr>
            <w:r>
              <w:rPr>
                <w:rFonts w:hint="eastAsia" w:ascii="宋体" w:hAnsi="宋体" w:cs="宋体"/>
                <w:b/>
                <w:sz w:val="24"/>
              </w:rPr>
              <w:t xml:space="preserve">价格分</w:t>
            </w:r>
            <w:r>
              <w:rPr>
                <w:rFonts w:hint="eastAsia" w:ascii="宋体" w:hAnsi="宋体" w:cs="宋体"/>
                <w:b/>
                <w:sz w:val="24"/>
              </w:rPr>
            </w:r>
            <w:r/>
          </w:p>
        </w:tc>
        <w:tc>
          <w:tcPr>
            <w:tcW w:w="840" w:type="dxa"/>
            <w:vAlign w:val="center"/>
            <w:textDirection w:val="lrTb"/>
            <w:noWrap w:val="false"/>
          </w:tcPr>
          <w:p>
            <w:pPr>
              <w:pStyle w:val="995"/>
              <w:ind w:firstLine="28"/>
              <w:jc w:val="center"/>
              <w:rPr>
                <w:rFonts w:ascii="宋体" w:hAnsi="宋体" w:cs="宋体"/>
                <w:b/>
                <w:sz w:val="24"/>
              </w:rPr>
            </w:pPr>
            <w:r>
              <w:rPr>
                <w:rFonts w:hint="eastAsia" w:ascii="宋体" w:hAnsi="宋体" w:cs="宋体"/>
                <w:b/>
                <w:sz w:val="24"/>
              </w:rPr>
              <w:t xml:space="preserve">20</w:t>
            </w:r>
            <w:r>
              <w:rPr>
                <w:rFonts w:ascii="宋体" w:hAnsi="宋体" w:cs="宋体"/>
                <w:b/>
                <w:sz w:val="24"/>
              </w:rPr>
            </w:r>
            <w:r/>
          </w:p>
        </w:tc>
        <w:tc>
          <w:tcPr>
            <w:tcW w:w="4808" w:type="dxa"/>
            <w:vAlign w:val="center"/>
            <w:textDirection w:val="lrTb"/>
            <w:noWrap w:val="false"/>
          </w:tcPr>
          <w:p>
            <w:pPr>
              <w:pStyle w:val="995"/>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rPr>
                <w:rFonts w:hint="eastAsia" w:ascii="宋体" w:hAnsi="宋体" w:cs="宋体"/>
                <w:sz w:val="24"/>
              </w:rPr>
            </w:r>
            <w:r/>
          </w:p>
          <w:p>
            <w:pPr>
              <w:pStyle w:val="995"/>
              <w:rPr>
                <w:rFonts w:hint="eastAsia" w:ascii="宋体" w:hAnsi="宋体" w:cs="宋体"/>
                <w:sz w:val="24"/>
              </w:rPr>
            </w:pPr>
            <w:r>
              <w:rPr>
                <w:rFonts w:hint="eastAsia" w:ascii="宋体" w:hAnsi="宋体" w:cs="宋体"/>
                <w:sz w:val="24"/>
              </w:rPr>
              <w:t xml:space="preserve">投标报价得分＝（评标基准价/投标报价）×分值。</w:t>
            </w:r>
            <w:r>
              <w:rPr>
                <w:rFonts w:hint="eastAsia" w:ascii="宋体" w:hAnsi="宋体" w:cs="宋体"/>
                <w:sz w:val="24"/>
              </w:rPr>
            </w:r>
            <w:r/>
          </w:p>
        </w:tc>
        <w:tc>
          <w:tcPr>
            <w:tcW w:w="2466" w:type="dxa"/>
            <w:vAlign w:val="center"/>
            <w:textDirection w:val="lrTb"/>
            <w:noWrap w:val="false"/>
          </w:tcPr>
          <w:p>
            <w:pPr>
              <w:pStyle w:val="995"/>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此处投标报价指经过报价修正，及因落实政府采购政策进行价格调整后的报价，详见第四章《评标方法和评标标准》2.4及2.5。</w:t>
            </w:r>
            <w:r>
              <w:rPr>
                <w:rFonts w:hint="eastAsia" w:ascii="宋体" w:hAnsi="宋体" w:cs="宋体"/>
                <w:sz w:val="24"/>
              </w:rPr>
            </w:r>
            <w:r/>
          </w:p>
        </w:tc>
      </w:tr>
      <w:tr>
        <w:trPr/>
        <w:tc>
          <w:tcPr>
            <w:tcW w:w="763" w:type="dxa"/>
            <w:vAlign w:val="center"/>
            <w:textDirection w:val="lrTb"/>
            <w:noWrap w:val="false"/>
          </w:tcPr>
          <w:p>
            <w:pPr>
              <w:pStyle w:val="995"/>
              <w:ind w:firstLine="28"/>
              <w:jc w:val="center"/>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rPr>
            </w:r>
            <w:r/>
          </w:p>
        </w:tc>
        <w:tc>
          <w:tcPr>
            <w:tcW w:w="1410" w:type="dxa"/>
            <w:vAlign w:val="center"/>
            <w:textDirection w:val="lrTb"/>
            <w:noWrap w:val="false"/>
          </w:tcPr>
          <w:p>
            <w:pPr>
              <w:pStyle w:val="995"/>
              <w:ind w:firstLine="28"/>
              <w:jc w:val="center"/>
              <w:rPr>
                <w:rFonts w:hint="eastAsia" w:ascii="宋体" w:hAnsi="宋体" w:cs="宋体"/>
                <w:b/>
                <w:sz w:val="24"/>
              </w:rPr>
            </w:pPr>
            <w:r>
              <w:rPr>
                <w:rFonts w:hint="eastAsia" w:ascii="宋体" w:hAnsi="宋体" w:cs="宋体"/>
                <w:b/>
                <w:sz w:val="24"/>
              </w:rPr>
              <w:t xml:space="preserve">主观分</w:t>
            </w:r>
            <w:r>
              <w:rPr>
                <w:rFonts w:hint="eastAsia" w:ascii="宋体" w:hAnsi="宋体" w:cs="宋体"/>
                <w:b/>
                <w:sz w:val="24"/>
              </w:rPr>
            </w:r>
            <w:r/>
          </w:p>
        </w:tc>
        <w:tc>
          <w:tcPr>
            <w:tcW w:w="840" w:type="dxa"/>
            <w:vAlign w:val="center"/>
            <w:textDirection w:val="lrTb"/>
            <w:noWrap w:val="false"/>
          </w:tcPr>
          <w:p>
            <w:pPr>
              <w:pStyle w:val="995"/>
              <w:ind w:firstLine="28"/>
              <w:jc w:val="center"/>
              <w:rPr>
                <w:rFonts w:ascii="宋体" w:hAnsi="宋体" w:cs="宋体"/>
                <w:b/>
                <w:sz w:val="24"/>
              </w:rPr>
            </w:pPr>
            <w:r>
              <w:rPr>
                <w:rFonts w:hint="eastAsia" w:ascii="宋体" w:hAnsi="宋体" w:cs="宋体"/>
                <w:b/>
                <w:sz w:val="24"/>
              </w:rPr>
              <w:t xml:space="preserve">20</w:t>
            </w:r>
            <w:r>
              <w:rPr>
                <w:rFonts w:ascii="宋体" w:hAnsi="宋体" w:cs="宋体"/>
                <w:b/>
                <w:sz w:val="24"/>
              </w:rPr>
            </w:r>
            <w:r/>
          </w:p>
        </w:tc>
        <w:tc>
          <w:tcPr>
            <w:tcW w:w="4808" w:type="dxa"/>
            <w:vAlign w:val="center"/>
            <w:textDirection w:val="lrTb"/>
            <w:noWrap w:val="false"/>
          </w:tcPr>
          <w:p>
            <w:pPr>
              <w:pStyle w:val="995"/>
              <w:rPr>
                <w:rFonts w:hint="eastAsia" w:ascii="宋体" w:hAnsi="宋体" w:cs="宋体"/>
                <w:sz w:val="24"/>
              </w:rPr>
            </w:pPr>
            <w:r>
              <w:rPr>
                <w:rFonts w:hint="eastAsia" w:ascii="宋体" w:hAnsi="宋体" w:cs="宋体"/>
                <w:sz w:val="24"/>
              </w:rPr>
            </w:r>
            <w:r/>
          </w:p>
        </w:tc>
        <w:tc>
          <w:tcPr>
            <w:tcW w:w="2466" w:type="dxa"/>
            <w:vAlign w:val="center"/>
            <w:textDirection w:val="lrTb"/>
            <w:noWrap w:val="false"/>
          </w:tcPr>
          <w:p>
            <w:pPr>
              <w:pStyle w:val="995"/>
              <w:rPr>
                <w:rFonts w:hint="eastAsia" w:ascii="宋体" w:hAnsi="宋体" w:cs="宋体"/>
                <w:sz w:val="24"/>
              </w:rPr>
            </w:pPr>
            <w:r>
              <w:rPr>
                <w:rFonts w:hint="eastAsia" w:ascii="宋体" w:hAnsi="宋体" w:cs="宋体"/>
                <w:sz w:val="24"/>
              </w:rPr>
            </w:r>
            <w:r/>
          </w:p>
        </w:tc>
      </w:tr>
      <w:tr>
        <w:trPr>
          <w:trHeight w:val="2553"/>
        </w:trPr>
        <w:tc>
          <w:tcPr>
            <w:tcW w:w="763"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41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bCs/>
                <w:sz w:val="24"/>
              </w:rPr>
              <w:t xml:space="preserve">服务方案</w:t>
            </w:r>
            <w:r>
              <w:rPr>
                <w:rFonts w:hint="eastAsia" w:ascii="宋体" w:hAnsi="宋体" w:cs="宋体"/>
                <w:sz w:val="24"/>
              </w:rPr>
            </w:r>
            <w:r/>
          </w:p>
        </w:tc>
        <w:tc>
          <w:tcPr>
            <w:tcW w:w="84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4808" w:type="dxa"/>
            <w:vAlign w:val="center"/>
            <w:textDirection w:val="lrTb"/>
            <w:noWrap w:val="false"/>
          </w:tcPr>
          <w:p>
            <w:pPr>
              <w:pStyle w:val="995"/>
              <w:jc w:val="left"/>
              <w:spacing w:before="100" w:beforeAutospacing="1" w:after="100" w:afterAutospacing="1"/>
              <w:widowControl/>
              <w:rPr>
                <w:rFonts w:hint="eastAsia" w:ascii="宋体" w:hAnsi="宋体" w:cs="宋体"/>
                <w:sz w:val="24"/>
              </w:rPr>
            </w:pPr>
            <w:r>
              <w:rPr>
                <w:rFonts w:hint="eastAsia" w:ascii="宋体" w:hAnsi="宋体" w:cs="宋体"/>
                <w:bCs/>
                <w:sz w:val="24"/>
              </w:rPr>
              <w:t xml:space="preserve">根据投标人提供的服务方案充分考虑用户实际需求、层次清晰、方案完整性、针对性、合理性进行综合评审：概况详细，组织机构健全，总体安排科学、合理、规范、高效的得8分；概述相对详细，组织机构设置较齐全，总体安排比较可行、科学、合理、规范的得5分；概述简单，组织机构设置松散、总体安排笼统的得2分；不提供不得分。</w:t>
            </w:r>
            <w:r>
              <w:rPr>
                <w:rFonts w:hint="eastAsia" w:ascii="宋体" w:hAnsi="宋体" w:cs="宋体"/>
                <w:sz w:val="24"/>
              </w:rPr>
            </w:r>
            <w:r/>
          </w:p>
        </w:tc>
        <w:tc>
          <w:tcPr>
            <w:tcW w:w="2466" w:type="dxa"/>
            <w:vAlign w:val="center"/>
            <w:vMerge w:val="restart"/>
            <w:textDirection w:val="lrTb"/>
            <w:noWrap w:val="false"/>
          </w:tcPr>
          <w:p>
            <w:pPr>
              <w:pStyle w:val="995"/>
              <w:rPr>
                <w:rFonts w:hint="eastAsia" w:ascii="宋体" w:hAnsi="宋体" w:cs="宋体"/>
                <w:b/>
                <w:sz w:val="24"/>
              </w:rPr>
            </w:pPr>
            <w:r>
              <w:rPr>
                <w:rFonts w:hint="eastAsia" w:ascii="宋体" w:hAnsi="宋体" w:cs="宋体"/>
                <w:b/>
                <w:sz w:val="24"/>
              </w:rPr>
              <w:t xml:space="preserve">须提供服务方案，否则不得分</w:t>
            </w:r>
            <w:r>
              <w:rPr>
                <w:rFonts w:hint="eastAsia" w:ascii="宋体" w:hAnsi="宋体" w:cs="宋体"/>
                <w:b/>
                <w:sz w:val="24"/>
              </w:rPr>
            </w:r>
            <w:r/>
          </w:p>
        </w:tc>
      </w:tr>
      <w:tr>
        <w:trPr>
          <w:trHeight w:val="1683"/>
        </w:trPr>
        <w:tc>
          <w:tcPr>
            <w:tcW w:w="763" w:type="dxa"/>
            <w:vAlign w:val="center"/>
            <w:textDirection w:val="lrTb"/>
            <w:noWrap w:val="false"/>
          </w:tcPr>
          <w:p>
            <w:pPr>
              <w:pStyle w:val="995"/>
              <w:ind w:firstLine="28"/>
              <w:jc w:val="center"/>
              <w:rPr>
                <w:rFonts w:ascii="宋体" w:hAnsi="宋体" w:cs="宋体"/>
                <w:sz w:val="24"/>
              </w:rPr>
            </w:pPr>
            <w:r>
              <w:rPr>
                <w:rFonts w:hint="eastAsia" w:ascii="宋体" w:hAnsi="宋体" w:cs="宋体"/>
                <w:sz w:val="24"/>
              </w:rPr>
              <w:t xml:space="preserve">2.2</w:t>
            </w:r>
            <w:r>
              <w:rPr>
                <w:rFonts w:ascii="宋体" w:hAnsi="宋体" w:cs="宋体"/>
                <w:sz w:val="24"/>
              </w:rPr>
            </w:r>
            <w:r/>
          </w:p>
        </w:tc>
        <w:tc>
          <w:tcPr>
            <w:tcW w:w="1410" w:type="dxa"/>
            <w:vAlign w:val="center"/>
            <w:textDirection w:val="lrTb"/>
            <w:noWrap w:val="false"/>
          </w:tcPr>
          <w:p>
            <w:pPr>
              <w:pStyle w:val="995"/>
              <w:ind w:firstLine="28"/>
              <w:jc w:val="center"/>
              <w:rPr>
                <w:rFonts w:ascii="宋体" w:hAnsi="宋体" w:cs="宋体"/>
                <w:sz w:val="24"/>
              </w:rPr>
            </w:pPr>
            <w:r>
              <w:rPr>
                <w:rFonts w:hint="eastAsia" w:ascii="宋体" w:hAnsi="宋体" w:cs="宋体"/>
                <w:sz w:val="24"/>
              </w:rPr>
              <w:t xml:space="preserve">应急抢修方案</w:t>
            </w:r>
            <w:r>
              <w:rPr>
                <w:rFonts w:ascii="宋体" w:hAnsi="宋体" w:cs="宋体"/>
                <w:sz w:val="24"/>
              </w:rPr>
            </w:r>
            <w:r/>
          </w:p>
        </w:tc>
        <w:tc>
          <w:tcPr>
            <w:tcW w:w="84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4808" w:type="dxa"/>
            <w:vAlign w:val="center"/>
            <w:textDirection w:val="lrTb"/>
            <w:noWrap w:val="false"/>
          </w:tcPr>
          <w:p>
            <w:pPr>
              <w:pStyle w:val="995"/>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针对包括变电站失电事故、火灾、设备故障、突发恶劣天气等方面，编制抢修应急预案及故障处置方案，评委对方案的合理性及对招标人现场实际情况的针对性进行综合评定：预案完整详细、科学合理，可操作性强的得8分；预案较完善，基本符合项目情况，操作性尚可的得5分；预案缺失不完善，操作性不强的得2分；未提供不得分。</w:t>
            </w:r>
            <w:r>
              <w:rPr>
                <w:rFonts w:hint="eastAsia" w:ascii="宋体" w:hAnsi="宋体" w:cs="宋体"/>
                <w:sz w:val="24"/>
              </w:rPr>
            </w:r>
            <w:r/>
          </w:p>
        </w:tc>
        <w:tc>
          <w:tcPr>
            <w:tcW w:w="2466" w:type="dxa"/>
            <w:vAlign w:val="center"/>
            <w:vMerge w:val="continue"/>
            <w:textDirection w:val="lrTb"/>
            <w:noWrap w:val="false"/>
          </w:tcPr>
          <w:p>
            <w:pPr>
              <w:pStyle w:val="995"/>
              <w:rPr>
                <w:rFonts w:hint="eastAsia" w:ascii="宋体" w:hAnsi="宋体" w:cs="宋体"/>
                <w:b/>
                <w:sz w:val="24"/>
              </w:rPr>
            </w:pPr>
            <w:r>
              <w:rPr>
                <w:rFonts w:hint="eastAsia" w:ascii="宋体" w:hAnsi="宋体" w:cs="宋体"/>
                <w:b/>
                <w:sz w:val="24"/>
              </w:rPr>
            </w:r>
            <w:r/>
          </w:p>
        </w:tc>
      </w:tr>
      <w:tr>
        <w:trPr>
          <w:trHeight w:val="1448"/>
        </w:trPr>
        <w:tc>
          <w:tcPr>
            <w:tcW w:w="763"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41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合理化建议及增值服务</w:t>
            </w:r>
            <w:r>
              <w:rPr>
                <w:rFonts w:hint="eastAsia" w:ascii="宋体" w:hAnsi="宋体" w:cs="宋体"/>
                <w:sz w:val="24"/>
              </w:rPr>
            </w:r>
            <w:r/>
          </w:p>
        </w:tc>
        <w:tc>
          <w:tcPr>
            <w:tcW w:w="84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4808" w:type="dxa"/>
            <w:vAlign w:val="center"/>
            <w:textDirection w:val="lrTb"/>
            <w:noWrap w:val="false"/>
          </w:tcPr>
          <w:p>
            <w:pPr>
              <w:pStyle w:val="995"/>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对泵站变电所运维及电气零星维修提出切实可行的合理化建议并提供免费服务，酌情评分：科学、健全的得4分；比较科学、比较健全的得2分；比较简单或可实现性不强的得</w:t>
            </w:r>
            <w:r>
              <w:rPr>
                <w:rFonts w:hint="eastAsia" w:ascii="宋体" w:hAnsi="宋体" w:cs="宋体"/>
                <w:bCs/>
                <w:sz w:val="24"/>
              </w:rPr>
              <w:t xml:space="preserve">不得分</w:t>
            </w:r>
            <w:r>
              <w:rPr>
                <w:rFonts w:hint="eastAsia" w:ascii="宋体" w:hAnsi="宋体" w:cs="宋体"/>
                <w:sz w:val="24"/>
              </w:rPr>
              <w:t xml:space="preserve">。</w:t>
            </w:r>
            <w:r>
              <w:rPr>
                <w:rFonts w:hint="eastAsia" w:ascii="宋体" w:hAnsi="宋体" w:cs="宋体"/>
                <w:sz w:val="24"/>
              </w:rPr>
            </w:r>
            <w:r/>
          </w:p>
        </w:tc>
        <w:tc>
          <w:tcPr>
            <w:tcW w:w="2466" w:type="dxa"/>
            <w:vAlign w:val="center"/>
            <w:vMerge w:val="continue"/>
            <w:textDirection w:val="lrTb"/>
            <w:noWrap w:val="false"/>
          </w:tcPr>
          <w:p>
            <w:pPr>
              <w:pStyle w:val="995"/>
              <w:rPr>
                <w:rFonts w:hint="eastAsia" w:ascii="宋体" w:hAnsi="宋体" w:cs="宋体"/>
                <w:b/>
                <w:sz w:val="24"/>
              </w:rPr>
            </w:pPr>
            <w:r>
              <w:rPr>
                <w:rFonts w:hint="eastAsia" w:ascii="宋体" w:hAnsi="宋体" w:cs="宋体"/>
                <w:b/>
                <w:sz w:val="24"/>
              </w:rPr>
            </w:r>
            <w:r/>
          </w:p>
        </w:tc>
      </w:tr>
      <w:tr>
        <w:trPr/>
        <w:tc>
          <w:tcPr>
            <w:tcW w:w="763" w:type="dxa"/>
            <w:vAlign w:val="center"/>
            <w:textDirection w:val="lrTb"/>
            <w:noWrap w:val="false"/>
          </w:tcPr>
          <w:p>
            <w:pPr>
              <w:pStyle w:val="995"/>
              <w:ind w:firstLine="28"/>
              <w:jc w:val="center"/>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rPr>
            </w:r>
            <w:r/>
          </w:p>
        </w:tc>
        <w:tc>
          <w:tcPr>
            <w:tcW w:w="1410" w:type="dxa"/>
            <w:vAlign w:val="center"/>
            <w:textDirection w:val="lrTb"/>
            <w:noWrap w:val="false"/>
          </w:tcPr>
          <w:p>
            <w:pPr>
              <w:pStyle w:val="995"/>
              <w:ind w:firstLine="28"/>
              <w:jc w:val="center"/>
              <w:rPr>
                <w:rFonts w:hint="eastAsia" w:ascii="宋体" w:hAnsi="宋体" w:cs="宋体"/>
                <w:b/>
                <w:sz w:val="24"/>
              </w:rPr>
            </w:pPr>
            <w:r>
              <w:rPr>
                <w:rFonts w:hint="eastAsia" w:ascii="宋体" w:hAnsi="宋体" w:cs="宋体"/>
                <w:b/>
                <w:sz w:val="24"/>
              </w:rPr>
              <w:t xml:space="preserve">客观分</w:t>
            </w:r>
            <w:r>
              <w:rPr>
                <w:rFonts w:hint="eastAsia" w:ascii="宋体" w:hAnsi="宋体" w:cs="宋体"/>
                <w:b/>
                <w:sz w:val="24"/>
              </w:rPr>
            </w:r>
            <w:r/>
          </w:p>
        </w:tc>
        <w:tc>
          <w:tcPr>
            <w:tcW w:w="840" w:type="dxa"/>
            <w:vAlign w:val="center"/>
            <w:textDirection w:val="lrTb"/>
            <w:noWrap w:val="false"/>
          </w:tcPr>
          <w:p>
            <w:pPr>
              <w:pStyle w:val="995"/>
              <w:ind w:firstLine="28"/>
              <w:jc w:val="center"/>
              <w:rPr>
                <w:rFonts w:ascii="宋体" w:hAnsi="宋体" w:cs="宋体"/>
                <w:b/>
                <w:sz w:val="24"/>
              </w:rPr>
            </w:pPr>
            <w:r>
              <w:rPr>
                <w:rFonts w:hint="eastAsia" w:ascii="宋体" w:hAnsi="宋体" w:cs="宋体"/>
                <w:b/>
                <w:sz w:val="24"/>
              </w:rPr>
              <w:t xml:space="preserve">60</w:t>
            </w:r>
            <w:r>
              <w:rPr>
                <w:rFonts w:ascii="宋体" w:hAnsi="宋体" w:cs="宋体"/>
                <w:b/>
                <w:sz w:val="24"/>
              </w:rPr>
            </w:r>
            <w:r/>
          </w:p>
        </w:tc>
        <w:tc>
          <w:tcPr>
            <w:tcW w:w="4808" w:type="dxa"/>
            <w:vAlign w:val="center"/>
            <w:textDirection w:val="lrTb"/>
            <w:noWrap w:val="false"/>
          </w:tcPr>
          <w:p>
            <w:pPr>
              <w:pStyle w:val="995"/>
              <w:rPr>
                <w:rFonts w:hint="eastAsia" w:ascii="宋体" w:hAnsi="宋体" w:cs="宋体"/>
                <w:sz w:val="24"/>
              </w:rPr>
            </w:pPr>
            <w:r>
              <w:rPr>
                <w:rFonts w:hint="eastAsia" w:ascii="宋体" w:hAnsi="宋体" w:cs="宋体"/>
                <w:sz w:val="24"/>
              </w:rPr>
            </w:r>
            <w:r/>
          </w:p>
        </w:tc>
        <w:tc>
          <w:tcPr>
            <w:tcW w:w="2466" w:type="dxa"/>
            <w:vAlign w:val="center"/>
            <w:textDirection w:val="lrTb"/>
            <w:noWrap w:val="false"/>
          </w:tcPr>
          <w:p>
            <w:pPr>
              <w:pStyle w:val="995"/>
              <w:rPr>
                <w:rFonts w:hint="eastAsia" w:ascii="宋体" w:hAnsi="宋体" w:cs="宋体"/>
                <w:sz w:val="24"/>
              </w:rPr>
            </w:pPr>
            <w:r>
              <w:rPr>
                <w:rFonts w:hint="eastAsia" w:ascii="宋体" w:hAnsi="宋体" w:cs="宋体"/>
                <w:sz w:val="24"/>
              </w:rPr>
            </w:r>
            <w:r/>
          </w:p>
        </w:tc>
      </w:tr>
      <w:tr>
        <w:trPr/>
        <w:tc>
          <w:tcPr>
            <w:tcW w:w="763"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41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投标人业绩</w:t>
            </w:r>
            <w:r>
              <w:rPr>
                <w:rFonts w:hint="eastAsia" w:ascii="宋体" w:hAnsi="宋体" w:cs="宋体"/>
                <w:sz w:val="24"/>
              </w:rPr>
            </w:r>
            <w:r/>
          </w:p>
        </w:tc>
        <w:tc>
          <w:tcPr>
            <w:tcW w:w="840" w:type="dxa"/>
            <w:vAlign w:val="center"/>
            <w:textDirection w:val="lrTb"/>
            <w:noWrap w:val="false"/>
          </w:tcPr>
          <w:p>
            <w:pPr>
              <w:pStyle w:val="995"/>
              <w:ind w:firstLine="28"/>
              <w:jc w:val="center"/>
              <w:rPr>
                <w:rFonts w:ascii="宋体" w:hAnsi="宋体" w:cs="宋体"/>
                <w:sz w:val="24"/>
              </w:rPr>
            </w:pPr>
            <w:r>
              <w:rPr>
                <w:rFonts w:hint="eastAsia" w:ascii="宋体" w:hAnsi="宋体" w:cs="宋体"/>
                <w:sz w:val="24"/>
              </w:rPr>
              <w:t xml:space="preserve">20</w:t>
            </w:r>
            <w:r>
              <w:rPr>
                <w:rFonts w:ascii="宋体" w:hAnsi="宋体" w:cs="宋体"/>
                <w:sz w:val="24"/>
              </w:rPr>
            </w:r>
            <w:r/>
          </w:p>
        </w:tc>
        <w:tc>
          <w:tcPr>
            <w:tcW w:w="4808" w:type="dxa"/>
            <w:vAlign w:val="center"/>
            <w:textDirection w:val="lrTb"/>
            <w:noWrap w:val="false"/>
          </w:tcPr>
          <w:p>
            <w:pPr>
              <w:pStyle w:val="995"/>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投标人近3年内（从投标截止时间往前推算）</w:t>
            </w:r>
            <w:r>
              <w:rPr>
                <w:rFonts w:hint="eastAsia" w:ascii="宋体" w:hAnsi="宋体" w:cs="宋体"/>
                <w:bCs/>
                <w:sz w:val="24"/>
              </w:rPr>
              <w:t xml:space="preserve">承担过的类似本项目的</w:t>
            </w:r>
            <w:r>
              <w:rPr>
                <w:rFonts w:hint="eastAsia" w:ascii="宋体" w:hAnsi="宋体" w:cs="宋体"/>
                <w:bCs/>
                <w:sz w:val="24"/>
              </w:rPr>
              <w:t xml:space="preserve">变电所运行维护委托管理</w:t>
            </w:r>
            <w:r>
              <w:rPr>
                <w:rFonts w:hint="eastAsia" w:ascii="宋体" w:hAnsi="宋体" w:cs="宋体"/>
                <w:bCs/>
                <w:sz w:val="24"/>
              </w:rPr>
              <w:t xml:space="preserve">业绩</w:t>
            </w:r>
            <w:r>
              <w:rPr>
                <w:rFonts w:hint="eastAsia" w:ascii="宋体" w:hAnsi="宋体" w:cs="宋体"/>
                <w:sz w:val="24"/>
              </w:rPr>
              <w:t xml:space="preserve">。每提供1份得4分，本项最高得 20分。</w:t>
            </w:r>
            <w:r>
              <w:rPr>
                <w:rFonts w:hint="eastAsia" w:ascii="宋体" w:hAnsi="宋体" w:cs="宋体"/>
                <w:sz w:val="24"/>
              </w:rPr>
            </w:r>
            <w:r/>
          </w:p>
        </w:tc>
        <w:tc>
          <w:tcPr>
            <w:tcW w:w="2466" w:type="dxa"/>
            <w:vAlign w:val="center"/>
            <w:textDirection w:val="lrTb"/>
            <w:noWrap w:val="false"/>
          </w:tcPr>
          <w:p>
            <w:pPr>
              <w:pStyle w:val="995"/>
              <w:rPr>
                <w:rFonts w:hint="eastAsia" w:ascii="宋体" w:hAnsi="宋体" w:cs="宋体"/>
                <w:b/>
                <w:sz w:val="24"/>
              </w:rPr>
            </w:pPr>
            <w:r>
              <w:rPr>
                <w:rFonts w:hint="eastAsia" w:ascii="宋体" w:hAnsi="宋体" w:cs="宋体"/>
                <w:b/>
                <w:sz w:val="24"/>
              </w:rPr>
              <w:t xml:space="preserve">须提供合同扫描件和任意一次结算发票并加盖投标人公章，否则不得分</w:t>
            </w:r>
            <w:r>
              <w:rPr>
                <w:rFonts w:hint="eastAsia" w:ascii="宋体" w:hAnsi="宋体" w:cs="宋体"/>
                <w:b/>
                <w:sz w:val="24"/>
              </w:rPr>
            </w:r>
            <w:r/>
          </w:p>
        </w:tc>
      </w:tr>
      <w:tr>
        <w:trPr>
          <w:trHeight w:val="1625"/>
        </w:trPr>
        <w:tc>
          <w:tcPr>
            <w:tcW w:w="763" w:type="dxa"/>
            <w:vAlign w:val="center"/>
            <w:textDirection w:val="lrTb"/>
            <w:noWrap w:val="false"/>
          </w:tcPr>
          <w:p>
            <w:pPr>
              <w:pStyle w:val="995"/>
              <w:ind w:firstLine="28"/>
              <w:jc w:val="center"/>
              <w:rPr>
                <w:rFonts w:ascii="宋体" w:hAnsi="宋体" w:cs="宋体"/>
                <w:sz w:val="24"/>
              </w:rPr>
            </w:pPr>
            <w:r>
              <w:rPr>
                <w:rFonts w:hint="eastAsia" w:ascii="宋体" w:hAnsi="宋体" w:cs="宋体"/>
                <w:sz w:val="24"/>
              </w:rPr>
              <w:t xml:space="preserve">3.2</w:t>
            </w:r>
            <w:r>
              <w:rPr>
                <w:rFonts w:ascii="宋体" w:hAnsi="宋体" w:cs="宋体"/>
                <w:sz w:val="24"/>
              </w:rPr>
            </w:r>
            <w:r/>
          </w:p>
        </w:tc>
        <w:tc>
          <w:tcPr>
            <w:tcW w:w="1410" w:type="dxa"/>
            <w:vAlign w:val="center"/>
            <w:textDirection w:val="lrTb"/>
            <w:noWrap w:val="false"/>
          </w:tcPr>
          <w:p>
            <w:pPr>
              <w:pStyle w:val="995"/>
              <w:ind w:firstLine="28"/>
              <w:jc w:val="center"/>
              <w:rPr>
                <w:rFonts w:ascii="宋体" w:hAnsi="宋体" w:cs="宋体"/>
                <w:sz w:val="24"/>
              </w:rPr>
            </w:pPr>
            <w:r>
              <w:rPr>
                <w:rFonts w:hint="eastAsia" w:ascii="宋体" w:hAnsi="宋体" w:cs="宋体"/>
                <w:sz w:val="24"/>
              </w:rPr>
              <w:t xml:space="preserve">项目负责人业绩</w:t>
            </w:r>
            <w:r>
              <w:rPr>
                <w:rFonts w:ascii="宋体" w:hAnsi="宋体" w:cs="宋体"/>
                <w:sz w:val="24"/>
              </w:rPr>
            </w:r>
            <w:r/>
          </w:p>
        </w:tc>
        <w:tc>
          <w:tcPr>
            <w:tcW w:w="84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4808" w:type="dxa"/>
            <w:vAlign w:val="center"/>
            <w:textDirection w:val="lrTb"/>
            <w:noWrap w:val="false"/>
          </w:tcPr>
          <w:p>
            <w:pPr>
              <w:pStyle w:val="995"/>
              <w:rPr>
                <w:rFonts w:hint="eastAsia" w:ascii="宋体" w:hAnsi="宋体" w:cs="宋体"/>
                <w:bCs/>
                <w:sz w:val="24"/>
              </w:rPr>
            </w:pPr>
            <w:r>
              <w:rPr>
                <w:rFonts w:hint="eastAsia" w:ascii="宋体" w:hAnsi="宋体" w:cs="宋体"/>
                <w:sz w:val="24"/>
              </w:rPr>
              <w:t xml:space="preserve">投标人</w:t>
            </w:r>
            <w:r>
              <w:rPr>
                <w:rFonts w:hint="eastAsia" w:ascii="宋体" w:hAnsi="宋体" w:cs="宋体"/>
                <w:bCs/>
                <w:sz w:val="24"/>
              </w:rPr>
              <w:t xml:space="preserve">拟投入本项目的项目负责人承担过</w:t>
            </w:r>
            <w:r>
              <w:rPr>
                <w:rFonts w:hint="eastAsia" w:ascii="宋体" w:hAnsi="宋体" w:cs="宋体"/>
                <w:bCs/>
                <w:sz w:val="24"/>
              </w:rPr>
              <w:t xml:space="preserve">类似本项目的</w:t>
            </w:r>
            <w:r>
              <w:rPr>
                <w:rFonts w:hint="eastAsia" w:ascii="宋体" w:hAnsi="宋体" w:cs="宋体"/>
                <w:bCs/>
                <w:sz w:val="24"/>
              </w:rPr>
              <w:t xml:space="preserve">变电所运行维护委托管理</w:t>
            </w:r>
            <w:r>
              <w:rPr>
                <w:rFonts w:hint="eastAsia" w:ascii="宋体" w:hAnsi="宋体" w:cs="宋体"/>
                <w:bCs/>
                <w:sz w:val="24"/>
              </w:rPr>
              <w:t xml:space="preserve">业绩</w:t>
            </w:r>
            <w:r>
              <w:rPr>
                <w:rFonts w:hint="eastAsia" w:ascii="宋体" w:hAnsi="宋体" w:cs="宋体"/>
                <w:bCs/>
                <w:sz w:val="24"/>
              </w:rPr>
              <w:t xml:space="preserve">，每有1个业绩得2分，本项最高得6分。</w:t>
            </w:r>
            <w:r>
              <w:rPr>
                <w:rFonts w:hint="eastAsia" w:ascii="宋体" w:hAnsi="宋体" w:cs="宋体"/>
                <w:bCs/>
                <w:sz w:val="24"/>
              </w:rPr>
            </w:r>
            <w:r/>
          </w:p>
        </w:tc>
        <w:tc>
          <w:tcPr>
            <w:tcW w:w="2466" w:type="dxa"/>
            <w:vAlign w:val="center"/>
            <w:textDirection w:val="lrTb"/>
            <w:noWrap w:val="false"/>
          </w:tcPr>
          <w:p>
            <w:pPr>
              <w:pStyle w:val="995"/>
              <w:rPr>
                <w:rFonts w:hint="eastAsia" w:ascii="宋体" w:hAnsi="宋体" w:cs="宋体"/>
                <w:bCs/>
                <w:color w:val="000000"/>
                <w:sz w:val="24"/>
                <w:highlight w:val="none"/>
              </w:rPr>
            </w:pPr>
            <w:r>
              <w:rPr>
                <w:rFonts w:hint="eastAsia" w:ascii="宋体" w:hAnsi="宋体" w:cs="宋体"/>
                <w:b/>
                <w:color w:val="000000"/>
                <w:sz w:val="24"/>
                <w:highlight w:val="none"/>
              </w:rPr>
              <w:t xml:space="preserve">须提供①项目合同扫描件，合同中必须体现该人员担任项目经理岗位，如合同中无项目经理姓名的应提供甲方证明并加盖公章；②投标人2026年5月至2026年7月（其中任意一个月）为项目负责人缴纳社保证明材料扫描件并加盖投标人公章</w:t>
            </w:r>
            <w:r>
              <w:rPr>
                <w:rFonts w:hint="eastAsia" w:ascii="宋体" w:hAnsi="宋体" w:cs="宋体"/>
                <w:bCs/>
                <w:color w:val="000000"/>
                <w:sz w:val="24"/>
                <w:highlight w:val="none"/>
              </w:rPr>
            </w:r>
            <w:r/>
          </w:p>
        </w:tc>
      </w:tr>
      <w:tr>
        <w:trPr>
          <w:trHeight w:val="1714"/>
        </w:trPr>
        <w:tc>
          <w:tcPr>
            <w:tcW w:w="763" w:type="dxa"/>
            <w:vAlign w:val="center"/>
            <w:vMerge w:val="restart"/>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3.3</w:t>
            </w:r>
            <w:r>
              <w:rPr>
                <w:rFonts w:hint="eastAsia" w:ascii="宋体" w:hAnsi="宋体" w:cs="宋体"/>
                <w:sz w:val="24"/>
              </w:rPr>
            </w:r>
            <w:r/>
          </w:p>
        </w:tc>
        <w:tc>
          <w:tcPr>
            <w:tcW w:w="1410" w:type="dxa"/>
            <w:vAlign w:val="center"/>
            <w:vMerge w:val="restart"/>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拟投入的人员</w:t>
            </w:r>
            <w:r>
              <w:rPr>
                <w:rFonts w:hint="eastAsia" w:ascii="宋体" w:hAnsi="宋体" w:cs="宋体"/>
                <w:sz w:val="24"/>
              </w:rPr>
            </w:r>
            <w:r/>
          </w:p>
        </w:tc>
        <w:tc>
          <w:tcPr>
            <w:tcW w:w="840" w:type="dxa"/>
            <w:vAlign w:val="center"/>
            <w:textDirection w:val="lrTb"/>
            <w:noWrap w:val="false"/>
          </w:tcPr>
          <w:p>
            <w:pPr>
              <w:pStyle w:val="995"/>
              <w:ind w:firstLine="28"/>
              <w:jc w:val="center"/>
              <w:rPr>
                <w:rFonts w:ascii="宋体" w:hAnsi="宋体" w:cs="宋体"/>
                <w:sz w:val="24"/>
              </w:rPr>
            </w:pPr>
            <w:r>
              <w:rPr>
                <w:rFonts w:hint="eastAsia" w:ascii="宋体" w:hAnsi="宋体" w:cs="宋体"/>
                <w:sz w:val="24"/>
              </w:rPr>
              <w:t xml:space="preserve">12</w:t>
            </w:r>
            <w:r>
              <w:rPr>
                <w:rFonts w:ascii="宋体" w:hAnsi="宋体" w:cs="宋体"/>
                <w:sz w:val="24"/>
              </w:rPr>
            </w:r>
            <w:r/>
          </w:p>
        </w:tc>
        <w:tc>
          <w:tcPr>
            <w:tcW w:w="4808" w:type="dxa"/>
            <w:vAlign w:val="center"/>
            <w:textDirection w:val="lrTb"/>
            <w:noWrap w:val="false"/>
          </w:tcPr>
          <w:p>
            <w:pPr>
              <w:pStyle w:val="995"/>
              <w:rPr>
                <w:rFonts w:hint="eastAsia" w:ascii="宋体" w:hAnsi="宋体" w:cs="宋体"/>
                <w:bCs/>
                <w:sz w:val="24"/>
              </w:rPr>
            </w:pPr>
            <w:r>
              <w:rPr>
                <w:rFonts w:hint="eastAsia" w:ascii="宋体" w:hAnsi="宋体" w:cs="宋体"/>
                <w:bCs/>
                <w:sz w:val="24"/>
              </w:rPr>
              <w:t xml:space="preserve">项目负责人具有具有机电工程二级证书的得3分，具有机电工程一级建造师证书的得6分；</w:t>
            </w:r>
            <w:r>
              <w:rPr>
                <w:rFonts w:hint="eastAsia" w:ascii="宋体" w:hAnsi="宋体" w:cs="宋体"/>
                <w:bCs/>
                <w:sz w:val="24"/>
              </w:rPr>
            </w:r>
            <w:r/>
          </w:p>
          <w:p>
            <w:pPr>
              <w:pStyle w:val="995"/>
              <w:rPr>
                <w:rFonts w:ascii="宋体" w:hAnsi="宋体" w:cs="宋体"/>
                <w:bCs/>
                <w:sz w:val="24"/>
              </w:rPr>
            </w:pPr>
            <w:r>
              <w:rPr>
                <w:rFonts w:hint="eastAsia" w:ascii="宋体" w:hAnsi="宋体" w:cs="宋体"/>
                <w:bCs/>
                <w:sz w:val="24"/>
              </w:rPr>
              <w:t xml:space="preserve">项目负责人具有电气（电力、机电）等相关专业中级职称的得3分，高级职称的得6分。</w:t>
            </w:r>
            <w:r>
              <w:rPr>
                <w:rFonts w:ascii="宋体" w:hAnsi="宋体" w:cs="宋体"/>
                <w:bCs/>
                <w:sz w:val="24"/>
              </w:rPr>
            </w:r>
            <w:r/>
          </w:p>
        </w:tc>
        <w:tc>
          <w:tcPr>
            <w:tcW w:w="2466" w:type="dxa"/>
            <w:vAlign w:val="center"/>
            <w:vMerge w:val="restart"/>
            <w:textDirection w:val="lrTb"/>
            <w:noWrap w:val="false"/>
          </w:tcPr>
          <w:p>
            <w:pPr>
              <w:pStyle w:val="995"/>
              <w:rPr>
                <w:rFonts w:hint="eastAsia" w:ascii="宋体" w:hAnsi="宋体" w:cs="宋体"/>
                <w:b/>
                <w:color w:val="000000"/>
                <w:sz w:val="24"/>
                <w:highlight w:val="none"/>
              </w:rPr>
            </w:pPr>
            <w:r>
              <w:rPr>
                <w:rFonts w:hint="eastAsia" w:ascii="宋体" w:hAnsi="宋体" w:cs="宋体"/>
                <w:b/>
                <w:bCs/>
                <w:color w:val="000000"/>
                <w:sz w:val="24"/>
                <w:highlight w:val="none"/>
              </w:rPr>
              <w:t xml:space="preserve">须提供人员有效期内的相关证书及投标人2026年5月至2026年7月（其中任意一个月）为其缴纳社保证明材料扫描件并加盖投标人公章，否则不得分</w:t>
            </w:r>
            <w:r>
              <w:rPr>
                <w:rFonts w:hint="eastAsia" w:ascii="宋体" w:hAnsi="宋体" w:cs="宋体"/>
                <w:b/>
                <w:color w:val="000000"/>
                <w:sz w:val="24"/>
                <w:highlight w:val="none"/>
              </w:rPr>
            </w:r>
            <w:r/>
          </w:p>
        </w:tc>
      </w:tr>
      <w:tr>
        <w:trPr>
          <w:trHeight w:val="962"/>
        </w:trPr>
        <w:tc>
          <w:tcPr>
            <w:tcW w:w="763" w:type="dxa"/>
            <w:vAlign w:val="center"/>
            <w:vMerge w:val="continue"/>
            <w:textDirection w:val="lrTb"/>
            <w:noWrap w:val="false"/>
          </w:tcPr>
          <w:p>
            <w:pPr>
              <w:pStyle w:val="995"/>
              <w:ind w:firstLine="28"/>
              <w:jc w:val="center"/>
              <w:rPr>
                <w:rFonts w:hint="eastAsia" w:ascii="宋体" w:hAnsi="宋体" w:cs="宋体"/>
                <w:sz w:val="24"/>
              </w:rPr>
            </w:pPr>
            <w:r>
              <w:rPr>
                <w:rFonts w:hint="eastAsia" w:ascii="宋体" w:hAnsi="宋体" w:cs="宋体"/>
                <w:sz w:val="24"/>
              </w:rPr>
            </w:r>
            <w:r/>
          </w:p>
        </w:tc>
        <w:tc>
          <w:tcPr>
            <w:tcW w:w="1410" w:type="dxa"/>
            <w:vAlign w:val="center"/>
            <w:vMerge w:val="continue"/>
            <w:textDirection w:val="lrTb"/>
            <w:noWrap w:val="false"/>
          </w:tcPr>
          <w:p>
            <w:pPr>
              <w:pStyle w:val="995"/>
              <w:ind w:firstLine="28"/>
              <w:jc w:val="center"/>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4808" w:type="dxa"/>
            <w:vAlign w:val="center"/>
            <w:textDirection w:val="lrTb"/>
            <w:noWrap w:val="false"/>
          </w:tcPr>
          <w:p>
            <w:pPr>
              <w:pStyle w:val="995"/>
              <w:rPr>
                <w:rFonts w:hint="eastAsia" w:ascii="宋体" w:hAnsi="宋体" w:cs="宋体"/>
                <w:sz w:val="24"/>
              </w:rPr>
            </w:pPr>
            <w:r>
              <w:rPr>
                <w:rFonts w:hint="eastAsia" w:ascii="宋体" w:hAnsi="宋体" w:cs="宋体"/>
                <w:bCs/>
                <w:sz w:val="24"/>
              </w:rPr>
              <w:t xml:space="preserve">为本项目配备专职安全员的，安全员持有安全生产考核合格证（</w:t>
            </w:r>
            <w:r>
              <w:rPr>
                <w:rFonts w:hint="eastAsia" w:ascii="宋体" w:hAnsi="宋体" w:cs="宋体"/>
                <w:b/>
                <w:bCs/>
                <w:sz w:val="24"/>
              </w:rPr>
              <w:t xml:space="preserve">仅限</w:t>
            </w:r>
            <w:r>
              <w:rPr>
                <w:rFonts w:hint="eastAsia" w:ascii="宋体" w:hAnsi="宋体" w:cs="宋体"/>
                <w:bCs/>
                <w:sz w:val="24"/>
              </w:rPr>
              <w:t xml:space="preserve">C证）的</w:t>
            </w:r>
            <w:r>
              <w:rPr>
                <w:rFonts w:hint="eastAsia" w:ascii="宋体" w:hAnsi="宋体" w:cs="宋体"/>
                <w:sz w:val="24"/>
              </w:rPr>
              <w:t xml:space="preserve">得2分。</w:t>
            </w:r>
            <w:r>
              <w:rPr>
                <w:rFonts w:hint="eastAsia" w:ascii="宋体" w:hAnsi="宋体" w:cs="宋体"/>
                <w:sz w:val="24"/>
              </w:rPr>
            </w:r>
            <w:r/>
          </w:p>
        </w:tc>
        <w:tc>
          <w:tcPr>
            <w:tcW w:w="2466" w:type="dxa"/>
            <w:vAlign w:val="center"/>
            <w:vMerge w:val="continue"/>
            <w:textDirection w:val="lrTb"/>
            <w:noWrap w:val="false"/>
          </w:tcPr>
          <w:p>
            <w:pPr>
              <w:pStyle w:val="995"/>
              <w:rPr>
                <w:rFonts w:hint="eastAsia" w:ascii="宋体" w:hAnsi="宋体" w:cs="宋体"/>
                <w:b/>
                <w:sz w:val="24"/>
              </w:rPr>
            </w:pPr>
            <w:r>
              <w:rPr>
                <w:rFonts w:hint="eastAsia" w:ascii="宋体" w:hAnsi="宋体" w:cs="宋体"/>
                <w:b/>
                <w:sz w:val="24"/>
              </w:rPr>
            </w:r>
            <w:r/>
          </w:p>
        </w:tc>
      </w:tr>
      <w:tr>
        <w:trPr>
          <w:trHeight w:val="1184"/>
        </w:trPr>
        <w:tc>
          <w:tcPr>
            <w:tcW w:w="763" w:type="dxa"/>
            <w:vAlign w:val="center"/>
            <w:vMerge w:val="continue"/>
            <w:textDirection w:val="lrTb"/>
            <w:noWrap w:val="false"/>
          </w:tcPr>
          <w:p>
            <w:pPr>
              <w:pStyle w:val="995"/>
              <w:ind w:firstLine="28"/>
              <w:jc w:val="center"/>
              <w:rPr>
                <w:rFonts w:hint="eastAsia" w:ascii="宋体" w:hAnsi="宋体" w:cs="宋体"/>
                <w:sz w:val="24"/>
              </w:rPr>
            </w:pPr>
            <w:r>
              <w:rPr>
                <w:rFonts w:hint="eastAsia" w:ascii="宋体" w:hAnsi="宋体" w:cs="宋体"/>
                <w:sz w:val="24"/>
              </w:rPr>
            </w:r>
            <w:r/>
          </w:p>
        </w:tc>
        <w:tc>
          <w:tcPr>
            <w:tcW w:w="1410" w:type="dxa"/>
            <w:vAlign w:val="center"/>
            <w:vMerge w:val="continue"/>
            <w:textDirection w:val="lrTb"/>
            <w:noWrap w:val="false"/>
          </w:tcPr>
          <w:p>
            <w:pPr>
              <w:pStyle w:val="995"/>
              <w:ind w:firstLine="28"/>
              <w:jc w:val="center"/>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4808" w:type="dxa"/>
            <w:vAlign w:val="center"/>
            <w:textDirection w:val="lrTb"/>
            <w:noWrap w:val="false"/>
          </w:tcPr>
          <w:p>
            <w:pPr>
              <w:pStyle w:val="995"/>
              <w:rPr>
                <w:rFonts w:hint="eastAsia" w:ascii="宋体" w:hAnsi="宋体" w:cs="宋体"/>
                <w:bCs/>
                <w:sz w:val="24"/>
              </w:rPr>
            </w:pPr>
            <w:r>
              <w:rPr>
                <w:rFonts w:hint="eastAsia" w:ascii="宋体" w:hAnsi="宋体" w:cs="宋体"/>
                <w:bCs/>
                <w:sz w:val="24"/>
              </w:rPr>
              <w:t xml:space="preserve">为本项目配备</w:t>
            </w:r>
            <w:r>
              <w:rPr>
                <w:rFonts w:hint="eastAsia" w:ascii="宋体" w:hAnsi="宋体" w:cs="宋体"/>
                <w:sz w:val="24"/>
              </w:rPr>
              <w:t xml:space="preserve">人员持有高压电工证人数≥6人的得8分；3人≤持有高压电工证人数＜6人的得6分；1人≤持有高压电工证人数＜3人的得4分。</w:t>
            </w:r>
            <w:r>
              <w:rPr>
                <w:rFonts w:hint="eastAsia" w:ascii="宋体" w:hAnsi="宋体" w:cs="宋体"/>
                <w:bCs/>
                <w:sz w:val="24"/>
              </w:rPr>
            </w:r>
            <w:r/>
          </w:p>
        </w:tc>
        <w:tc>
          <w:tcPr>
            <w:tcW w:w="2466" w:type="dxa"/>
            <w:vAlign w:val="center"/>
            <w:vMerge w:val="continue"/>
            <w:textDirection w:val="lrTb"/>
            <w:noWrap w:val="false"/>
          </w:tcPr>
          <w:p>
            <w:pPr>
              <w:pStyle w:val="995"/>
              <w:rPr>
                <w:rFonts w:hint="eastAsia" w:ascii="宋体" w:hAnsi="宋体" w:cs="宋体"/>
                <w:b/>
                <w:bCs/>
                <w:sz w:val="24"/>
              </w:rPr>
            </w:pPr>
            <w:r>
              <w:rPr>
                <w:rFonts w:hint="eastAsia" w:ascii="宋体" w:hAnsi="宋体" w:cs="宋体"/>
                <w:b/>
                <w:bCs/>
                <w:sz w:val="24"/>
              </w:rPr>
            </w:r>
            <w:r/>
          </w:p>
        </w:tc>
      </w:tr>
      <w:tr>
        <w:trPr>
          <w:trHeight w:val="912"/>
        </w:trPr>
        <w:tc>
          <w:tcPr>
            <w:tcW w:w="763" w:type="dxa"/>
            <w:vAlign w:val="center"/>
            <w:vMerge w:val="continue"/>
            <w:textDirection w:val="lrTb"/>
            <w:noWrap w:val="false"/>
          </w:tcPr>
          <w:p>
            <w:pPr>
              <w:pStyle w:val="995"/>
              <w:ind w:firstLine="28"/>
              <w:jc w:val="center"/>
              <w:rPr>
                <w:rFonts w:hint="eastAsia" w:ascii="宋体" w:hAnsi="宋体" w:cs="宋体"/>
                <w:sz w:val="24"/>
              </w:rPr>
            </w:pPr>
            <w:r>
              <w:rPr>
                <w:rFonts w:hint="eastAsia" w:ascii="宋体" w:hAnsi="宋体" w:cs="宋体"/>
                <w:sz w:val="24"/>
              </w:rPr>
            </w:r>
            <w:r/>
          </w:p>
        </w:tc>
        <w:tc>
          <w:tcPr>
            <w:tcW w:w="1410" w:type="dxa"/>
            <w:vAlign w:val="center"/>
            <w:vMerge w:val="continue"/>
            <w:textDirection w:val="lrTb"/>
            <w:noWrap w:val="false"/>
          </w:tcPr>
          <w:p>
            <w:pPr>
              <w:pStyle w:val="995"/>
              <w:ind w:firstLine="28"/>
              <w:jc w:val="center"/>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4808" w:type="dxa"/>
            <w:vAlign w:val="center"/>
            <w:textDirection w:val="lrTb"/>
            <w:noWrap w:val="false"/>
          </w:tcPr>
          <w:p>
            <w:pPr>
              <w:pStyle w:val="995"/>
              <w:rPr>
                <w:rFonts w:hint="eastAsia" w:ascii="宋体" w:hAnsi="宋体" w:cs="宋体"/>
                <w:sz w:val="24"/>
              </w:rPr>
            </w:pPr>
            <w:r>
              <w:rPr>
                <w:rFonts w:hint="eastAsia" w:ascii="宋体" w:hAnsi="宋体" w:cs="宋体"/>
                <w:bCs/>
                <w:sz w:val="24"/>
              </w:rPr>
              <w:t xml:space="preserve">为本项目配备</w:t>
            </w:r>
            <w:r>
              <w:rPr>
                <w:rFonts w:hint="eastAsia" w:ascii="宋体" w:hAnsi="宋体" w:cs="宋体"/>
                <w:sz w:val="24"/>
              </w:rPr>
              <w:t xml:space="preserve">人员持有电气试验、继电保护特种作业证的，有一个得3分，最多得6分。</w:t>
            </w:r>
            <w:r>
              <w:rPr>
                <w:rFonts w:hint="eastAsia" w:ascii="宋体" w:hAnsi="宋体" w:cs="宋体"/>
                <w:sz w:val="24"/>
              </w:rPr>
            </w:r>
            <w:r/>
          </w:p>
        </w:tc>
        <w:tc>
          <w:tcPr>
            <w:tcW w:w="2466" w:type="dxa"/>
            <w:vAlign w:val="center"/>
            <w:vMerge w:val="continue"/>
            <w:textDirection w:val="lrTb"/>
            <w:noWrap w:val="false"/>
          </w:tcPr>
          <w:p>
            <w:pPr>
              <w:pStyle w:val="995"/>
              <w:rPr>
                <w:rFonts w:hint="eastAsia" w:ascii="宋体" w:hAnsi="宋体" w:cs="宋体"/>
                <w:b/>
                <w:bCs/>
                <w:sz w:val="24"/>
              </w:rPr>
            </w:pPr>
            <w:r>
              <w:rPr>
                <w:rFonts w:hint="eastAsia" w:ascii="宋体" w:hAnsi="宋体" w:cs="宋体"/>
                <w:b/>
                <w:bCs/>
                <w:sz w:val="24"/>
              </w:rPr>
            </w:r>
            <w:r/>
          </w:p>
        </w:tc>
      </w:tr>
      <w:tr>
        <w:trPr>
          <w:trHeight w:val="1230"/>
        </w:trPr>
        <w:tc>
          <w:tcPr>
            <w:tcW w:w="763"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3.4</w:t>
            </w:r>
            <w:r>
              <w:rPr>
                <w:rFonts w:hint="eastAsia" w:ascii="宋体" w:hAnsi="宋体" w:cs="宋体"/>
                <w:sz w:val="24"/>
              </w:rPr>
            </w:r>
            <w:r/>
          </w:p>
        </w:tc>
        <w:tc>
          <w:tcPr>
            <w:tcW w:w="141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认证证书</w:t>
            </w:r>
            <w:r>
              <w:rPr>
                <w:rFonts w:hint="eastAsia" w:ascii="宋体" w:hAnsi="宋体" w:cs="宋体"/>
                <w:sz w:val="24"/>
              </w:rPr>
            </w:r>
            <w:r/>
          </w:p>
        </w:tc>
        <w:tc>
          <w:tcPr>
            <w:tcW w:w="84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4808" w:type="dxa"/>
            <w:vAlign w:val="center"/>
            <w:textDirection w:val="lrTb"/>
            <w:noWrap w:val="false"/>
          </w:tcPr>
          <w:p>
            <w:pPr>
              <w:pStyle w:val="995"/>
              <w:rPr>
                <w:rFonts w:hint="eastAsia" w:ascii="宋体" w:hAnsi="宋体" w:cs="宋体"/>
                <w:sz w:val="24"/>
              </w:rPr>
            </w:pPr>
            <w:r>
              <w:rPr>
                <w:rFonts w:hint="eastAsia" w:ascii="宋体" w:hAnsi="宋体" w:cs="宋体"/>
                <w:sz w:val="24"/>
              </w:rPr>
              <w:t xml:space="preserve">投标人具有有效的质量管理体系认证、环境管理体系认证、职业健康安全管理体系认证证书，每有一项得2 分，本项最高得6分。</w:t>
            </w:r>
            <w:r>
              <w:rPr>
                <w:rFonts w:hint="eastAsia" w:ascii="宋体" w:hAnsi="宋体" w:cs="宋体"/>
                <w:sz w:val="24"/>
              </w:rPr>
            </w:r>
            <w:r/>
          </w:p>
        </w:tc>
        <w:tc>
          <w:tcPr>
            <w:tcW w:w="2466" w:type="dxa"/>
            <w:vAlign w:val="center"/>
            <w:textDirection w:val="lrTb"/>
            <w:noWrap w:val="false"/>
          </w:tcPr>
          <w:p>
            <w:pPr>
              <w:pStyle w:val="995"/>
              <w:rPr>
                <w:rFonts w:hint="eastAsia" w:ascii="宋体" w:hAnsi="宋体" w:cs="宋体"/>
                <w:sz w:val="24"/>
              </w:rPr>
            </w:pPr>
            <w:r>
              <w:rPr>
                <w:rFonts w:hint="eastAsia" w:ascii="宋体" w:hAnsi="宋体" w:cs="宋体"/>
                <w:b/>
                <w:bCs/>
                <w:sz w:val="24"/>
              </w:rPr>
              <w:t xml:space="preserve">须提供有效的认证证书扫描件并加盖投标人公章，未提供不得分</w:t>
            </w:r>
            <w:r>
              <w:rPr>
                <w:rFonts w:hint="eastAsia" w:ascii="宋体" w:hAnsi="宋体" w:cs="宋体"/>
                <w:sz w:val="24"/>
              </w:rPr>
            </w:r>
            <w:r/>
          </w:p>
        </w:tc>
      </w:tr>
      <w:tr>
        <w:trPr>
          <w:trHeight w:val="437"/>
        </w:trPr>
        <w:tc>
          <w:tcPr>
            <w:gridSpan w:val="2"/>
            <w:tcW w:w="2173"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合计</w:t>
            </w:r>
            <w:r>
              <w:rPr>
                <w:rFonts w:hint="eastAsia" w:ascii="宋体" w:hAnsi="宋体" w:cs="宋体"/>
                <w:sz w:val="24"/>
              </w:rPr>
            </w:r>
            <w:r/>
          </w:p>
        </w:tc>
        <w:tc>
          <w:tcPr>
            <w:tcW w:w="840" w:type="dxa"/>
            <w:vAlign w:val="center"/>
            <w:textDirection w:val="lrTb"/>
            <w:noWrap w:val="false"/>
          </w:tcPr>
          <w:p>
            <w:pPr>
              <w:pStyle w:val="995"/>
              <w:ind w:firstLine="28"/>
              <w:jc w:val="center"/>
              <w:rPr>
                <w:rFonts w:hint="eastAsia" w:ascii="宋体" w:hAnsi="宋体" w:cs="宋体"/>
                <w:sz w:val="24"/>
              </w:rPr>
            </w:pPr>
            <w:r>
              <w:rPr>
                <w:rFonts w:hint="eastAsia" w:ascii="宋体" w:hAnsi="宋体" w:cs="宋体"/>
                <w:sz w:val="24"/>
              </w:rPr>
              <w:t xml:space="preserve">100</w:t>
            </w:r>
            <w:r>
              <w:rPr>
                <w:rFonts w:hint="eastAsia" w:ascii="宋体" w:hAnsi="宋体" w:cs="宋体"/>
                <w:sz w:val="24"/>
              </w:rPr>
            </w:r>
            <w:r/>
          </w:p>
        </w:tc>
        <w:tc>
          <w:tcPr>
            <w:gridSpan w:val="2"/>
            <w:tcW w:w="7274" w:type="dxa"/>
            <w:vAlign w:val="center"/>
            <w:textDirection w:val="lrTb"/>
            <w:noWrap w:val="false"/>
          </w:tcPr>
          <w:p>
            <w:pPr>
              <w:pStyle w:val="995"/>
              <w:rPr>
                <w:rFonts w:hint="eastAsia" w:ascii="宋体" w:hAnsi="宋体" w:cs="宋体"/>
                <w:sz w:val="24"/>
              </w:rPr>
            </w:pPr>
            <w:r>
              <w:rPr>
                <w:rFonts w:hint="eastAsia" w:ascii="宋体" w:hAnsi="宋体" w:cs="宋体"/>
                <w:sz w:val="24"/>
              </w:rPr>
            </w:r>
            <w:r/>
          </w:p>
        </w:tc>
      </w:tr>
    </w:tbl>
    <w:p>
      <w:pPr>
        <w:pStyle w:val="995"/>
        <w:jc w:val="center"/>
        <w:spacing w:line="360" w:lineRule="auto"/>
        <w:tabs>
          <w:tab w:val="left" w:pos="360" w:leader="none"/>
          <w:tab w:val="left" w:pos="900" w:leader="none"/>
        </w:tabs>
        <w:rPr>
          <w:rFonts w:hint="eastAsia"/>
          <w:b/>
          <w:sz w:val="24"/>
        </w:rPr>
      </w:pPr>
      <w:r>
        <w:rPr>
          <w:rFonts w:hint="eastAsia"/>
          <w:b/>
          <w:sz w:val="24"/>
        </w:rPr>
      </w:r>
      <w:r/>
    </w:p>
    <w:p>
      <w:pPr>
        <w:pStyle w:val="995"/>
        <w:jc w:val="center"/>
        <w:spacing w:line="360" w:lineRule="auto"/>
        <w:tabs>
          <w:tab w:val="left" w:pos="360" w:leader="none"/>
          <w:tab w:val="left" w:pos="900" w:leader="none"/>
        </w:tabs>
        <w:rPr>
          <w:rFonts w:hint="eastAsia"/>
          <w:b/>
          <w:sz w:val="24"/>
        </w:rPr>
      </w:pPr>
      <w:r>
        <w:rPr>
          <w:rFonts w:hint="eastAsia"/>
          <w:b/>
          <w:sz w:val="24"/>
        </w:rPr>
      </w:r>
      <w:r/>
    </w:p>
    <w:p>
      <w:pPr>
        <w:pStyle w:val="995"/>
        <w:jc w:val="center"/>
        <w:spacing w:line="360" w:lineRule="auto"/>
        <w:rPr>
          <w:b/>
          <w:sz w:val="36"/>
          <w:szCs w:val="36"/>
        </w:rPr>
        <w:outlineLvl w:val="0"/>
      </w:pPr>
      <w:r>
        <w:rPr>
          <w:b/>
          <w:sz w:val="36"/>
          <w:szCs w:val="36"/>
        </w:rPr>
        <w:br w:type="page" w:clear="all"/>
      </w:r>
      <w:bookmarkStart w:id="814" w:name="_Toc28243"/>
      <w:r>
        <w:rPr>
          <w:b/>
          <w:sz w:val="36"/>
          <w:szCs w:val="36"/>
        </w:rPr>
        <w:t xml:space="preserve">第五章   采购需求</w:t>
      </w:r>
      <w:bookmarkEnd w:id="814"/>
      <w:r>
        <w:rPr>
          <w:b/>
          <w:sz w:val="36"/>
          <w:szCs w:val="36"/>
        </w:rPr>
      </w:r>
      <w:r/>
    </w:p>
    <w:p>
      <w:pPr>
        <w:pStyle w:val="995"/>
        <w:ind w:firstLine="480"/>
        <w:spacing w:line="360" w:lineRule="auto"/>
        <w:rPr>
          <w:rFonts w:ascii="宋体" w:hAnsi="宋体"/>
          <w:sz w:val="24"/>
        </w:rPr>
      </w:pPr>
      <w:r>
        <w:rPr>
          <w:rFonts w:hint="eastAsia" w:ascii="宋体" w:hAnsi="宋体"/>
          <w:sz w:val="24"/>
        </w:rPr>
        <w:t xml:space="preserve">受常州市排水管理处的委托，江苏中冠工程咨询有限公司作为招标代理机构，就其单位所需</w:t>
      </w:r>
      <w:r>
        <w:rPr>
          <w:rFonts w:hint="eastAsia" w:ascii="宋体" w:hAnsi="宋体"/>
          <w:sz w:val="24"/>
          <w:lang w:eastAsia="zh-CN"/>
        </w:rPr>
        <w:t xml:space="preserve">2026-2029年变电所运维及电气零星维修</w:t>
      </w:r>
      <w:r>
        <w:rPr>
          <w:rFonts w:hint="eastAsia" w:ascii="宋体" w:hAnsi="宋体"/>
          <w:sz w:val="24"/>
        </w:rPr>
        <w:t xml:space="preserve">项目进行公开招标采购。</w:t>
      </w:r>
      <w:r>
        <w:rPr>
          <w:rFonts w:ascii="宋体" w:hAnsi="宋体"/>
          <w:sz w:val="24"/>
        </w:rPr>
      </w:r>
      <w:r/>
    </w:p>
    <w:p>
      <w:pPr>
        <w:pStyle w:val="995"/>
        <w:ind w:firstLine="482"/>
        <w:spacing w:line="360" w:lineRule="auto"/>
        <w:rPr>
          <w:rFonts w:hint="eastAsia" w:ascii="宋体" w:hAnsi="宋体" w:cs="宋体"/>
          <w:b/>
          <w:sz w:val="24"/>
        </w:rPr>
        <w:outlineLvl w:val="1"/>
      </w:pPr>
      <w:r/>
      <w:bookmarkStart w:id="815" w:name="_Toc29361"/>
      <w:r>
        <w:rPr>
          <w:rFonts w:hint="eastAsia" w:ascii="宋体" w:hAnsi="宋体" w:cs="宋体"/>
          <w:b/>
          <w:sz w:val="24"/>
        </w:rPr>
        <w:t xml:space="preserve">一、概述</w:t>
      </w:r>
      <w:r>
        <w:rPr>
          <w:rFonts w:hint="eastAsia" w:ascii="宋体" w:hAnsi="宋体" w:cs="宋体"/>
          <w:b/>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1.常州市排水管理处下属泵站数量多、分布广。现对各变电所线下月度巡检、年度停电保养、供配电抢修维修、低压电气零星维修，提出相关要求。主要包含以下几部分内容：</w:t>
      </w:r>
      <w:r>
        <w:rPr>
          <w:rFonts w:hint="eastAsia"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（1）泵站变电所运维的主要内容包括（但不限于）变电所线下月度巡检、电气设备年度停电保养、变电所电气预防性试验、供配电抢修维修、变电所改造、供电施工配合等。</w:t>
      </w:r>
      <w:r>
        <w:rPr>
          <w:rFonts w:hint="eastAsia" w:ascii="宋体" w:hAnsi="宋体" w:cs="宋体"/>
          <w:sz w:val="24"/>
        </w:rPr>
      </w:r>
      <w:r/>
    </w:p>
    <w:p>
      <w:pPr>
        <w:pStyle w:val="995"/>
        <w:ind w:firstLine="480"/>
        <w:spacing w:line="360" w:lineRule="auto"/>
        <w:rPr>
          <w:rFonts w:hint="eastAsia" w:ascii="宋体" w:hAnsi="宋体" w:cs="宋体"/>
          <w:sz w:val="24"/>
        </w:rPr>
      </w:pPr>
      <w:r/>
      <w:bookmarkStart w:id="816" w:name="OLE_LINK9"/>
      <w:r/>
      <w:bookmarkStart w:id="817" w:name="OLE_LINK10"/>
      <w:r>
        <w:rPr>
          <w:rFonts w:hint="eastAsia" w:ascii="宋体" w:hAnsi="宋体" w:cs="宋体"/>
          <w:sz w:val="24"/>
        </w:rPr>
        <w:t xml:space="preserve">（2）泵站低压电气零星维修的主要内容包括（但不限于）泵站设备控制柜、仪表等故障诊断、维修、改造，泵站柴油发电机组及移动发电车的柴油发电机组的按需保养、应急抢修，泵站自控系统PLC柜及无人值守柜的软硬件故障诊断、现场维修、改造等。</w:t>
      </w:r>
      <w:bookmarkEnd w:id="816"/>
      <w:r/>
      <w:bookmarkEnd w:id="817"/>
      <w:r>
        <w:rPr>
          <w:rFonts w:hint="eastAsia"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（3）泵站视频门禁等维保维修的主要内容包括（但不限于）泵站内的视频、门禁设备维修服务。</w:t>
      </w:r>
      <w:r>
        <w:rPr>
          <w:rFonts w:hint="eastAsia"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2.泵站分布及数量：</w:t>
      </w:r>
      <w:r>
        <w:rPr>
          <w:rFonts w:hint="eastAsia"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常州市排水管理处目前管辖的雨污水提升泵站，分为污水提升泵站、水环境截流泵站（井式、非井式）、立交雨水泵站、净水站等200多座；主要分布在常州市天宁区、钟楼区、新北区、经开区等4大辖区，随着城市建设的需要泵站数量还会有所增长。</w:t>
      </w:r>
      <w:r>
        <w:rPr>
          <w:rFonts w:hint="eastAsia" w:ascii="宋体" w:hAnsi="宋体" w:cs="宋体"/>
          <w:sz w:val="24"/>
        </w:rPr>
      </w:r>
      <w:r/>
    </w:p>
    <w:p>
      <w:pPr>
        <w:pStyle w:val="995"/>
        <w:ind w:firstLine="482"/>
        <w:spacing w:line="360" w:lineRule="auto"/>
        <w:rPr>
          <w:rFonts w:hint="eastAsia" w:ascii="宋体" w:hAnsi="宋体" w:cs="宋体"/>
          <w:b/>
          <w:sz w:val="24"/>
        </w:rPr>
        <w:outlineLvl w:val="1"/>
      </w:pPr>
      <w:r>
        <w:rPr>
          <w:rFonts w:hint="eastAsia" w:ascii="宋体" w:hAnsi="宋体" w:cs="宋体"/>
          <w:b/>
          <w:sz w:val="24"/>
        </w:rPr>
        <w:t xml:space="preserve">二、服务要求</w:t>
      </w:r>
      <w:r>
        <w:rPr>
          <w:rFonts w:hint="eastAsia" w:ascii="宋体" w:hAnsi="宋体" w:cs="宋体"/>
          <w:b/>
          <w:sz w:val="24"/>
        </w:rPr>
      </w:r>
      <w:r/>
    </w:p>
    <w:p>
      <w:pPr>
        <w:pStyle w:val="995"/>
        <w:ind w:firstLine="482"/>
        <w:spacing w:line="360" w:lineRule="auto"/>
        <w:rPr>
          <w:rFonts w:hint="eastAsia" w:ascii="宋体" w:hAnsi="宋体" w:cs="宋体"/>
          <w:b/>
          <w:bCs/>
          <w:sz w:val="24"/>
        </w:rPr>
      </w:pPr>
      <w:r>
        <w:rPr>
          <w:rFonts w:hint="eastAsia" w:ascii="宋体" w:hAnsi="宋体" w:cs="宋体"/>
          <w:b/>
          <w:bCs/>
          <w:sz w:val="24"/>
        </w:rPr>
        <w:t xml:space="preserve">（一）泵站变电所运维</w:t>
      </w:r>
      <w:r>
        <w:rPr>
          <w:rFonts w:hint="eastAsia" w:ascii="宋体" w:hAnsi="宋体" w:cs="宋体"/>
          <w:b/>
          <w:bCs/>
          <w:sz w:val="24"/>
        </w:rPr>
      </w:r>
      <w:r/>
    </w:p>
    <w:p>
      <w:pPr>
        <w:pStyle w:val="995"/>
        <w:ind w:firstLine="480"/>
        <w:spacing w:line="360" w:lineRule="auto"/>
        <w:rPr>
          <w:rFonts w:ascii="宋体" w:hAnsi="宋体" w:cs="宋体"/>
          <w:sz w:val="24"/>
        </w:rPr>
      </w:pPr>
      <w:r>
        <w:rPr>
          <w:rFonts w:hint="eastAsia" w:ascii="宋体" w:hAnsi="宋体" w:cs="宋体"/>
          <w:sz w:val="24"/>
        </w:rPr>
        <w:t xml:space="preserve">1.服务响应速度要求高：抢修任务响应不得超过1小时（赶到现场并及时进行处理）。在汛期或其它特殊情况下，响应时间会有更严格的要求；</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2.服务内容专业技术要求高：维护抢修服务单位需要对变电所高低压成套柜、变压器、交直流屏柜、无功补偿柜等有抢修、维修和改造经验，对柜内元器件配件供应需有较强的供应能力且备有相应的库存；</w:t>
      </w:r>
      <w:r>
        <w:rPr>
          <w:rFonts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3.保养服务难度大：部分变电所由于不具备长时间全所停电的条件，变电所年度停电保养需制订不同的停电方案，并报送招标人认可后方可实施。另外部分变电所受限于停电时间、停电范围等因素，年度保养存在不能一次完成全部内容的情况时，需要考虑分次进行；</w:t>
      </w:r>
      <w:r>
        <w:rPr>
          <w:rFonts w:hint="eastAsia"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4.本服务工程中乙供电缆采用国标电缆；</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维修</w:t>
      </w:r>
      <w:r>
        <w:rPr>
          <w:rFonts w:hint="eastAsia" w:ascii="宋体" w:hAnsi="宋体" w:cs="宋体"/>
          <w:sz w:val="24"/>
        </w:rPr>
        <w:t xml:space="preserve">完成后由招标人进行验收，</w:t>
      </w:r>
      <w:r>
        <w:rPr>
          <w:rFonts w:ascii="宋体" w:hAnsi="宋体" w:cs="宋体"/>
          <w:sz w:val="24"/>
        </w:rPr>
        <w:t xml:space="preserve">维修</w:t>
      </w:r>
      <w:r>
        <w:rPr>
          <w:rFonts w:hint="eastAsia" w:ascii="宋体" w:hAnsi="宋体" w:cs="宋体"/>
          <w:sz w:val="24"/>
        </w:rPr>
        <w:t xml:space="preserve">质保期1年，自验收合格之日起计算。在质保期内因中标人维修的质量问题导致设备故障的，中标人应负责返修，由此产生的所有费用由中标人承担，同时质保期顺延6个月，延长后总期限不超过2年，经双方确认的其他情况除外；</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6.中标人应在工程结束验收后，及时会同招标人完成签证。签证资料需符合招标人审计部门要求，对于中标人提供的所有电气元器件需详细标出品牌、规格型号等参数；</w:t>
      </w:r>
      <w:r>
        <w:rPr>
          <w:rFonts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7.在完成相应的维修任务后，按需对招标人的相关人员就维修中碰到的问题，处理的方法，更换电气元器件的使用操作，维护要求，注意事项等做详尽的交底培训；</w:t>
      </w:r>
      <w:r>
        <w:rPr>
          <w:rFonts w:hint="eastAsia"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8.投标方必须为负责该项目的变电所运维人员购买100万的雇主险。</w:t>
      </w:r>
      <w:r>
        <w:rPr>
          <w:rFonts w:ascii="宋体" w:hAnsi="宋体" w:cs="宋体"/>
          <w:sz w:val="24"/>
        </w:rPr>
      </w:r>
      <w:r/>
    </w:p>
    <w:p>
      <w:pPr>
        <w:pStyle w:val="995"/>
        <w:ind w:firstLine="482"/>
        <w:spacing w:line="360" w:lineRule="auto"/>
        <w:rPr>
          <w:rFonts w:hint="eastAsia" w:ascii="宋体" w:hAnsi="宋体" w:cs="宋体"/>
          <w:b/>
          <w:bCs/>
          <w:sz w:val="24"/>
        </w:rPr>
      </w:pPr>
      <w:r>
        <w:rPr>
          <w:rFonts w:hint="eastAsia" w:ascii="宋体" w:hAnsi="宋体" w:cs="宋体"/>
          <w:b/>
          <w:bCs/>
          <w:sz w:val="24"/>
        </w:rPr>
        <w:t xml:space="preserve">（二）泵站低压电气零星维修</w:t>
      </w:r>
      <w:r>
        <w:rPr>
          <w:rFonts w:hint="eastAsia" w:ascii="宋体" w:hAnsi="宋体" w:cs="宋体"/>
          <w:b/>
          <w:bCs/>
          <w:sz w:val="24"/>
        </w:rPr>
      </w:r>
      <w:r/>
    </w:p>
    <w:p>
      <w:pPr>
        <w:pStyle w:val="995"/>
        <w:ind w:firstLine="480"/>
        <w:spacing w:line="360" w:lineRule="auto"/>
        <w:rPr>
          <w:rFonts w:ascii="宋体" w:hAnsi="宋体" w:cs="宋体"/>
          <w:sz w:val="24"/>
        </w:rPr>
      </w:pPr>
      <w:r>
        <w:rPr>
          <w:rFonts w:hint="eastAsia" w:ascii="宋体" w:hAnsi="宋体" w:cs="宋体"/>
          <w:sz w:val="24"/>
        </w:rPr>
        <w:t xml:space="preserve">1.重大维修现场应配备相应的项目管理人员、现场管理人员和安全员等相关人员；</w:t>
      </w:r>
      <w:r>
        <w:rPr>
          <w:rFonts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2.投标单位管理人员和施工人员必须对招标人服务工程现场和设备情况熟悉，有电气设备的维修服务工作经验；</w:t>
      </w:r>
      <w:r>
        <w:rPr>
          <w:rFonts w:hint="eastAsia"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3、投标单位应</w:t>
      </w:r>
      <w:r>
        <w:rPr>
          <w:rFonts w:hint="eastAsia" w:ascii="宋体" w:hAnsi="宋体"/>
          <w:sz w:val="24"/>
        </w:rPr>
        <w:t xml:space="preserve">具备对柴油发电机进行常规保养、维护及应急抢修的能力，对电气仪表和自控系统具有故障诊断、维修改造经验和能力；</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4.必须配备电气维修的常用施工工具；</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5.需配备常用电气试验仪器及设备；</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6.维修现场自备彩条旗或警示围拦标志；</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7.应保持抢修、维修人员配备安全帽、绝缘手套、绝缘靴等安全保护用品；</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8.应具备随时租、调提高劳动力效率的机械，如发电机、电焊机、叉车、吊车、登高作业车等大型施工机械的能力。</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9.在接到招标人任务后，2个工作日内安排人员现场查看，</w:t>
      </w:r>
      <w:bookmarkStart w:id="818" w:name="OLE_LINK4"/>
      <w:r/>
      <w:bookmarkStart w:id="819" w:name="OLE_LINK3"/>
      <w:r>
        <w:rPr>
          <w:rFonts w:hint="eastAsia" w:ascii="宋体" w:hAnsi="宋体" w:cs="宋体"/>
          <w:sz w:val="24"/>
        </w:rPr>
        <w:t xml:space="preserve">并按招标人要求的时间完成维修、改造等任务（否则需提出书面延期申请并得到招标人同意）；逾期按合同相应条款执行</w:t>
      </w:r>
      <w:bookmarkEnd w:id="818"/>
      <w:r/>
      <w:bookmarkEnd w:id="819"/>
      <w:r>
        <w:rPr>
          <w:rFonts w:hint="eastAsia" w:ascii="宋体" w:hAnsi="宋体" w:cs="宋体"/>
          <w:sz w:val="24"/>
        </w:rPr>
        <w:t xml:space="preserve">；</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10.本服务工程中乙供电缆采用国标电缆；</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11.</w:t>
      </w:r>
      <w:r>
        <w:rPr>
          <w:rFonts w:ascii="宋体" w:hAnsi="宋体" w:cs="宋体"/>
          <w:sz w:val="24"/>
        </w:rPr>
        <w:t xml:space="preserve">维修</w:t>
      </w:r>
      <w:r>
        <w:rPr>
          <w:rFonts w:hint="eastAsia" w:ascii="宋体" w:hAnsi="宋体" w:cs="宋体"/>
          <w:sz w:val="24"/>
        </w:rPr>
        <w:t xml:space="preserve">完成后由招标人进行验收，</w:t>
      </w:r>
      <w:r>
        <w:rPr>
          <w:rFonts w:ascii="宋体" w:hAnsi="宋体" w:cs="宋体"/>
          <w:sz w:val="24"/>
        </w:rPr>
        <w:t xml:space="preserve">维修</w:t>
      </w:r>
      <w:r>
        <w:rPr>
          <w:rFonts w:hint="eastAsia" w:ascii="宋体" w:hAnsi="宋体" w:cs="宋体"/>
          <w:sz w:val="24"/>
        </w:rPr>
        <w:t xml:space="preserve">质保期1年，自验收合格之日起计算。在质保期内因中标人维修的质量问题导致设备故障的，中标人应负责返修，由此产生的所有费用由中标人承担，同时质保期顺延6个月，延长后总期限不超过2年，经双方确认的其他情况除外；</w:t>
      </w:r>
      <w:r>
        <w:rPr>
          <w:rFonts w:ascii="宋体" w:hAnsi="宋体" w:cs="宋体"/>
          <w:sz w:val="24"/>
        </w:rPr>
      </w:r>
      <w:r/>
    </w:p>
    <w:p>
      <w:pPr>
        <w:pStyle w:val="995"/>
        <w:ind w:firstLine="480"/>
        <w:spacing w:line="360" w:lineRule="auto"/>
        <w:rPr>
          <w:rFonts w:ascii="宋体" w:hAnsi="宋体" w:cs="宋体"/>
          <w:sz w:val="24"/>
        </w:rPr>
      </w:pPr>
      <w:r/>
      <w:bookmarkStart w:id="820" w:name="OLE_LINK6"/>
      <w:r>
        <w:rPr>
          <w:rFonts w:hint="eastAsia" w:ascii="宋体" w:hAnsi="宋体" w:cs="宋体"/>
          <w:sz w:val="24"/>
        </w:rPr>
        <w:t xml:space="preserve">12.中标人应在工程结束验收后，及时会同招标人完成签证。签证资料需符合招标人审计部门要求，对于中标人提供的所有电气元器件需详细标出品牌、规格型号等参数</w:t>
      </w:r>
      <w:bookmarkEnd w:id="820"/>
      <w:r>
        <w:rPr>
          <w:rFonts w:hint="eastAsia" w:ascii="宋体" w:hAnsi="宋体" w:cs="宋体"/>
          <w:sz w:val="24"/>
        </w:rPr>
        <w:t xml:space="preserve">；</w:t>
      </w:r>
      <w:r>
        <w:rPr>
          <w:rFonts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13.在完成相应的维修任务后，</w:t>
      </w:r>
      <w:bookmarkStart w:id="821" w:name="OLE_LINK5"/>
      <w:r>
        <w:rPr>
          <w:rFonts w:hint="eastAsia" w:ascii="宋体" w:hAnsi="宋体" w:cs="宋体"/>
          <w:sz w:val="24"/>
        </w:rPr>
        <w:t xml:space="preserve">按需对招标人的相关人员就维修中碰到的问题，处理的方法，更换电气元器件的使用操作，维护要求，注意事项等做详尽的交底培训；</w:t>
      </w:r>
      <w:r>
        <w:rPr>
          <w:rFonts w:hint="eastAsia" w:ascii="宋体" w:hAnsi="宋体" w:cs="宋体"/>
          <w:sz w:val="24"/>
        </w:rPr>
      </w:r>
      <w:r/>
    </w:p>
    <w:p>
      <w:pPr>
        <w:pStyle w:val="995"/>
        <w:ind w:firstLine="480"/>
        <w:spacing w:line="360" w:lineRule="auto"/>
        <w:rPr>
          <w:rFonts w:ascii="宋体" w:hAnsi="宋体" w:cs="宋体"/>
          <w:sz w:val="24"/>
          <w:highlight w:val="none"/>
        </w:rPr>
      </w:pPr>
      <w:r>
        <w:rPr>
          <w:rFonts w:hint="eastAsia" w:ascii="宋体" w:hAnsi="宋体" w:cs="宋体"/>
          <w:sz w:val="24"/>
        </w:rPr>
        <w:t xml:space="preserve">14.投标</w:t>
      </w:r>
      <w:r>
        <w:rPr>
          <w:rFonts w:hint="eastAsia" w:ascii="宋体" w:hAnsi="宋体" w:cs="宋体"/>
          <w:sz w:val="24"/>
          <w:highlight w:val="none"/>
        </w:rPr>
        <w:t xml:space="preserve">方必须为负责该项目的电气零星维修人员购买100万的雇主险。</w:t>
      </w:r>
      <w:r>
        <w:rPr>
          <w:rFonts w:ascii="宋体" w:hAnsi="宋体" w:cs="宋体"/>
          <w:sz w:val="24"/>
          <w:highlight w:val="none"/>
        </w:rPr>
      </w:r>
      <w:r/>
    </w:p>
    <w:p>
      <w:pPr>
        <w:pStyle w:val="995"/>
        <w:ind w:firstLine="422"/>
        <w:spacing w:line="360" w:lineRule="auto"/>
        <w:rPr>
          <w:rFonts w:hint="eastAsia" w:ascii="宋体" w:hAnsi="宋体" w:cs="宋体"/>
          <w:b/>
          <w:bCs/>
          <w:sz w:val="24"/>
          <w:highlight w:val="none"/>
        </w:rPr>
      </w:pPr>
      <w:r/>
      <w:bookmarkEnd w:id="821"/>
      <w:r>
        <w:rPr>
          <w:rFonts w:hint="eastAsia"/>
          <w:b/>
          <w:bCs/>
          <w:highlight w:val="none"/>
        </w:rPr>
        <w:t xml:space="preserve">（</w:t>
      </w:r>
      <w:r>
        <w:rPr>
          <w:rFonts w:hint="eastAsia" w:ascii="宋体" w:hAnsi="宋体" w:cs="宋体"/>
          <w:b/>
          <w:bCs/>
          <w:sz w:val="24"/>
          <w:highlight w:val="none"/>
        </w:rPr>
        <w:t xml:space="preserve">三）泵站视频门禁等维保维修</w:t>
      </w:r>
      <w:r>
        <w:rPr>
          <w:rFonts w:hint="eastAsia" w:ascii="宋体" w:hAnsi="宋体" w:cs="宋体"/>
          <w:b/>
          <w:bCs/>
          <w:sz w:val="24"/>
          <w:highlight w:val="none"/>
        </w:rPr>
      </w:r>
      <w:r/>
    </w:p>
    <w:p>
      <w:pPr>
        <w:pStyle w:val="995"/>
        <w:ind w:firstLine="480"/>
        <w:spacing w:line="360" w:lineRule="auto"/>
        <w:rPr>
          <w:rFonts w:ascii="宋体" w:hAnsi="宋体" w:cs="宋体"/>
          <w:sz w:val="24"/>
          <w:highlight w:val="none"/>
        </w:rPr>
      </w:pPr>
      <w:r>
        <w:rPr>
          <w:rFonts w:ascii="宋体" w:hAnsi="宋体" w:cs="宋体"/>
          <w:sz w:val="24"/>
          <w:highlight w:val="none"/>
        </w:rPr>
        <w:t xml:space="preserve">1.时间要求</w:t>
      </w:r>
      <w:r>
        <w:rPr>
          <w:rFonts w:ascii="宋体" w:hAnsi="宋体" w:cs="宋体"/>
          <w:sz w:val="24"/>
          <w:highlight w:val="none"/>
        </w:rPr>
      </w:r>
      <w:r/>
    </w:p>
    <w:p>
      <w:pPr>
        <w:pStyle w:val="995"/>
        <w:ind w:firstLine="480"/>
        <w:spacing w:line="360" w:lineRule="auto"/>
        <w:rPr>
          <w:rFonts w:ascii="宋体" w:hAnsi="宋体" w:cs="宋体"/>
          <w:sz w:val="24"/>
          <w:highlight w:val="none"/>
        </w:rPr>
      </w:pPr>
      <w:r>
        <w:rPr>
          <w:rFonts w:ascii="宋体" w:hAnsi="宋体" w:cs="宋体"/>
          <w:sz w:val="24"/>
          <w:highlight w:val="none"/>
        </w:rPr>
        <w:t xml:space="preserve">1.1接到维修要求后，在</w:t>
      </w:r>
      <w:r>
        <w:rPr>
          <w:rFonts w:hint="eastAsia" w:ascii="宋体" w:hAnsi="宋体" w:cs="宋体"/>
          <w:sz w:val="24"/>
          <w:highlight w:val="none"/>
        </w:rPr>
        <w:t xml:space="preserve">24</w:t>
      </w:r>
      <w:r>
        <w:rPr>
          <w:rFonts w:ascii="宋体" w:hAnsi="宋体" w:cs="宋体"/>
          <w:sz w:val="24"/>
          <w:highlight w:val="none"/>
        </w:rPr>
        <w:t xml:space="preserve">小时内赶到现场</w:t>
      </w:r>
      <w:r>
        <w:rPr>
          <w:rFonts w:hint="eastAsia" w:ascii="宋体" w:hAnsi="宋体" w:cs="宋体"/>
          <w:sz w:val="24"/>
          <w:highlight w:val="none"/>
        </w:rPr>
        <w:t xml:space="preserve">，</w:t>
      </w:r>
      <w:r>
        <w:rPr>
          <w:rFonts w:ascii="宋体" w:hAnsi="宋体" w:cs="宋体"/>
          <w:sz w:val="24"/>
          <w:highlight w:val="none"/>
        </w:rPr>
        <w:t xml:space="preserve">分析判断故障原因</w:t>
      </w:r>
      <w:r>
        <w:rPr>
          <w:rFonts w:hint="eastAsia" w:ascii="宋体" w:hAnsi="宋体" w:cs="宋体"/>
          <w:sz w:val="24"/>
          <w:highlight w:val="none"/>
        </w:rPr>
        <w:t xml:space="preserve">，</w:t>
      </w:r>
      <w:r>
        <w:rPr>
          <w:rFonts w:ascii="宋体" w:hAnsi="宋体" w:cs="宋体"/>
          <w:sz w:val="24"/>
          <w:highlight w:val="none"/>
        </w:rPr>
        <w:t xml:space="preserve">着手开展应急处置措施和维修工作。</w:t>
      </w:r>
      <w:r>
        <w:rPr>
          <w:rFonts w:ascii="宋体" w:hAnsi="宋体" w:cs="宋体"/>
          <w:sz w:val="24"/>
          <w:highlight w:val="none"/>
        </w:rPr>
      </w:r>
      <w:r/>
    </w:p>
    <w:p>
      <w:pPr>
        <w:pStyle w:val="995"/>
        <w:ind w:firstLine="480"/>
        <w:spacing w:line="360" w:lineRule="auto"/>
        <w:rPr>
          <w:rFonts w:ascii="宋体" w:hAnsi="宋体" w:cs="宋体"/>
          <w:sz w:val="24"/>
          <w:highlight w:val="none"/>
        </w:rPr>
      </w:pPr>
      <w:r>
        <w:rPr>
          <w:rFonts w:hint="eastAsia" w:ascii="宋体" w:hAnsi="宋体" w:cs="宋体"/>
          <w:sz w:val="24"/>
          <w:highlight w:val="none"/>
        </w:rPr>
        <w:t xml:space="preserve">1.2 一般性</w:t>
      </w:r>
      <w:r>
        <w:rPr>
          <w:rFonts w:ascii="宋体" w:hAnsi="宋体" w:cs="宋体"/>
          <w:sz w:val="24"/>
          <w:highlight w:val="none"/>
        </w:rPr>
        <w:t xml:space="preserve">维修</w:t>
      </w:r>
      <w:r>
        <w:rPr>
          <w:rFonts w:hint="eastAsia" w:ascii="宋体" w:hAnsi="宋体" w:cs="宋体"/>
          <w:sz w:val="24"/>
          <w:highlight w:val="none"/>
        </w:rPr>
        <w:t xml:space="preserve">工作，</w:t>
      </w:r>
      <w:r>
        <w:rPr>
          <w:rFonts w:ascii="宋体" w:hAnsi="宋体" w:cs="宋体"/>
          <w:sz w:val="24"/>
          <w:highlight w:val="none"/>
        </w:rPr>
        <w:t xml:space="preserve">在接到维修要求后5</w:t>
      </w:r>
      <w:r>
        <w:rPr>
          <w:rFonts w:hint="eastAsia" w:ascii="宋体" w:hAnsi="宋体" w:cs="宋体"/>
          <w:sz w:val="24"/>
          <w:highlight w:val="none"/>
        </w:rPr>
        <w:t xml:space="preserve">个工作</w:t>
      </w:r>
      <w:r>
        <w:rPr>
          <w:rFonts w:ascii="宋体" w:hAnsi="宋体" w:cs="宋体"/>
          <w:sz w:val="24"/>
          <w:highlight w:val="none"/>
        </w:rPr>
        <w:t xml:space="preserve">日内完成</w:t>
      </w:r>
      <w:r>
        <w:rPr>
          <w:rFonts w:hint="eastAsia" w:ascii="宋体" w:hAnsi="宋体" w:cs="宋体"/>
          <w:sz w:val="24"/>
          <w:highlight w:val="none"/>
        </w:rPr>
        <w:t xml:space="preserve">，较为复杂的应在</w:t>
      </w:r>
      <w:r>
        <w:rPr>
          <w:rFonts w:ascii="宋体" w:hAnsi="宋体" w:cs="宋体"/>
          <w:sz w:val="24"/>
          <w:highlight w:val="none"/>
        </w:rPr>
        <w:t xml:space="preserve">10</w:t>
      </w:r>
      <w:r>
        <w:rPr>
          <w:rFonts w:hint="eastAsia" w:ascii="宋体" w:hAnsi="宋体" w:cs="宋体"/>
          <w:sz w:val="24"/>
          <w:highlight w:val="none"/>
        </w:rPr>
        <w:t xml:space="preserve">个工作日内完成。维修时限</w:t>
      </w:r>
      <w:r>
        <w:rPr>
          <w:rFonts w:ascii="宋体" w:hAnsi="宋体" w:cs="宋体"/>
          <w:sz w:val="24"/>
          <w:highlight w:val="none"/>
        </w:rPr>
        <w:t xml:space="preserve">自发出维修通知之日起计算</w:t>
      </w:r>
      <w:r>
        <w:rPr>
          <w:rFonts w:hint="eastAsia" w:ascii="宋体" w:hAnsi="宋体" w:cs="宋体"/>
          <w:sz w:val="24"/>
          <w:highlight w:val="none"/>
        </w:rPr>
        <w:t xml:space="preserve">（</w:t>
      </w:r>
      <w:r>
        <w:rPr>
          <w:rFonts w:ascii="宋体" w:hAnsi="宋体" w:cs="宋体"/>
          <w:sz w:val="24"/>
          <w:highlight w:val="none"/>
        </w:rPr>
        <w:t xml:space="preserve">通知形式包括但不限于微信、电话等，</w:t>
      </w:r>
      <w:r>
        <w:rPr>
          <w:rFonts w:hint="eastAsia" w:ascii="宋体" w:hAnsi="宋体" w:cs="宋体"/>
          <w:sz w:val="24"/>
          <w:highlight w:val="none"/>
          <w:lang w:val="en-US" w:eastAsia="zh-CN"/>
        </w:rPr>
        <w:t xml:space="preserve">中标人</w:t>
      </w:r>
      <w:r>
        <w:rPr>
          <w:rFonts w:ascii="宋体" w:hAnsi="宋体" w:cs="宋体"/>
          <w:sz w:val="24"/>
          <w:highlight w:val="none"/>
        </w:rPr>
        <w:t xml:space="preserve">应在收到后及时确认</w:t>
      </w:r>
      <w:r>
        <w:rPr>
          <w:rFonts w:hint="eastAsia" w:ascii="宋体" w:hAnsi="宋体" w:cs="宋体"/>
          <w:sz w:val="24"/>
          <w:highlight w:val="none"/>
        </w:rPr>
        <w:t xml:space="preserve">）。以下情况所耗时间不计入维修时限：经</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同意，需返厂维修的时间；等待</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提供设备或配件的时间；其他提交书面情况说明并经</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同意的情况。</w:t>
      </w:r>
      <w:r>
        <w:rPr>
          <w:rFonts w:ascii="宋体" w:hAnsi="宋体" w:cs="宋体"/>
          <w:sz w:val="24"/>
          <w:highlight w:val="none"/>
        </w:rPr>
      </w:r>
      <w:r/>
    </w:p>
    <w:p>
      <w:pPr>
        <w:pStyle w:val="995"/>
        <w:ind w:firstLine="480"/>
        <w:spacing w:line="360" w:lineRule="auto"/>
        <w:rPr>
          <w:rFonts w:ascii="宋体" w:hAnsi="宋体" w:cs="宋体"/>
          <w:sz w:val="24"/>
          <w:highlight w:val="none"/>
        </w:rPr>
      </w:pPr>
      <w:r>
        <w:rPr>
          <w:rFonts w:hint="eastAsia" w:ascii="宋体" w:hAnsi="宋体" w:cs="宋体"/>
          <w:sz w:val="24"/>
          <w:highlight w:val="none"/>
        </w:rPr>
        <w:t xml:space="preserve">1.3 如遇</w:t>
      </w:r>
      <w:r>
        <w:rPr>
          <w:rFonts w:ascii="宋体" w:hAnsi="宋体" w:cs="宋体"/>
          <w:sz w:val="24"/>
          <w:highlight w:val="none"/>
        </w:rPr>
        <w:t xml:space="preserve">防汛、抢修等特殊情况，在发出维修通知时将以书面或可追溯的电子记录（含微信、短信等）形式明确通知，注明该事项为应急抢修，在接到该应急通知</w:t>
      </w:r>
      <w:r>
        <w:rPr>
          <w:rFonts w:hint="eastAsia" w:ascii="宋体" w:hAnsi="宋体" w:cs="宋体"/>
          <w:sz w:val="24"/>
          <w:highlight w:val="none"/>
        </w:rPr>
        <w:t xml:space="preserve">后</w:t>
      </w:r>
      <w:r>
        <w:rPr>
          <w:rFonts w:ascii="宋体" w:hAnsi="宋体" w:cs="宋体"/>
          <w:sz w:val="24"/>
          <w:highlight w:val="none"/>
        </w:rPr>
        <w:t xml:space="preserve">4小时内抵达现场</w:t>
      </w:r>
      <w:r>
        <w:rPr>
          <w:rFonts w:hint="eastAsia" w:ascii="宋体" w:hAnsi="宋体" w:cs="宋体"/>
          <w:sz w:val="24"/>
          <w:highlight w:val="none"/>
        </w:rPr>
        <w:t xml:space="preserve">，</w:t>
      </w:r>
      <w:r>
        <w:rPr>
          <w:rFonts w:ascii="宋体" w:hAnsi="宋体" w:cs="宋体"/>
          <w:sz w:val="24"/>
          <w:highlight w:val="none"/>
        </w:rPr>
        <w:t xml:space="preserve">立即开展维修或应急处置工作。</w:t>
      </w:r>
      <w:r>
        <w:rPr>
          <w:rFonts w:hint="eastAsia" w:ascii="宋体" w:hAnsi="宋体" w:cs="宋体"/>
          <w:sz w:val="24"/>
          <w:highlight w:val="none"/>
        </w:rPr>
        <w:t xml:space="preserve">为确保系统不间断运行，在维修期间提供临时替代设备。</w:t>
      </w:r>
      <w:r>
        <w:rPr>
          <w:rFonts w:ascii="宋体" w:hAnsi="宋体" w:cs="宋体"/>
          <w:sz w:val="24"/>
          <w:highlight w:val="none"/>
        </w:rPr>
      </w:r>
      <w:r/>
    </w:p>
    <w:p>
      <w:pPr>
        <w:pStyle w:val="995"/>
        <w:ind w:firstLine="480"/>
        <w:spacing w:line="360" w:lineRule="auto"/>
        <w:rPr>
          <w:rFonts w:ascii="宋体" w:hAnsi="宋体" w:cs="宋体"/>
          <w:sz w:val="24"/>
          <w:highlight w:val="none"/>
        </w:rPr>
      </w:pPr>
      <w:r>
        <w:rPr>
          <w:rFonts w:ascii="宋体" w:hAnsi="宋体" w:cs="宋体"/>
          <w:sz w:val="24"/>
          <w:highlight w:val="none"/>
        </w:rPr>
        <w:t xml:space="preserve">2.质量要求</w:t>
      </w:r>
      <w:r>
        <w:rPr>
          <w:rFonts w:ascii="宋体" w:hAnsi="宋体" w:cs="宋体"/>
          <w:sz w:val="24"/>
          <w:highlight w:val="none"/>
        </w:rPr>
      </w:r>
      <w:r/>
    </w:p>
    <w:p>
      <w:pPr>
        <w:pStyle w:val="995"/>
        <w:ind w:firstLine="480"/>
        <w:spacing w:line="360" w:lineRule="auto"/>
        <w:rPr>
          <w:rFonts w:ascii="宋体" w:hAnsi="宋体" w:cs="宋体"/>
          <w:sz w:val="24"/>
          <w:highlight w:val="none"/>
        </w:rPr>
      </w:pPr>
      <w:r>
        <w:rPr>
          <w:rFonts w:ascii="宋体" w:hAnsi="宋体" w:cs="宋体"/>
          <w:sz w:val="24"/>
          <w:highlight w:val="none"/>
        </w:rPr>
        <w:t xml:space="preserve">2.1对维修时使用的</w:t>
      </w:r>
      <w:r>
        <w:rPr>
          <w:rFonts w:hint="eastAsia" w:ascii="宋体" w:hAnsi="宋体" w:cs="宋体"/>
          <w:sz w:val="24"/>
          <w:highlight w:val="none"/>
        </w:rPr>
        <w:t xml:space="preserve">各类耗材、更新设备</w:t>
      </w:r>
      <w:r>
        <w:rPr>
          <w:rFonts w:ascii="宋体" w:hAnsi="宋体" w:cs="宋体"/>
          <w:sz w:val="24"/>
          <w:highlight w:val="none"/>
        </w:rPr>
        <w:t xml:space="preserve">进行抽检，抽检方式分为现场检查</w:t>
      </w:r>
      <w:r>
        <w:rPr>
          <w:rFonts w:hint="eastAsia" w:ascii="宋体" w:hAnsi="宋体" w:cs="宋体"/>
          <w:sz w:val="24"/>
          <w:highlight w:val="none"/>
        </w:rPr>
        <w:t xml:space="preserve">、</w:t>
      </w:r>
      <w:r>
        <w:rPr>
          <w:rFonts w:ascii="宋体" w:hAnsi="宋体" w:cs="宋体"/>
          <w:sz w:val="24"/>
          <w:highlight w:val="none"/>
        </w:rPr>
        <w:t xml:space="preserve">送第三方检测机构检测。</w:t>
      </w:r>
      <w:r>
        <w:rPr>
          <w:rFonts w:ascii="宋体" w:hAnsi="宋体" w:cs="宋体"/>
          <w:sz w:val="24"/>
          <w:highlight w:val="none"/>
        </w:rPr>
      </w:r>
      <w:r/>
    </w:p>
    <w:p>
      <w:pPr>
        <w:pStyle w:val="995"/>
        <w:ind w:firstLine="480"/>
        <w:spacing w:line="360" w:lineRule="auto"/>
        <w:rPr>
          <w:rFonts w:ascii="宋体" w:hAnsi="宋体" w:cs="宋体"/>
          <w:sz w:val="24"/>
          <w:highlight w:val="none"/>
        </w:rPr>
      </w:pPr>
      <w:r>
        <w:rPr>
          <w:rFonts w:ascii="宋体" w:hAnsi="宋体" w:cs="宋体"/>
          <w:sz w:val="24"/>
          <w:highlight w:val="none"/>
        </w:rPr>
        <w:t xml:space="preserve">2.2维修完成后，维修质量</w:t>
      </w:r>
      <w:r>
        <w:rPr>
          <w:rFonts w:hint="eastAsia" w:ascii="宋体" w:hAnsi="宋体" w:cs="宋体"/>
          <w:sz w:val="24"/>
          <w:highlight w:val="none"/>
        </w:rPr>
        <w:t xml:space="preserve">由发包方</w:t>
      </w:r>
      <w:r>
        <w:rPr>
          <w:rFonts w:ascii="宋体" w:hAnsi="宋体" w:cs="宋体"/>
          <w:sz w:val="24"/>
          <w:highlight w:val="none"/>
        </w:rPr>
        <w:t xml:space="preserve">进行验收</w:t>
      </w:r>
      <w:r>
        <w:rPr>
          <w:rFonts w:hint="eastAsia" w:ascii="宋体" w:hAnsi="宋体" w:cs="宋体"/>
          <w:sz w:val="24"/>
          <w:highlight w:val="none"/>
        </w:rPr>
        <w:t xml:space="preserve">。验收通过后，提供1年的</w:t>
      </w:r>
      <w:r>
        <w:rPr>
          <w:rFonts w:ascii="宋体" w:hAnsi="宋体" w:cs="宋体"/>
          <w:sz w:val="24"/>
          <w:highlight w:val="none"/>
        </w:rPr>
        <w:t xml:space="preserve">维修质保期，质保期自该项维修工作</w:t>
      </w:r>
      <w:r>
        <w:rPr>
          <w:rFonts w:hint="eastAsia" w:ascii="宋体" w:hAnsi="宋体" w:cs="宋体"/>
          <w:sz w:val="24"/>
          <w:highlight w:val="none"/>
        </w:rPr>
        <w:t xml:space="preserve">完成</w:t>
      </w:r>
      <w:r>
        <w:rPr>
          <w:rFonts w:ascii="宋体" w:hAnsi="宋体" w:cs="宋体"/>
          <w:sz w:val="24"/>
          <w:highlight w:val="none"/>
        </w:rPr>
        <w:t xml:space="preserve">验收之日起计算。</w:t>
      </w:r>
      <w:r>
        <w:rPr>
          <w:rFonts w:ascii="宋体" w:hAnsi="宋体" w:cs="宋体"/>
          <w:sz w:val="24"/>
          <w:highlight w:val="none"/>
        </w:rPr>
      </w:r>
      <w:r/>
    </w:p>
    <w:p>
      <w:pPr>
        <w:pStyle w:val="995"/>
        <w:ind w:firstLine="480"/>
        <w:spacing w:line="360" w:lineRule="auto"/>
        <w:rPr>
          <w:rFonts w:ascii="宋体" w:hAnsi="宋体" w:cs="宋体"/>
          <w:sz w:val="24"/>
          <w:highlight w:val="none"/>
        </w:rPr>
      </w:pPr>
      <w:r>
        <w:rPr>
          <w:rFonts w:hint="eastAsia" w:ascii="宋体" w:hAnsi="宋体" w:cs="宋体"/>
          <w:sz w:val="24"/>
          <w:highlight w:val="none"/>
        </w:rPr>
        <w:t xml:space="preserve">在质保期内，因维修质量问题而导致设备故障的，应负责返修，由此产生的所有费用由承包方承担，同时质保期顺延6个月，延长后总期限不超过2年，经双方确认的其他情况除外。</w:t>
      </w:r>
      <w:r>
        <w:rPr>
          <w:rFonts w:ascii="宋体" w:hAnsi="宋体" w:cs="宋体"/>
          <w:sz w:val="24"/>
          <w:highlight w:val="none"/>
        </w:rPr>
      </w:r>
      <w:r/>
    </w:p>
    <w:p>
      <w:pPr>
        <w:pStyle w:val="995"/>
        <w:ind w:firstLine="482"/>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三、服务清单、基准价、报价结算、合同履行期限</w:t>
      </w:r>
      <w:r>
        <w:rPr>
          <w:rFonts w:hint="eastAsia" w:ascii="宋体" w:hAnsi="宋体" w:cs="宋体"/>
          <w:b/>
          <w:sz w:val="24"/>
          <w:highlight w:val="none"/>
        </w:rPr>
      </w:r>
      <w:r/>
    </w:p>
    <w:p>
      <w:pPr>
        <w:pStyle w:val="995"/>
        <w:ind w:firstLine="480"/>
        <w:spacing w:line="360" w:lineRule="auto"/>
        <w:rPr>
          <w:rFonts w:hint="eastAsia" w:ascii="宋体" w:hAnsi="宋体" w:cs="宋体"/>
          <w:color w:val="000000"/>
          <w:sz w:val="24"/>
        </w:rPr>
      </w:pPr>
      <w:r>
        <w:rPr>
          <w:rFonts w:hint="eastAsia" w:ascii="宋体" w:hAnsi="宋体" w:cs="宋体"/>
          <w:sz w:val="24"/>
          <w:highlight w:val="none"/>
        </w:rPr>
        <w:t xml:space="preserve">1.本项目报价最高限价为185.8555万元/年</w:t>
      </w:r>
      <w:r>
        <w:rPr>
          <w:rFonts w:hint="eastAsia" w:ascii="宋体" w:hAnsi="宋体" w:cs="宋体"/>
          <w:color w:val="000000"/>
          <w:sz w:val="24"/>
          <w:highlight w:val="none"/>
        </w:rPr>
        <w:t xml:space="preserve">，各单项基准单价最高限价如下表，投标单位报价总价或单价均不得超过，否则</w:t>
      </w:r>
      <w:r>
        <w:rPr>
          <w:rFonts w:hint="eastAsia" w:ascii="宋体" w:hAnsi="宋体" w:cs="宋体"/>
          <w:sz w:val="24"/>
          <w:szCs w:val="20"/>
          <w:highlight w:val="none"/>
        </w:rPr>
        <w:t xml:space="preserve">按无</w:t>
      </w:r>
      <w:r>
        <w:rPr>
          <w:rFonts w:hint="eastAsia" w:ascii="宋体" w:hAnsi="宋体" w:cs="宋体"/>
          <w:sz w:val="24"/>
          <w:szCs w:val="20"/>
        </w:rPr>
        <w:t xml:space="preserve">效投标处理</w:t>
      </w:r>
      <w:r>
        <w:rPr>
          <w:rFonts w:hint="eastAsia" w:ascii="宋体" w:hAnsi="宋体" w:cs="宋体"/>
          <w:sz w:val="24"/>
        </w:rPr>
        <w:t xml:space="preserve">；</w:t>
      </w:r>
      <w:r>
        <w:rPr>
          <w:rFonts w:hint="eastAsia" w:ascii="宋体" w:hAnsi="宋体" w:cs="宋体"/>
          <w:color w:val="000000"/>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2.本项目合同采用单价合同；</w:t>
      </w:r>
      <w:r>
        <w:rPr>
          <w:rFonts w:hint="eastAsia" w:ascii="宋体" w:hAnsi="宋体" w:cs="宋体"/>
          <w:sz w:val="24"/>
        </w:rPr>
      </w:r>
      <w:r/>
    </w:p>
    <w:p>
      <w:pPr>
        <w:pStyle w:val="995"/>
        <w:ind w:firstLine="480"/>
        <w:spacing w:line="360" w:lineRule="auto"/>
        <w:rPr>
          <w:rFonts w:hint="eastAsia" w:ascii="宋体" w:hAnsi="宋体"/>
          <w:sz w:val="24"/>
        </w:rPr>
      </w:pPr>
      <w:r>
        <w:rPr>
          <w:rFonts w:hint="eastAsia" w:ascii="宋体" w:hAnsi="宋体" w:cs="宋体"/>
          <w:sz w:val="24"/>
        </w:rPr>
        <w:t xml:space="preserve">3.</w:t>
      </w:r>
      <w:r>
        <w:rPr>
          <w:rFonts w:hint="eastAsia" w:ascii="宋体" w:hAnsi="宋体"/>
          <w:sz w:val="24"/>
        </w:rPr>
        <w:t xml:space="preserve">报价、结算原则</w:t>
      </w:r>
      <w:r>
        <w:rPr>
          <w:rFonts w:hint="eastAsia" w:ascii="宋体" w:hAnsi="宋体"/>
          <w:sz w:val="24"/>
        </w:rPr>
      </w:r>
      <w:r/>
    </w:p>
    <w:p>
      <w:pPr>
        <w:pStyle w:val="995"/>
        <w:ind w:firstLine="480"/>
        <w:spacing w:line="360" w:lineRule="auto"/>
        <w:rPr>
          <w:rFonts w:hint="eastAsia" w:ascii="宋体" w:hAnsi="宋体"/>
          <w:sz w:val="24"/>
        </w:rPr>
      </w:pPr>
      <w:r>
        <w:rPr>
          <w:rFonts w:hint="eastAsia" w:ascii="宋体" w:hAnsi="宋体"/>
          <w:sz w:val="24"/>
        </w:rPr>
        <w:t xml:space="preserve">（1）本合同无预付款</w:t>
      </w:r>
      <w:r>
        <w:rPr>
          <w:rFonts w:hint="eastAsia" w:ascii="宋体" w:hAnsi="宋体"/>
          <w:sz w:val="24"/>
        </w:rPr>
      </w:r>
      <w:r/>
    </w:p>
    <w:p>
      <w:pPr>
        <w:pStyle w:val="995"/>
        <w:ind w:firstLine="480"/>
        <w:spacing w:line="360" w:lineRule="auto"/>
        <w:rPr>
          <w:rFonts w:hint="eastAsia" w:ascii="宋体" w:hAnsi="宋体" w:cs="宋体"/>
          <w:sz w:val="24"/>
        </w:rPr>
      </w:pPr>
      <w:r>
        <w:rPr>
          <w:rFonts w:hint="eastAsia" w:ascii="宋体" w:hAnsi="宋体"/>
          <w:sz w:val="24"/>
        </w:rPr>
        <w:t xml:space="preserve">（2）</w:t>
      </w:r>
      <w:r>
        <w:rPr>
          <w:rFonts w:hint="eastAsia" w:ascii="宋体" w:hAnsi="宋体" w:cs="宋体"/>
          <w:sz w:val="24"/>
          <w:szCs w:val="20"/>
        </w:rPr>
        <w:t xml:space="preserve">表中第1-3项为“固定服务费”，费用结算不需进行审计。每月结算一次，结算单价为</w:t>
      </w:r>
      <w:r>
        <w:rPr>
          <w:rFonts w:hint="eastAsia" w:ascii="宋体" w:hAnsi="宋体" w:cs="宋体"/>
          <w:sz w:val="24"/>
        </w:rPr>
        <w:t xml:space="preserve">投标单价，结算数量按实计量；</w:t>
      </w:r>
      <w:r>
        <w:rPr>
          <w:rFonts w:hint="eastAsia" w:ascii="宋体" w:hAnsi="宋体" w:cs="宋体"/>
          <w:sz w:val="24"/>
        </w:rPr>
      </w:r>
      <w:r/>
    </w:p>
    <w:p>
      <w:pPr>
        <w:pStyle w:val="995"/>
        <w:ind w:firstLine="480"/>
        <w:spacing w:line="360" w:lineRule="auto"/>
        <w:rPr>
          <w:rFonts w:hint="eastAsia" w:ascii="宋体" w:hAnsi="宋体" w:cs="宋体"/>
          <w:sz w:val="24"/>
          <w:szCs w:val="20"/>
        </w:rPr>
      </w:pPr>
      <w:r>
        <w:rPr>
          <w:rFonts w:hint="eastAsia" w:ascii="宋体" w:hAnsi="宋体"/>
          <w:sz w:val="24"/>
        </w:rPr>
        <w:t xml:space="preserve">（3）</w:t>
      </w:r>
      <w:r>
        <w:rPr>
          <w:rFonts w:hint="eastAsia" w:ascii="宋体" w:hAnsi="宋体" w:cs="宋体"/>
          <w:sz w:val="24"/>
          <w:szCs w:val="20"/>
        </w:rPr>
        <w:t xml:space="preserve">表中第4项为“非固定服务费”，费用结算需进行审计。变电所供配电设施设备抢维修、泵站低压电气零星维修、视频门禁维修原则上每2个月审计结算一次。表中这部分“预估价，最高限价”119.71万仅为模拟假定的全年发生费用，抢维修是否发生及发生内容、数量均按实派单、签证、计量。抢修、维修的部分基准价格或材料主材价格详见附件，投标单位根据“模拟假定的全年发生费用”以及“抢修、维修的部分基准价格或材料主材价格”等综合因素做出该部分报价，报价参与价格评审。</w:t>
      </w:r>
      <w:r>
        <w:rPr>
          <w:rFonts w:hint="eastAsia"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中标人该部分的投标报价除以“预算价，最高限价”119.71万，为该部分的投标让利率，抢修、维修的部分的主材和人工均按该让利率进行审计结算。抢维修工程量为部门签证确认，中标人应按照实际发生的抢修及维修工程量编制结算书，送招标人指定审计单位审计并按让利率进行结算。</w:t>
      </w:r>
      <w:r>
        <w:rPr>
          <w:rFonts w:ascii="宋体" w:hAnsi="宋体" w:cs="宋体"/>
          <w:sz w:val="24"/>
          <w:szCs w:val="20"/>
        </w:rPr>
      </w:r>
      <w:r/>
    </w:p>
    <w:p>
      <w:pPr>
        <w:pStyle w:val="995"/>
        <w:ind w:firstLine="480"/>
        <w:spacing w:line="360" w:lineRule="auto"/>
        <w:rPr>
          <w:rFonts w:hint="eastAsia" w:ascii="宋体" w:hAnsi="宋体" w:cs="宋体"/>
          <w:sz w:val="24"/>
          <w:szCs w:val="20"/>
        </w:rPr>
      </w:pPr>
      <w:r>
        <w:rPr>
          <w:rFonts w:hint="eastAsia" w:ascii="宋体" w:hAnsi="宋体"/>
          <w:sz w:val="24"/>
        </w:rPr>
        <w:t xml:space="preserve">（4）</w:t>
      </w:r>
      <w:r>
        <w:rPr>
          <w:rFonts w:hint="eastAsia" w:ascii="宋体" w:hAnsi="宋体" w:cs="宋体"/>
          <w:sz w:val="24"/>
          <w:szCs w:val="20"/>
        </w:rPr>
        <w:t xml:space="preserve">变电所供配电设施设备抢维修、泵站低压电气零星维修、视频门禁维修结算书编制执行《江苏省安装工程计价定额（2014版）》和《江苏省建设工程费用定额（2014年）》。如上述文件没有可参照的，执行《江苏省市政工程计价定额（2014版）》。</w:t>
      </w:r>
      <w:r>
        <w:rPr>
          <w:rFonts w:hint="eastAsia"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材料价格确定机制：除甲供材料外，材料价格按《</w:t>
      </w:r>
      <w:r>
        <w:rPr>
          <w:rFonts w:hint="eastAsia" w:ascii="宋体" w:hAnsi="宋体" w:cs="宋体"/>
          <w:b/>
          <w:sz w:val="15"/>
          <w:szCs w:val="15"/>
        </w:rPr>
        <w:t xml:space="preserve">部分抢修维修</w:t>
      </w:r>
      <w:r>
        <w:rPr>
          <w:rFonts w:hint="eastAsia" w:ascii="宋体" w:hAnsi="宋体" w:cs="宋体"/>
          <w:b/>
          <w:sz w:val="24"/>
        </w:rPr>
        <w:t xml:space="preserve">基准单价表</w:t>
      </w:r>
      <w:r>
        <w:rPr>
          <w:rFonts w:hint="eastAsia" w:ascii="宋体" w:hAnsi="宋体" w:cs="宋体"/>
          <w:sz w:val="24"/>
          <w:szCs w:val="20"/>
        </w:rPr>
        <w:t xml:space="preserve">》和实际施工月份《常州工程造价信息》（当期未有的逐月前推）依序执行。如上述文件均没有可参照的，原则上应由招标人、中标人及跟踪审计单位根据市场询价共同确定，定价材料不再下浮。如需定价的材料单价高于2000元或累计金额大于10000元，需先报价审核后再采购和维修。</w:t>
      </w:r>
      <w:r>
        <w:rPr>
          <w:rFonts w:ascii="宋体" w:hAnsi="宋体" w:cs="宋体"/>
          <w:sz w:val="24"/>
          <w:szCs w:val="20"/>
        </w:rPr>
      </w:r>
      <w:r/>
    </w:p>
    <w:p>
      <w:pPr>
        <w:pStyle w:val="995"/>
        <w:ind w:firstLine="480"/>
        <w:spacing w:line="360" w:lineRule="auto"/>
        <w:rPr>
          <w:rFonts w:hint="eastAsia" w:ascii="宋体" w:hAnsi="宋体"/>
          <w:sz w:val="24"/>
        </w:rPr>
      </w:pPr>
      <w:r>
        <w:rPr>
          <w:rFonts w:hint="eastAsia" w:ascii="宋体" w:hAnsi="宋体"/>
          <w:sz w:val="24"/>
        </w:rPr>
        <w:t xml:space="preserve">审定工程价：是指中标人按照合同约定结算周期完成的工程量，经跟踪审计单位审核且招标人和中标人双方认可的工程造价。</w:t>
      </w:r>
      <w:r>
        <w:rPr>
          <w:rFonts w:hint="eastAsia" w:ascii="宋体" w:hAnsi="宋体"/>
          <w:sz w:val="24"/>
        </w:rPr>
      </w:r>
      <w:r/>
    </w:p>
    <w:p>
      <w:pPr>
        <w:pStyle w:val="995"/>
        <w:ind w:firstLine="480"/>
        <w:spacing w:line="360" w:lineRule="auto"/>
        <w:rPr>
          <w:rFonts w:hint="eastAsia" w:ascii="宋体" w:hAnsi="宋体"/>
          <w:sz w:val="24"/>
        </w:rPr>
      </w:pPr>
      <w:r>
        <w:rPr>
          <w:rFonts w:hint="eastAsia" w:ascii="宋体" w:hAnsi="宋体"/>
          <w:sz w:val="24"/>
        </w:rPr>
        <w:t xml:space="preserve">审定结算价：招标人在审定工程价基础上按照合同相关条款并进行扣除后，与审定工程价一起形成的合价为审定结算价。</w:t>
      </w:r>
      <w:r>
        <w:rPr>
          <w:rFonts w:hint="eastAsia" w:ascii="宋体" w:hAnsi="宋体"/>
          <w:sz w:val="24"/>
        </w:rPr>
      </w:r>
      <w:r/>
    </w:p>
    <w:p>
      <w:pPr>
        <w:pStyle w:val="995"/>
        <w:ind w:firstLine="480"/>
        <w:spacing w:line="360" w:lineRule="auto"/>
        <w:rPr>
          <w:rFonts w:hint="eastAsia" w:ascii="宋体" w:hAnsi="宋体"/>
          <w:sz w:val="24"/>
        </w:rPr>
      </w:pPr>
      <w:r>
        <w:rPr>
          <w:rFonts w:hint="eastAsia" w:ascii="宋体" w:hAnsi="宋体"/>
          <w:sz w:val="24"/>
        </w:rPr>
        <w:t xml:space="preserve">中标人应本着实事求是的原则申报结算，如结算审计（外审）核减率大于15%，除超出部分（基数为核减率15%）的审计服务费按实由中标人支付外，核减率每超过1%（不足1%按相应比例计）扣除中标人审定工程价的1%，最高不超过审定工程价的10%。</w:t>
      </w:r>
      <w:r>
        <w:rPr>
          <w:rFonts w:hint="eastAsia" w:ascii="宋体" w:hAnsi="宋体"/>
          <w:sz w:val="24"/>
        </w:rPr>
      </w:r>
      <w:r/>
    </w:p>
    <w:p>
      <w:pPr>
        <w:pStyle w:val="995"/>
        <w:ind w:firstLine="480"/>
        <w:spacing w:line="360" w:lineRule="auto"/>
        <w:rPr>
          <w:rFonts w:hint="eastAsia" w:ascii="宋体" w:hAnsi="宋体"/>
          <w:sz w:val="24"/>
        </w:rPr>
      </w:pPr>
      <w:r>
        <w:rPr>
          <w:rFonts w:hint="eastAsia" w:ascii="宋体" w:hAnsi="宋体"/>
          <w:sz w:val="24"/>
        </w:rPr>
        <w:t xml:space="preserve">如审计、财政等政府机关组织对该项目包含但不限于结算的审核结果、合同履行进行评价、抽查、复审，招标人和中标人双方同意项目结算必须以其评价、抽查、复审结果为准。</w:t>
      </w:r>
      <w:r>
        <w:rPr>
          <w:rFonts w:hint="eastAsia" w:ascii="宋体" w:hAnsi="宋体"/>
          <w:sz w:val="24"/>
        </w:rPr>
      </w:r>
      <w:r/>
    </w:p>
    <w:p>
      <w:pPr>
        <w:pStyle w:val="995"/>
        <w:ind w:firstLine="480"/>
        <w:spacing w:line="360" w:lineRule="auto"/>
        <w:rPr>
          <w:rFonts w:hint="eastAsia" w:ascii="宋体" w:hAnsi="宋体"/>
          <w:sz w:val="24"/>
        </w:rPr>
      </w:pPr>
      <w:r>
        <w:rPr>
          <w:rFonts w:hint="eastAsia" w:ascii="宋体" w:hAnsi="宋体"/>
          <w:sz w:val="24"/>
        </w:rPr>
        <w:t xml:space="preserve">如遇整改问题涉及中标人的，中标人应积极完成整改工作，整改涉及的相关费用支出及审定金额退费由中标人承担。</w:t>
      </w:r>
      <w:r>
        <w:rPr>
          <w:rFonts w:hint="eastAsia" w:ascii="宋体" w:hAnsi="宋体"/>
          <w:sz w:val="24"/>
        </w:rPr>
      </w:r>
      <w:r/>
    </w:p>
    <w:tbl>
      <w:tblPr>
        <w:tblW w:w="10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24"/>
        <w:gridCol w:w="717"/>
        <w:gridCol w:w="720"/>
        <w:gridCol w:w="1468"/>
        <w:gridCol w:w="1800"/>
        <w:gridCol w:w="1125"/>
        <w:gridCol w:w="1125"/>
        <w:gridCol w:w="1500"/>
      </w:tblGrid>
      <w:tr>
        <w:trPr>
          <w:trHeight w:val="454"/>
          <w:tblHeader/>
        </w:trPr>
        <w:tc>
          <w:tcPr>
            <w:tcW w:w="678"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序号</w:t>
            </w:r>
            <w:r>
              <w:rPr>
                <w:rFonts w:hint="eastAsia" w:cs="宋体"/>
                <w:b/>
                <w:bCs/>
                <w:sz w:val="22"/>
                <w:szCs w:val="22"/>
                <w:lang w:val="en-US" w:eastAsia="zh-CN"/>
              </w:rPr>
            </w:r>
            <w:r/>
          </w:p>
        </w:tc>
        <w:tc>
          <w:tcPr>
            <w:tcW w:w="1324"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项目</w:t>
            </w:r>
            <w:r>
              <w:rPr>
                <w:rFonts w:hint="eastAsia" w:cs="宋体"/>
                <w:b/>
                <w:bCs/>
                <w:sz w:val="22"/>
                <w:szCs w:val="22"/>
                <w:lang w:val="en-US" w:eastAsia="zh-CN"/>
              </w:rPr>
            </w:r>
            <w:r/>
          </w:p>
        </w:tc>
        <w:tc>
          <w:tcPr>
            <w:tcW w:w="717"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单位</w:t>
            </w:r>
            <w:r>
              <w:rPr>
                <w:rFonts w:hint="eastAsia" w:cs="宋体"/>
                <w:b/>
                <w:bCs/>
                <w:sz w:val="22"/>
                <w:szCs w:val="22"/>
                <w:lang w:val="en-US" w:eastAsia="zh-CN"/>
              </w:rPr>
            </w:r>
            <w:r/>
          </w:p>
        </w:tc>
        <w:tc>
          <w:tcPr>
            <w:tcW w:w="720"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数量</w:t>
            </w:r>
            <w:r>
              <w:rPr>
                <w:rFonts w:hint="eastAsia" w:cs="宋体"/>
                <w:b/>
                <w:bCs/>
                <w:sz w:val="22"/>
                <w:szCs w:val="22"/>
                <w:lang w:val="en-US" w:eastAsia="zh-CN"/>
              </w:rPr>
            </w:r>
            <w:r/>
          </w:p>
        </w:tc>
        <w:tc>
          <w:tcPr>
            <w:tcW w:w="1468"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投标单价（元/座/月）</w:t>
            </w:r>
            <w:r>
              <w:rPr>
                <w:rFonts w:hint="eastAsia" w:cs="宋体"/>
                <w:b/>
                <w:bCs/>
                <w:sz w:val="22"/>
                <w:szCs w:val="22"/>
                <w:lang w:val="en-US" w:eastAsia="zh-CN"/>
              </w:rPr>
            </w:r>
            <w:r/>
          </w:p>
        </w:tc>
        <w:tc>
          <w:tcPr>
            <w:tcW w:w="1800"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基准单价最高限价（元/座/月）</w:t>
            </w:r>
            <w:r>
              <w:rPr>
                <w:rFonts w:hint="eastAsia" w:cs="宋体"/>
                <w:b/>
                <w:bCs/>
                <w:sz w:val="22"/>
                <w:szCs w:val="22"/>
                <w:lang w:val="en-US" w:eastAsia="zh-CN"/>
              </w:rPr>
            </w:r>
            <w:r/>
          </w:p>
        </w:tc>
        <w:tc>
          <w:tcPr>
            <w:tcW w:w="1125" w:type="dxa"/>
            <w:vAlign w:val="center"/>
            <w:textDirection w:val="lrTb"/>
            <w:noWrap w:val="false"/>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合计价格（元/月）</w:t>
            </w:r>
            <w:r>
              <w:rPr>
                <w:rFonts w:hint="eastAsia" w:cs="宋体"/>
                <w:b/>
                <w:bCs/>
                <w:sz w:val="22"/>
                <w:szCs w:val="22"/>
                <w:lang w:val="en-US" w:eastAsia="zh-CN"/>
              </w:rPr>
            </w:r>
            <w:r/>
          </w:p>
        </w:tc>
        <w:tc>
          <w:tcPr>
            <w:tcW w:w="1125" w:type="dxa"/>
            <w:vAlign w:val="center"/>
            <w:textDirection w:val="lrTb"/>
            <w:noWrap w:val="false"/>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合计价格（元/年）</w:t>
            </w:r>
            <w:r>
              <w:rPr>
                <w:rFonts w:hint="eastAsia" w:cs="宋体"/>
                <w:b/>
                <w:bCs/>
                <w:sz w:val="22"/>
                <w:szCs w:val="22"/>
                <w:lang w:val="en-US" w:eastAsia="zh-CN"/>
              </w:rPr>
            </w:r>
            <w:r/>
          </w:p>
        </w:tc>
        <w:tc>
          <w:tcPr>
            <w:tcW w:w="1500"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备注</w:t>
            </w:r>
            <w:r>
              <w:rPr>
                <w:rFonts w:hint="eastAsia" w:cs="宋体"/>
                <w:b/>
                <w:bCs/>
                <w:sz w:val="22"/>
                <w:szCs w:val="22"/>
                <w:lang w:val="en-US" w:eastAsia="zh-CN"/>
              </w:rPr>
            </w:r>
            <w:r/>
          </w:p>
        </w:tc>
      </w:tr>
      <w:tr>
        <w:trPr>
          <w:trHeight w:val="454"/>
          <w:tblHeader/>
        </w:trPr>
        <w:tc>
          <w:tcPr>
            <w:tcW w:w="678"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1</w:t>
            </w:r>
            <w:r>
              <w:rPr>
                <w:rFonts w:hint="eastAsia" w:cs="宋体"/>
                <w:sz w:val="22"/>
                <w:szCs w:val="22"/>
                <w:lang w:val="en-US" w:eastAsia="zh-CN"/>
              </w:rPr>
            </w:r>
            <w:r/>
          </w:p>
        </w:tc>
        <w:tc>
          <w:tcPr>
            <w:tcW w:w="1324"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变电所月度巡检</w:t>
            </w:r>
            <w:r>
              <w:rPr>
                <w:rFonts w:hint="eastAsia" w:ascii="宋体" w:hAnsi="宋体" w:cs="宋体"/>
                <w:sz w:val="22"/>
                <w:szCs w:val="22"/>
              </w:rPr>
            </w:r>
            <w:r/>
          </w:p>
        </w:tc>
        <w:tc>
          <w:tcPr>
            <w:tcW w:w="717"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座</w:t>
            </w:r>
            <w:r>
              <w:rPr>
                <w:rFonts w:hint="eastAsia" w:ascii="宋体" w:hAnsi="宋体" w:cs="宋体"/>
                <w:sz w:val="22"/>
                <w:szCs w:val="22"/>
              </w:rPr>
            </w:r>
            <w:r/>
          </w:p>
        </w:tc>
        <w:tc>
          <w:tcPr>
            <w:tcW w:w="720"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69</w:t>
            </w:r>
            <w:r>
              <w:rPr>
                <w:rFonts w:hint="eastAsia" w:ascii="宋体" w:hAnsi="宋体" w:cs="宋体"/>
                <w:sz w:val="22"/>
                <w:szCs w:val="22"/>
              </w:rPr>
            </w:r>
            <w:r/>
          </w:p>
        </w:tc>
        <w:tc>
          <w:tcPr>
            <w:tcW w:w="1468"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800"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209</w:t>
            </w:r>
            <w:r>
              <w:rPr>
                <w:rFonts w:hint="eastAsia" w:ascii="宋体" w:hAnsi="宋体" w:cs="宋体"/>
                <w:color w:val="000000"/>
                <w:sz w:val="22"/>
                <w:szCs w:val="22"/>
              </w:rPr>
            </w:r>
            <w:r/>
          </w:p>
        </w:tc>
        <w:tc>
          <w:tcPr>
            <w:tcW w:w="1125" w:type="dxa"/>
            <w:vAlign w:val="center"/>
            <w:textDirection w:val="lrTb"/>
            <w:noWrap w:val="false"/>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125" w:type="dxa"/>
            <w:vAlign w:val="center"/>
            <w:textDirection w:val="lrTb"/>
            <w:noWrap w:val="false"/>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500"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每座变电所每月巡检1次</w:t>
            </w:r>
            <w:r>
              <w:rPr>
                <w:rFonts w:hint="eastAsia" w:cs="宋体"/>
                <w:sz w:val="22"/>
                <w:szCs w:val="22"/>
                <w:lang w:val="en-US" w:eastAsia="zh-CN"/>
              </w:rPr>
            </w:r>
            <w:r/>
          </w:p>
        </w:tc>
      </w:tr>
      <w:tr>
        <w:trPr>
          <w:trHeight w:val="454"/>
          <w:tblHeader/>
        </w:trPr>
        <w:tc>
          <w:tcPr>
            <w:tcW w:w="678"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序号</w:t>
            </w:r>
            <w:r>
              <w:rPr>
                <w:rFonts w:hint="eastAsia" w:cs="宋体"/>
                <w:b/>
                <w:bCs/>
                <w:sz w:val="22"/>
                <w:szCs w:val="22"/>
                <w:lang w:val="en-US" w:eastAsia="zh-CN"/>
              </w:rPr>
            </w:r>
            <w:r/>
          </w:p>
        </w:tc>
        <w:tc>
          <w:tcPr>
            <w:tcW w:w="1324"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项目</w:t>
            </w:r>
            <w:r>
              <w:rPr>
                <w:rFonts w:hint="eastAsia" w:cs="宋体"/>
                <w:b/>
                <w:bCs/>
                <w:sz w:val="22"/>
                <w:szCs w:val="22"/>
                <w:lang w:val="en-US" w:eastAsia="zh-CN"/>
              </w:rPr>
            </w:r>
            <w:r/>
          </w:p>
        </w:tc>
        <w:tc>
          <w:tcPr>
            <w:tcW w:w="717" w:type="dxa"/>
            <w:vAlign w:val="center"/>
            <w:textDirection w:val="lrTb"/>
            <w:noWrap/>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单位</w:t>
            </w:r>
            <w:r>
              <w:rPr>
                <w:rFonts w:hint="eastAsia" w:cs="宋体"/>
                <w:b/>
                <w:bCs/>
                <w:sz w:val="22"/>
                <w:szCs w:val="22"/>
                <w:highlight w:val="none"/>
                <w:lang w:val="en-US" w:eastAsia="zh-CN"/>
              </w:rPr>
            </w:r>
            <w:r/>
          </w:p>
        </w:tc>
        <w:tc>
          <w:tcPr>
            <w:tcW w:w="720" w:type="dxa"/>
            <w:vAlign w:val="center"/>
            <w:textDirection w:val="lrTb"/>
            <w:noWrap/>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数量</w:t>
            </w:r>
            <w:r>
              <w:rPr>
                <w:rFonts w:hint="eastAsia" w:cs="宋体"/>
                <w:b/>
                <w:bCs/>
                <w:sz w:val="22"/>
                <w:szCs w:val="22"/>
                <w:highlight w:val="none"/>
                <w:lang w:val="en-US" w:eastAsia="zh-CN"/>
              </w:rPr>
            </w:r>
            <w:r/>
          </w:p>
        </w:tc>
        <w:tc>
          <w:tcPr>
            <w:tcW w:w="1468" w:type="dxa"/>
            <w:vAlign w:val="center"/>
            <w:textDirection w:val="lrTb"/>
            <w:noWrap/>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投标单价（元/座/年）</w:t>
            </w:r>
            <w:r>
              <w:rPr>
                <w:rFonts w:hint="eastAsia" w:cs="宋体"/>
                <w:b/>
                <w:bCs/>
                <w:sz w:val="22"/>
                <w:szCs w:val="22"/>
                <w:highlight w:val="none"/>
                <w:lang w:val="en-US" w:eastAsia="zh-CN"/>
              </w:rPr>
            </w:r>
            <w:r/>
          </w:p>
        </w:tc>
        <w:tc>
          <w:tcPr>
            <w:tcW w:w="1800" w:type="dxa"/>
            <w:vAlign w:val="center"/>
            <w:textDirection w:val="lrTb"/>
            <w:noWrap/>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基准单价最高限价（元/座/年）</w:t>
            </w:r>
            <w:r>
              <w:rPr>
                <w:rFonts w:hint="eastAsia" w:cs="宋体"/>
                <w:b/>
                <w:bCs/>
                <w:sz w:val="22"/>
                <w:szCs w:val="22"/>
                <w:highlight w:val="none"/>
                <w:lang w:val="en-US" w:eastAsia="zh-CN"/>
              </w:rPr>
            </w:r>
            <w:r/>
          </w:p>
        </w:tc>
        <w:tc>
          <w:tcPr>
            <w:gridSpan w:val="2"/>
            <w:tcW w:w="2250" w:type="dxa"/>
            <w:vAlign w:val="center"/>
            <w:textDirection w:val="lrTb"/>
            <w:noWrap w:val="false"/>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合计价格（元/年）</w:t>
            </w:r>
            <w:r>
              <w:rPr>
                <w:rFonts w:hint="eastAsia" w:cs="宋体"/>
                <w:b/>
                <w:bCs/>
                <w:sz w:val="22"/>
                <w:szCs w:val="22"/>
                <w:highlight w:val="none"/>
                <w:lang w:val="en-US" w:eastAsia="zh-CN"/>
              </w:rPr>
            </w:r>
            <w:r/>
          </w:p>
        </w:tc>
        <w:tc>
          <w:tcPr>
            <w:tcW w:w="1500"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备注</w:t>
            </w:r>
            <w:r>
              <w:rPr>
                <w:rFonts w:hint="eastAsia" w:cs="宋体"/>
                <w:b/>
                <w:bCs/>
                <w:sz w:val="22"/>
                <w:szCs w:val="22"/>
                <w:lang w:val="en-US" w:eastAsia="zh-CN"/>
              </w:rPr>
            </w:r>
            <w:r/>
          </w:p>
        </w:tc>
      </w:tr>
      <w:tr>
        <w:trPr>
          <w:trHeight w:val="454"/>
          <w:tblHeader/>
        </w:trPr>
        <w:tc>
          <w:tcPr>
            <w:tcW w:w="678"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2</w:t>
            </w:r>
            <w:r>
              <w:rPr>
                <w:rFonts w:hint="eastAsia" w:cs="宋体"/>
                <w:sz w:val="22"/>
                <w:szCs w:val="22"/>
                <w:lang w:val="en-US" w:eastAsia="zh-CN"/>
              </w:rPr>
            </w:r>
            <w:r/>
          </w:p>
        </w:tc>
        <w:tc>
          <w:tcPr>
            <w:tcW w:w="1324"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变电所年度停电保养</w:t>
            </w:r>
            <w:r>
              <w:rPr>
                <w:rFonts w:hint="eastAsia" w:ascii="宋体" w:hAnsi="宋体" w:cs="宋体"/>
                <w:sz w:val="22"/>
                <w:szCs w:val="22"/>
              </w:rPr>
            </w:r>
            <w:r/>
          </w:p>
        </w:tc>
        <w:tc>
          <w:tcPr>
            <w:tcW w:w="717"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座</w:t>
            </w:r>
            <w:r>
              <w:rPr>
                <w:rFonts w:hint="eastAsia" w:ascii="宋体" w:hAnsi="宋体" w:cs="宋体"/>
                <w:sz w:val="22"/>
                <w:szCs w:val="22"/>
              </w:rPr>
            </w:r>
            <w:r/>
          </w:p>
        </w:tc>
        <w:tc>
          <w:tcPr>
            <w:tcW w:w="720"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96</w:t>
            </w:r>
            <w:r>
              <w:rPr>
                <w:rFonts w:hint="eastAsia" w:ascii="宋体" w:hAnsi="宋体" w:cs="宋体"/>
                <w:sz w:val="22"/>
                <w:szCs w:val="22"/>
              </w:rPr>
            </w:r>
            <w:r/>
          </w:p>
        </w:tc>
        <w:tc>
          <w:tcPr>
            <w:tcW w:w="1468"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800"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3500</w:t>
            </w:r>
            <w:r>
              <w:rPr>
                <w:rFonts w:hint="eastAsia" w:ascii="宋体" w:hAnsi="宋体" w:cs="宋体"/>
                <w:color w:val="000000"/>
                <w:sz w:val="22"/>
                <w:szCs w:val="22"/>
              </w:rPr>
            </w:r>
            <w:r/>
          </w:p>
        </w:tc>
        <w:tc>
          <w:tcPr>
            <w:gridSpan w:val="2"/>
            <w:tcW w:w="2250" w:type="dxa"/>
            <w:vAlign w:val="center"/>
            <w:textDirection w:val="lrTb"/>
            <w:noWrap w:val="false"/>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500"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不以月计，1次/年</w:t>
            </w:r>
            <w:r>
              <w:rPr>
                <w:rFonts w:hint="eastAsia" w:cs="宋体"/>
                <w:sz w:val="22"/>
                <w:szCs w:val="22"/>
                <w:lang w:val="en-US" w:eastAsia="zh-CN"/>
              </w:rPr>
            </w:r>
            <w:r/>
          </w:p>
        </w:tc>
      </w:tr>
      <w:tr>
        <w:trPr>
          <w:trHeight w:val="454"/>
          <w:tblHeader/>
        </w:trPr>
        <w:tc>
          <w:tcPr>
            <w:tcW w:w="678"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3</w:t>
            </w:r>
            <w:r>
              <w:rPr>
                <w:rFonts w:hint="eastAsia" w:cs="宋体"/>
                <w:sz w:val="22"/>
                <w:szCs w:val="22"/>
                <w:lang w:val="en-US" w:eastAsia="zh-CN"/>
              </w:rPr>
            </w:r>
            <w:r/>
          </w:p>
        </w:tc>
        <w:tc>
          <w:tcPr>
            <w:tcW w:w="1324"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变电所电气试验</w:t>
            </w:r>
            <w:r>
              <w:rPr>
                <w:rFonts w:hint="eastAsia" w:ascii="宋体" w:hAnsi="宋体" w:cs="宋体"/>
                <w:color w:val="000000"/>
                <w:sz w:val="22"/>
                <w:szCs w:val="22"/>
              </w:rPr>
            </w:r>
            <w:r/>
          </w:p>
        </w:tc>
        <w:tc>
          <w:tcPr>
            <w:tcW w:w="717"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座</w:t>
            </w:r>
            <w:r>
              <w:rPr>
                <w:rFonts w:hint="eastAsia" w:ascii="宋体" w:hAnsi="宋体" w:cs="宋体"/>
                <w:sz w:val="22"/>
                <w:szCs w:val="22"/>
              </w:rPr>
            </w:r>
            <w:r/>
          </w:p>
        </w:tc>
        <w:tc>
          <w:tcPr>
            <w:tcW w:w="720"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24</w:t>
            </w:r>
            <w:r>
              <w:rPr>
                <w:rFonts w:hint="eastAsia" w:ascii="宋体" w:hAnsi="宋体" w:cs="宋体"/>
                <w:sz w:val="22"/>
                <w:szCs w:val="22"/>
              </w:rPr>
            </w:r>
            <w:r/>
          </w:p>
        </w:tc>
        <w:tc>
          <w:tcPr>
            <w:tcW w:w="1468"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800"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4375</w:t>
            </w:r>
            <w:r>
              <w:rPr>
                <w:rFonts w:hint="eastAsia" w:ascii="宋体" w:hAnsi="宋体" w:cs="宋体"/>
                <w:color w:val="000000"/>
                <w:sz w:val="22"/>
                <w:szCs w:val="22"/>
              </w:rPr>
            </w:r>
            <w:r/>
          </w:p>
        </w:tc>
        <w:tc>
          <w:tcPr>
            <w:gridSpan w:val="2"/>
            <w:tcW w:w="2250" w:type="dxa"/>
            <w:vAlign w:val="center"/>
            <w:textDirection w:val="lrTb"/>
            <w:noWrap w:val="false"/>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500"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不以月计，按次结算</w:t>
            </w:r>
            <w:r>
              <w:rPr>
                <w:rFonts w:hint="eastAsia" w:cs="宋体"/>
                <w:sz w:val="22"/>
                <w:szCs w:val="22"/>
                <w:lang w:val="en-US" w:eastAsia="zh-CN"/>
              </w:rPr>
            </w:r>
            <w:r/>
          </w:p>
        </w:tc>
      </w:tr>
      <w:tr>
        <w:trPr>
          <w:trHeight w:val="454"/>
          <w:tblHeader/>
        </w:trPr>
        <w:tc>
          <w:tcPr>
            <w:tcW w:w="678"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序号</w:t>
            </w:r>
            <w:r>
              <w:rPr>
                <w:rFonts w:hint="eastAsia" w:cs="宋体"/>
                <w:b/>
                <w:bCs/>
                <w:sz w:val="22"/>
                <w:szCs w:val="22"/>
                <w:lang w:val="en-US" w:eastAsia="zh-CN"/>
              </w:rPr>
            </w:r>
            <w:r/>
          </w:p>
        </w:tc>
        <w:tc>
          <w:tcPr>
            <w:tcW w:w="1324"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项目</w:t>
            </w:r>
            <w:r>
              <w:rPr>
                <w:rFonts w:hint="eastAsia" w:cs="宋体"/>
                <w:b/>
                <w:bCs/>
                <w:sz w:val="22"/>
                <w:szCs w:val="22"/>
                <w:lang w:val="en-US" w:eastAsia="zh-CN"/>
              </w:rPr>
            </w:r>
            <w:r/>
          </w:p>
        </w:tc>
        <w:tc>
          <w:tcPr>
            <w:tcW w:w="717" w:type="dxa"/>
            <w:vAlign w:val="center"/>
            <w:textDirection w:val="lrTb"/>
            <w:noWrap/>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单位</w:t>
            </w:r>
            <w:r>
              <w:rPr>
                <w:rFonts w:hint="eastAsia" w:cs="宋体"/>
                <w:b/>
                <w:bCs/>
                <w:sz w:val="22"/>
                <w:szCs w:val="22"/>
                <w:highlight w:val="none"/>
                <w:lang w:val="en-US" w:eastAsia="zh-CN"/>
              </w:rPr>
            </w:r>
            <w:r/>
          </w:p>
        </w:tc>
        <w:tc>
          <w:tcPr>
            <w:tcW w:w="720" w:type="dxa"/>
            <w:vAlign w:val="center"/>
            <w:textDirection w:val="lrTb"/>
            <w:noWrap/>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数量</w:t>
            </w:r>
            <w:r>
              <w:rPr>
                <w:rFonts w:hint="eastAsia" w:cs="宋体"/>
                <w:b/>
                <w:bCs/>
                <w:sz w:val="22"/>
                <w:szCs w:val="22"/>
                <w:highlight w:val="none"/>
                <w:lang w:val="en-US" w:eastAsia="zh-CN"/>
              </w:rPr>
            </w:r>
            <w:r/>
          </w:p>
        </w:tc>
        <w:tc>
          <w:tcPr>
            <w:gridSpan w:val="2"/>
            <w:tcW w:w="3268" w:type="dxa"/>
            <w:vAlign w:val="center"/>
            <w:textDirection w:val="lrTb"/>
            <w:noWrap/>
          </w:tcPr>
          <w:p>
            <w:pPr>
              <w:pStyle w:val="995"/>
              <w:jc w:val="center"/>
              <w:widowControl/>
              <w:rPr>
                <w:rFonts w:hint="eastAsia" w:ascii="宋体" w:hAnsi="宋体" w:cs="宋体"/>
                <w:b/>
                <w:bCs/>
                <w:color w:val="000000"/>
                <w:sz w:val="22"/>
                <w:szCs w:val="22"/>
                <w:highlight w:val="none"/>
              </w:rPr>
            </w:pPr>
            <w:r>
              <w:rPr>
                <w:rFonts w:hint="eastAsia" w:ascii="宋体" w:hAnsi="宋体" w:cs="宋体"/>
                <w:b/>
                <w:bCs/>
                <w:sz w:val="22"/>
                <w:szCs w:val="22"/>
                <w:highlight w:val="none"/>
              </w:rPr>
              <w:t xml:space="preserve">预估价，最高限价（元/年）</w:t>
            </w:r>
            <w:r>
              <w:rPr>
                <w:rFonts w:hint="eastAsia" w:ascii="宋体" w:hAnsi="宋体" w:cs="宋体"/>
                <w:b/>
                <w:bCs/>
                <w:color w:val="000000"/>
                <w:sz w:val="22"/>
                <w:szCs w:val="22"/>
                <w:highlight w:val="none"/>
              </w:rPr>
            </w:r>
            <w:r/>
          </w:p>
        </w:tc>
        <w:tc>
          <w:tcPr>
            <w:gridSpan w:val="2"/>
            <w:tcW w:w="2250" w:type="dxa"/>
            <w:vAlign w:val="center"/>
            <w:textDirection w:val="lrTb"/>
            <w:noWrap w:val="false"/>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投标报价（元/年）</w:t>
            </w:r>
            <w:r>
              <w:rPr>
                <w:rFonts w:hint="eastAsia" w:cs="宋体"/>
                <w:b/>
                <w:bCs/>
                <w:sz w:val="22"/>
                <w:szCs w:val="22"/>
                <w:highlight w:val="none"/>
                <w:lang w:val="en-US" w:eastAsia="zh-CN"/>
              </w:rPr>
            </w:r>
            <w:r/>
          </w:p>
        </w:tc>
        <w:tc>
          <w:tcPr>
            <w:tcW w:w="1500"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备注</w:t>
            </w:r>
            <w:r>
              <w:rPr>
                <w:rFonts w:hint="eastAsia" w:cs="宋体"/>
                <w:b/>
                <w:bCs/>
                <w:sz w:val="22"/>
                <w:szCs w:val="22"/>
                <w:lang w:val="en-US" w:eastAsia="zh-CN"/>
              </w:rPr>
            </w:r>
            <w:r/>
          </w:p>
        </w:tc>
      </w:tr>
      <w:tr>
        <w:trPr>
          <w:trHeight w:val="454"/>
          <w:tblHeader/>
        </w:trPr>
        <w:tc>
          <w:tcPr>
            <w:tcW w:w="678"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4</w:t>
            </w:r>
            <w:r>
              <w:rPr>
                <w:rFonts w:hint="eastAsia" w:cs="宋体"/>
                <w:sz w:val="22"/>
                <w:szCs w:val="22"/>
                <w:lang w:val="en-US" w:eastAsia="zh-CN"/>
              </w:rPr>
            </w:r>
            <w:r/>
          </w:p>
        </w:tc>
        <w:tc>
          <w:tcPr>
            <w:tcW w:w="1324"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sz w:val="22"/>
                <w:szCs w:val="22"/>
              </w:rPr>
              <w:t xml:space="preserve">变电所供配电设施设备抢修维修、低压电气零星维修、视频门禁维修</w:t>
            </w:r>
            <w:r>
              <w:rPr>
                <w:rFonts w:hint="eastAsia" w:ascii="宋体" w:hAnsi="宋体" w:cs="宋体"/>
                <w:color w:val="000000"/>
                <w:sz w:val="22"/>
                <w:szCs w:val="22"/>
              </w:rPr>
            </w:r>
            <w:r/>
          </w:p>
        </w:tc>
        <w:tc>
          <w:tcPr>
            <w:tcW w:w="717"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项</w:t>
            </w:r>
            <w:r>
              <w:rPr>
                <w:rFonts w:hint="eastAsia" w:ascii="宋体" w:hAnsi="宋体" w:cs="宋体"/>
                <w:sz w:val="22"/>
                <w:szCs w:val="22"/>
              </w:rPr>
            </w:r>
            <w:r/>
          </w:p>
        </w:tc>
        <w:tc>
          <w:tcPr>
            <w:tcW w:w="720"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gridSpan w:val="2"/>
            <w:tcW w:w="3268"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color w:val="000000"/>
                <w:sz w:val="22"/>
                <w:szCs w:val="22"/>
                <w:lang w:val="en-US" w:eastAsia="zh-CN"/>
              </w:rPr>
              <w:t xml:space="preserve">1197100</w:t>
            </w:r>
            <w:r>
              <w:rPr>
                <w:rFonts w:hint="eastAsia" w:cs="宋体"/>
                <w:sz w:val="22"/>
                <w:szCs w:val="22"/>
                <w:lang w:val="en-US" w:eastAsia="zh-CN"/>
              </w:rPr>
            </w:r>
            <w:r/>
          </w:p>
        </w:tc>
        <w:tc>
          <w:tcPr>
            <w:gridSpan w:val="2"/>
            <w:tcW w:w="2250"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500"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各项估计费用：变电所供配电设施设备抢维修费预估40万，低压电气、视频门禁等零星维修预估79.71万 </w:t>
            </w:r>
            <w:r>
              <w:rPr>
                <w:rFonts w:hint="eastAsia" w:cs="宋体"/>
                <w:sz w:val="22"/>
                <w:szCs w:val="22"/>
                <w:lang w:val="en-US" w:eastAsia="zh-CN"/>
              </w:rPr>
            </w:r>
            <w:r/>
          </w:p>
        </w:tc>
      </w:tr>
      <w:tr>
        <w:trPr>
          <w:trHeight w:val="454"/>
          <w:tblHeader/>
        </w:trPr>
        <w:tc>
          <w:tcPr>
            <w:tcW w:w="678"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序号</w:t>
            </w:r>
            <w:r>
              <w:rPr>
                <w:rFonts w:hint="eastAsia" w:cs="宋体"/>
                <w:b/>
                <w:bCs/>
                <w:sz w:val="22"/>
                <w:szCs w:val="22"/>
                <w:lang w:val="en-US" w:eastAsia="zh-CN"/>
              </w:rPr>
            </w:r>
            <w:r/>
          </w:p>
        </w:tc>
        <w:tc>
          <w:tcPr>
            <w:tcW w:w="1324"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项目</w:t>
            </w:r>
            <w:r>
              <w:rPr>
                <w:rFonts w:hint="eastAsia" w:cs="宋体"/>
                <w:b/>
                <w:bCs/>
                <w:sz w:val="22"/>
                <w:szCs w:val="22"/>
                <w:lang w:val="en-US" w:eastAsia="zh-CN"/>
              </w:rPr>
            </w:r>
            <w:r/>
          </w:p>
        </w:tc>
        <w:tc>
          <w:tcPr>
            <w:tcW w:w="717" w:type="dxa"/>
            <w:vAlign w:val="center"/>
            <w:textDirection w:val="lrTb"/>
            <w:noWrap/>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单位</w:t>
            </w:r>
            <w:r>
              <w:rPr>
                <w:rFonts w:hint="eastAsia" w:cs="宋体"/>
                <w:b/>
                <w:bCs/>
                <w:sz w:val="22"/>
                <w:szCs w:val="22"/>
                <w:highlight w:val="none"/>
                <w:lang w:val="en-US" w:eastAsia="zh-CN"/>
              </w:rPr>
            </w:r>
            <w:r/>
          </w:p>
        </w:tc>
        <w:tc>
          <w:tcPr>
            <w:tcW w:w="720" w:type="dxa"/>
            <w:vAlign w:val="center"/>
            <w:textDirection w:val="lrTb"/>
            <w:noWrap/>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数量</w:t>
            </w:r>
            <w:r>
              <w:rPr>
                <w:rFonts w:hint="eastAsia" w:cs="宋体"/>
                <w:b/>
                <w:bCs/>
                <w:sz w:val="22"/>
                <w:szCs w:val="22"/>
                <w:highlight w:val="none"/>
                <w:lang w:val="en-US" w:eastAsia="zh-CN"/>
              </w:rPr>
            </w:r>
            <w:r/>
          </w:p>
        </w:tc>
        <w:tc>
          <w:tcPr>
            <w:gridSpan w:val="2"/>
            <w:tcW w:w="3268" w:type="dxa"/>
            <w:vAlign w:val="center"/>
            <w:textDirection w:val="lrTb"/>
            <w:noWrap/>
          </w:tcPr>
          <w:p>
            <w:pPr>
              <w:pStyle w:val="1027"/>
              <w:jc w:val="center"/>
              <w:spacing w:before="0" w:line="240" w:lineRule="auto"/>
              <w:tabs>
                <w:tab w:val="left" w:pos="567" w:leader="none"/>
              </w:tabs>
              <w:rPr>
                <w:rFonts w:hint="eastAsia" w:cs="宋体"/>
                <w:color w:val="000000"/>
                <w:sz w:val="22"/>
                <w:szCs w:val="22"/>
                <w:highlight w:val="none"/>
                <w:lang w:val="en-US" w:eastAsia="zh-CN"/>
              </w:rPr>
            </w:pPr>
            <w:r>
              <w:rPr>
                <w:rFonts w:hint="eastAsia" w:cs="宋体"/>
                <w:b/>
                <w:bCs/>
                <w:sz w:val="22"/>
                <w:szCs w:val="22"/>
                <w:highlight w:val="none"/>
                <w:lang w:val="en-US" w:eastAsia="zh-CN"/>
              </w:rPr>
              <w:t xml:space="preserve">预估价，最高限价（元/年）</w:t>
            </w:r>
            <w:r>
              <w:rPr>
                <w:rFonts w:hint="eastAsia" w:cs="宋体"/>
                <w:color w:val="000000"/>
                <w:sz w:val="22"/>
                <w:szCs w:val="22"/>
                <w:highlight w:val="none"/>
                <w:lang w:val="en-US" w:eastAsia="zh-CN"/>
              </w:rPr>
            </w:r>
            <w:r/>
          </w:p>
        </w:tc>
        <w:tc>
          <w:tcPr>
            <w:tcW w:w="1125" w:type="dxa"/>
            <w:vAlign w:val="center"/>
            <w:textDirection w:val="lrTb"/>
            <w:noWrap/>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合计价格（元/月）</w:t>
            </w:r>
            <w:r>
              <w:rPr>
                <w:rFonts w:hint="eastAsia" w:cs="宋体"/>
                <w:b/>
                <w:bCs/>
                <w:sz w:val="22"/>
                <w:szCs w:val="22"/>
                <w:highlight w:val="none"/>
                <w:lang w:val="en-US" w:eastAsia="zh-CN"/>
              </w:rPr>
            </w:r>
            <w:r/>
          </w:p>
        </w:tc>
        <w:tc>
          <w:tcPr>
            <w:tcW w:w="1125" w:type="dxa"/>
            <w:vAlign w:val="center"/>
            <w:textDirection w:val="lrTb"/>
            <w:noWrap w:val="false"/>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合计价格（元/年）</w:t>
            </w:r>
            <w:r>
              <w:rPr>
                <w:rFonts w:hint="eastAsia" w:cs="宋体"/>
                <w:b/>
                <w:bCs/>
                <w:sz w:val="22"/>
                <w:szCs w:val="22"/>
                <w:highlight w:val="none"/>
                <w:lang w:val="en-US" w:eastAsia="zh-CN"/>
              </w:rPr>
            </w:r>
            <w:r/>
          </w:p>
        </w:tc>
        <w:tc>
          <w:tcPr>
            <w:tcW w:w="1500"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备注</w:t>
            </w:r>
            <w:r>
              <w:rPr>
                <w:rFonts w:hint="eastAsia" w:cs="宋体"/>
                <w:b/>
                <w:bCs/>
                <w:sz w:val="22"/>
                <w:szCs w:val="22"/>
                <w:lang w:val="en-US" w:eastAsia="zh-CN"/>
              </w:rPr>
            </w:r>
            <w:r/>
          </w:p>
        </w:tc>
      </w:tr>
      <w:tr>
        <w:trPr>
          <w:trHeight w:val="454"/>
          <w:tblHeader/>
        </w:trPr>
        <w:tc>
          <w:tcPr>
            <w:tcW w:w="678"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5</w:t>
            </w:r>
            <w:r>
              <w:rPr>
                <w:rFonts w:hint="eastAsia" w:cs="宋体"/>
                <w:sz w:val="22"/>
                <w:szCs w:val="22"/>
                <w:lang w:val="en-US" w:eastAsia="zh-CN"/>
              </w:rPr>
            </w:r>
            <w:r/>
          </w:p>
        </w:tc>
        <w:tc>
          <w:tcPr>
            <w:tcW w:w="1324"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中水科设施清洁生产维护</w:t>
            </w:r>
            <w:r>
              <w:rPr>
                <w:rFonts w:hint="eastAsia" w:ascii="宋体" w:hAnsi="宋体" w:cs="宋体"/>
                <w:sz w:val="22"/>
                <w:szCs w:val="22"/>
              </w:rPr>
            </w:r>
            <w:r/>
          </w:p>
        </w:tc>
        <w:tc>
          <w:tcPr>
            <w:tcW w:w="717"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项</w:t>
            </w:r>
            <w:r>
              <w:rPr>
                <w:rFonts w:hint="eastAsia" w:ascii="宋体" w:hAnsi="宋体" w:cs="宋体"/>
                <w:sz w:val="22"/>
                <w:szCs w:val="22"/>
              </w:rPr>
            </w:r>
            <w:r/>
          </w:p>
        </w:tc>
        <w:tc>
          <w:tcPr>
            <w:tcW w:w="720"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gridSpan w:val="2"/>
            <w:tcW w:w="3268"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25" w:type="dxa"/>
            <w:vAlign w:val="center"/>
            <w:textDirection w:val="lrTb"/>
            <w:noWrap w:val="false"/>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3950.25</w:t>
            </w:r>
            <w:r>
              <w:rPr>
                <w:rFonts w:hint="eastAsia" w:cs="宋体"/>
                <w:sz w:val="22"/>
                <w:szCs w:val="22"/>
                <w:lang w:val="en-US" w:eastAsia="zh-CN"/>
              </w:rPr>
            </w:r>
            <w:r/>
          </w:p>
        </w:tc>
        <w:tc>
          <w:tcPr>
            <w:tcW w:w="1125" w:type="dxa"/>
            <w:vAlign w:val="center"/>
            <w:textDirection w:val="lrTb"/>
            <w:noWrap w:val="false"/>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47403</w:t>
            </w:r>
            <w:r>
              <w:rPr>
                <w:rFonts w:hint="eastAsia" w:cs="宋体"/>
                <w:sz w:val="22"/>
                <w:szCs w:val="22"/>
                <w:lang w:val="en-US" w:eastAsia="zh-CN"/>
              </w:rPr>
            </w:r>
            <w:r/>
          </w:p>
        </w:tc>
        <w:tc>
          <w:tcPr>
            <w:tcW w:w="1500"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（属于不可竞争费）</w:t>
            </w:r>
            <w:r>
              <w:rPr>
                <w:rFonts w:hint="eastAsia" w:cs="宋体"/>
                <w:sz w:val="22"/>
                <w:szCs w:val="22"/>
                <w:lang w:val="en-US" w:eastAsia="zh-CN"/>
              </w:rPr>
            </w:r>
            <w:r/>
          </w:p>
        </w:tc>
      </w:tr>
      <w:tr>
        <w:trPr>
          <w:trHeight w:val="454"/>
          <w:tblHeader/>
        </w:trPr>
        <w:tc>
          <w:tcPr>
            <w:gridSpan w:val="6"/>
            <w:tcW w:w="6707" w:type="dxa"/>
            <w:vAlign w:val="center"/>
            <w:textDirection w:val="lrTb"/>
            <w:noWrap/>
          </w:tcPr>
          <w:p>
            <w:pPr>
              <w:pStyle w:val="1027"/>
              <w:jc w:val="center"/>
              <w:spacing w:before="0" w:line="240" w:lineRule="auto"/>
              <w:tabs>
                <w:tab w:val="left" w:pos="567" w:leader="none"/>
              </w:tabs>
              <w:rPr>
                <w:rFonts w:hint="eastAsia" w:cs="宋体"/>
                <w:b/>
                <w:color w:val="000000"/>
                <w:sz w:val="22"/>
                <w:szCs w:val="22"/>
                <w:lang w:val="en-US" w:eastAsia="zh-CN"/>
              </w:rPr>
            </w:pPr>
            <w:r>
              <w:rPr>
                <w:rFonts w:hint="eastAsia" w:cs="宋体"/>
                <w:b/>
                <w:color w:val="000000"/>
                <w:sz w:val="22"/>
                <w:szCs w:val="22"/>
                <w:lang w:val="en-US" w:eastAsia="zh-CN"/>
              </w:rPr>
              <w:t xml:space="preserve">投标总价（元/年）</w:t>
            </w:r>
            <w:r>
              <w:rPr>
                <w:rFonts w:hint="eastAsia" w:cs="宋体"/>
                <w:b/>
                <w:color w:val="000000"/>
                <w:sz w:val="22"/>
                <w:szCs w:val="22"/>
                <w:lang w:val="en-US" w:eastAsia="zh-CN"/>
              </w:rPr>
            </w:r>
            <w:r/>
          </w:p>
        </w:tc>
        <w:tc>
          <w:tcPr>
            <w:gridSpan w:val="3"/>
            <w:tcW w:w="3750"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r>
    </w:tbl>
    <w:p>
      <w:pPr>
        <w:pStyle w:val="995"/>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合同履行期限</w:t>
      </w:r>
      <w:r>
        <w:rPr>
          <w:rFonts w:hint="eastAsia"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本合同期限为三年，合同一年一签。上一年度合同到期前一个月招标人对中标人服务满意的，经双方同意，可续签下一年度合同。</w:t>
      </w:r>
      <w:r>
        <w:rPr>
          <w:rFonts w:hint="eastAsia" w:ascii="宋体" w:hAnsi="宋体" w:cs="宋体"/>
          <w:sz w:val="24"/>
        </w:rPr>
      </w:r>
      <w:r/>
    </w:p>
    <w:p>
      <w:pPr>
        <w:pStyle w:val="995"/>
        <w:ind w:firstLine="482"/>
        <w:spacing w:line="360" w:lineRule="auto"/>
        <w:rPr>
          <w:rFonts w:hint="eastAsia" w:ascii="宋体" w:hAnsi="宋体" w:cs="宋体"/>
          <w:b/>
          <w:sz w:val="24"/>
        </w:rPr>
        <w:outlineLvl w:val="1"/>
      </w:pPr>
      <w:r>
        <w:rPr>
          <w:rFonts w:hint="eastAsia" w:ascii="宋体" w:hAnsi="宋体" w:cs="宋体"/>
          <w:b/>
          <w:sz w:val="24"/>
        </w:rPr>
        <w:t xml:space="preserve">四、泵站变电所运维服务要求</w:t>
      </w:r>
      <w:r>
        <w:rPr>
          <w:rFonts w:hint="eastAsia" w:ascii="宋体" w:hAnsi="宋体" w:cs="宋体"/>
          <w:b/>
          <w:sz w:val="24"/>
        </w:rPr>
      </w:r>
      <w:r/>
    </w:p>
    <w:p>
      <w:pPr>
        <w:pStyle w:val="995"/>
        <w:ind w:firstLine="480"/>
        <w:spacing w:line="360" w:lineRule="auto"/>
        <w:rPr>
          <w:rFonts w:ascii="宋体" w:hAnsi="宋体" w:cs="宋体"/>
          <w:sz w:val="24"/>
        </w:rPr>
      </w:pPr>
      <w:r>
        <w:rPr>
          <w:rFonts w:hint="eastAsia" w:ascii="宋体" w:hAnsi="宋体" w:cs="宋体"/>
          <w:sz w:val="24"/>
        </w:rPr>
        <w:t xml:space="preserve">1.变电所月度巡检：变电所巡检时间为2026年9月至2027年8月，每月1次，共计12次。每月变电所巡检须在上半个月（即16号前）完成，否则将对其进行考核。</w:t>
      </w:r>
      <w:r>
        <w:rPr>
          <w:rFonts w:ascii="宋体" w:hAnsi="宋体" w:cs="宋体"/>
          <w:sz w:val="24"/>
        </w:rPr>
      </w:r>
      <w:r/>
    </w:p>
    <w:p>
      <w:pPr>
        <w:pStyle w:val="995"/>
        <w:ind w:firstLine="480"/>
        <w:spacing w:line="360" w:lineRule="auto"/>
        <w:rPr>
          <w:rFonts w:ascii="宋体" w:hAnsi="宋体" w:cs="宋体"/>
          <w:sz w:val="24"/>
          <w:highlight w:val="none"/>
        </w:rPr>
      </w:pPr>
      <w:r>
        <w:rPr>
          <w:rFonts w:hint="eastAsia" w:ascii="宋体" w:hAnsi="宋体"/>
          <w:sz w:val="24"/>
          <w:highlight w:val="none"/>
        </w:rPr>
        <w:t xml:space="preserve">（1）</w:t>
      </w:r>
      <w:r>
        <w:rPr>
          <w:rFonts w:hint="eastAsia" w:ascii="宋体" w:hAnsi="宋体" w:cs="宋体"/>
          <w:b/>
          <w:sz w:val="24"/>
          <w:highlight w:val="none"/>
        </w:rPr>
        <w:t xml:space="preserve">完成对各变电所规定项目的巡视，若发现重大隐患的，立即电话上报并于第二天发工作联系单给招标人，逾期将对其进行考核。</w:t>
      </w:r>
      <w:r>
        <w:rPr>
          <w:rFonts w:ascii="宋体" w:hAnsi="宋体" w:cs="宋体"/>
          <w:sz w:val="24"/>
          <w:highlight w:val="none"/>
        </w:rPr>
      </w:r>
      <w:r/>
    </w:p>
    <w:p>
      <w:pPr>
        <w:pStyle w:val="995"/>
        <w:ind w:firstLine="480"/>
        <w:spacing w:line="360" w:lineRule="auto"/>
        <w:rPr>
          <w:rFonts w:hint="eastAsia" w:ascii="宋体" w:hAnsi="宋体" w:cs="宋体"/>
          <w:b/>
          <w:sz w:val="24"/>
        </w:rPr>
      </w:pPr>
      <w:r>
        <w:rPr>
          <w:rFonts w:hint="eastAsia" w:ascii="宋体" w:hAnsi="宋体"/>
          <w:sz w:val="24"/>
          <w:highlight w:val="none"/>
        </w:rPr>
        <w:t xml:space="preserve">（2）</w:t>
      </w:r>
      <w:r>
        <w:rPr>
          <w:rFonts w:hint="eastAsia" w:ascii="宋体" w:hAnsi="宋体" w:cs="宋体"/>
          <w:b/>
          <w:sz w:val="24"/>
          <w:highlight w:val="none"/>
        </w:rPr>
        <w:t xml:space="preserve">各变电所巡视内容，须形成纸质和电子版文件，</w:t>
      </w:r>
      <w:r>
        <w:rPr>
          <w:rFonts w:hint="eastAsia" w:ascii="宋体" w:hAnsi="宋体"/>
          <w:b/>
          <w:sz w:val="24"/>
          <w:highlight w:val="none"/>
        </w:rPr>
        <w:t xml:space="preserve">每月20号前</w:t>
      </w:r>
      <w:r>
        <w:rPr>
          <w:rFonts w:hint="eastAsia" w:ascii="宋体" w:hAnsi="宋体" w:cs="宋体"/>
          <w:b/>
          <w:sz w:val="24"/>
          <w:highlight w:val="none"/>
        </w:rPr>
        <w:t xml:space="preserve">装订成册，以巡检报告的形式</w:t>
      </w:r>
      <w:r>
        <w:rPr>
          <w:rFonts w:hint="eastAsia" w:ascii="宋体" w:hAnsi="宋体" w:cs="宋体"/>
          <w:b/>
          <w:sz w:val="24"/>
        </w:rPr>
        <w:t xml:space="preserve">提交给招标人，</w:t>
      </w:r>
      <w:r>
        <w:rPr>
          <w:rFonts w:hint="eastAsia" w:ascii="宋体" w:hAnsi="宋体"/>
          <w:b/>
          <w:sz w:val="24"/>
        </w:rPr>
        <w:t xml:space="preserve">逾期将对其进行考核</w:t>
      </w:r>
      <w:r>
        <w:rPr>
          <w:rFonts w:hint="eastAsia" w:ascii="宋体" w:hAnsi="宋体" w:cs="宋体"/>
          <w:b/>
          <w:sz w:val="24"/>
        </w:rPr>
        <w:t xml:space="preserve">。</w:t>
      </w:r>
      <w:r>
        <w:rPr>
          <w:rFonts w:hint="eastAsia" w:ascii="宋体" w:hAnsi="宋体" w:cs="宋体"/>
          <w:b/>
          <w:sz w:val="24"/>
        </w:rPr>
      </w:r>
      <w:r/>
    </w:p>
    <w:p>
      <w:pPr>
        <w:pStyle w:val="995"/>
        <w:ind w:firstLine="480"/>
        <w:spacing w:line="360" w:lineRule="auto"/>
        <w:rPr>
          <w:rFonts w:ascii="宋体" w:hAnsi="宋体"/>
          <w:sz w:val="24"/>
        </w:rPr>
      </w:pPr>
      <w:r>
        <w:rPr>
          <w:rFonts w:hint="eastAsia" w:ascii="宋体" w:hAnsi="宋体"/>
          <w:sz w:val="24"/>
        </w:rPr>
        <w:t xml:space="preserve">（3）对于巡视或计划检修中发现的故障经招标人同意后及时进行消缺，费用根据供电抢修模式按合同相关条款进行结算。</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（4）功率因数低于0.9时，及时查明原因提供维修方案告知招标人进行处理。</w:t>
      </w:r>
      <w:r>
        <w:rPr>
          <w:rFonts w:ascii="宋体" w:hAnsi="宋体"/>
          <w:sz w:val="24"/>
        </w:rPr>
      </w:r>
      <w:r/>
    </w:p>
    <w:p>
      <w:pPr>
        <w:pStyle w:val="995"/>
        <w:ind w:firstLine="480"/>
        <w:spacing w:line="360" w:lineRule="auto"/>
        <w:rPr>
          <w:rFonts w:ascii="宋体" w:hAnsi="宋体" w:cs="宋体"/>
          <w:bCs/>
          <w:sz w:val="24"/>
        </w:rPr>
      </w:pPr>
      <w:r>
        <w:rPr>
          <w:rFonts w:hint="eastAsia" w:ascii="宋体" w:hAnsi="宋体" w:cs="宋体"/>
          <w:bCs/>
          <w:sz w:val="24"/>
        </w:rPr>
        <w:t xml:space="preserve">（5）变电所月度巡检主要内容如下（包括但不仅限于以下内容）</w:t>
      </w:r>
      <w:r>
        <w:rPr>
          <w:rFonts w:ascii="宋体" w:hAnsi="宋体" w:cs="宋体"/>
          <w:bCs/>
          <w:sz w:val="24"/>
        </w:rPr>
      </w:r>
      <w:r/>
    </w:p>
    <w:tbl>
      <w:tblPr>
        <w:tblW w:w="90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7959"/>
      </w:tblGrid>
      <w:tr>
        <w:trPr>
          <w:trHeight w:val="454"/>
        </w:trPr>
        <w:tc>
          <w:tcPr>
            <w:tcW w:w="1092" w:type="dxa"/>
            <w:vAlign w:val="center"/>
            <w:textDirection w:val="lrTb"/>
            <w:noWrap/>
          </w:tcPr>
          <w:p>
            <w:pPr>
              <w:pStyle w:val="995"/>
              <w:jc w:val="center"/>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7959" w:type="dxa"/>
            <w:vAlign w:val="center"/>
            <w:textDirection w:val="lrTb"/>
            <w:noWrap/>
          </w:tcPr>
          <w:p>
            <w:pPr>
              <w:pStyle w:val="995"/>
              <w:jc w:val="center"/>
              <w:rPr>
                <w:rFonts w:ascii="宋体" w:hAnsi="宋体" w:cs="宋体"/>
                <w:b/>
                <w:sz w:val="24"/>
              </w:rPr>
            </w:pPr>
            <w:r>
              <w:rPr>
                <w:rFonts w:hint="eastAsia" w:ascii="宋体" w:hAnsi="宋体" w:cs="宋体"/>
                <w:b/>
                <w:sz w:val="24"/>
              </w:rPr>
              <w:t xml:space="preserve">巡检内容（含外观检查）</w:t>
            </w:r>
            <w:r>
              <w:rPr>
                <w:rFonts w:ascii="宋体" w:hAnsi="宋体" w:cs="宋体"/>
                <w:b/>
                <w:sz w:val="24"/>
              </w:rPr>
            </w:r>
            <w:r/>
          </w:p>
        </w:tc>
      </w:tr>
      <w:tr>
        <w:trPr>
          <w:trHeight w:val="454"/>
        </w:trPr>
        <w:tc>
          <w:tcPr>
            <w:tcW w:w="1092" w:type="dxa"/>
            <w:vAlign w:val="center"/>
            <w:textDirection w:val="lrTb"/>
            <w:noWrap/>
          </w:tcPr>
          <w:p>
            <w:pPr>
              <w:pStyle w:val="99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7959" w:type="dxa"/>
            <w:vAlign w:val="center"/>
            <w:textDirection w:val="lrTb"/>
            <w:noWrap/>
          </w:tcPr>
          <w:p>
            <w:pPr>
              <w:pStyle w:val="995"/>
              <w:rPr>
                <w:rFonts w:ascii="宋体" w:hAnsi="宋体" w:cs="宋体"/>
                <w:sz w:val="24"/>
              </w:rPr>
            </w:pPr>
            <w:r>
              <w:rPr>
                <w:rFonts w:hint="eastAsia" w:ascii="宋体" w:hAnsi="宋体" w:cs="宋体"/>
                <w:sz w:val="24"/>
              </w:rPr>
              <w:t xml:space="preserve">巡视高压线路及进线电缆井、进线周边树木、进线周边有无施工或存在安全隐患（令克、避雷器、高压电缆），对发现影响安全的树木进行修剪。</w:t>
            </w:r>
            <w:r>
              <w:rPr>
                <w:rFonts w:ascii="宋体" w:hAnsi="宋体" w:cs="宋体"/>
                <w:sz w:val="24"/>
              </w:rPr>
            </w:r>
            <w:r/>
          </w:p>
        </w:tc>
      </w:tr>
      <w:tr>
        <w:trPr>
          <w:trHeight w:val="454"/>
        </w:trPr>
        <w:tc>
          <w:tcPr>
            <w:tcW w:w="1092" w:type="dxa"/>
            <w:vAlign w:val="center"/>
            <w:textDirection w:val="lrTb"/>
            <w:noWrap/>
          </w:tcPr>
          <w:p>
            <w:pPr>
              <w:pStyle w:val="995"/>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959" w:type="dxa"/>
            <w:vAlign w:val="center"/>
            <w:textDirection w:val="lrTb"/>
            <w:noWrap/>
          </w:tcPr>
          <w:p>
            <w:pPr>
              <w:pStyle w:val="995"/>
              <w:rPr>
                <w:rFonts w:ascii="宋体" w:hAnsi="宋体" w:cs="宋体"/>
                <w:bCs/>
                <w:sz w:val="24"/>
              </w:rPr>
            </w:pPr>
            <w:r>
              <w:rPr>
                <w:rFonts w:hint="eastAsia" w:hAnsi="宋体" w:cs="宋体"/>
                <w:sz w:val="24"/>
              </w:rPr>
              <w:t xml:space="preserve">巡视高压开关柜各类仪表、装置以及指示灯的完好性</w:t>
            </w:r>
            <w:r>
              <w:rPr>
                <w:rFonts w:ascii="宋体" w:hAnsi="宋体" w:cs="宋体"/>
                <w:bCs/>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3</w:t>
            </w:r>
            <w:r>
              <w:rPr>
                <w:rFonts w:ascii="宋体" w:hAnsi="宋体" w:cs="宋体"/>
                <w:bCs/>
                <w:sz w:val="24"/>
              </w:rPr>
            </w:r>
            <w:r/>
          </w:p>
        </w:tc>
        <w:tc>
          <w:tcPr>
            <w:tcW w:w="7959" w:type="dxa"/>
            <w:vAlign w:val="center"/>
            <w:textDirection w:val="lrTb"/>
            <w:noWrap/>
          </w:tcPr>
          <w:p>
            <w:pPr>
              <w:pStyle w:val="995"/>
              <w:rPr>
                <w:rFonts w:hAnsi="宋体" w:cs="宋体"/>
                <w:sz w:val="24"/>
              </w:rPr>
            </w:pPr>
            <w:r>
              <w:rPr>
                <w:rFonts w:hint="eastAsia" w:hAnsi="宋体" w:cs="宋体"/>
                <w:sz w:val="24"/>
              </w:rPr>
              <w:t xml:space="preserve">巡视低压开关柜（含非标柜）各类仪表、装置以及指示灯的完好性</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4</w:t>
            </w:r>
            <w:r>
              <w:rPr>
                <w:rFonts w:ascii="宋体" w:hAnsi="宋体" w:cs="宋体"/>
                <w:bCs/>
                <w:sz w:val="24"/>
              </w:rPr>
            </w:r>
            <w:r/>
          </w:p>
        </w:tc>
        <w:tc>
          <w:tcPr>
            <w:tcW w:w="7959" w:type="dxa"/>
            <w:vAlign w:val="center"/>
            <w:textDirection w:val="lrTb"/>
            <w:noWrap/>
          </w:tcPr>
          <w:p>
            <w:pPr>
              <w:pStyle w:val="995"/>
              <w:rPr>
                <w:rFonts w:hAnsi="宋体" w:cs="宋体"/>
                <w:sz w:val="24"/>
              </w:rPr>
            </w:pPr>
            <w:r>
              <w:rPr>
                <w:rFonts w:hint="eastAsia" w:hAnsi="宋体" w:cs="宋体"/>
                <w:sz w:val="24"/>
              </w:rPr>
              <w:t xml:space="preserve">巡视变压器三相绕组温度、声音、风机、呼吸器等设施的完好性</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5</w:t>
            </w:r>
            <w:r>
              <w:rPr>
                <w:rFonts w:ascii="宋体" w:hAnsi="宋体" w:cs="宋体"/>
                <w:bCs/>
                <w:sz w:val="24"/>
              </w:rPr>
            </w:r>
            <w:r/>
          </w:p>
        </w:tc>
        <w:tc>
          <w:tcPr>
            <w:tcW w:w="7959" w:type="dxa"/>
            <w:vAlign w:val="center"/>
            <w:textDirection w:val="lrTb"/>
            <w:noWrap/>
          </w:tcPr>
          <w:p>
            <w:pPr>
              <w:pStyle w:val="995"/>
              <w:rPr>
                <w:rFonts w:hAnsi="宋体" w:cs="宋体"/>
                <w:sz w:val="24"/>
              </w:rPr>
            </w:pPr>
            <w:r>
              <w:rPr>
                <w:rFonts w:hint="eastAsia" w:hAnsi="宋体" w:cs="宋体"/>
                <w:sz w:val="24"/>
              </w:rPr>
              <w:t xml:space="preserve">巡视变电所内安全工器具的有效性并定期检测</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6</w:t>
            </w:r>
            <w:r>
              <w:rPr>
                <w:rFonts w:ascii="宋体" w:hAnsi="宋体" w:cs="宋体"/>
                <w:bCs/>
                <w:sz w:val="24"/>
              </w:rPr>
            </w:r>
            <w:r/>
          </w:p>
        </w:tc>
        <w:tc>
          <w:tcPr>
            <w:tcW w:w="7959" w:type="dxa"/>
            <w:vAlign w:val="center"/>
            <w:textDirection w:val="lrTb"/>
            <w:noWrap/>
          </w:tcPr>
          <w:p>
            <w:pPr>
              <w:pStyle w:val="995"/>
              <w:rPr>
                <w:rFonts w:hAnsi="宋体" w:cs="宋体"/>
                <w:sz w:val="24"/>
              </w:rPr>
            </w:pPr>
            <w:r>
              <w:rPr>
                <w:rFonts w:hint="eastAsia" w:hAnsi="宋体" w:cs="宋体"/>
                <w:sz w:val="24"/>
              </w:rPr>
              <w:t xml:space="preserve">巡视变电所内高低压开关柜内是否有异响</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7</w:t>
            </w:r>
            <w:r>
              <w:rPr>
                <w:rFonts w:ascii="宋体" w:hAnsi="宋体" w:cs="宋体"/>
                <w:bCs/>
                <w:sz w:val="24"/>
              </w:rPr>
            </w:r>
            <w:r/>
          </w:p>
        </w:tc>
        <w:tc>
          <w:tcPr>
            <w:tcW w:w="7959" w:type="dxa"/>
            <w:vAlign w:val="center"/>
            <w:textDirection w:val="lrTb"/>
            <w:noWrap/>
          </w:tcPr>
          <w:p>
            <w:pPr>
              <w:pStyle w:val="995"/>
              <w:rPr>
                <w:rFonts w:hAnsi="宋体" w:cs="宋体"/>
                <w:sz w:val="24"/>
              </w:rPr>
            </w:pPr>
            <w:r>
              <w:rPr>
                <w:rFonts w:hint="eastAsia" w:hAnsi="宋体" w:cs="宋体"/>
                <w:sz w:val="24"/>
              </w:rPr>
              <w:t xml:space="preserve">巡视直流屏、微机保护装置的完好性</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8</w:t>
            </w:r>
            <w:r>
              <w:rPr>
                <w:rFonts w:ascii="宋体" w:hAnsi="宋体" w:cs="宋体"/>
                <w:bCs/>
                <w:sz w:val="24"/>
              </w:rPr>
            </w:r>
            <w:r/>
          </w:p>
        </w:tc>
        <w:tc>
          <w:tcPr>
            <w:tcW w:w="7959" w:type="dxa"/>
            <w:vAlign w:val="center"/>
            <w:textDirection w:val="lrTb"/>
            <w:noWrap/>
          </w:tcPr>
          <w:p>
            <w:pPr>
              <w:pStyle w:val="995"/>
              <w:rPr>
                <w:rFonts w:hAnsi="宋体" w:cs="宋体"/>
                <w:sz w:val="24"/>
              </w:rPr>
            </w:pPr>
            <w:r>
              <w:rPr>
                <w:rFonts w:hint="eastAsia" w:hAnsi="宋体" w:cs="宋体"/>
                <w:sz w:val="24"/>
              </w:rPr>
              <w:t xml:space="preserve">采用</w:t>
            </w:r>
            <w:r>
              <w:rPr>
                <w:rFonts w:hint="eastAsia" w:hAnsi="宋体" w:cs="宋体"/>
                <w:bCs/>
                <w:sz w:val="24"/>
              </w:rPr>
              <w:t xml:space="preserve">电子测温仪</w:t>
            </w:r>
            <w:r>
              <w:rPr>
                <w:rFonts w:hint="eastAsia" w:hAnsi="宋体" w:cs="宋体"/>
                <w:sz w:val="24"/>
              </w:rPr>
              <w:t xml:space="preserve">对主接线端子温度测量并记录</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9</w:t>
            </w:r>
            <w:r>
              <w:rPr>
                <w:rFonts w:ascii="宋体" w:hAnsi="宋体" w:cs="宋体"/>
                <w:bCs/>
                <w:sz w:val="24"/>
              </w:rPr>
            </w:r>
            <w:r/>
          </w:p>
        </w:tc>
        <w:tc>
          <w:tcPr>
            <w:tcW w:w="7959" w:type="dxa"/>
            <w:vAlign w:val="center"/>
            <w:textDirection w:val="lrTb"/>
            <w:noWrap/>
          </w:tcPr>
          <w:p>
            <w:pPr>
              <w:pStyle w:val="995"/>
              <w:rPr>
                <w:rFonts w:hAnsi="宋体" w:cs="宋体"/>
                <w:sz w:val="24"/>
              </w:rPr>
            </w:pPr>
            <w:r>
              <w:rPr>
                <w:rFonts w:hint="eastAsia" w:hAnsi="宋体" w:cs="宋体"/>
                <w:sz w:val="24"/>
              </w:rPr>
              <w:t xml:space="preserve">电容柜功率因素是否正常，并对运行状态进行测试</w:t>
            </w:r>
            <w:r>
              <w:rPr>
                <w:rFonts w:hAnsi="宋体" w:cs="宋体"/>
                <w:sz w:val="24"/>
              </w:rPr>
            </w:r>
            <w:r/>
          </w:p>
        </w:tc>
      </w:tr>
    </w:tbl>
    <w:p>
      <w:pPr>
        <w:pStyle w:val="995"/>
        <w:ind w:firstLine="480"/>
        <w:spacing w:line="360" w:lineRule="auto"/>
        <w:rPr>
          <w:rFonts w:ascii="宋体" w:hAnsi="宋体" w:cs="宋体"/>
          <w:bCs/>
          <w:sz w:val="24"/>
        </w:rPr>
      </w:pPr>
      <w:r>
        <w:rPr>
          <w:rFonts w:hint="eastAsia" w:ascii="宋体" w:hAnsi="宋体" w:cs="宋体"/>
          <w:bCs/>
          <w:sz w:val="24"/>
        </w:rPr>
        <w:t xml:space="preserve">（6）变电所巡检标准</w:t>
      </w:r>
      <w:r>
        <w:rPr>
          <w:rFonts w:ascii="宋体" w:hAnsi="宋体" w:cs="宋体"/>
          <w:bCs/>
          <w:sz w:val="24"/>
        </w:rPr>
      </w:r>
      <w:r/>
    </w:p>
    <w:tbl>
      <w:tblPr>
        <w:tblW w:w="9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275"/>
        <w:gridCol w:w="3741"/>
        <w:gridCol w:w="3735"/>
      </w:tblGrid>
      <w:tr>
        <w:trPr>
          <w:trHeight w:val="454"/>
        </w:trPr>
        <w:tc>
          <w:tcPr>
            <w:tcW w:w="984" w:type="dxa"/>
            <w:vAlign w:val="center"/>
            <w:textDirection w:val="lrTb"/>
            <w:noWrap/>
          </w:tcPr>
          <w:p>
            <w:pPr>
              <w:pStyle w:val="995"/>
              <w:jc w:val="center"/>
              <w:rPr>
                <w:rFonts w:ascii="宋体" w:hAnsi="宋体"/>
                <w:sz w:val="24"/>
              </w:rPr>
            </w:pPr>
            <w:r>
              <w:rPr>
                <w:rFonts w:hint="eastAsia" w:ascii="宋体" w:hAnsi="宋体"/>
                <w:sz w:val="24"/>
              </w:rPr>
              <w:t xml:space="preserve">序号</w:t>
            </w:r>
            <w:r>
              <w:rPr>
                <w:rFonts w:ascii="宋体" w:hAnsi="宋体"/>
                <w:sz w:val="24"/>
              </w:rPr>
            </w:r>
            <w:r/>
          </w:p>
        </w:tc>
        <w:tc>
          <w:tcPr>
            <w:tcW w:w="1275" w:type="dxa"/>
            <w:vAlign w:val="center"/>
            <w:textDirection w:val="lrTb"/>
            <w:noWrap/>
          </w:tcPr>
          <w:p>
            <w:pPr>
              <w:pStyle w:val="995"/>
              <w:jc w:val="center"/>
              <w:rPr>
                <w:rFonts w:ascii="宋体" w:hAnsi="宋体"/>
                <w:sz w:val="24"/>
              </w:rPr>
            </w:pPr>
            <w:r>
              <w:rPr>
                <w:rFonts w:hint="eastAsia" w:ascii="宋体" w:hAnsi="宋体"/>
                <w:sz w:val="24"/>
              </w:rPr>
              <w:t xml:space="preserve">巡检内容</w:t>
            </w:r>
            <w:r>
              <w:rPr>
                <w:rFonts w:ascii="宋体" w:hAnsi="宋体"/>
                <w:sz w:val="24"/>
              </w:rPr>
            </w:r>
            <w:r/>
          </w:p>
        </w:tc>
        <w:tc>
          <w:tcPr>
            <w:tcW w:w="3741" w:type="dxa"/>
            <w:vAlign w:val="center"/>
            <w:textDirection w:val="lrTb"/>
            <w:noWrap/>
          </w:tcPr>
          <w:p>
            <w:pPr>
              <w:pStyle w:val="995"/>
              <w:jc w:val="center"/>
              <w:rPr>
                <w:rFonts w:ascii="宋体" w:hAnsi="宋体"/>
                <w:sz w:val="24"/>
              </w:rPr>
            </w:pPr>
            <w:r>
              <w:rPr>
                <w:rFonts w:hint="eastAsia" w:ascii="宋体" w:hAnsi="宋体"/>
                <w:sz w:val="24"/>
              </w:rPr>
              <w:t xml:space="preserve">巡检内容</w:t>
            </w:r>
            <w:r>
              <w:rPr>
                <w:rFonts w:ascii="宋体" w:hAnsi="宋体"/>
                <w:sz w:val="24"/>
              </w:rPr>
            </w:r>
            <w:r/>
          </w:p>
        </w:tc>
        <w:tc>
          <w:tcPr>
            <w:tcW w:w="3735" w:type="dxa"/>
            <w:vAlign w:val="center"/>
            <w:textDirection w:val="lrTb"/>
            <w:noWrap/>
          </w:tcPr>
          <w:p>
            <w:pPr>
              <w:pStyle w:val="995"/>
              <w:jc w:val="center"/>
              <w:rPr>
                <w:rFonts w:ascii="宋体" w:hAnsi="宋体"/>
                <w:sz w:val="24"/>
              </w:rPr>
            </w:pPr>
            <w:r>
              <w:rPr>
                <w:rFonts w:hint="eastAsia" w:ascii="宋体" w:hAnsi="宋体"/>
                <w:sz w:val="24"/>
              </w:rPr>
              <w:t xml:space="preserve">巡检标准</w:t>
            </w:r>
            <w:r>
              <w:rPr>
                <w:rFonts w:ascii="宋体" w:hAnsi="宋体"/>
                <w:sz w:val="24"/>
              </w:rPr>
            </w:r>
            <w:r/>
          </w:p>
        </w:tc>
      </w:tr>
      <w:tr>
        <w:trPr>
          <w:trHeight w:val="454"/>
        </w:trPr>
        <w:tc>
          <w:tcPr>
            <w:tcW w:w="984" w:type="dxa"/>
            <w:vAlign w:val="center"/>
            <w:textDirection w:val="lrTb"/>
            <w:noWrap/>
          </w:tcPr>
          <w:p>
            <w:pPr>
              <w:pStyle w:val="995"/>
              <w:jc w:val="center"/>
              <w:rPr>
                <w:rFonts w:ascii="宋体" w:hAnsi="宋体"/>
                <w:sz w:val="24"/>
              </w:rPr>
            </w:pPr>
            <w:r>
              <w:rPr>
                <w:rFonts w:hint="eastAsia" w:ascii="宋体" w:hAnsi="宋体"/>
                <w:sz w:val="24"/>
              </w:rPr>
              <w:t xml:space="preserve">1</w:t>
            </w:r>
            <w:r>
              <w:rPr>
                <w:rFonts w:ascii="宋体" w:hAnsi="宋体"/>
                <w:sz w:val="24"/>
              </w:rPr>
            </w:r>
            <w:r/>
          </w:p>
        </w:tc>
        <w:tc>
          <w:tcPr>
            <w:tcW w:w="1275" w:type="dxa"/>
            <w:vAlign w:val="center"/>
            <w:textDirection w:val="lrTb"/>
            <w:noWrap/>
          </w:tcPr>
          <w:p>
            <w:pPr>
              <w:pStyle w:val="995"/>
              <w:jc w:val="center"/>
              <w:rPr>
                <w:rFonts w:ascii="宋体" w:hAnsi="宋体"/>
                <w:sz w:val="24"/>
              </w:rPr>
            </w:pPr>
            <w:r>
              <w:rPr>
                <w:rFonts w:hint="eastAsia" w:ascii="宋体" w:hAnsi="宋体"/>
                <w:sz w:val="24"/>
              </w:rPr>
              <w:t xml:space="preserve">高（低）压进线</w:t>
            </w:r>
            <w:r>
              <w:rPr>
                <w:rFonts w:ascii="宋体" w:hAnsi="宋体"/>
                <w:sz w:val="24"/>
              </w:rPr>
            </w:r>
            <w:r/>
          </w:p>
        </w:tc>
        <w:tc>
          <w:tcPr>
            <w:tcW w:w="3741" w:type="dxa"/>
            <w:vAlign w:val="center"/>
            <w:textDirection w:val="lrTb"/>
            <w:noWrap/>
          </w:tcPr>
          <w:p>
            <w:pPr>
              <w:pStyle w:val="995"/>
              <w:rPr>
                <w:rFonts w:ascii="宋体" w:hAnsi="宋体"/>
                <w:sz w:val="24"/>
              </w:rPr>
            </w:pPr>
            <w:r>
              <w:rPr>
                <w:rFonts w:hint="eastAsia" w:ascii="宋体" w:hAnsi="宋体"/>
                <w:sz w:val="24"/>
              </w:rPr>
              <w:t xml:space="preserve">电缆井、令克、避雷器、高（低）压电缆、周边树木、有无施工</w:t>
            </w:r>
            <w:r>
              <w:rPr>
                <w:rFonts w:ascii="宋体" w:hAnsi="宋体"/>
                <w:sz w:val="24"/>
              </w:rPr>
            </w:r>
            <w:r/>
          </w:p>
        </w:tc>
        <w:tc>
          <w:tcPr>
            <w:tcW w:w="3735" w:type="dxa"/>
            <w:vAlign w:val="center"/>
            <w:textDirection w:val="lrTb"/>
            <w:noWrap/>
          </w:tcPr>
          <w:p>
            <w:pPr>
              <w:pStyle w:val="995"/>
              <w:rPr>
                <w:rFonts w:ascii="宋体" w:hAnsi="宋体"/>
                <w:sz w:val="24"/>
              </w:rPr>
            </w:pPr>
            <w:r>
              <w:rPr>
                <w:rFonts w:hint="eastAsia" w:ascii="宋体" w:hAnsi="宋体"/>
                <w:sz w:val="24"/>
              </w:rPr>
              <w:t xml:space="preserve">是否有损坏、是否有施工。树木是否会触碰电缆，如有影响及时修剪。</w:t>
            </w:r>
            <w:r>
              <w:rPr>
                <w:rFonts w:ascii="宋体" w:hAnsi="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hint="eastAsia" w:ascii="宋体" w:hAnsi="宋体"/>
                <w:sz w:val="24"/>
              </w:rPr>
              <w:t xml:space="preserve">2</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变电所设备环境</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变电所内温度、湿度是否正常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变电所内温度在正常范围内（温度：15~35℃，湿度：20%RH~80%RH）</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防小动物设施：</w:t>
            </w:r>
            <w:r>
              <w:rPr>
                <w:rFonts w:ascii="宋体" w:hAnsi="宋体" w:cs="宋体"/>
                <w:sz w:val="24"/>
              </w:rPr>
              <w:t xml:space="preserve">进出变电所电缆洞封堵情况检查</w:t>
            </w:r>
            <w:r>
              <w:rPr>
                <w:rFonts w:ascii="宋体" w:hAnsi="宋体" w:cs="宋体"/>
                <w:sz w:val="24"/>
              </w:rPr>
            </w:r>
            <w:r/>
          </w:p>
        </w:tc>
        <w:tc>
          <w:tcPr>
            <w:tcW w:w="3735" w:type="dxa"/>
            <w:vAlign w:val="center"/>
            <w:textDirection w:val="lrTb"/>
            <w:noWrap/>
          </w:tcPr>
          <w:p>
            <w:pPr>
              <w:pStyle w:val="995"/>
              <w:rPr>
                <w:rFonts w:hint="eastAsia" w:ascii="宋体" w:hAnsi="宋体" w:cs="宋体"/>
                <w:sz w:val="24"/>
              </w:rPr>
            </w:pPr>
            <w:r>
              <w:rPr>
                <w:rFonts w:hint="eastAsia" w:ascii="宋体" w:hAnsi="宋体" w:cs="宋体"/>
                <w:sz w:val="24"/>
              </w:rPr>
              <w:t xml:space="preserve">检查并免费完成非新建变电所的</w:t>
            </w:r>
            <w:r>
              <w:rPr>
                <w:rFonts w:ascii="宋体" w:hAnsi="宋体" w:cs="宋体"/>
                <w:sz w:val="24"/>
              </w:rPr>
              <w:t xml:space="preserve">进出电缆洞封堵</w:t>
            </w:r>
            <w:r>
              <w:rPr>
                <w:rFonts w:hint="eastAsia" w:ascii="宋体" w:hAnsi="宋体" w:cs="宋体"/>
                <w:sz w:val="24"/>
              </w:rPr>
              <w:t xml:space="preserve">，确保无小动物</w:t>
            </w:r>
            <w:r>
              <w:rPr>
                <w:rFonts w:hint="eastAsia"/>
              </w:rPr>
              <w:t xml:space="preserve">出入</w:t>
            </w:r>
            <w:r>
              <w:rPr>
                <w:rFonts w:hint="eastAsia"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3</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变电所设施</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操作手柄及工具配备情况</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操作手柄齐全，完好</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安全用具</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安全用具齐全且都在有效期内</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4</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直流系统</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直流柜蓄电池供电是否正常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直流柜蓄电池供电正常（电池充放电一次需在工单上有体现）</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直流柜蓄电池是否有漏液、鼓包现象</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直流柜蓄电池无漏液、鼓包现象</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直流柜监控模块工作是否正常，有无告警信息</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直流柜监控模块工作正常，无告警信息</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指示灯、电压表显示是否正常，有无损坏</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指示灯、电压表显示正常无损坏</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设备标志是否齐全、正确</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设备标志齐全、正确</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5</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高压开关柜</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高压柜内部有无杂声及放电声音</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高压柜内部无杂声及放电声音</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高压柜内电缆头有无发热、变色及打火现象</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高压柜内电缆头无发热、变色及打火现象</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高压柜断路器各部分有无异常声音</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高压柜断路器各部分无异常声音</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开关位置指示与开关状态是否一致，储能机构状态是否正确</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开关位置指示与开关状态一致，储能机构状态正确</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开关在运行位时高压带电显示三相指示灯是否亮</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开关在运行位时高压带电显示三相指示灯亮</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二次控制柜标识牌是否齐全、正确</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二次控制柜标识牌齐全、正确</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母线电压表显示与额定电压是否一致</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母线电压表显示与额定电压一致</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高压柜内封堵是否严实</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高压柜内封堵严实</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6</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变压器（油浸式）</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储油柜外观是否完好</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储油柜外观完好</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法兰、管路有无渗漏</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法兰、管路无渗漏</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油位计、油位表是否完好，显示是否清晰，油位是否正常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油位计、油位表完好，显示清晰，油位在厂家规定范围内</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瓦斯继电器外观是否完好，本体、法兰有无渗漏</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瓦斯继电器外观完好，本体、法兰无渗漏</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法兰、蝶阀有无渗漏</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法兰、蝶阀无渗漏</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吸湿器玻璃筒是否完好，硅胶有无变色，油碗内的密封油位是否正常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吸湿器玻璃筒完好，硅胶无变色，油碗内的密封油位正常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变压器本体声音是否正常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变压器本体声音无异常，正常运行的变压器，发出的是均匀的“嗡嗡”声</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高低压桩头铜排电缆温度是否正常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红外测温查看高低压桩头铜排电缆温度正常（＜50℃）</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7</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变压器（干式变）</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变压器本体声音是否正常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变压器本体声音无异常，正常运行的变压器，发出的是均匀的“嗡嗡”声</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查看温控是否显示正常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温控显示正常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查看变压器三相绕组温度是否正常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变压器三相绕组温度正常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变压器散热风扇运行是否正常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手动测试散热风扇，确保正常</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8</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出线配电柜</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母线电压、电流表计是否显示正常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母线电压、电流表计显示正常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检查开关分、合闸位置指示是否正确，断路器控制器显示是否正常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检查开关分、合闸位置指示正确，断路器控制器显示正常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开关有无异音、异味</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开关无异音、异味</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合闸操作手柄是否完整，位置指示是否正确</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合闸操作手柄完整，位置指示正确</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开关桩头及电缆头有无发热，变色，打火现象</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开关桩头及电缆头、母排无发热，变色，打火现象。（开关桩头、电缆头红外测温并记录）</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9</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电容柜</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电容外壳有无变形及膨胀</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电容外壳无变形及膨胀</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刀熔开关熔芯是否完好，上下桩头有无变色和发热</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刀熔开关熔芯完好，上下桩头无变色和发热</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一次侧熔芯或3P开关有无异常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一次侧熔芯或3P开关无异常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接触器或复合开关有无异常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接触器或复合开关无异常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查看柜内无功补偿COS值，是否在考核标准内</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查看并记录柜内无功补偿COS值，需在考核标准内</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柜内散热风扇</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测试散热风扇是否运行正常</w:t>
            </w:r>
            <w:r>
              <w:rPr>
                <w:rFonts w:ascii="宋体" w:hAnsi="宋体" w:cs="宋体"/>
                <w:sz w:val="24"/>
              </w:rPr>
            </w:r>
            <w:r/>
          </w:p>
        </w:tc>
      </w:tr>
      <w:tr>
        <w:trPr>
          <w:trHeight w:val="454"/>
        </w:trPr>
        <w:tc>
          <w:tcPr>
            <w:tcW w:w="984" w:type="dxa"/>
            <w:vAlign w:val="center"/>
            <w:textDirection w:val="lrTb"/>
            <w:noWrap/>
          </w:tcPr>
          <w:p>
            <w:pPr>
              <w:pStyle w:val="995"/>
              <w:jc w:val="center"/>
              <w:rPr>
                <w:rFonts w:ascii="宋体" w:hAnsi="宋体"/>
                <w:sz w:val="24"/>
              </w:rPr>
            </w:pPr>
            <w:r>
              <w:rPr>
                <w:rFonts w:ascii="宋体" w:hAnsi="宋体"/>
                <w:sz w:val="24"/>
              </w:rPr>
              <w:t xml:space="preserve">10</w:t>
            </w:r>
            <w:r>
              <w:rPr>
                <w:rFonts w:ascii="宋体" w:hAnsi="宋体"/>
                <w:sz w:val="24"/>
              </w:rPr>
            </w:r>
            <w:r/>
          </w:p>
        </w:tc>
        <w:tc>
          <w:tcPr>
            <w:tcW w:w="1275" w:type="dxa"/>
            <w:vAlign w:val="center"/>
            <w:textDirection w:val="lrTb"/>
            <w:noWrap/>
          </w:tcPr>
          <w:p>
            <w:pPr>
              <w:pStyle w:val="995"/>
              <w:jc w:val="center"/>
              <w:rPr>
                <w:rFonts w:ascii="宋体" w:hAnsi="宋体"/>
                <w:sz w:val="24"/>
              </w:rPr>
            </w:pPr>
            <w:r>
              <w:rPr>
                <w:rFonts w:hint="eastAsia" w:ascii="宋体" w:hAnsi="宋体"/>
                <w:sz w:val="24"/>
              </w:rPr>
              <w:t xml:space="preserve">双回路切换操作</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按招标人要求定期对双回路变电所进行双回路切换操作</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每季度切换一次</w:t>
            </w:r>
            <w:r>
              <w:rPr>
                <w:rFonts w:ascii="宋体" w:hAnsi="宋体" w:cs="宋体"/>
                <w:sz w:val="24"/>
              </w:rPr>
            </w:r>
            <w:r/>
          </w:p>
        </w:tc>
      </w:tr>
    </w:tbl>
    <w:p>
      <w:pPr>
        <w:pStyle w:val="995"/>
        <w:ind w:firstLine="480"/>
        <w:spacing w:line="360" w:lineRule="auto"/>
        <w:rPr>
          <w:rFonts w:hint="eastAsia" w:ascii="宋体" w:hAnsi="宋体" w:cs="宋体"/>
          <w:sz w:val="24"/>
        </w:rPr>
      </w:pPr>
      <w:r>
        <w:rPr>
          <w:rFonts w:hint="eastAsia" w:ascii="宋体" w:hAnsi="宋体" w:cs="宋体"/>
          <w:sz w:val="24"/>
        </w:rPr>
        <w:t xml:space="preserve">2.变电所年度停电保养：变</w:t>
      </w:r>
      <w:r>
        <w:rPr>
          <w:rFonts w:hint="eastAsia" w:ascii="宋体" w:hAnsi="宋体" w:cs="宋体"/>
          <w:sz w:val="24"/>
          <w:highlight w:val="none"/>
        </w:rPr>
        <w:t xml:space="preserve">电所保养时间原则为2026年12月至2027年3月，变电所年度停电保养内容包含从高压进线端至低压出线</w:t>
      </w:r>
      <w:r>
        <w:rPr>
          <w:rFonts w:hint="eastAsia" w:ascii="宋体" w:hAnsi="宋体" w:cs="宋体"/>
          <w:sz w:val="24"/>
        </w:rPr>
        <w:t xml:space="preserve">柜，整个用变电设备的保养，保养次数1次。</w:t>
      </w:r>
      <w:r>
        <w:rPr>
          <w:rFonts w:hint="eastAsia" w:ascii="宋体" w:hAnsi="宋体" w:cs="宋体"/>
          <w:sz w:val="24"/>
        </w:rPr>
      </w:r>
      <w:r/>
    </w:p>
    <w:p>
      <w:pPr>
        <w:pStyle w:val="995"/>
        <w:ind w:firstLine="482"/>
        <w:spacing w:line="360" w:lineRule="auto"/>
        <w:rPr>
          <w:rFonts w:hint="eastAsia" w:ascii="宋体" w:hAnsi="宋体" w:cs="宋体"/>
          <w:b/>
          <w:sz w:val="24"/>
        </w:rPr>
      </w:pPr>
      <w:r>
        <w:rPr>
          <w:rFonts w:hint="eastAsia" w:ascii="宋体" w:hAnsi="宋体" w:cs="宋体"/>
          <w:b/>
          <w:bCs/>
          <w:sz w:val="24"/>
        </w:rPr>
        <w:t xml:space="preserve">变电所保养结束后，须制作成保养报告，每月装订成册，与月度巡检报告一起提供给招标人，</w:t>
      </w:r>
      <w:r>
        <w:rPr>
          <w:rFonts w:hint="eastAsia" w:ascii="宋体" w:hAnsi="宋体" w:cs="宋体"/>
          <w:b/>
          <w:sz w:val="24"/>
        </w:rPr>
        <w:t xml:space="preserve">逾期将对其进行考核。</w:t>
      </w:r>
      <w:r>
        <w:rPr>
          <w:rFonts w:hint="eastAsia" w:ascii="宋体" w:hAnsi="宋体" w:cs="宋体"/>
          <w:b/>
          <w:sz w:val="24"/>
        </w:rPr>
      </w:r>
      <w:r/>
    </w:p>
    <w:p>
      <w:pPr>
        <w:pStyle w:val="995"/>
        <w:ind w:firstLine="480"/>
        <w:spacing w:line="360" w:lineRule="auto"/>
        <w:tabs>
          <w:tab w:val="left" w:pos="312" w:leader="none"/>
        </w:tabs>
        <w:rPr>
          <w:rFonts w:ascii="宋体" w:hAnsi="宋体" w:cs="宋体"/>
          <w:sz w:val="24"/>
        </w:rPr>
      </w:pPr>
      <w:r>
        <w:rPr>
          <w:rFonts w:hint="eastAsia" w:ascii="宋体" w:hAnsi="宋体" w:cs="宋体"/>
          <w:sz w:val="24"/>
        </w:rPr>
        <w:t xml:space="preserve">（1）变电所年度保养内容具体如下</w:t>
      </w:r>
      <w:r>
        <w:rPr>
          <w:rFonts w:hint="eastAsia" w:ascii="宋体" w:hAnsi="宋体" w:cs="宋体"/>
          <w:bCs/>
          <w:sz w:val="24"/>
        </w:rPr>
        <w:t xml:space="preserve">（包括但不仅限以下内容）</w:t>
      </w:r>
      <w:r>
        <w:rPr>
          <w:rFonts w:hint="eastAsia" w:ascii="宋体" w:hAnsi="宋体" w:cs="宋体"/>
          <w:sz w:val="24"/>
        </w:rPr>
        <w:t xml:space="preserve">：</w:t>
      </w:r>
      <w:r>
        <w:rPr>
          <w:rFonts w:ascii="宋体" w:hAnsi="宋体" w:cs="宋体"/>
          <w:sz w:val="24"/>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7"/>
        <w:gridCol w:w="2084"/>
        <w:gridCol w:w="5459"/>
      </w:tblGrid>
      <w:tr>
        <w:trPr>
          <w:trHeight w:val="454"/>
        </w:trPr>
        <w:tc>
          <w:tcPr>
            <w:tcW w:w="1697" w:type="dxa"/>
            <w:vAlign w:val="center"/>
            <w:textDirection w:val="lrTb"/>
            <w:noWrap/>
          </w:tcPr>
          <w:p>
            <w:pPr>
              <w:pStyle w:val="995"/>
              <w:jc w:val="center"/>
              <w:rPr>
                <w:rFonts w:ascii="宋体" w:hAnsi="宋体" w:cs="宋体"/>
                <w:b/>
                <w:bCs/>
                <w:sz w:val="24"/>
              </w:rPr>
            </w:pPr>
            <w:r>
              <w:rPr>
                <w:rFonts w:hint="eastAsia" w:ascii="宋体" w:hAnsi="宋体" w:cs="宋体"/>
                <w:b/>
                <w:bCs/>
                <w:sz w:val="24"/>
              </w:rPr>
              <w:t xml:space="preserve">保养位置</w:t>
            </w:r>
            <w:r>
              <w:rPr>
                <w:rFonts w:ascii="宋体" w:hAnsi="宋体" w:cs="宋体"/>
                <w:b/>
                <w:bCs/>
                <w:sz w:val="24"/>
              </w:rPr>
            </w:r>
            <w:r/>
          </w:p>
        </w:tc>
        <w:tc>
          <w:tcPr>
            <w:tcW w:w="2084" w:type="dxa"/>
            <w:vAlign w:val="center"/>
            <w:textDirection w:val="lrTb"/>
            <w:noWrap/>
          </w:tcPr>
          <w:p>
            <w:pPr>
              <w:pStyle w:val="995"/>
              <w:jc w:val="center"/>
              <w:rPr>
                <w:rFonts w:ascii="宋体" w:hAnsi="宋体" w:cs="宋体"/>
                <w:b/>
                <w:bCs/>
                <w:sz w:val="24"/>
              </w:rPr>
            </w:pPr>
            <w:r>
              <w:rPr>
                <w:rFonts w:hint="eastAsia" w:ascii="宋体" w:hAnsi="宋体" w:cs="宋体"/>
                <w:b/>
                <w:bCs/>
                <w:sz w:val="24"/>
              </w:rPr>
              <w:t xml:space="preserve">保养元器件</w:t>
            </w:r>
            <w:r>
              <w:rPr>
                <w:rFonts w:ascii="宋体" w:hAnsi="宋体" w:cs="宋体"/>
                <w:b/>
                <w:bCs/>
                <w:sz w:val="24"/>
              </w:rPr>
            </w:r>
            <w:r/>
          </w:p>
        </w:tc>
        <w:tc>
          <w:tcPr>
            <w:tcW w:w="5459" w:type="dxa"/>
            <w:vAlign w:val="center"/>
            <w:textDirection w:val="lrTb"/>
            <w:noWrap/>
          </w:tcPr>
          <w:p>
            <w:pPr>
              <w:pStyle w:val="995"/>
              <w:jc w:val="center"/>
              <w:rPr>
                <w:rFonts w:ascii="宋体" w:hAnsi="宋体" w:cs="宋体"/>
                <w:b/>
                <w:bCs/>
                <w:sz w:val="24"/>
              </w:rPr>
            </w:pPr>
            <w:r>
              <w:rPr>
                <w:rFonts w:hint="eastAsia" w:ascii="宋体" w:hAnsi="宋体" w:cs="宋体"/>
                <w:b/>
                <w:bCs/>
                <w:sz w:val="24"/>
              </w:rPr>
              <w:t xml:space="preserve">具体保养内容</w:t>
            </w:r>
            <w:r>
              <w:rPr>
                <w:rFonts w:ascii="宋体" w:hAnsi="宋体" w:cs="宋体"/>
                <w:b/>
                <w:bCs/>
                <w:sz w:val="24"/>
              </w:rPr>
            </w:r>
            <w:r/>
          </w:p>
        </w:tc>
      </w:tr>
      <w:tr>
        <w:trPr>
          <w:trHeight w:val="454"/>
        </w:trPr>
        <w:tc>
          <w:tcPr>
            <w:tcW w:w="1697"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高（低）压进线、室外台变</w:t>
            </w:r>
            <w:r>
              <w:rPr>
                <w:rFonts w:ascii="宋体" w:hAnsi="宋体" w:cs="宋体"/>
                <w:bCs/>
                <w:sz w:val="24"/>
              </w:rPr>
            </w:r>
            <w:r/>
          </w:p>
        </w:tc>
        <w:tc>
          <w:tcPr>
            <w:tcW w:w="2084"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令克、高（低）压电缆、室外台变及周边树木</w:t>
            </w:r>
            <w:r>
              <w:rPr>
                <w:rFonts w:ascii="宋体" w:hAnsi="宋体" w:cs="宋体"/>
                <w:bCs/>
                <w:sz w:val="24"/>
              </w:rPr>
            </w:r>
            <w:r/>
          </w:p>
        </w:tc>
        <w:tc>
          <w:tcPr>
            <w:tcW w:w="5459" w:type="dxa"/>
            <w:vAlign w:val="center"/>
            <w:textDirection w:val="lrTb"/>
            <w:noWrap/>
          </w:tcPr>
          <w:p>
            <w:pPr>
              <w:pStyle w:val="995"/>
              <w:rPr>
                <w:rFonts w:ascii="宋体" w:hAnsi="宋体" w:cs="宋体"/>
                <w:bCs/>
                <w:sz w:val="24"/>
              </w:rPr>
            </w:pPr>
            <w:r>
              <w:rPr>
                <w:rFonts w:hint="eastAsia" w:ascii="宋体" w:hAnsi="宋体" w:cs="宋体"/>
                <w:bCs/>
                <w:sz w:val="24"/>
              </w:rPr>
              <w:t xml:space="preserve">查看令克老化情况，高（低）压电缆头是否有</w:t>
            </w:r>
            <w:r>
              <w:rPr>
                <w:rFonts w:ascii="宋体" w:hAnsi="宋体" w:cs="宋体"/>
                <w:sz w:val="24"/>
              </w:rPr>
              <w:t xml:space="preserve">溢胶</w:t>
            </w:r>
            <w:r>
              <w:rPr>
                <w:rFonts w:hint="eastAsia" w:ascii="宋体" w:hAnsi="宋体" w:cs="宋体"/>
                <w:sz w:val="24"/>
              </w:rPr>
              <w:t xml:space="preserve">及松动现象，高（低）压进线周边树木进行修剪</w:t>
            </w:r>
            <w:r>
              <w:rPr>
                <w:rFonts w:ascii="宋体" w:hAnsi="宋体" w:cs="宋体"/>
                <w:bCs/>
                <w:sz w:val="24"/>
              </w:rPr>
            </w:r>
            <w:r/>
          </w:p>
        </w:tc>
      </w:tr>
      <w:tr>
        <w:trPr>
          <w:trHeight w:val="454"/>
        </w:trPr>
        <w:tc>
          <w:tcPr>
            <w:tcW w:w="1697" w:type="dxa"/>
            <w:vAlign w:val="center"/>
            <w:vMerge w:val="restart"/>
            <w:textDirection w:val="lrTb"/>
            <w:noWrap/>
          </w:tcPr>
          <w:p>
            <w:pPr>
              <w:pStyle w:val="995"/>
              <w:jc w:val="center"/>
              <w:rPr>
                <w:rFonts w:ascii="宋体" w:hAnsi="宋体" w:cs="宋体"/>
                <w:sz w:val="24"/>
              </w:rPr>
            </w:pPr>
            <w:r>
              <w:rPr>
                <w:rFonts w:hint="eastAsia" w:ascii="宋体" w:hAnsi="宋体" w:cs="宋体"/>
                <w:sz w:val="24"/>
              </w:rPr>
              <w:t xml:space="preserve">高压柜</w:t>
            </w: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柜体内</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整体除尘及电缆洞封堵</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电缆头</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紧固并观察是否有</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综保</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查看</w:t>
            </w:r>
            <w:r>
              <w:rPr>
                <w:rFonts w:ascii="宋体" w:hAnsi="宋体" w:cs="宋体"/>
                <w:sz w:val="24"/>
              </w:rPr>
              <w:t xml:space="preserve">保护定值是否正确，保护压板（软、硬）是否正确投入或者切除</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真空断路器</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触头上凡士林或硅脂油，有无放电现象，触臂清灰，电动分合闸动作测试，无控制回路断线，电动及手动储能动作测试</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除湿器</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工作是否正常，管子是否</w:t>
            </w:r>
            <w:r>
              <w:rPr>
                <w:rFonts w:hint="eastAsia" w:ascii="宋体" w:hAnsi="宋体" w:cs="宋体"/>
                <w:sz w:val="24"/>
              </w:rPr>
              <w:t xml:space="preserve">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指示灯</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储能是否显示正常</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转换开关</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分合闸、电压切换是否工作正常</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PT柜</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查看熔芯</w:t>
            </w:r>
            <w:r>
              <w:rPr>
                <w:rFonts w:hint="eastAsia" w:ascii="宋体" w:hAnsi="宋体" w:cs="宋体"/>
                <w:sz w:val="24"/>
              </w:rPr>
              <w:t xml:space="preserve">是否正常、电压显示是否正常</w:t>
            </w:r>
            <w:r>
              <w:rPr>
                <w:rFonts w:ascii="宋体" w:hAnsi="宋体" w:cs="宋体"/>
                <w:sz w:val="24"/>
              </w:rPr>
            </w:r>
            <w:r/>
          </w:p>
        </w:tc>
      </w:tr>
      <w:tr>
        <w:trPr>
          <w:trHeight w:val="454"/>
        </w:trPr>
        <w:tc>
          <w:tcPr>
            <w:tcW w:w="1697" w:type="dxa"/>
            <w:vAlign w:val="center"/>
            <w:vMerge w:val="restart"/>
            <w:textDirection w:val="lrTb"/>
            <w:noWrap/>
          </w:tcPr>
          <w:p>
            <w:pPr>
              <w:pStyle w:val="995"/>
              <w:jc w:val="center"/>
              <w:rPr>
                <w:rFonts w:ascii="宋体" w:hAnsi="宋体" w:cs="宋体"/>
                <w:sz w:val="24"/>
              </w:rPr>
            </w:pPr>
            <w:r>
              <w:rPr>
                <w:rFonts w:hint="eastAsia" w:ascii="宋体" w:hAnsi="宋体" w:cs="宋体"/>
                <w:sz w:val="24"/>
              </w:rPr>
              <w:t xml:space="preserve">变压器</w:t>
            </w: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柜体内</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除尘</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母线夹</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紧固螺丝</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电缆头</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铜排</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紧固螺丝</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温控</w:t>
            </w:r>
            <w:r>
              <w:rPr>
                <w:rFonts w:hint="eastAsia" w:ascii="宋体" w:hAnsi="宋体" w:cs="宋体"/>
                <w:sz w:val="24"/>
              </w:rPr>
              <w:t xml:space="preserve">、风机</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手动启动风机查看风机运行状况</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门锁</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门锁及联锁完好</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电缆</w:t>
            </w:r>
            <w:r>
              <w:rPr>
                <w:rFonts w:ascii="宋体" w:hAnsi="宋体" w:cs="宋体"/>
                <w:sz w:val="24"/>
              </w:rPr>
              <w:t xml:space="preserve">孔洞</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封堵</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分接开关</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档位螺丝紧固</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绝缘电阻</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绝缘电阻测定并记录在册</w:t>
            </w:r>
            <w:r>
              <w:rPr>
                <w:rFonts w:ascii="宋体" w:hAnsi="宋体" w:cs="宋体"/>
                <w:sz w:val="24"/>
              </w:rPr>
            </w:r>
            <w:r/>
          </w:p>
        </w:tc>
      </w:tr>
      <w:tr>
        <w:trPr>
          <w:trHeight w:val="454"/>
        </w:trPr>
        <w:tc>
          <w:tcPr>
            <w:tcW w:w="1697" w:type="dxa"/>
            <w:vAlign w:val="center"/>
            <w:textDirection w:val="lrTb"/>
            <w:noWrap/>
          </w:tcPr>
          <w:p>
            <w:pPr>
              <w:pStyle w:val="995"/>
              <w:jc w:val="center"/>
              <w:rPr>
                <w:rFonts w:ascii="宋体" w:hAnsi="宋体" w:cs="宋体"/>
                <w:sz w:val="24"/>
              </w:rPr>
            </w:pPr>
            <w:r>
              <w:rPr>
                <w:rFonts w:hint="eastAsia" w:ascii="宋体" w:hAnsi="宋体" w:cs="宋体"/>
                <w:sz w:val="24"/>
              </w:rPr>
              <w:t xml:space="preserve">电容柜</w:t>
            </w: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ascii="宋体" w:hAnsi="宋体" w:cs="宋体"/>
                <w:sz w:val="24"/>
              </w:rPr>
              <w:t xml:space="preserve">柜内各元器件</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除尘、接线端子紧固、功能性检查</w:t>
            </w:r>
            <w:r>
              <w:rPr>
                <w:rFonts w:ascii="宋体" w:hAnsi="宋体" w:cs="宋体"/>
                <w:sz w:val="24"/>
              </w:rPr>
            </w:r>
            <w:r/>
          </w:p>
        </w:tc>
      </w:tr>
      <w:tr>
        <w:trPr>
          <w:trHeight w:val="454"/>
        </w:trPr>
        <w:tc>
          <w:tcPr>
            <w:tcW w:w="1697" w:type="dxa"/>
            <w:vAlign w:val="center"/>
            <w:vMerge w:val="restart"/>
            <w:textDirection w:val="lrTb"/>
            <w:noWrap/>
          </w:tcPr>
          <w:p>
            <w:pPr>
              <w:pStyle w:val="995"/>
              <w:jc w:val="center"/>
              <w:rPr>
                <w:rFonts w:ascii="宋体" w:hAnsi="宋体" w:cs="宋体"/>
                <w:sz w:val="24"/>
              </w:rPr>
            </w:pPr>
            <w:r>
              <w:rPr>
                <w:rFonts w:hint="eastAsia" w:ascii="宋体" w:hAnsi="宋体"/>
                <w:sz w:val="24"/>
              </w:rPr>
              <w:t xml:space="preserve">出线配电柜</w:t>
            </w: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柜体内</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除尘、螺丝紧固</w:t>
            </w:r>
            <w:r>
              <w:rPr>
                <w:rFonts w:ascii="宋体" w:hAnsi="宋体" w:cs="宋体"/>
                <w:sz w:val="24"/>
              </w:rPr>
            </w:r>
            <w:r/>
          </w:p>
        </w:tc>
      </w:tr>
      <w:tr>
        <w:trPr>
          <w:trHeight w:val="454"/>
        </w:trPr>
        <w:tc>
          <w:tcPr>
            <w:tcW w:w="16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母线夹</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螺丝紧固</w:t>
            </w:r>
            <w:r>
              <w:rPr>
                <w:rFonts w:ascii="宋体" w:hAnsi="宋体" w:cs="宋体"/>
                <w:sz w:val="24"/>
              </w:rPr>
            </w:r>
            <w:r/>
          </w:p>
        </w:tc>
      </w:tr>
      <w:tr>
        <w:trPr>
          <w:trHeight w:val="454"/>
        </w:trPr>
        <w:tc>
          <w:tcPr>
            <w:tcW w:w="1697"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电缆头</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697"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铜排</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紧固螺丝</w:t>
            </w:r>
            <w:r>
              <w:rPr>
                <w:rFonts w:ascii="宋体" w:hAnsi="宋体" w:cs="宋体"/>
                <w:sz w:val="24"/>
              </w:rPr>
            </w:r>
            <w:r/>
          </w:p>
        </w:tc>
      </w:tr>
      <w:tr>
        <w:trPr>
          <w:trHeight w:val="454"/>
        </w:trPr>
        <w:tc>
          <w:tcPr>
            <w:tcW w:w="1697"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电缆孔洞</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封堵</w:t>
            </w:r>
            <w:r>
              <w:rPr>
                <w:rFonts w:ascii="宋体" w:hAnsi="宋体" w:cs="宋体"/>
                <w:sz w:val="24"/>
              </w:rPr>
            </w:r>
            <w:r/>
          </w:p>
        </w:tc>
      </w:tr>
      <w:tr>
        <w:trPr>
          <w:trHeight w:val="454"/>
        </w:trPr>
        <w:tc>
          <w:tcPr>
            <w:tcW w:w="1697"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二次线</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紧固接头</w:t>
            </w:r>
            <w:r>
              <w:rPr>
                <w:rFonts w:ascii="宋体" w:hAnsi="宋体" w:cs="宋体"/>
                <w:sz w:val="24"/>
              </w:rPr>
            </w:r>
            <w:r/>
          </w:p>
        </w:tc>
      </w:tr>
      <w:tr>
        <w:trPr>
          <w:trHeight w:val="454"/>
        </w:trPr>
        <w:tc>
          <w:tcPr>
            <w:tcW w:w="1697"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框架式断路器</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定值查看（Ir1、Ir2、Ir3、Ir4），测试分合闸动作</w:t>
            </w:r>
            <w:r>
              <w:rPr>
                <w:rFonts w:ascii="宋体" w:hAnsi="宋体" w:cs="宋体"/>
                <w:sz w:val="24"/>
              </w:rPr>
            </w:r>
            <w:r/>
          </w:p>
        </w:tc>
      </w:tr>
      <w:tr>
        <w:trPr>
          <w:trHeight w:val="454"/>
        </w:trPr>
        <w:tc>
          <w:tcPr>
            <w:tcW w:w="1697"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指示灯</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ascii="宋体" w:hAnsi="宋体" w:cs="宋体"/>
                <w:sz w:val="24"/>
              </w:rPr>
              <w:t xml:space="preserve">分合闸指示</w:t>
            </w:r>
            <w:r>
              <w:rPr>
                <w:rFonts w:hint="eastAsia" w:ascii="宋体" w:hAnsi="宋体" w:cs="宋体"/>
                <w:sz w:val="24"/>
              </w:rPr>
              <w:t xml:space="preserve">是否</w:t>
            </w:r>
            <w:r>
              <w:rPr>
                <w:rFonts w:ascii="宋体" w:hAnsi="宋体" w:cs="宋体"/>
                <w:sz w:val="24"/>
              </w:rPr>
              <w:t xml:space="preserve">正常</w:t>
            </w:r>
            <w:r>
              <w:rPr>
                <w:rFonts w:ascii="宋体" w:hAnsi="宋体" w:cs="宋体"/>
                <w:sz w:val="24"/>
              </w:rPr>
            </w:r>
            <w:r/>
          </w:p>
        </w:tc>
      </w:tr>
      <w:tr>
        <w:trPr>
          <w:trHeight w:val="454"/>
        </w:trPr>
        <w:tc>
          <w:tcPr>
            <w:tcW w:w="1697"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仪表</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电流表、电压表是否正常</w:t>
            </w:r>
            <w:r>
              <w:rPr>
                <w:rFonts w:ascii="宋体" w:hAnsi="宋体" w:cs="宋体"/>
                <w:sz w:val="24"/>
              </w:rPr>
            </w:r>
            <w:r/>
          </w:p>
        </w:tc>
      </w:tr>
      <w:tr>
        <w:trPr>
          <w:trHeight w:val="454"/>
        </w:trPr>
        <w:tc>
          <w:tcPr>
            <w:tcW w:w="1697"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抽屉出线柜</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抽拉是否到位测试，手柄机构动作测试</w:t>
            </w:r>
            <w:r>
              <w:rPr>
                <w:rFonts w:ascii="宋体" w:hAnsi="宋体" w:cs="宋体"/>
                <w:sz w:val="24"/>
              </w:rPr>
            </w:r>
            <w:r/>
          </w:p>
        </w:tc>
      </w:tr>
      <w:tr>
        <w:trPr>
          <w:trHeight w:val="454"/>
        </w:trPr>
        <w:tc>
          <w:tcPr>
            <w:tcW w:w="1697"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4" w:type="dxa"/>
            <w:vAlign w:val="center"/>
            <w:textDirection w:val="lrTb"/>
            <w:noWrap/>
          </w:tcPr>
          <w:p>
            <w:pPr>
              <w:pStyle w:val="995"/>
              <w:jc w:val="center"/>
              <w:rPr>
                <w:rFonts w:ascii="宋体" w:hAnsi="宋体" w:cs="宋体"/>
                <w:sz w:val="24"/>
              </w:rPr>
            </w:pPr>
            <w:r>
              <w:rPr>
                <w:rFonts w:hint="eastAsia" w:ascii="宋体" w:hAnsi="宋体" w:cs="宋体"/>
                <w:sz w:val="24"/>
              </w:rPr>
              <w:t xml:space="preserve">散热风扇</w:t>
            </w:r>
            <w:r>
              <w:rPr>
                <w:rFonts w:ascii="宋体" w:hAnsi="宋体" w:cs="宋体"/>
                <w:sz w:val="24"/>
              </w:rPr>
            </w:r>
            <w:r/>
          </w:p>
        </w:tc>
        <w:tc>
          <w:tcPr>
            <w:tcW w:w="5459" w:type="dxa"/>
            <w:vAlign w:val="center"/>
            <w:textDirection w:val="lrTb"/>
            <w:noWrap/>
          </w:tcPr>
          <w:p>
            <w:pPr>
              <w:pStyle w:val="995"/>
              <w:rPr>
                <w:rFonts w:ascii="宋体" w:hAnsi="宋体" w:cs="宋体"/>
                <w:sz w:val="24"/>
              </w:rPr>
            </w:pPr>
            <w:r>
              <w:rPr>
                <w:rFonts w:hint="eastAsia" w:ascii="宋体" w:hAnsi="宋体" w:cs="宋体"/>
                <w:sz w:val="24"/>
              </w:rPr>
              <w:t xml:space="preserve">手动测试散热风扇</w:t>
            </w:r>
            <w:r>
              <w:rPr>
                <w:rFonts w:ascii="宋体" w:hAnsi="宋体" w:cs="宋体"/>
                <w:sz w:val="24"/>
              </w:rPr>
            </w:r>
            <w:r/>
          </w:p>
        </w:tc>
      </w:tr>
    </w:tbl>
    <w:p>
      <w:pPr>
        <w:pStyle w:val="995"/>
        <w:ind w:firstLine="480"/>
        <w:spacing w:line="360" w:lineRule="auto"/>
        <w:rPr>
          <w:rFonts w:ascii="宋体" w:hAnsi="宋体" w:cs="宋体"/>
          <w:bCs/>
          <w:sz w:val="24"/>
        </w:rPr>
      </w:pPr>
      <w:r>
        <w:rPr>
          <w:rFonts w:ascii="宋体" w:hAnsi="宋体" w:cs="宋体"/>
          <w:bCs/>
          <w:sz w:val="24"/>
        </w:rPr>
      </w:r>
      <w:r/>
    </w:p>
    <w:p>
      <w:pPr>
        <w:pStyle w:val="995"/>
        <w:ind w:firstLine="480"/>
        <w:jc w:val="left"/>
        <w:spacing w:line="360" w:lineRule="auto"/>
        <w:rPr>
          <w:rFonts w:ascii="宋体" w:hAnsi="宋体" w:cs="宋体"/>
          <w:b/>
          <w:bCs/>
          <w:sz w:val="24"/>
        </w:rPr>
      </w:pPr>
      <w:r>
        <w:rPr>
          <w:rFonts w:hint="eastAsia" w:ascii="宋体" w:hAnsi="宋体" w:cs="宋体"/>
          <w:bCs/>
          <w:sz w:val="24"/>
        </w:rPr>
        <w:t xml:space="preserve">（2）保养标准</w:t>
      </w:r>
      <w:r>
        <w:rPr>
          <w:rFonts w:ascii="宋体" w:hAnsi="宋体" w:cs="宋体"/>
          <w:b/>
          <w:bCs/>
          <w:sz w:val="24"/>
        </w:rPr>
      </w:r>
      <w:r/>
    </w:p>
    <w:tbl>
      <w:tblPr>
        <w:tblW w:w="88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1297"/>
        <w:gridCol w:w="3548"/>
        <w:gridCol w:w="2955"/>
      </w:tblGrid>
      <w:tr>
        <w:trPr>
          <w:trHeight w:val="454"/>
        </w:trPr>
        <w:tc>
          <w:tcPr>
            <w:tcW w:w="1035" w:type="dxa"/>
            <w:vAlign w:val="center"/>
            <w:textDirection w:val="lrTb"/>
            <w:noWrap/>
          </w:tcPr>
          <w:p>
            <w:pPr>
              <w:pStyle w:val="995"/>
              <w:jc w:val="center"/>
              <w:rPr>
                <w:rFonts w:ascii="宋体" w:hAnsi="宋体"/>
                <w:sz w:val="24"/>
              </w:rPr>
            </w:pPr>
            <w:r>
              <w:rPr>
                <w:rFonts w:hint="eastAsia" w:ascii="宋体" w:hAnsi="宋体"/>
                <w:sz w:val="24"/>
              </w:rPr>
              <w:t xml:space="preserve">序号</w:t>
            </w:r>
            <w:r>
              <w:rPr>
                <w:rFonts w:ascii="宋体" w:hAnsi="宋体"/>
                <w:sz w:val="24"/>
              </w:rPr>
            </w:r>
            <w:r/>
          </w:p>
        </w:tc>
        <w:tc>
          <w:tcPr>
            <w:tcW w:w="1297" w:type="dxa"/>
            <w:vAlign w:val="center"/>
            <w:textDirection w:val="lrTb"/>
            <w:noWrap/>
          </w:tcPr>
          <w:p>
            <w:pPr>
              <w:pStyle w:val="995"/>
              <w:jc w:val="center"/>
              <w:rPr>
                <w:rFonts w:ascii="宋体" w:hAnsi="宋体"/>
                <w:sz w:val="24"/>
              </w:rPr>
            </w:pPr>
            <w:r>
              <w:rPr>
                <w:rFonts w:hint="eastAsia" w:ascii="宋体" w:hAnsi="宋体"/>
                <w:sz w:val="24"/>
              </w:rPr>
              <w:t xml:space="preserve">保养设备</w:t>
            </w:r>
            <w:r>
              <w:rPr>
                <w:rFonts w:ascii="宋体" w:hAnsi="宋体"/>
                <w:sz w:val="24"/>
              </w:rPr>
            </w:r>
            <w:r/>
          </w:p>
        </w:tc>
        <w:tc>
          <w:tcPr>
            <w:tcW w:w="3548" w:type="dxa"/>
            <w:vAlign w:val="center"/>
            <w:textDirection w:val="lrTb"/>
            <w:noWrap/>
          </w:tcPr>
          <w:p>
            <w:pPr>
              <w:pStyle w:val="995"/>
              <w:jc w:val="center"/>
              <w:rPr>
                <w:rFonts w:ascii="宋体" w:hAnsi="宋体"/>
                <w:sz w:val="24"/>
              </w:rPr>
            </w:pPr>
            <w:r>
              <w:rPr>
                <w:rFonts w:hint="eastAsia" w:ascii="宋体" w:hAnsi="宋体"/>
                <w:sz w:val="24"/>
              </w:rPr>
              <w:t xml:space="preserve">保养内容</w:t>
            </w:r>
            <w:r>
              <w:rPr>
                <w:rFonts w:ascii="宋体" w:hAnsi="宋体"/>
                <w:sz w:val="24"/>
              </w:rPr>
            </w:r>
            <w:r/>
          </w:p>
        </w:tc>
        <w:tc>
          <w:tcPr>
            <w:tcW w:w="2955" w:type="dxa"/>
            <w:vAlign w:val="center"/>
            <w:textDirection w:val="lrTb"/>
            <w:noWrap/>
          </w:tcPr>
          <w:p>
            <w:pPr>
              <w:pStyle w:val="995"/>
              <w:jc w:val="center"/>
              <w:rPr>
                <w:rFonts w:ascii="宋体" w:hAnsi="宋体"/>
                <w:sz w:val="24"/>
              </w:rPr>
            </w:pPr>
            <w:r>
              <w:rPr>
                <w:rFonts w:hint="eastAsia" w:ascii="宋体" w:hAnsi="宋体"/>
                <w:sz w:val="24"/>
              </w:rPr>
              <w:t xml:space="preserve">保养标准</w:t>
            </w:r>
            <w:r>
              <w:rPr>
                <w:rFonts w:ascii="宋体" w:hAnsi="宋体"/>
                <w:sz w:val="24"/>
              </w:rPr>
            </w:r>
            <w:r/>
          </w:p>
        </w:tc>
      </w:tr>
      <w:tr>
        <w:trPr>
          <w:trHeight w:val="454"/>
        </w:trPr>
        <w:tc>
          <w:tcPr>
            <w:tcW w:w="1035" w:type="dxa"/>
            <w:vAlign w:val="center"/>
            <w:vMerge w:val="restart"/>
            <w:textDirection w:val="lrTb"/>
            <w:noWrap/>
          </w:tcPr>
          <w:p>
            <w:pPr>
              <w:pStyle w:val="995"/>
              <w:jc w:val="center"/>
              <w:rPr>
                <w:rFonts w:ascii="宋体" w:hAnsi="宋体"/>
                <w:sz w:val="24"/>
              </w:rPr>
            </w:pPr>
            <w:r>
              <w:rPr>
                <w:rFonts w:hint="eastAsia" w:ascii="宋体" w:hAnsi="宋体"/>
                <w:sz w:val="24"/>
              </w:rPr>
              <w:t xml:space="preserve">1</w:t>
            </w:r>
            <w:r>
              <w:rPr>
                <w:rFonts w:ascii="宋体" w:hAnsi="宋体"/>
                <w:sz w:val="24"/>
              </w:rPr>
            </w:r>
            <w:r/>
          </w:p>
        </w:tc>
        <w:tc>
          <w:tcPr>
            <w:tcW w:w="1297" w:type="dxa"/>
            <w:vAlign w:val="center"/>
            <w:vMerge w:val="restart"/>
            <w:textDirection w:val="lrTb"/>
            <w:noWrap/>
          </w:tcPr>
          <w:p>
            <w:pPr>
              <w:pStyle w:val="995"/>
              <w:jc w:val="center"/>
              <w:rPr>
                <w:rFonts w:ascii="宋体" w:hAnsi="宋体" w:cs="宋体"/>
                <w:sz w:val="24"/>
              </w:rPr>
            </w:pPr>
            <w:r>
              <w:rPr>
                <w:rFonts w:hint="eastAsia" w:ascii="宋体" w:hAnsi="宋体" w:cs="宋体"/>
                <w:sz w:val="24"/>
              </w:rPr>
              <w:t xml:space="preserve">高（低）压进线</w:t>
            </w: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bCs/>
                <w:sz w:val="24"/>
              </w:rPr>
              <w:t xml:space="preserve">检查令克</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更换有隐患令克</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bCs/>
                <w:sz w:val="24"/>
              </w:rPr>
              <w:t xml:space="preserve">检查高（低）压电缆头</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整改有损电缆头</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检查高（低）压进线周边的树木</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修剪存在触碰进线可能的周边树木</w:t>
            </w:r>
            <w:r>
              <w:rPr>
                <w:rFonts w:ascii="宋体" w:hAnsi="宋体" w:cs="宋体"/>
                <w:sz w:val="24"/>
              </w:rPr>
            </w:r>
            <w:r/>
          </w:p>
        </w:tc>
      </w:tr>
      <w:tr>
        <w:trPr>
          <w:trHeight w:val="454"/>
        </w:trPr>
        <w:tc>
          <w:tcPr>
            <w:tcW w:w="1035" w:type="dxa"/>
            <w:vAlign w:val="center"/>
            <w:vMerge w:val="restart"/>
            <w:textDirection w:val="lrTb"/>
            <w:noWrap/>
          </w:tcPr>
          <w:p>
            <w:pPr>
              <w:pStyle w:val="995"/>
              <w:jc w:val="center"/>
              <w:rPr>
                <w:rFonts w:ascii="宋体" w:hAnsi="宋体"/>
                <w:sz w:val="24"/>
              </w:rPr>
            </w:pPr>
            <w:r>
              <w:rPr>
                <w:rFonts w:hint="eastAsia" w:ascii="宋体" w:hAnsi="宋体"/>
                <w:sz w:val="24"/>
              </w:rPr>
              <w:t xml:space="preserve">2</w:t>
            </w:r>
            <w:r>
              <w:rPr>
                <w:rFonts w:ascii="宋体" w:hAnsi="宋体"/>
                <w:sz w:val="24"/>
              </w:rPr>
            </w:r>
            <w:r/>
          </w:p>
        </w:tc>
        <w:tc>
          <w:tcPr>
            <w:tcW w:w="1297" w:type="dxa"/>
            <w:vAlign w:val="center"/>
            <w:vMerge w:val="restart"/>
            <w:textDirection w:val="lrTb"/>
            <w:noWrap/>
          </w:tcPr>
          <w:p>
            <w:pPr>
              <w:pStyle w:val="995"/>
              <w:jc w:val="center"/>
              <w:rPr>
                <w:rFonts w:ascii="宋体" w:hAnsi="宋体" w:cs="宋体"/>
                <w:sz w:val="24"/>
              </w:rPr>
            </w:pPr>
            <w:r>
              <w:rPr>
                <w:rFonts w:hint="eastAsia" w:ascii="宋体" w:hAnsi="宋体" w:cs="宋体"/>
                <w:sz w:val="24"/>
              </w:rPr>
              <w:t xml:space="preserve">高压开关柜</w:t>
            </w: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电缆头电缆未出现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查看综保</w:t>
            </w:r>
            <w:r>
              <w:rPr>
                <w:rFonts w:ascii="宋体" w:hAnsi="宋体" w:cs="宋体"/>
                <w:sz w:val="24"/>
              </w:rPr>
              <w:t xml:space="preserve">保护定值是否正确，保护压板（软、硬）是否正确投入或者切除</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综保</w:t>
            </w:r>
            <w:r>
              <w:rPr>
                <w:rFonts w:ascii="宋体" w:hAnsi="宋体" w:cs="宋体"/>
                <w:sz w:val="24"/>
              </w:rPr>
              <w:t xml:space="preserve">保护定值正确，保护压板（软、硬）正确投入或者切除</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检查真空断路器：</w:t>
            </w:r>
            <w:r>
              <w:rPr>
                <w:rFonts w:ascii="宋体" w:hAnsi="宋体" w:cs="宋体"/>
                <w:sz w:val="24"/>
              </w:rPr>
              <w:t xml:space="preserve">触头上凡士林或硅脂油，有无放电现象，触臂清灰，电动分合闸是否正常，</w:t>
            </w:r>
            <w:r>
              <w:rPr>
                <w:rFonts w:hint="eastAsia" w:ascii="宋体" w:hAnsi="宋体" w:cs="宋体"/>
                <w:sz w:val="24"/>
              </w:rPr>
              <w:t xml:space="preserve">有</w:t>
            </w:r>
            <w:r>
              <w:rPr>
                <w:rFonts w:ascii="宋体" w:hAnsi="宋体" w:cs="宋体"/>
                <w:sz w:val="24"/>
              </w:rPr>
              <w:t xml:space="preserve">无控制回路断线，电动储能是否正常</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真空断路器：</w:t>
            </w:r>
            <w:r>
              <w:rPr>
                <w:rFonts w:ascii="宋体" w:hAnsi="宋体" w:cs="宋体"/>
                <w:sz w:val="24"/>
              </w:rPr>
              <w:t xml:space="preserve">触头上凡士林或硅脂油，无放电现象，触臂清灰</w:t>
            </w:r>
            <w:r>
              <w:rPr>
                <w:rFonts w:hint="eastAsia" w:ascii="宋体" w:hAnsi="宋体" w:cs="宋体"/>
                <w:sz w:val="24"/>
              </w:rPr>
              <w:t xml:space="preserve">完成</w:t>
            </w:r>
            <w:r>
              <w:rPr>
                <w:rFonts w:ascii="宋体" w:hAnsi="宋体" w:cs="宋体"/>
                <w:sz w:val="24"/>
              </w:rPr>
              <w:t xml:space="preserve">，电动分合闸试验正常，无控制回路断线，电动储能正常</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柜内除湿器</w:t>
            </w:r>
            <w:r>
              <w:rPr>
                <w:rFonts w:ascii="宋体" w:hAnsi="宋体" w:cs="宋体"/>
                <w:sz w:val="24"/>
              </w:rPr>
              <w:t xml:space="preserve">工作是否正常，管子是否</w:t>
            </w:r>
            <w:r>
              <w:rPr>
                <w:rFonts w:hint="eastAsia" w:ascii="宋体" w:hAnsi="宋体" w:cs="宋体"/>
                <w:sz w:val="24"/>
              </w:rPr>
              <w:t xml:space="preserve">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柜内除湿器</w:t>
            </w:r>
            <w:r>
              <w:rPr>
                <w:rFonts w:ascii="宋体" w:hAnsi="宋体" w:cs="宋体"/>
                <w:sz w:val="24"/>
              </w:rPr>
              <w:t xml:space="preserve">工作正常，管子</w:t>
            </w:r>
            <w:r>
              <w:rPr>
                <w:rFonts w:hint="eastAsia" w:ascii="宋体" w:hAnsi="宋体" w:cs="宋体"/>
                <w:sz w:val="24"/>
              </w:rPr>
              <w:t xml:space="preserve">未有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储能是否显示正常</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储能显示正常</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转换开关</w:t>
            </w:r>
            <w:r>
              <w:rPr>
                <w:rFonts w:ascii="宋体" w:hAnsi="宋体" w:cs="宋体"/>
                <w:sz w:val="24"/>
              </w:rPr>
              <w:t xml:space="preserve">分合闸，电压切换是否工作正常</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转换开关</w:t>
            </w:r>
            <w:r>
              <w:rPr>
                <w:rFonts w:ascii="宋体" w:hAnsi="宋体" w:cs="宋体"/>
                <w:sz w:val="24"/>
              </w:rPr>
              <w:t xml:space="preserve">分合闸</w:t>
            </w:r>
            <w:r>
              <w:rPr>
                <w:rFonts w:hint="eastAsia" w:ascii="宋体" w:hAnsi="宋体" w:cs="宋体"/>
                <w:sz w:val="24"/>
              </w:rPr>
              <w:t xml:space="preserve">、</w:t>
            </w:r>
            <w:r>
              <w:rPr>
                <w:rFonts w:ascii="宋体" w:hAnsi="宋体" w:cs="宋体"/>
                <w:sz w:val="24"/>
              </w:rPr>
              <w:t xml:space="preserve">电压切换工作正常</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PT柜内</w:t>
            </w:r>
            <w:r>
              <w:rPr>
                <w:rFonts w:ascii="宋体" w:hAnsi="宋体" w:cs="宋体"/>
                <w:sz w:val="24"/>
              </w:rPr>
              <w:t xml:space="preserve">查看熔芯</w:t>
            </w:r>
            <w:r>
              <w:rPr>
                <w:rFonts w:hint="eastAsia" w:ascii="宋体" w:hAnsi="宋体" w:cs="宋体"/>
                <w:sz w:val="24"/>
              </w:rPr>
              <w:t xml:space="preserve">是否正常、电压显示是否正常</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PT柜内</w:t>
            </w:r>
            <w:r>
              <w:rPr>
                <w:rFonts w:ascii="宋体" w:hAnsi="宋体" w:cs="宋体"/>
                <w:sz w:val="24"/>
              </w:rPr>
              <w:t xml:space="preserve">查看熔芯</w:t>
            </w:r>
            <w:r>
              <w:rPr>
                <w:rFonts w:hint="eastAsia" w:ascii="宋体" w:hAnsi="宋体" w:cs="宋体"/>
                <w:sz w:val="24"/>
              </w:rPr>
              <w:t xml:space="preserve">正常、电压显示正常</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1035" w:type="dxa"/>
            <w:vAlign w:val="center"/>
            <w:vMerge w:val="restart"/>
            <w:textDirection w:val="lrTb"/>
            <w:noWrap/>
          </w:tcPr>
          <w:p>
            <w:pPr>
              <w:pStyle w:val="995"/>
              <w:jc w:val="center"/>
              <w:rPr>
                <w:rFonts w:ascii="宋体" w:hAnsi="宋体"/>
                <w:sz w:val="24"/>
              </w:rPr>
            </w:pPr>
            <w:r>
              <w:rPr>
                <w:rFonts w:hint="eastAsia" w:ascii="宋体" w:hAnsi="宋体"/>
                <w:sz w:val="24"/>
              </w:rPr>
              <w:t xml:space="preserve">3</w:t>
            </w:r>
            <w:r>
              <w:rPr>
                <w:rFonts w:ascii="宋体" w:hAnsi="宋体"/>
                <w:sz w:val="24"/>
              </w:rPr>
            </w:r>
            <w:r/>
          </w:p>
        </w:tc>
        <w:tc>
          <w:tcPr>
            <w:tcW w:w="1297" w:type="dxa"/>
            <w:vAlign w:val="center"/>
            <w:vMerge w:val="restart"/>
            <w:textDirection w:val="lrTb"/>
            <w:noWrap/>
          </w:tcPr>
          <w:p>
            <w:pPr>
              <w:pStyle w:val="995"/>
              <w:jc w:val="center"/>
              <w:rPr>
                <w:rFonts w:ascii="宋体" w:hAnsi="宋体" w:cs="宋体"/>
                <w:sz w:val="24"/>
              </w:rPr>
            </w:pPr>
            <w:r>
              <w:rPr>
                <w:rFonts w:hint="eastAsia" w:ascii="宋体" w:hAnsi="宋体" w:cs="宋体"/>
                <w:sz w:val="24"/>
              </w:rPr>
              <w:t xml:space="preserve">变压器</w:t>
            </w: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检查母线夹螺丝是否松动</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母线夹螺丝紧固无松动</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电缆头电缆无</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查看铜排螺丝是否松动，是否出现铜绿现象</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铜排螺丝紧固无松动，未出现铜绿现象</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查看温控、风机</w:t>
            </w:r>
            <w:r>
              <w:rPr>
                <w:rFonts w:ascii="宋体" w:hAnsi="宋体" w:cs="宋体"/>
                <w:sz w:val="24"/>
              </w:rPr>
              <w:t xml:space="preserve">是否正常工作</w:t>
            </w:r>
            <w:r>
              <w:rPr>
                <w:rFonts w:hint="eastAsia" w:ascii="宋体" w:hAnsi="宋体" w:cs="宋体"/>
                <w:sz w:val="24"/>
              </w:rPr>
              <w:t xml:space="preserve">，手动启动风机查看风机是否正常工作</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手动启动风机，风机正常工作</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查看门锁</w:t>
            </w:r>
            <w:r>
              <w:rPr>
                <w:rFonts w:ascii="宋体" w:hAnsi="宋体" w:cs="宋体"/>
                <w:sz w:val="24"/>
              </w:rPr>
              <w:t xml:space="preserve">是否正常</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门锁开关</w:t>
            </w:r>
            <w:r>
              <w:rPr>
                <w:rFonts w:ascii="宋体" w:hAnsi="宋体" w:cs="宋体"/>
                <w:sz w:val="24"/>
              </w:rPr>
              <w:t xml:space="preserve">正常</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分接开关</w:t>
            </w:r>
            <w:r>
              <w:rPr>
                <w:rFonts w:ascii="宋体" w:hAnsi="宋体" w:cs="宋体"/>
                <w:sz w:val="24"/>
              </w:rPr>
              <w:t xml:space="preserve">档位螺丝</w:t>
            </w:r>
            <w:r>
              <w:rPr>
                <w:rFonts w:hint="eastAsia" w:ascii="宋体" w:hAnsi="宋体" w:cs="宋体"/>
                <w:sz w:val="24"/>
              </w:rPr>
              <w:t xml:space="preserve">是否有松动</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分接开关</w:t>
            </w:r>
            <w:r>
              <w:rPr>
                <w:rFonts w:ascii="宋体" w:hAnsi="宋体" w:cs="宋体"/>
                <w:sz w:val="24"/>
              </w:rPr>
              <w:t xml:space="preserve">档位螺</w:t>
            </w:r>
            <w:r>
              <w:rPr>
                <w:rFonts w:hint="eastAsia" w:ascii="宋体" w:hAnsi="宋体" w:cs="宋体"/>
                <w:sz w:val="24"/>
              </w:rPr>
              <w:t xml:space="preserve">丝无松动</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储油柜、瓷瓶等表面清灰</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储油柜、瓷瓶等表面清除灰尘</w:t>
            </w:r>
            <w:r>
              <w:rPr>
                <w:rFonts w:ascii="宋体" w:hAnsi="宋体" w:cs="宋体"/>
                <w:sz w:val="24"/>
              </w:rPr>
            </w:r>
            <w:r/>
          </w:p>
        </w:tc>
      </w:tr>
      <w:tr>
        <w:trPr>
          <w:trHeight w:val="454"/>
        </w:trPr>
        <w:tc>
          <w:tcPr>
            <w:tcW w:w="1035" w:type="dxa"/>
            <w:vAlign w:val="center"/>
            <w:textDirection w:val="lrTb"/>
            <w:noWrap/>
          </w:tcPr>
          <w:p>
            <w:pPr>
              <w:pStyle w:val="995"/>
              <w:jc w:val="center"/>
              <w:rPr>
                <w:rFonts w:ascii="宋体" w:hAnsi="宋体"/>
                <w:sz w:val="24"/>
              </w:rPr>
            </w:pPr>
            <w:r>
              <w:rPr>
                <w:rFonts w:hint="eastAsia" w:ascii="宋体" w:hAnsi="宋体"/>
                <w:sz w:val="24"/>
              </w:rPr>
              <w:t xml:space="preserve">4</w:t>
            </w:r>
            <w:r>
              <w:rPr>
                <w:rFonts w:ascii="宋体" w:hAnsi="宋体"/>
                <w:sz w:val="24"/>
              </w:rPr>
            </w:r>
            <w:r/>
          </w:p>
        </w:tc>
        <w:tc>
          <w:tcPr>
            <w:tcW w:w="1297" w:type="dxa"/>
            <w:vAlign w:val="center"/>
            <w:textDirection w:val="lrTb"/>
            <w:noWrap/>
          </w:tcPr>
          <w:p>
            <w:pPr>
              <w:pStyle w:val="995"/>
              <w:jc w:val="center"/>
              <w:rPr>
                <w:rFonts w:ascii="宋体" w:hAnsi="宋体" w:cs="宋体"/>
                <w:sz w:val="24"/>
              </w:rPr>
            </w:pPr>
            <w:r>
              <w:rPr>
                <w:rFonts w:hint="eastAsia" w:ascii="宋体" w:hAnsi="宋体" w:cs="宋体"/>
                <w:sz w:val="24"/>
              </w:rPr>
              <w:t xml:space="preserve">电容柜</w:t>
            </w: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查看电容器、电抗器、复合开关、接触器、熔芯、转换开关、控制器、RUDK电流端子及风扇有无异常</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电容器、电抗器、复合开关、接触器、熔芯、转换开关、控制器、RUDK电流端子等端子紧固、风扇无异常</w:t>
            </w:r>
            <w:r>
              <w:rPr>
                <w:rFonts w:ascii="宋体" w:hAnsi="宋体" w:cs="宋体"/>
                <w:sz w:val="24"/>
              </w:rPr>
            </w:r>
            <w:r/>
          </w:p>
        </w:tc>
      </w:tr>
      <w:tr>
        <w:trPr>
          <w:trHeight w:val="454"/>
        </w:trPr>
        <w:tc>
          <w:tcPr>
            <w:tcW w:w="1035" w:type="dxa"/>
            <w:vAlign w:val="center"/>
            <w:vMerge w:val="restart"/>
            <w:textDirection w:val="lrTb"/>
            <w:noWrap/>
          </w:tcPr>
          <w:p>
            <w:pPr>
              <w:pStyle w:val="995"/>
              <w:jc w:val="center"/>
              <w:rPr>
                <w:rFonts w:ascii="宋体" w:hAnsi="宋体"/>
                <w:sz w:val="24"/>
              </w:rPr>
            </w:pPr>
            <w:r>
              <w:rPr>
                <w:rFonts w:hint="eastAsia" w:ascii="宋体" w:hAnsi="宋体"/>
                <w:sz w:val="24"/>
              </w:rPr>
              <w:t xml:space="preserve">5</w:t>
            </w:r>
            <w:r>
              <w:rPr>
                <w:rFonts w:ascii="宋体" w:hAnsi="宋体"/>
                <w:sz w:val="24"/>
              </w:rPr>
            </w:r>
            <w:r/>
          </w:p>
        </w:tc>
        <w:tc>
          <w:tcPr>
            <w:tcW w:w="1297" w:type="dxa"/>
            <w:vAlign w:val="center"/>
            <w:vMerge w:val="restart"/>
            <w:textDirection w:val="lrTb"/>
            <w:noWrap/>
          </w:tcPr>
          <w:p>
            <w:pPr>
              <w:pStyle w:val="995"/>
              <w:jc w:val="center"/>
              <w:rPr>
                <w:rFonts w:ascii="宋体" w:hAnsi="宋体" w:cs="宋体"/>
                <w:sz w:val="24"/>
              </w:rPr>
            </w:pPr>
            <w:r>
              <w:rPr>
                <w:rFonts w:hint="eastAsia" w:ascii="宋体" w:hAnsi="宋体"/>
                <w:sz w:val="24"/>
              </w:rPr>
              <w:t xml:space="preserve">出线配电柜</w:t>
            </w: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检查母线夹螺丝是否松动</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母线夹螺丝未有松动</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检查电缆头电缆是否出现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端子紧固，电缆头电缆无</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查看铜排螺丝是否松动，是否出现铜绿现象</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铜排螺丝无松动，未出现铜绿现象</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检查二次线是否松动，有无虚接现象</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二次线未松动，无虚接现象</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框架式断路器定值查看（Ir1、Ir2、Ir3、Ir4）是否正常</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框架式断路器定值查看（Ir1、Ir2、Ir3、Ir4）正常</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w:t>
            </w:r>
            <w:r>
              <w:rPr>
                <w:rFonts w:ascii="宋体" w:hAnsi="宋体" w:cs="宋体"/>
                <w:sz w:val="24"/>
              </w:rPr>
              <w:t xml:space="preserve">分合闸指示</w:t>
            </w:r>
            <w:r>
              <w:rPr>
                <w:rFonts w:hint="eastAsia" w:ascii="宋体" w:hAnsi="宋体" w:cs="宋体"/>
                <w:sz w:val="24"/>
              </w:rPr>
              <w:t xml:space="preserve">灯是否</w:t>
            </w:r>
            <w:r>
              <w:rPr>
                <w:rFonts w:ascii="宋体" w:hAnsi="宋体" w:cs="宋体"/>
                <w:sz w:val="24"/>
              </w:rPr>
              <w:t xml:space="preserve">正常</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ascii="宋体" w:hAnsi="宋体" w:cs="宋体"/>
                <w:sz w:val="24"/>
              </w:rPr>
              <w:t xml:space="preserve">分合闸指示正常</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查看电流表、电压表是否正常</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电流表、电压表正常</w:t>
            </w:r>
            <w:r>
              <w:rPr>
                <w:rFonts w:ascii="宋体" w:hAnsi="宋体" w:cs="宋体"/>
                <w:sz w:val="24"/>
              </w:rPr>
            </w:r>
            <w:r/>
          </w:p>
        </w:tc>
      </w:tr>
      <w:tr>
        <w:trPr>
          <w:trHeight w:val="454"/>
        </w:trPr>
        <w:tc>
          <w:tcPr>
            <w:tcW w:w="1035" w:type="dxa"/>
            <w:vAlign w:val="center"/>
            <w:vMerge w:val="continue"/>
            <w:textDirection w:val="lrTb"/>
            <w:noWrap/>
          </w:tcPr>
          <w:p>
            <w:pPr>
              <w:pStyle w:val="995"/>
              <w:jc w:val="center"/>
              <w:rPr>
                <w:rFonts w:ascii="宋体" w:hAnsi="宋体"/>
                <w:sz w:val="24"/>
              </w:rPr>
            </w:pPr>
            <w:r>
              <w:rPr>
                <w:rFonts w:ascii="宋体" w:hAnsi="宋体"/>
                <w:sz w:val="24"/>
              </w:rPr>
            </w:r>
            <w:r/>
          </w:p>
        </w:tc>
        <w:tc>
          <w:tcPr>
            <w:tcW w:w="1297"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548" w:type="dxa"/>
            <w:vAlign w:val="center"/>
            <w:textDirection w:val="lrTb"/>
            <w:noWrap/>
          </w:tcPr>
          <w:p>
            <w:pPr>
              <w:pStyle w:val="995"/>
              <w:rPr>
                <w:rFonts w:ascii="宋体" w:hAnsi="宋体" w:cs="宋体"/>
                <w:sz w:val="24"/>
              </w:rPr>
            </w:pPr>
            <w:r>
              <w:rPr>
                <w:rFonts w:hint="eastAsia" w:ascii="宋体" w:hAnsi="宋体" w:cs="宋体"/>
                <w:sz w:val="24"/>
              </w:rPr>
              <w:t xml:space="preserve">检查抽屉出线柜内抽拉是否到位，手柄机构是否正常</w:t>
            </w:r>
            <w:r>
              <w:rPr>
                <w:rFonts w:ascii="宋体" w:hAnsi="宋体" w:cs="宋体"/>
                <w:sz w:val="24"/>
              </w:rPr>
            </w:r>
            <w:r/>
          </w:p>
        </w:tc>
        <w:tc>
          <w:tcPr>
            <w:tcW w:w="2955" w:type="dxa"/>
            <w:vAlign w:val="center"/>
            <w:textDirection w:val="lrTb"/>
            <w:noWrap/>
          </w:tcPr>
          <w:p>
            <w:pPr>
              <w:pStyle w:val="995"/>
              <w:rPr>
                <w:rFonts w:ascii="宋体" w:hAnsi="宋体" w:cs="宋体"/>
                <w:sz w:val="24"/>
              </w:rPr>
            </w:pPr>
            <w:r>
              <w:rPr>
                <w:rFonts w:hint="eastAsia" w:ascii="宋体" w:hAnsi="宋体" w:cs="宋体"/>
                <w:sz w:val="24"/>
              </w:rPr>
              <w:t xml:space="preserve">抽屉出线柜内抽拉到位，手柄机构正常</w:t>
            </w:r>
            <w:r>
              <w:rPr>
                <w:rFonts w:ascii="宋体" w:hAnsi="宋体" w:cs="宋体"/>
                <w:sz w:val="24"/>
              </w:rPr>
            </w:r>
            <w:r/>
          </w:p>
        </w:tc>
      </w:tr>
    </w:tbl>
    <w:p>
      <w:pPr>
        <w:pStyle w:val="995"/>
        <w:ind w:firstLine="480"/>
        <w:spacing w:line="360" w:lineRule="auto"/>
        <w:rPr>
          <w:rFonts w:ascii="宋体" w:hAnsi="宋体" w:cs="宋体"/>
          <w:sz w:val="24"/>
          <w:szCs w:val="20"/>
        </w:rPr>
      </w:pPr>
      <w:r>
        <w:rPr>
          <w:rFonts w:hint="eastAsia" w:ascii="宋体" w:hAnsi="宋体" w:cs="宋体"/>
          <w:sz w:val="24"/>
          <w:szCs w:val="20"/>
        </w:rPr>
        <w:t xml:space="preserve">3.供配电设施设备的应急抢修、改造</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（1）在收到突发抢修维修任务时，应调动符合抢修要求的一切人员；</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（2）抢修现场应配备相应的管理人员和安全员等；</w:t>
      </w:r>
      <w:r>
        <w:rPr>
          <w:rFonts w:ascii="宋体" w:hAnsi="宋体" w:cs="宋体"/>
          <w:sz w:val="24"/>
          <w:szCs w:val="20"/>
        </w:rPr>
      </w:r>
      <w:r/>
    </w:p>
    <w:p>
      <w:pPr>
        <w:pStyle w:val="995"/>
        <w:ind w:firstLine="480"/>
        <w:spacing w:line="360" w:lineRule="auto"/>
        <w:rPr>
          <w:rFonts w:hint="eastAsia" w:ascii="宋体" w:hAnsi="宋体" w:cs="宋体"/>
          <w:sz w:val="24"/>
          <w:szCs w:val="20"/>
        </w:rPr>
      </w:pPr>
      <w:r>
        <w:rPr>
          <w:rFonts w:hint="eastAsia" w:ascii="宋体" w:hAnsi="宋体" w:cs="宋体"/>
          <w:sz w:val="24"/>
          <w:szCs w:val="20"/>
        </w:rPr>
        <w:t xml:space="preserve">（3）管理人员和安全员必须首先对抢修现场和设备情况进行熟悉，具有变电所运维和抢修维修的服务经验；</w:t>
      </w:r>
      <w:r>
        <w:rPr>
          <w:rFonts w:hint="eastAsia"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（4）必须配备供电抢修的常用工具，如常用电气试验仪器及设备；</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（5）抢修时候自备彩条旗或警示围拦标志；</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（6）应保持抢修人员配备安全帽、绝缘手套、绝缘靴等安全保护用品；</w:t>
      </w:r>
      <w:r>
        <w:rPr>
          <w:rFonts w:ascii="宋体" w:hAnsi="宋体" w:cs="宋体"/>
          <w:sz w:val="24"/>
          <w:szCs w:val="20"/>
        </w:rPr>
      </w:r>
      <w:r/>
    </w:p>
    <w:p>
      <w:pPr>
        <w:pStyle w:val="995"/>
        <w:ind w:firstLine="480"/>
        <w:spacing w:line="360" w:lineRule="auto"/>
        <w:rPr>
          <w:rFonts w:hint="eastAsia" w:ascii="宋体" w:hAnsi="宋体" w:cs="宋体"/>
          <w:sz w:val="24"/>
          <w:szCs w:val="20"/>
        </w:rPr>
      </w:pPr>
      <w:r>
        <w:rPr>
          <w:rFonts w:hint="eastAsia" w:ascii="宋体" w:hAnsi="宋体" w:cs="宋体"/>
          <w:sz w:val="24"/>
          <w:szCs w:val="20"/>
        </w:rPr>
        <w:t xml:space="preserve">（7）应具备随时租、调提高劳动力效率的机械，如发电机、电焊机、叉车、吊车、登高作业车等大型施工机械的能力；</w:t>
      </w:r>
      <w:r>
        <w:rPr>
          <w:rFonts w:hint="eastAsia" w:ascii="宋体" w:hAnsi="宋体" w:cs="宋体"/>
          <w:sz w:val="24"/>
          <w:szCs w:val="20"/>
        </w:rPr>
      </w:r>
      <w:r/>
    </w:p>
    <w:p>
      <w:pPr>
        <w:pStyle w:val="995"/>
        <w:ind w:firstLine="480"/>
        <w:spacing w:line="360" w:lineRule="auto"/>
        <w:rPr>
          <w:rFonts w:hint="eastAsia" w:ascii="宋体" w:hAnsi="宋体" w:cs="宋体"/>
          <w:sz w:val="24"/>
          <w:szCs w:val="20"/>
        </w:rPr>
      </w:pPr>
      <w:r>
        <w:rPr>
          <w:rFonts w:hint="eastAsia" w:ascii="宋体" w:hAnsi="宋体" w:cs="宋体"/>
          <w:sz w:val="24"/>
          <w:szCs w:val="20"/>
        </w:rPr>
        <w:t xml:space="preserve">（8）在接到抢修服务任务后，在不超过1小时赶到现场并进行处理；其他有维修、改造等服务，应在接到任务后，2个工作日内安排人员现场查看，并按招标人要求的时间完成维修、改造等任务（否则需提出书面延期申请并得到招标人同意）；逾期按合同相应条款执行；</w:t>
      </w:r>
      <w:r>
        <w:rPr>
          <w:rFonts w:hint="eastAsia" w:ascii="宋体" w:hAnsi="宋体" w:cs="宋体"/>
          <w:sz w:val="24"/>
          <w:szCs w:val="20"/>
        </w:rPr>
      </w:r>
      <w:r/>
    </w:p>
    <w:p>
      <w:pPr>
        <w:pStyle w:val="995"/>
        <w:ind w:firstLine="480"/>
        <w:spacing w:line="360" w:lineRule="auto"/>
        <w:rPr>
          <w:rFonts w:hint="eastAsia" w:ascii="宋体" w:hAnsi="宋体" w:cs="宋体"/>
          <w:sz w:val="24"/>
          <w:szCs w:val="20"/>
        </w:rPr>
      </w:pPr>
      <w:r>
        <w:rPr>
          <w:rFonts w:hint="eastAsia" w:ascii="宋体" w:hAnsi="宋体" w:cs="宋体"/>
          <w:sz w:val="24"/>
          <w:szCs w:val="20"/>
        </w:rPr>
        <w:t xml:space="preserve">（9）本服务工程中使用的电缆采用国标电缆；</w:t>
      </w:r>
      <w:r>
        <w:rPr>
          <w:rFonts w:hint="eastAsia" w:ascii="宋体" w:hAnsi="宋体" w:cs="宋体"/>
          <w:sz w:val="24"/>
          <w:szCs w:val="20"/>
        </w:rPr>
      </w:r>
      <w:r/>
    </w:p>
    <w:p>
      <w:pPr>
        <w:pStyle w:val="995"/>
        <w:ind w:firstLine="480"/>
        <w:spacing w:line="360" w:lineRule="auto"/>
        <w:rPr>
          <w:rFonts w:hint="eastAsia" w:ascii="宋体" w:hAnsi="宋体"/>
          <w:sz w:val="24"/>
        </w:rPr>
      </w:pPr>
      <w:r>
        <w:rPr>
          <w:rFonts w:hint="eastAsia" w:ascii="宋体" w:hAnsi="宋体" w:cs="宋体"/>
          <w:sz w:val="24"/>
          <w:szCs w:val="20"/>
        </w:rPr>
        <w:t xml:space="preserve">（10）抢修</w:t>
      </w:r>
      <w:r>
        <w:rPr>
          <w:rFonts w:ascii="宋体" w:hAnsi="宋体"/>
          <w:sz w:val="24"/>
        </w:rPr>
        <w:t xml:space="preserve">维修</w:t>
      </w:r>
      <w:r>
        <w:rPr>
          <w:rFonts w:hint="eastAsia" w:ascii="宋体" w:hAnsi="宋体"/>
          <w:sz w:val="24"/>
        </w:rPr>
        <w:t xml:space="preserve">完成后由招标人进行验收，</w:t>
      </w:r>
      <w:r>
        <w:rPr>
          <w:rFonts w:ascii="宋体" w:hAnsi="宋体"/>
          <w:sz w:val="24"/>
        </w:rPr>
        <w:t xml:space="preserve">维修</w:t>
      </w:r>
      <w:r>
        <w:rPr>
          <w:rFonts w:hint="eastAsia" w:ascii="宋体" w:hAnsi="宋体"/>
          <w:sz w:val="24"/>
        </w:rPr>
        <w:t xml:space="preserve">质保期1年，自验收合格之日起计算。在质保期内因中标人维修的质量问题导致设备故障的，中标人应负责返修，由此产生的所有费用由中标人承担，同时质保期顺延6个月，延长后总期限不超过2年，经双方确认的其他情况除外；</w:t>
      </w:r>
      <w:r>
        <w:rPr>
          <w:rFonts w:hint="eastAsia" w:ascii="宋体" w:hAnsi="宋体"/>
          <w:sz w:val="24"/>
        </w:rPr>
      </w:r>
      <w:r/>
    </w:p>
    <w:p>
      <w:pPr>
        <w:pStyle w:val="995"/>
        <w:ind w:firstLine="480"/>
        <w:spacing w:line="360" w:lineRule="auto"/>
        <w:rPr>
          <w:rFonts w:hint="eastAsia" w:ascii="宋体" w:hAnsi="宋体"/>
          <w:sz w:val="24"/>
        </w:rPr>
      </w:pPr>
      <w:r>
        <w:rPr>
          <w:rFonts w:hint="eastAsia" w:ascii="宋体" w:hAnsi="宋体" w:cs="宋体"/>
          <w:sz w:val="24"/>
          <w:szCs w:val="20"/>
        </w:rPr>
        <w:t xml:space="preserve">（11）中标人应在工程结束验收后，及时会同招标人完成签证。签证资料需符合招标人审计部门要求，对于中标人提供的所有电气元器件需详细标出品牌、规格型号等参数；</w:t>
      </w:r>
      <w:r>
        <w:rPr>
          <w:rFonts w:hint="eastAsia" w:ascii="宋体" w:hAnsi="宋体"/>
          <w:sz w:val="24"/>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（12）在完成相应的抢修维修任务后，按需对招标人的相关人员就维修中碰到的问题，处理的方法，更换电气元器件的使用操作，维护要求，注意事项等做详尽的交底培训。</w:t>
      </w:r>
      <w:r>
        <w:rPr>
          <w:rFonts w:ascii="宋体" w:hAnsi="宋体" w:cs="宋体"/>
          <w:sz w:val="24"/>
          <w:szCs w:val="20"/>
        </w:rPr>
      </w:r>
      <w:r/>
    </w:p>
    <w:p>
      <w:pPr>
        <w:pStyle w:val="995"/>
        <w:ind w:firstLine="482"/>
        <w:spacing w:line="360" w:lineRule="auto"/>
        <w:rPr>
          <w:rFonts w:hint="eastAsia" w:ascii="宋体" w:hAnsi="宋体" w:cs="宋体"/>
          <w:b/>
          <w:sz w:val="24"/>
        </w:rPr>
        <w:outlineLvl w:val="1"/>
      </w:pPr>
      <w:r>
        <w:rPr>
          <w:rFonts w:hint="eastAsia" w:ascii="宋体" w:hAnsi="宋体" w:cs="宋体"/>
          <w:b/>
          <w:sz w:val="24"/>
        </w:rPr>
        <w:t xml:space="preserve">五、泵站低压电气零星维修服务要求</w:t>
      </w:r>
      <w:r>
        <w:rPr>
          <w:rFonts w:hint="eastAsia" w:ascii="宋体" w:hAnsi="宋体" w:cs="宋体"/>
          <w:b/>
          <w:sz w:val="24"/>
        </w:rPr>
      </w:r>
      <w:r/>
    </w:p>
    <w:p>
      <w:pPr>
        <w:pStyle w:val="995"/>
        <w:ind w:firstLine="480"/>
        <w:spacing w:line="360" w:lineRule="auto"/>
        <w:rPr>
          <w:rFonts w:ascii="宋体" w:hAnsi="宋体"/>
          <w:sz w:val="24"/>
        </w:rPr>
      </w:pPr>
      <w:r>
        <w:rPr>
          <w:rFonts w:hint="eastAsia" w:ascii="宋体" w:hAnsi="宋体" w:cs="宋体"/>
          <w:sz w:val="24"/>
          <w:szCs w:val="20"/>
        </w:rPr>
        <w:t xml:space="preserve">（1</w:t>
      </w:r>
      <w:r>
        <w:rPr>
          <w:rFonts w:hint="eastAsia" w:ascii="宋体" w:hAnsi="宋体"/>
          <w:sz w:val="24"/>
        </w:rPr>
        <w:t xml:space="preserve">）维修工作内容应根据招标人的要求，按时保质保量的完成。</w:t>
      </w:r>
      <w:r>
        <w:rPr>
          <w:rFonts w:ascii="宋体" w:hAnsi="宋体"/>
          <w:sz w:val="24"/>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（2）在突击、紧急维修任务的情况，应具备及时调动符合施工要求相应劳动力的能力；</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（3）重大维修现场应配备相应的项目管理人员、现场管理人员和安全员等相关人员；</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（4）投标单位管理人员和施工人员必须对招标人服务工程现场和设备情况熟悉，有电气设备的维修服务工作经验。</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（5）必须配备电气维修的常用施工工具；</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（6）需配备常用电气试验仪器及设备；</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（7）维修现场自备彩条旗或警示围拦标志；</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（8）应保持抢修、维修人员配备安全帽、绝缘手套、绝缘靴等安全保护用品；</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（9）应具备随时租、调提高劳动力效率的机械，如发电机、电焊机、叉车、吊车、登高作业车等大型施工机械的能力。</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bCs/>
          <w:sz w:val="24"/>
          <w:szCs w:val="20"/>
        </w:rPr>
        <w:t xml:space="preserve">（10）</w:t>
      </w:r>
      <w:r>
        <w:rPr>
          <w:rFonts w:hint="eastAsia" w:ascii="宋体" w:hAnsi="宋体" w:cs="宋体"/>
          <w:sz w:val="24"/>
          <w:szCs w:val="20"/>
        </w:rPr>
        <w:t xml:space="preserve">在接到招标人任务后，2个工作日内安排人员现场查看，并按招标人要求的时间完成维修、改造等任务（否则需提出书面延期申请并得到招标人同意）；逾期按合同相应条款执行。</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（11）本服务工程中乙供电缆采用国标电缆。</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（12）</w:t>
      </w:r>
      <w:r>
        <w:rPr>
          <w:rFonts w:ascii="宋体" w:hAnsi="宋体"/>
          <w:sz w:val="24"/>
        </w:rPr>
        <w:t xml:space="preserve">维修</w:t>
      </w:r>
      <w:r>
        <w:rPr>
          <w:rFonts w:hint="eastAsia" w:ascii="宋体" w:hAnsi="宋体"/>
          <w:sz w:val="24"/>
        </w:rPr>
        <w:t xml:space="preserve">完成后由招标人进行验收，</w:t>
      </w:r>
      <w:r>
        <w:rPr>
          <w:rFonts w:ascii="宋体" w:hAnsi="宋体"/>
          <w:sz w:val="24"/>
        </w:rPr>
        <w:t xml:space="preserve">维修</w:t>
      </w:r>
      <w:r>
        <w:rPr>
          <w:rFonts w:hint="eastAsia" w:ascii="宋体" w:hAnsi="宋体"/>
          <w:sz w:val="24"/>
        </w:rPr>
        <w:t xml:space="preserve">质保期1年，自验收合格之日起计算。在质保期内因中标人维修的质量问题导致设备故障的，中标人应负责返修，由此产生的所有费用由中标人承担，同时质保期顺延6个月，延长后总期限不超过2年，经双方确认的其他情况除外。</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（13）中标人应在工程结束验收后，及时会同招标人完成签证。签证资料需符合招标人审计部门要求，对于中标人提供的所有电气元器件需详细标出品牌、规格型号等参数。</w:t>
      </w:r>
      <w:r>
        <w:rPr>
          <w:rFonts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bCs/>
          <w:sz w:val="24"/>
          <w:szCs w:val="20"/>
        </w:rPr>
        <w:t xml:space="preserve">（14）</w:t>
      </w:r>
      <w:r>
        <w:rPr>
          <w:rFonts w:hint="eastAsia" w:ascii="宋体" w:hAnsi="宋体" w:cs="宋体"/>
          <w:sz w:val="24"/>
          <w:szCs w:val="20"/>
        </w:rPr>
        <w:t xml:space="preserve">在完成相应的维修任务后，按需对招标人的相关人员就维修中碰到的问题，处理的方法，更换电气元器件的使用操作，维护要求，注意事项等做详尽的交底培训。</w:t>
      </w:r>
      <w:r>
        <w:rPr>
          <w:rFonts w:ascii="宋体" w:hAnsi="宋体" w:cs="宋体"/>
          <w:sz w:val="24"/>
          <w:szCs w:val="20"/>
        </w:rPr>
      </w:r>
      <w:r/>
    </w:p>
    <w:p>
      <w:pPr>
        <w:pStyle w:val="995"/>
        <w:ind w:firstLine="482"/>
        <w:spacing w:line="360" w:lineRule="auto"/>
        <w:rPr>
          <w:rFonts w:hint="eastAsia" w:ascii="宋体" w:hAnsi="宋体" w:cs="宋体"/>
          <w:b/>
          <w:sz w:val="24"/>
        </w:rPr>
        <w:outlineLvl w:val="1"/>
      </w:pPr>
      <w:r>
        <w:rPr>
          <w:rFonts w:hint="eastAsia" w:ascii="宋体" w:hAnsi="宋体" w:cs="宋体"/>
          <w:b/>
          <w:sz w:val="24"/>
        </w:rPr>
        <w:t xml:space="preserve">六、泵站视频维修服务要求</w:t>
      </w:r>
      <w:r>
        <w:rPr>
          <w:rFonts w:hint="eastAsia" w:ascii="宋体" w:hAnsi="宋体" w:cs="宋体"/>
          <w:b/>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 维修服务时间：泵站视频维修时间为2026年12月至2027年6月。</w:t>
      </w:r>
      <w:r>
        <w:rPr>
          <w:rFonts w:hint="eastAsia" w:ascii="宋体" w:hAnsi="宋体" w:cs="宋体"/>
          <w:sz w:val="24"/>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（一）</w:t>
      </w:r>
      <w:r>
        <w:rPr>
          <w:rFonts w:hint="eastAsia" w:ascii="宋体" w:hAnsi="宋体" w:cs="Arial"/>
          <w:b/>
          <w:bCs/>
          <w:sz w:val="24"/>
        </w:rPr>
        <w:t xml:space="preserve">200万红外枪机：原型号为DH-IPC-HFW3268PM-I1</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1.采用星光级低照200万像素1/2.8英寸CMOS图像传感器，最大可输出200万(1920×1080)@25fps；</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2.支持H.265编码，压缩比高；</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3.最低照度：0.002lux（彩色模式）；0.0002lux（黑白模式）；0lux（补光灯开启）；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4.镜头类型：定焦，3.6mm/6mm/8mm/12mm焦距可选；</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5.内置高效红外补光灯，最大红外监控距离50米；</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6.支持绊线入侵，区域入侵分析；</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7.支持走廊模式；</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8.视频压缩标准：H.265；H.264；H.264B；MJPEG；</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9.支持图像亮度；对比度；锐度；饱和度；伽马设置；</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10.支持网络断开；IP冲突；非法访问；动态检测；视频遮挡；绊线入侵；区域入侵；电压检测；智能动检（人）；安全异常报警；</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11.当触发动检或报警时，视频录像帧率应自动调整至设定值，设定范围1~30帧/秒；（提供公安部有效检测报告复印件加盖原厂公章）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12.支持走廊模式，宽动态，3D降噪，强光抑制，背光补偿，数字水印，适用不同监控环境；</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13.支持ROI，SMART H.264/H.265，灵活编码，适用不同带宽和存储环境；</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14.工作电压：DC12V（±30%）；POE （802.3af）；</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15.支持当检测到电压低于8.4V或者高于19V时，可在客户端显示图标或者播放报警提示音进行报警提示；（提供公安部有效检测报告复印件加盖原厂公章）</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16.支持IP67防护等级。</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（二）200万全彩枪机：原型号为DH-IPC-HFW3279PM-LED</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1.采用星光级低照200万像素1/2.8英寸CMOS图像传感器，最大可输出200万(1920×1080)@25fps；</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2.支持H.265编码，压缩比高；</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3.最低照度：0.002lux（彩色模式）；0.0002lux（黑白模式）；0lux（补光灯开启）；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4.镜头类型：定焦，2.8mm/3.6mm/6mm焦距可选，镜头光圈：F1.0；</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5.内置高效暖光补光灯，最大暖光监控距离30米；</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6.支持绊线入侵，区域入侵分析；</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7.支持走廊模式；</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8.视频压缩标准：H.265；H.264；H.264B；MJPEG；</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9.同一静止场景相同主观图像质量下，样机在H.265编码方式时，开启智能编码功能和不开启智能编码相比，码率节约95%；开启智能编码功能，样机处于监看或录像状态，监视画面无明显缺损，物体移动时画面边缘无明显铅齿、拉毛现象，24h录像码流存储不超过3GB；（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10.支持图像亮度；对比度；锐度；饱和度；伽马设置；</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11.支持网络断开；IP冲突；非法访问；动态检测；视频遮挡；绊线入侵；区域入侵；电压检测；智能动检（人）；安全异常报警；</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12.支持走廊模式，宽动态，3D降噪，强光抑制，背光补偿，数字水印，适用不同监控环境；</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13.宽动态能力综合评价得分应100，宽动态能力不小于121dB；（提供公安部有效检测报告复印件加盖原厂公章）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14.支持ROI，SMART H.264/H.265，灵活编码，适用不同带宽和存储环境；</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15.支持内置MIC；</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16.工作电压：DC12V（±30%）；POE （802.3af）；</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17.支持当检测到电压低于8.4V或者高于19V时，可在客户端显示图标或者播放报警提示音进行报警提示；</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18.支持IP67防护等级。</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（三）400万红外枪机：原型号为DH-IPC-HFW3468PM-I1</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1.采用星光级低照400万像素1/3英寸CMOS图像传感器，400万(2560×1440)@25fps，最大可输出400万(2688×1520)@20fps；</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2.支持H.265编码，压缩比高；</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3.最低照度：0.002lux（彩色模式）；0.0002lux（黑白模式）；0lux（补光灯开启）；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4.镜头类型：定焦，3.6mm/6mm/8mm/12mm焦距可选；</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5.内置高效红外补光灯，最大红外监控距离50米；</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6.支持绊线入侵，区域入侵分析；</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7.支持走廊模式；</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8.视频压缩标准：H.265；H.264；H.264B；MJPEG；</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9.支持图像亮度；对比度；锐度；饱和度；伽马设置；</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10.可通过浏览器在预览画面框选出曝光区域，以该区域作为参考区域曝光；（提供公安部有效检测报告复印件加盖原厂公章）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11.可设置4套场景参数，不同场景参数可按时间设置自动切换；（提供公安部有效检测报告复印件加盖原厂公章）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12.支持网络断开；IP冲突；非法访问；动态检测；视频遮挡；绊线入侵；区域入侵；电压检测；智能动检（人）；安全异常报警；</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13.支持走廊模式，宽动态，3D降噪，强光抑制，背光补偿，数字水印，适用不同监控环境；</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14.当触发报警时，视频录像帧率应自动调整至设定值，设定范围1~60帧/秒；（提供公安部有效检测报告复印件加盖原厂公章）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15.支持ROI，SMART H.264/H.265，灵活编码，适用不同带宽和存储环境；</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16.工作电压：DC12V（±30%）；POE （802.3af）；</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17.支持IP67防护等级。</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（四）400万全彩枪机：原型号DH-IPC-HFW3479PM-LED</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1.采用星光级低照400万像素1/2.8英寸CMOS图像传感器，可输出400万(2560×1440)@25fps，最大可输出400万(2688×1520)@20fps；</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2.支持H.265编码，压缩比高；</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3.最低照度：0.002lux（彩色模式）；0.0002lux（黑白模式）；0lux（补光灯开启）；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4.镜头类型：定焦，2.8mm/3.6mm/6mm焦距可选，镜头光圈：F1.0；</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5.内置高效暖光补光灯，最大暖光监控距离30米；</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6.支持绊线入侵，区域入侵分析；</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7.支持走廊模式；</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8.视频压缩标准：H.265；H.264；H.264B；MJPEG；</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9.支持图像亮度；对比度；锐度；饱和度；伽马设置；</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10.支持网络断开；IP冲突；非法访问；动态检测；视频遮挡；绊线入侵；区域入侵；电压检测；智能动检（人）；安全异常报警；</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11.可设置IP地址进行访问控制，在白名单模式中，中有添加在白名单的IP地址中才允许访问样机，白名单可以添加200个IP；</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12.支持走廊模式，宽动态，3D降噪，强光抑制，背光补偿，数字水印，适用不同监控环境；</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13.宽动态能力综合评价得分应≥100，不小于120dB；（提供公安部有效检测报告复印件加盖原厂公章）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14.支持ROI，SMART H.264/H.265，灵活编码，适用不同带宽和存储环境；</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15.工作电压：DC12V（±30%）；POE （802.3af）；</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16.支持IP67防护等级。</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（五）200万红外球机：原型号DH-SD-6C3258-HNY-DBG</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1.采传感器类型：≥1/2.8英寸 CMOS；像素：≥200万；最大分辨率：≥1920×1080；</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2.视频压缩标准：H.265；H.264；MJPEG；</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3.最低照度：彩色：≤0.005lux@F1.6黑白：≤0.0005lux@F1.60Lux（红外灯开启）；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4.最大补光距离：≥150m（红外）；补光类型：红外；</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5.镜头焦距：5mm~115mm；光学变倍：≥23倍；</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6.视场角：水平：58.7°~3.3°垂直：32.9°~1.9°对角：66.6°~3.8；</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7.支持绊线入侵；支持区域入侵；支持穿越围栏；支持徘徊检测；支持物品遗留；支持物品搬移；支持快速移动；支持停车检测；支持人员聚集；支持人车分类报警；支持联动跟踪</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8.支持电子防抖；支持电子透雾；</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9.音频输入：≥1路；音频输出：≥1路；支持语音对讲；</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10.音频压缩标准：G.711a；G.711Mu；G.726；AAC；MPEG2-Layer2；G722.1；G723；PCM</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11.报警输入：≥2路；报警输出：≥1路；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12.键控速度：水平：0.1°/s~200°/s垂直：0.1°/s~20°/s；</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13.预置点速度：水平：≥200°/s 垂直：≥100°/s；</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14.水平方向360°连续旋转，垂直方向-20°～90°自动翻转180°后连续观察，无观察盲区；</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15.支持不少于300个预置位，8条巡航路径，5条巡迹路径；</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16.供电方式：DC24V/2.5A±25%；</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17.支持IP66防护等级；TVS 6000V防雷、防浪涌和防突波保护；</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18.球机尺寸：≥6寸。</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（六）200万全彩球机：原型号为DH-SD-6C3268-HNY-XBG</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1.采传感器类型：≥1/2.8英寸 CMOS；像素：≥200万；最大分辨率：≥1920×1080；</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2.视频压缩标准：H.265；H.264；MJPEG；</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3.最低照度：彩色：≤0.005lux@F1.6黑白：≤0.0005lux@F1.60Lux（红外灯开启）；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4.最大补光距离：150m（红外）；30m（白光）；补光类型：红外+白光；</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5.镜头焦距：4.8mm~110mm；光学变倍：≥23倍；</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6.视场角：水平：58.5°~2.8°垂直：33.2°~1.5°对角线：67.5°~3.2°；</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7.支持绊线入侵；支持区域入侵；支持穿越围栏；支持徘徊检测；支持物品遗留；支持物品搬移；支持快速移动；支持停车检测；支持人员聚集；支持人车分类报警；支持联动跟踪；</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8.支持电子防抖；支持电子透雾；</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9.音频输入：≥1路；音频输出：≥1路；支持语音对讲；</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10.音频压缩标准：G.711a；G.711Mu；G.726；AAC；MPEG2-Layer2；G722.1；PCM；</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11.报警输入：≥2路；报警输出：≥1路；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12.键控速度：水平：0.1°/s~200°/s垂直：0.1°/s~20°/s；</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13.预置点速度：水平：≥200°/s 垂直：≥100°/s；</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14.水平方向360°连续旋转，垂直方向-20°～90°自动翻转180°后连续观察，无观察盲区；</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15.支持不少于300个预置位，8条巡航路径，5条巡迹路径；</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16.供电方式：DC24V/2.5A±25%；</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17.支持IP66防护等级；TVS 6000V防雷、防浪涌和防突波保护；</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18.球机尺寸：≥6寸。</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（七）400万红外球机：原型号为DH-SD-6C3486-HNY-GBPS</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1.采传感器类型：≥1/2.8英寸 CMOS；像素：≥400万；最大分辨率：≥2560×1440；</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2.视频压缩标准：H.265；H.264；MJPEG；</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3.最低照度：彩色：≤0.005lux@F1.6黑白：≤0.0005lux@F1.60Lux（红外灯开启）；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4.最大补光距离：150m（红外）；补光类型：红外；</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5.镜头焦距：5mm~125mm；光学变倍：≥25倍；</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6.视场角：水平：51.9°~3.0° 垂直：39.7°~2.2° 对角线：63.1°~3.7°</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7.支持绊线入侵；支持区域入侵；支持穿越围栏；支持徘徊检测；支持物品遗留；支持物品搬移；支持快速移动；支持停车检测；支持人员聚集；支持人车分类报警；支持联动跟踪；</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8.支持电子防抖；支持电子透雾；</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9.音频输入：≥1路；音频输出：≥1路；支持语音对讲；</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10.音频压缩标准：G.711a；G.711Mu；G.726；AAC；MPEG2-Layer2；G722.1；PCM；</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11.报警输入：≥2路；报警输出：≥1路；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12.键控速度：水平：0.1°/s~200°/s垂直：0.1°/s~20°/s；</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13.预置点速度：水平：≥200°/s 垂直：≥100°/s；</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14.水平方向360°连续旋转，垂直方向-20°～90°自动翻转180°后连续观察，无观察盲区；</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15.支持不少于300个预置位，8条巡航路径，5条巡迹路径；</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16.供电方式：DC24V/2.5A±25%；</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17.支持IP66防护等级；TVS 6000V防雷、防浪涌和防突波保护；</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18.球机尺寸：≥6寸。</w:t>
      </w:r>
      <w:r>
        <w:rPr>
          <w:rFonts w:hint="eastAsia" w:ascii="宋体" w:hAnsi="宋体" w:cs="宋体"/>
          <w:bCs/>
          <w:sz w:val="24"/>
          <w:szCs w:val="20"/>
        </w:rPr>
      </w:r>
      <w:r/>
    </w:p>
    <w:p>
      <w:pPr>
        <w:pStyle w:val="995"/>
        <w:ind w:firstLine="482"/>
        <w:spacing w:line="360" w:lineRule="auto"/>
        <w:rPr>
          <w:rFonts w:ascii="宋体" w:hAnsi="宋体" w:cs="Arial"/>
          <w:b/>
          <w:bCs/>
          <w:sz w:val="16"/>
          <w:szCs w:val="16"/>
        </w:rPr>
        <w:outlineLvl w:val="2"/>
      </w:pPr>
      <w:r>
        <w:rPr>
          <w:rFonts w:hint="eastAsia" w:ascii="宋体" w:hAnsi="宋体" w:cs="宋体"/>
          <w:b/>
          <w:bCs/>
          <w:sz w:val="24"/>
        </w:rPr>
        <w:t xml:space="preserve">（八）400万全彩球机：原型号为DH-SD-6C3497-HNY-GB-AD</w:t>
      </w:r>
      <w:r>
        <w:rPr>
          <w:rFonts w:ascii="宋体" w:hAnsi="宋体" w:cs="Arial"/>
          <w:b/>
          <w:bCs/>
          <w:sz w:val="16"/>
          <w:szCs w:val="16"/>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1.采传感器类型：≥1/2.8英寸 CMOS；像素：≥400万；最大分辨率：≥2560×1440；</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2.视频压缩标准：H.265；H.264；MJPEG；</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3.最低照度：彩色：≤0.005lux@F1.6黑白：≤0.0005lux@F1.60Lux（红外灯开启）；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4.最大补光距离：30m（白光）；150m（红外）；补光类型：红外+白光；</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5.镜头焦距：4.8mm-120mm；光学变倍：≥25倍；</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6.视场角：水平：55.8°~2.3°垂直：31.9°~1.3°对角线：63.7°~2.7°</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7.支持绊线入侵；支持区域入侵；支持穿越围栏；支持徘徊检测；支持物品遗留；支持物品搬移；支持快速移动；支持停车检测；支持人员聚集；支持人车分类报警；支持联动跟踪；</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8.支持电子防抖；支持电子透雾；</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9.音频输入：≥1路；音频输出：≥1路；支持语音对讲；</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10.音频压缩标准：G.711a；G.711Mu；G.726；AAC；MPEG2-Layer2；G722.1；PCM；</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11.报警输入：≥2路；报警输出：≥1路；</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12.键控速度：水平：0.1°/s~200°/s垂直：0.1°/s~20°/s；</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13.预置点速度：水平：≥200°/s 垂直：≥100°/s；</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14.水平方向360°连续旋转，垂直方向-20°～90°自动翻转180°后连续观察，无观察盲区；</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15.支持不少于300个预置位，8条巡航路径，5条巡迹路径；</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16.供电方式：DC24V/2.5A±25%；</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17.支持IP66防护等级；TVS 6000V防雷、防浪涌和防突波保护；</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18.球机尺寸：≥6寸。</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（九）硬盘录像机（2盘位8路）：原型号为DH-NVR2208-I2-PG</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1.主处理器：工业级嵌入式微控制器；</w:t>
      </w:r>
      <w:r>
        <w:rPr>
          <w:rFonts w:hint="eastAsia" w:ascii="宋体" w:hAnsi="宋体" w:cs="宋体"/>
          <w:bCs/>
          <w:sz w:val="24"/>
          <w:szCs w:val="20"/>
        </w:rPr>
        <w:br w:type="textWrapping" w:clear="all"/>
      </w:r>
      <w:r>
        <w:rPr>
          <w:rFonts w:hint="eastAsia" w:ascii="宋体" w:hAnsi="宋体" w:cs="宋体"/>
          <w:bCs/>
          <w:sz w:val="24"/>
          <w:szCs w:val="20"/>
        </w:rPr>
        <w:t xml:space="preserve">    2.操作系统：嵌入式Linux操作系统；</w:t>
      </w:r>
      <w:r>
        <w:rPr>
          <w:rFonts w:hint="eastAsia" w:ascii="宋体" w:hAnsi="宋体" w:cs="宋体"/>
          <w:bCs/>
          <w:sz w:val="24"/>
          <w:szCs w:val="20"/>
        </w:rPr>
        <w:br w:type="textWrapping" w:clear="all"/>
      </w:r>
      <w:r>
        <w:rPr>
          <w:rFonts w:hint="eastAsia" w:ascii="宋体" w:hAnsi="宋体" w:cs="宋体"/>
          <w:bCs/>
          <w:sz w:val="24"/>
          <w:szCs w:val="20"/>
        </w:rPr>
        <w:t xml:space="preserve">    3.操作界面：WEB方式，本地GUI操作；</w:t>
      </w:r>
      <w:r>
        <w:rPr>
          <w:rFonts w:hint="eastAsia" w:ascii="宋体" w:hAnsi="宋体" w:cs="宋体"/>
          <w:bCs/>
          <w:sz w:val="24"/>
          <w:szCs w:val="20"/>
        </w:rPr>
        <w:br w:type="textWrapping" w:clear="all"/>
      </w:r>
      <w:r>
        <w:rPr>
          <w:rFonts w:hint="eastAsia" w:ascii="宋体" w:hAnsi="宋体" w:cs="宋体"/>
          <w:bCs/>
          <w:sz w:val="24"/>
          <w:szCs w:val="20"/>
        </w:rPr>
        <w:t xml:space="preserve">    4.接入路数：≥8路；</w:t>
      </w:r>
      <w:r>
        <w:rPr>
          <w:rFonts w:hint="eastAsia" w:ascii="宋体" w:hAnsi="宋体" w:cs="宋体"/>
          <w:bCs/>
          <w:sz w:val="24"/>
          <w:szCs w:val="20"/>
        </w:rPr>
        <w:br w:type="textWrapping" w:clear="all"/>
      </w:r>
      <w:r>
        <w:rPr>
          <w:rFonts w:hint="eastAsia" w:ascii="宋体" w:hAnsi="宋体" w:cs="宋体"/>
          <w:bCs/>
          <w:sz w:val="24"/>
          <w:szCs w:val="20"/>
        </w:rPr>
        <w:t xml:space="preserve">    5.网络带宽：≥80Mbps接入、≥80Mbps存储、≥60Mbps转发</w:t>
      </w:r>
      <w:r>
        <w:rPr>
          <w:rFonts w:hint="eastAsia" w:ascii="宋体" w:hAnsi="宋体" w:cs="宋体"/>
          <w:bCs/>
          <w:sz w:val="24"/>
          <w:szCs w:val="20"/>
        </w:rPr>
        <w:br w:type="textWrapping" w:clear="all"/>
      </w:r>
      <w:r>
        <w:rPr>
          <w:rFonts w:hint="eastAsia" w:ascii="宋体" w:hAnsi="宋体" w:cs="宋体"/>
          <w:bCs/>
          <w:sz w:val="24"/>
          <w:szCs w:val="20"/>
        </w:rPr>
        <w:t xml:space="preserve">    6.硬盘口：≥2个，SATA3.0，单盘最大10T；</w:t>
      </w:r>
      <w:r>
        <w:rPr>
          <w:rFonts w:hint="eastAsia" w:ascii="宋体" w:hAnsi="宋体" w:cs="宋体"/>
          <w:bCs/>
          <w:sz w:val="24"/>
          <w:szCs w:val="20"/>
        </w:rPr>
        <w:br w:type="textWrapping" w:clear="all"/>
      </w:r>
      <w:r>
        <w:rPr>
          <w:rFonts w:hint="eastAsia" w:ascii="宋体" w:hAnsi="宋体" w:cs="宋体"/>
          <w:bCs/>
          <w:sz w:val="24"/>
          <w:szCs w:val="20"/>
        </w:rPr>
        <w:t xml:space="preserve">    7.支持手动录像、报警录像、动态检测录像、智能录像；</w:t>
      </w:r>
      <w:r>
        <w:rPr>
          <w:rFonts w:hint="eastAsia" w:ascii="宋体" w:hAnsi="宋体" w:cs="宋体"/>
          <w:bCs/>
          <w:sz w:val="24"/>
          <w:szCs w:val="20"/>
        </w:rPr>
        <w:br w:type="textWrapping" w:clear="all"/>
      </w:r>
      <w:r>
        <w:rPr>
          <w:rFonts w:hint="eastAsia" w:ascii="宋体" w:hAnsi="宋体" w:cs="宋体"/>
          <w:bCs/>
          <w:sz w:val="24"/>
          <w:szCs w:val="20"/>
        </w:rPr>
        <w:t xml:space="preserve">    8.支持播放/暂停/停止/快进/快退/倒放/逐帧播放；支持全屏、备份（剪切/文件）、局部放大、开关音频功能；</w:t>
      </w:r>
      <w:r>
        <w:rPr>
          <w:rFonts w:hint="eastAsia" w:ascii="宋体" w:hAnsi="宋体" w:cs="宋体"/>
          <w:bCs/>
          <w:sz w:val="24"/>
          <w:szCs w:val="20"/>
        </w:rPr>
        <w:br w:type="textWrapping" w:clear="all"/>
      </w:r>
      <w:r>
        <w:rPr>
          <w:rFonts w:hint="eastAsia" w:ascii="宋体" w:hAnsi="宋体" w:cs="宋体"/>
          <w:bCs/>
          <w:sz w:val="24"/>
          <w:szCs w:val="20"/>
        </w:rPr>
        <w:t xml:space="preserve">    9.视频压缩标准：Smart H.265/H.265/Smart H.264/H.264/MJPEG；</w:t>
      </w:r>
      <w:r>
        <w:rPr>
          <w:rFonts w:hint="eastAsia" w:ascii="宋体" w:hAnsi="宋体" w:cs="宋体"/>
          <w:bCs/>
          <w:sz w:val="24"/>
          <w:szCs w:val="20"/>
        </w:rPr>
        <w:br w:type="textWrapping" w:clear="all"/>
      </w:r>
      <w:r>
        <w:rPr>
          <w:rFonts w:hint="eastAsia" w:ascii="宋体" w:hAnsi="宋体" w:cs="宋体"/>
          <w:bCs/>
          <w:sz w:val="24"/>
          <w:szCs w:val="20"/>
        </w:rPr>
        <w:t xml:space="preserve">    10.音频压缩标准：PCM/G711A/G711U/G726/AAC；</w:t>
      </w:r>
      <w:r>
        <w:rPr>
          <w:rFonts w:hint="eastAsia" w:ascii="宋体" w:hAnsi="宋体" w:cs="宋体"/>
          <w:bCs/>
          <w:sz w:val="24"/>
          <w:szCs w:val="20"/>
        </w:rPr>
        <w:br w:type="textWrapping" w:clear="all"/>
      </w:r>
      <w:r>
        <w:rPr>
          <w:rFonts w:hint="eastAsia" w:ascii="宋体" w:hAnsi="宋体" w:cs="宋体"/>
          <w:bCs/>
          <w:sz w:val="24"/>
          <w:szCs w:val="20"/>
        </w:rPr>
        <w:t xml:space="preserve">    11.分辨率：16M/12M/8M/5M/4M/3M/1080P/720P/D1；</w:t>
      </w:r>
      <w:r>
        <w:rPr>
          <w:rFonts w:hint="eastAsia" w:ascii="宋体" w:hAnsi="宋体" w:cs="宋体"/>
          <w:bCs/>
          <w:sz w:val="24"/>
          <w:szCs w:val="20"/>
        </w:rPr>
        <w:br w:type="textWrapping" w:clear="all"/>
      </w:r>
      <w:r>
        <w:rPr>
          <w:rFonts w:hint="eastAsia" w:ascii="宋体" w:hAnsi="宋体" w:cs="宋体"/>
          <w:bCs/>
          <w:sz w:val="24"/>
          <w:szCs w:val="20"/>
        </w:rPr>
        <w:t xml:space="preserve">    12.解码能力：1路16M@20fps；1路12M@20fps；2路8M@30fps；4路5M@30fps；5路4M@30fps；8路1080P@30fps；</w:t>
      </w:r>
      <w:r>
        <w:rPr>
          <w:rFonts w:hint="eastAsia" w:ascii="宋体" w:hAnsi="宋体" w:cs="宋体"/>
          <w:bCs/>
          <w:sz w:val="24"/>
          <w:szCs w:val="20"/>
        </w:rPr>
        <w:br w:type="textWrapping" w:clear="all"/>
      </w:r>
      <w:r>
        <w:rPr>
          <w:rFonts w:hint="eastAsia" w:ascii="宋体" w:hAnsi="宋体" w:cs="宋体"/>
          <w:bCs/>
          <w:sz w:val="24"/>
          <w:szCs w:val="20"/>
        </w:rPr>
        <w:t xml:space="preserve">    13.多路回放：支持不少于8路回放；</w:t>
      </w:r>
      <w:r>
        <w:rPr>
          <w:rFonts w:hint="eastAsia" w:ascii="宋体" w:hAnsi="宋体" w:cs="宋体"/>
          <w:bCs/>
          <w:sz w:val="24"/>
          <w:szCs w:val="20"/>
        </w:rPr>
        <w:br w:type="textWrapping" w:clear="all"/>
      </w:r>
      <w:r>
        <w:rPr>
          <w:rFonts w:hint="eastAsia" w:ascii="宋体" w:hAnsi="宋体" w:cs="宋体"/>
          <w:bCs/>
          <w:sz w:val="24"/>
          <w:szCs w:val="20"/>
        </w:rPr>
        <w:t xml:space="preserve">    14.画面分割：主屏：1、4、8、9分割；辅屏：1、4、8、9分割；</w:t>
      </w:r>
      <w:r>
        <w:rPr>
          <w:rFonts w:hint="eastAsia" w:ascii="宋体" w:hAnsi="宋体" w:cs="宋体"/>
          <w:bCs/>
          <w:sz w:val="24"/>
          <w:szCs w:val="20"/>
        </w:rPr>
        <w:br w:type="textWrapping" w:clear="all"/>
      </w:r>
      <w:r>
        <w:rPr>
          <w:rFonts w:hint="eastAsia" w:ascii="宋体" w:hAnsi="宋体" w:cs="宋体"/>
          <w:bCs/>
          <w:sz w:val="24"/>
          <w:szCs w:val="20"/>
        </w:rPr>
        <w:t xml:space="preserve">    15.支持动检、视频遮挡、视频丢失、IPC外部报警；</w:t>
      </w:r>
      <w:r>
        <w:rPr>
          <w:rFonts w:hint="eastAsia" w:ascii="宋体" w:hAnsi="宋体" w:cs="宋体"/>
          <w:bCs/>
          <w:sz w:val="24"/>
          <w:szCs w:val="20"/>
        </w:rPr>
        <w:br w:type="textWrapping" w:clear="all"/>
      </w:r>
      <w:r>
        <w:rPr>
          <w:rFonts w:hint="eastAsia" w:ascii="宋体" w:hAnsi="宋体" w:cs="宋体"/>
          <w:bCs/>
          <w:sz w:val="24"/>
          <w:szCs w:val="20"/>
        </w:rPr>
        <w:t xml:space="preserve">    16.支持前端设备掉线、存储错误、存储满、IP冲突、MAC冲突、登陆锁定、网络安全异常；</w:t>
      </w:r>
      <w:r>
        <w:rPr>
          <w:rFonts w:hint="eastAsia" w:ascii="宋体" w:hAnsi="宋体" w:cs="宋体"/>
          <w:bCs/>
          <w:sz w:val="24"/>
          <w:szCs w:val="20"/>
        </w:rPr>
        <w:br w:type="textWrapping" w:clear="all"/>
      </w:r>
      <w:r>
        <w:rPr>
          <w:rFonts w:hint="eastAsia" w:ascii="宋体" w:hAnsi="宋体" w:cs="宋体"/>
          <w:bCs/>
          <w:sz w:val="24"/>
          <w:szCs w:val="20"/>
        </w:rPr>
        <w:t xml:space="preserve">    17.音频输入：≥1路，RCA输入口，语音对讲输入；音频输出：≥1路，RCA输出口，复用语音对讲输出；</w:t>
      </w:r>
      <w:r>
        <w:rPr>
          <w:rFonts w:hint="eastAsia" w:ascii="宋体" w:hAnsi="宋体" w:cs="宋体"/>
          <w:bCs/>
          <w:sz w:val="24"/>
          <w:szCs w:val="20"/>
        </w:rPr>
        <w:br w:type="textWrapping" w:clear="all"/>
      </w:r>
      <w:r>
        <w:rPr>
          <w:rFonts w:hint="eastAsia" w:ascii="宋体" w:hAnsi="宋体" w:cs="宋体"/>
          <w:bCs/>
          <w:sz w:val="24"/>
          <w:szCs w:val="20"/>
        </w:rPr>
        <w:t xml:space="preserve">    18.HDMI接口：≥1个， 最大支持4K分辨率输出；VGA接口：≥1个；</w:t>
      </w:r>
      <w:r>
        <w:rPr>
          <w:rFonts w:hint="eastAsia" w:ascii="宋体" w:hAnsi="宋体" w:cs="宋体"/>
          <w:bCs/>
          <w:sz w:val="24"/>
          <w:szCs w:val="20"/>
        </w:rPr>
        <w:br w:type="textWrapping" w:clear="all"/>
      </w:r>
      <w:r>
        <w:rPr>
          <w:rFonts w:hint="eastAsia" w:ascii="宋体" w:hAnsi="宋体" w:cs="宋体"/>
          <w:bCs/>
          <w:sz w:val="24"/>
          <w:szCs w:val="20"/>
        </w:rPr>
        <w:t xml:space="preserve">    19.人脸检测前智能性能（路数）：≥8路；人脸识别前智能性能（路数）：≥8路，前FD+前FR支持8路。</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（十）硬盘录像机（4盘位16路）：原型号为DH-NVR4416-4KS2/I-PF</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1.主处理器：工业级嵌入式微控制器；</w:t>
      </w:r>
      <w:r>
        <w:rPr>
          <w:rFonts w:hint="eastAsia" w:ascii="宋体" w:hAnsi="宋体" w:cs="宋体"/>
          <w:bCs/>
          <w:sz w:val="24"/>
          <w:szCs w:val="20"/>
        </w:rPr>
        <w:br w:type="textWrapping" w:clear="all"/>
      </w:r>
      <w:r>
        <w:rPr>
          <w:rFonts w:hint="eastAsia" w:ascii="宋体" w:hAnsi="宋体" w:cs="宋体"/>
          <w:bCs/>
          <w:sz w:val="24"/>
          <w:szCs w:val="20"/>
        </w:rPr>
        <w:t xml:space="preserve">    2.操作系统：嵌入式Linux操作系统；</w:t>
      </w:r>
      <w:r>
        <w:rPr>
          <w:rFonts w:hint="eastAsia" w:ascii="宋体" w:hAnsi="宋体" w:cs="宋体"/>
          <w:bCs/>
          <w:sz w:val="24"/>
          <w:szCs w:val="20"/>
        </w:rPr>
        <w:br w:type="textWrapping" w:clear="all"/>
      </w:r>
      <w:r>
        <w:rPr>
          <w:rFonts w:hint="eastAsia" w:ascii="宋体" w:hAnsi="宋体" w:cs="宋体"/>
          <w:bCs/>
          <w:sz w:val="24"/>
          <w:szCs w:val="20"/>
        </w:rPr>
        <w:t xml:space="preserve">    3.操作界面：WEB方式，本地GUI操作；</w:t>
      </w:r>
      <w:r>
        <w:rPr>
          <w:rFonts w:hint="eastAsia" w:ascii="宋体" w:hAnsi="宋体" w:cs="宋体"/>
          <w:bCs/>
          <w:sz w:val="24"/>
          <w:szCs w:val="20"/>
        </w:rPr>
        <w:br w:type="textWrapping" w:clear="all"/>
      </w:r>
      <w:r>
        <w:rPr>
          <w:rFonts w:hint="eastAsia" w:ascii="宋体" w:hAnsi="宋体" w:cs="宋体"/>
          <w:bCs/>
          <w:sz w:val="24"/>
          <w:szCs w:val="20"/>
        </w:rPr>
        <w:t xml:space="preserve">    4.接入路数：≥16路；</w:t>
      </w:r>
      <w:r>
        <w:rPr>
          <w:rFonts w:hint="eastAsia" w:ascii="宋体" w:hAnsi="宋体" w:cs="宋体"/>
          <w:bCs/>
          <w:sz w:val="24"/>
          <w:szCs w:val="20"/>
        </w:rPr>
        <w:br w:type="textWrapping" w:clear="all"/>
      </w:r>
      <w:r>
        <w:rPr>
          <w:rFonts w:hint="eastAsia" w:ascii="宋体" w:hAnsi="宋体" w:cs="宋体"/>
          <w:bCs/>
          <w:sz w:val="24"/>
          <w:szCs w:val="20"/>
        </w:rPr>
        <w:t xml:space="preserve">    5.硬盘接口：≥4个，SATA3.0，单盘最大10T；</w:t>
      </w:r>
      <w:r>
        <w:rPr>
          <w:rFonts w:hint="eastAsia" w:ascii="宋体" w:hAnsi="宋体" w:cs="宋体"/>
          <w:bCs/>
          <w:sz w:val="24"/>
          <w:szCs w:val="20"/>
        </w:rPr>
        <w:br w:type="textWrapping" w:clear="all"/>
      </w:r>
      <w:r>
        <w:rPr>
          <w:rFonts w:hint="eastAsia" w:ascii="宋体" w:hAnsi="宋体" w:cs="宋体"/>
          <w:bCs/>
          <w:sz w:val="24"/>
          <w:szCs w:val="20"/>
        </w:rPr>
        <w:t xml:space="preserve">    6.分辨率：16M/12M/8M/5M/4M/3M/1080P/720P/D1；</w:t>
      </w:r>
      <w:r>
        <w:rPr>
          <w:rFonts w:hint="eastAsia" w:ascii="宋体" w:hAnsi="宋体" w:cs="宋体"/>
          <w:bCs/>
          <w:sz w:val="24"/>
          <w:szCs w:val="20"/>
        </w:rPr>
        <w:br w:type="textWrapping" w:clear="all"/>
      </w:r>
      <w:r>
        <w:rPr>
          <w:rFonts w:hint="eastAsia" w:ascii="宋体" w:hAnsi="宋体" w:cs="宋体"/>
          <w:bCs/>
          <w:sz w:val="24"/>
          <w:szCs w:val="20"/>
        </w:rPr>
        <w:t xml:space="preserve">    7.解码能力：不开智能：1路16M@20fps；1路12M@20fps；2路8M@30fps；4路5M@30fps；5路4M@30fps；10路1080P@30fps；开智能：1路16M@20fps；1路12M@20fps；2路8MP@30FPS；3路5MP@30FPS；4路4MP@30FPS；8路1080P@30FPS；</w:t>
      </w:r>
      <w:r>
        <w:rPr>
          <w:rFonts w:hint="eastAsia" w:ascii="宋体" w:hAnsi="宋体" w:cs="宋体"/>
          <w:bCs/>
          <w:sz w:val="24"/>
          <w:szCs w:val="20"/>
        </w:rPr>
        <w:br w:type="textWrapping" w:clear="all"/>
      </w:r>
      <w:r>
        <w:rPr>
          <w:rFonts w:hint="eastAsia" w:ascii="宋体" w:hAnsi="宋体" w:cs="宋体"/>
          <w:bCs/>
          <w:sz w:val="24"/>
          <w:szCs w:val="20"/>
        </w:rPr>
        <w:t xml:space="preserve">    8.多路回放：支持≥16路回放；</w:t>
      </w:r>
      <w:r>
        <w:rPr>
          <w:rFonts w:hint="eastAsia" w:ascii="宋体" w:hAnsi="宋体" w:cs="宋体"/>
          <w:bCs/>
          <w:sz w:val="24"/>
          <w:szCs w:val="20"/>
        </w:rPr>
        <w:br w:type="textWrapping" w:clear="all"/>
      </w:r>
      <w:r>
        <w:rPr>
          <w:rFonts w:hint="eastAsia" w:ascii="宋体" w:hAnsi="宋体" w:cs="宋体"/>
          <w:bCs/>
          <w:sz w:val="24"/>
          <w:szCs w:val="20"/>
        </w:rPr>
        <w:t xml:space="preserve">    9.报警输入：≥16路；报警输出：≥4路；</w:t>
      </w:r>
      <w:r>
        <w:rPr>
          <w:rFonts w:hint="eastAsia" w:ascii="宋体" w:hAnsi="宋体" w:cs="宋体"/>
          <w:bCs/>
          <w:sz w:val="24"/>
          <w:szCs w:val="20"/>
        </w:rPr>
        <w:br w:type="textWrapping" w:clear="all"/>
      </w:r>
      <w:r>
        <w:rPr>
          <w:rFonts w:hint="eastAsia" w:ascii="宋体" w:hAnsi="宋体" w:cs="宋体"/>
          <w:bCs/>
          <w:sz w:val="24"/>
          <w:szCs w:val="20"/>
        </w:rPr>
        <w:t xml:space="preserve">    10.画面分割：主屏：1、4、8、9、16分割；辅屏：1、4、8、9分割；</w:t>
      </w:r>
      <w:r>
        <w:rPr>
          <w:rFonts w:hint="eastAsia" w:ascii="宋体" w:hAnsi="宋体" w:cs="宋体"/>
          <w:bCs/>
          <w:sz w:val="24"/>
          <w:szCs w:val="20"/>
        </w:rPr>
        <w:br w:type="textWrapping" w:clear="all"/>
      </w:r>
      <w:r>
        <w:rPr>
          <w:rFonts w:hint="eastAsia" w:ascii="宋体" w:hAnsi="宋体" w:cs="宋体"/>
          <w:bCs/>
          <w:sz w:val="24"/>
          <w:szCs w:val="20"/>
        </w:rPr>
        <w:t xml:space="preserve">    11.音频输入：≥1路，RCA输入口，语音对讲输入；音频输出：≥1路，RCA输出口，复用语音对讲输出；</w:t>
      </w:r>
      <w:r>
        <w:rPr>
          <w:rFonts w:hint="eastAsia" w:ascii="宋体" w:hAnsi="宋体" w:cs="宋体"/>
          <w:bCs/>
          <w:sz w:val="24"/>
          <w:szCs w:val="20"/>
        </w:rPr>
        <w:br w:type="textWrapping" w:clear="all"/>
      </w:r>
      <w:r>
        <w:rPr>
          <w:rFonts w:hint="eastAsia" w:ascii="宋体" w:hAnsi="宋体" w:cs="宋体"/>
          <w:bCs/>
          <w:sz w:val="24"/>
          <w:szCs w:val="20"/>
        </w:rPr>
        <w:t xml:space="preserve">    12.HDMI接口：1个，最大支持4K分辨率输出；VGA接口：1个；</w:t>
      </w:r>
      <w:r>
        <w:rPr>
          <w:rFonts w:hint="eastAsia" w:ascii="宋体" w:hAnsi="宋体" w:cs="宋体"/>
          <w:bCs/>
          <w:sz w:val="24"/>
          <w:szCs w:val="20"/>
        </w:rPr>
        <w:br w:type="textWrapping" w:clear="all"/>
      </w:r>
      <w:r>
        <w:rPr>
          <w:rFonts w:hint="eastAsia" w:ascii="宋体" w:hAnsi="宋体" w:cs="宋体"/>
          <w:bCs/>
          <w:sz w:val="24"/>
          <w:szCs w:val="20"/>
        </w:rPr>
        <w:t xml:space="preserve">    13.支持按时间、按事件等多种方式进行录像的检索、回放、备份，支持图片本地回放与查询；</w:t>
      </w:r>
      <w:r>
        <w:rPr>
          <w:rFonts w:hint="eastAsia" w:ascii="宋体" w:hAnsi="宋体" w:cs="宋体"/>
          <w:bCs/>
          <w:sz w:val="24"/>
          <w:szCs w:val="20"/>
        </w:rPr>
        <w:br w:type="textWrapping" w:clear="all"/>
      </w:r>
      <w:r>
        <w:rPr>
          <w:rFonts w:hint="eastAsia" w:ascii="宋体" w:hAnsi="宋体" w:cs="宋体"/>
          <w:bCs/>
          <w:sz w:val="24"/>
          <w:szCs w:val="20"/>
        </w:rPr>
        <w:t xml:space="preserve">    14.支持标签自定义功能，设备支持对指定时间的录像进行标签并归档，便于后续査看；</w:t>
      </w:r>
      <w:r>
        <w:rPr>
          <w:rFonts w:hint="eastAsia" w:ascii="宋体" w:hAnsi="宋体" w:cs="宋体"/>
          <w:bCs/>
          <w:sz w:val="24"/>
          <w:szCs w:val="20"/>
        </w:rPr>
        <w:br w:type="textWrapping" w:clear="all"/>
      </w:r>
      <w:r>
        <w:rPr>
          <w:rFonts w:hint="eastAsia" w:ascii="宋体" w:hAnsi="宋体" w:cs="宋体"/>
          <w:bCs/>
          <w:sz w:val="24"/>
          <w:szCs w:val="20"/>
        </w:rPr>
        <w:t xml:space="preserve">    15.支持本机硬盘、网络等存储方式，支持硬盘、外接USB存储设备备份方式；</w:t>
      </w:r>
      <w:r>
        <w:rPr>
          <w:rFonts w:hint="eastAsia" w:ascii="宋体" w:hAnsi="宋体" w:cs="宋体"/>
          <w:bCs/>
          <w:sz w:val="24"/>
          <w:szCs w:val="20"/>
        </w:rPr>
        <w:br w:type="textWrapping" w:clear="all"/>
      </w:r>
      <w:r>
        <w:rPr>
          <w:rFonts w:hint="eastAsia" w:ascii="宋体" w:hAnsi="宋体" w:cs="宋体"/>
          <w:bCs/>
          <w:sz w:val="24"/>
          <w:szCs w:val="20"/>
        </w:rPr>
        <w:t xml:space="preserve">    16.支持设备操作日志、报警日志、系统日志的记录与查询功能；</w:t>
      </w:r>
      <w:r>
        <w:rPr>
          <w:rFonts w:hint="eastAsia" w:ascii="宋体" w:hAnsi="宋体" w:cs="宋体"/>
          <w:bCs/>
          <w:sz w:val="24"/>
          <w:szCs w:val="20"/>
        </w:rPr>
        <w:br w:type="textWrapping" w:clear="all"/>
      </w:r>
      <w:r>
        <w:rPr>
          <w:rFonts w:hint="eastAsia" w:ascii="宋体" w:hAnsi="宋体" w:cs="宋体"/>
          <w:bCs/>
          <w:sz w:val="24"/>
          <w:szCs w:val="20"/>
        </w:rPr>
        <w:t xml:space="preserve">    17.支持断网续传功能，能对前端摄像机断网这段时间内SD卡中的录像回传到NVR；</w:t>
      </w:r>
      <w:r>
        <w:rPr>
          <w:rFonts w:hint="eastAsia" w:ascii="宋体" w:hAnsi="宋体" w:cs="宋体"/>
          <w:bCs/>
          <w:sz w:val="24"/>
          <w:szCs w:val="20"/>
        </w:rPr>
        <w:br w:type="textWrapping" w:clear="all"/>
      </w:r>
      <w:r>
        <w:rPr>
          <w:rFonts w:hint="eastAsia" w:ascii="宋体" w:hAnsi="宋体" w:cs="宋体"/>
          <w:bCs/>
          <w:sz w:val="24"/>
          <w:szCs w:val="20"/>
        </w:rPr>
        <w:t xml:space="preserve">    18.支持即时回放功能，在预览画面下回放指定通道的录像；</w:t>
      </w:r>
      <w:r>
        <w:rPr>
          <w:rFonts w:hint="eastAsia" w:ascii="宋体" w:hAnsi="宋体" w:cs="宋体"/>
          <w:bCs/>
          <w:sz w:val="24"/>
          <w:szCs w:val="20"/>
        </w:rPr>
        <w:br w:type="textWrapping" w:clear="all"/>
      </w:r>
      <w:r>
        <w:rPr>
          <w:rFonts w:hint="eastAsia" w:ascii="宋体" w:hAnsi="宋体" w:cs="宋体"/>
          <w:bCs/>
          <w:sz w:val="24"/>
          <w:szCs w:val="20"/>
        </w:rPr>
        <w:t xml:space="preserve">    19.支持预览图像与回放图像的电子放大；</w:t>
      </w:r>
      <w:r>
        <w:rPr>
          <w:rFonts w:hint="eastAsia" w:ascii="宋体" w:hAnsi="宋体" w:cs="宋体"/>
          <w:bCs/>
          <w:sz w:val="24"/>
          <w:szCs w:val="20"/>
        </w:rPr>
        <w:br w:type="textWrapping" w:clear="all"/>
      </w:r>
      <w:r>
        <w:rPr>
          <w:rFonts w:hint="eastAsia" w:ascii="宋体" w:hAnsi="宋体" w:cs="宋体"/>
          <w:bCs/>
          <w:sz w:val="24"/>
          <w:szCs w:val="20"/>
        </w:rPr>
        <w:t xml:space="preserve">    20.支持远程管理IPC功能，支持对前端IPC远程升级，支持远程对IPC的编码配置修改等操作；</w:t>
      </w:r>
      <w:r>
        <w:rPr>
          <w:rFonts w:hint="eastAsia" w:ascii="宋体" w:hAnsi="宋体" w:cs="宋体"/>
          <w:bCs/>
          <w:sz w:val="24"/>
          <w:szCs w:val="20"/>
        </w:rPr>
        <w:br w:type="textWrapping" w:clear="all"/>
      </w:r>
      <w:r>
        <w:rPr>
          <w:rFonts w:hint="eastAsia" w:ascii="宋体" w:hAnsi="宋体" w:cs="宋体"/>
          <w:bCs/>
          <w:sz w:val="24"/>
          <w:szCs w:val="20"/>
        </w:rPr>
        <w:t xml:space="preserve">    21.支持远程零通道预览功能，可将接入的多路视频图像多画面显示在一路视频图像上；</w:t>
      </w:r>
      <w:r>
        <w:rPr>
          <w:rFonts w:hint="eastAsia" w:ascii="宋体" w:hAnsi="宋体" w:cs="宋体"/>
          <w:bCs/>
          <w:sz w:val="24"/>
          <w:szCs w:val="20"/>
        </w:rPr>
        <w:br w:type="textWrapping" w:clear="all"/>
      </w:r>
      <w:r>
        <w:rPr>
          <w:rFonts w:hint="eastAsia" w:ascii="宋体" w:hAnsi="宋体" w:cs="宋体"/>
          <w:bCs/>
          <w:sz w:val="24"/>
          <w:szCs w:val="20"/>
        </w:rPr>
        <w:t xml:space="preserve">    22.支持盘组管理功能，实现视频录像的定向存储；</w:t>
      </w:r>
      <w:r>
        <w:rPr>
          <w:rFonts w:hint="eastAsia" w:ascii="宋体" w:hAnsi="宋体" w:cs="宋体"/>
          <w:bCs/>
          <w:sz w:val="24"/>
          <w:szCs w:val="20"/>
        </w:rPr>
        <w:br w:type="textWrapping" w:clear="all"/>
      </w:r>
      <w:r>
        <w:rPr>
          <w:rFonts w:hint="eastAsia" w:ascii="宋体" w:hAnsi="宋体" w:cs="宋体"/>
          <w:bCs/>
          <w:sz w:val="24"/>
          <w:szCs w:val="20"/>
        </w:rPr>
        <w:t xml:space="preserve">    23.支持配额管理功能，实现按通道分配不同的录像天数进行存储；</w:t>
      </w:r>
      <w:r>
        <w:rPr>
          <w:rFonts w:hint="eastAsia" w:ascii="宋体" w:hAnsi="宋体" w:cs="宋体"/>
          <w:bCs/>
          <w:sz w:val="24"/>
          <w:szCs w:val="20"/>
        </w:rPr>
        <w:br w:type="textWrapping" w:clear="all"/>
      </w:r>
      <w:r>
        <w:rPr>
          <w:rFonts w:hint="eastAsia" w:ascii="宋体" w:hAnsi="宋体" w:cs="宋体"/>
          <w:bCs/>
          <w:sz w:val="24"/>
          <w:szCs w:val="20"/>
        </w:rPr>
        <w:t xml:space="preserve">    24.支持走廊模式功能，支持IPC画面旋转90°或270°，成9：16走廊模式；</w:t>
      </w:r>
      <w:r>
        <w:rPr>
          <w:rFonts w:hint="eastAsia" w:ascii="宋体" w:hAnsi="宋体" w:cs="宋体"/>
          <w:bCs/>
          <w:sz w:val="24"/>
          <w:szCs w:val="20"/>
        </w:rPr>
        <w:br w:type="textWrapping" w:clear="all"/>
      </w:r>
      <w:r>
        <w:rPr>
          <w:rFonts w:hint="eastAsia" w:ascii="宋体" w:hAnsi="宋体" w:cs="宋体"/>
          <w:bCs/>
          <w:sz w:val="24"/>
          <w:szCs w:val="20"/>
        </w:rPr>
        <w:t xml:space="preserve">    25.支持不少于2个千兆以太网口，支持2个不同段IP地址的IPC设备接入，支持将双网口设置同一个IP地址，实现数据链路冗余。</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（十一）硬盘录像机（8盘位32路）：原型号为DH-NVR4832-4KS2/I-PF</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1.主处理器：工业级嵌入式微控制器；</w:t>
      </w:r>
      <w:r>
        <w:rPr>
          <w:rFonts w:hint="eastAsia" w:ascii="宋体" w:hAnsi="宋体" w:cs="宋体"/>
          <w:bCs/>
          <w:sz w:val="24"/>
          <w:szCs w:val="20"/>
        </w:rPr>
        <w:br w:type="textWrapping" w:clear="all"/>
      </w:r>
      <w:r>
        <w:rPr>
          <w:rFonts w:hint="eastAsia" w:ascii="宋体" w:hAnsi="宋体" w:cs="宋体"/>
          <w:bCs/>
          <w:sz w:val="24"/>
          <w:szCs w:val="20"/>
        </w:rPr>
        <w:t xml:space="preserve">    2.操作系统：嵌入式Linux操作系统；</w:t>
      </w:r>
      <w:r>
        <w:rPr>
          <w:rFonts w:hint="eastAsia" w:ascii="宋体" w:hAnsi="宋体" w:cs="宋体"/>
          <w:bCs/>
          <w:sz w:val="24"/>
          <w:szCs w:val="20"/>
        </w:rPr>
        <w:br w:type="textWrapping" w:clear="all"/>
      </w:r>
      <w:r>
        <w:rPr>
          <w:rFonts w:hint="eastAsia" w:ascii="宋体" w:hAnsi="宋体" w:cs="宋体"/>
          <w:bCs/>
          <w:sz w:val="24"/>
          <w:szCs w:val="20"/>
        </w:rPr>
        <w:t xml:space="preserve">    3.操作界面：WEB方式，本地GUI操作；</w:t>
      </w:r>
      <w:r>
        <w:rPr>
          <w:rFonts w:hint="eastAsia" w:ascii="宋体" w:hAnsi="宋体" w:cs="宋体"/>
          <w:bCs/>
          <w:sz w:val="24"/>
          <w:szCs w:val="20"/>
        </w:rPr>
        <w:br w:type="textWrapping" w:clear="all"/>
      </w:r>
      <w:r>
        <w:rPr>
          <w:rFonts w:hint="eastAsia" w:ascii="宋体" w:hAnsi="宋体" w:cs="宋体"/>
          <w:bCs/>
          <w:sz w:val="24"/>
          <w:szCs w:val="20"/>
        </w:rPr>
        <w:t xml:space="preserve">    4.接入路数：≥32路；</w:t>
      </w:r>
      <w:r>
        <w:rPr>
          <w:rFonts w:hint="eastAsia" w:ascii="宋体" w:hAnsi="宋体" w:cs="宋体"/>
          <w:bCs/>
          <w:sz w:val="24"/>
          <w:szCs w:val="20"/>
        </w:rPr>
        <w:br w:type="textWrapping" w:clear="all"/>
      </w:r>
      <w:r>
        <w:rPr>
          <w:rFonts w:hint="eastAsia" w:ascii="宋体" w:hAnsi="宋体" w:cs="宋体"/>
          <w:bCs/>
          <w:sz w:val="24"/>
          <w:szCs w:val="20"/>
        </w:rPr>
        <w:t xml:space="preserve">    5.硬盘接口：≥8个，SATA3.0，单盘最大10T；</w:t>
      </w:r>
      <w:r>
        <w:rPr>
          <w:rFonts w:hint="eastAsia" w:ascii="宋体" w:hAnsi="宋体" w:cs="宋体"/>
          <w:bCs/>
          <w:sz w:val="24"/>
          <w:szCs w:val="20"/>
        </w:rPr>
        <w:br w:type="textWrapping" w:clear="all"/>
      </w:r>
      <w:r>
        <w:rPr>
          <w:rFonts w:hint="eastAsia" w:ascii="宋体" w:hAnsi="宋体" w:cs="宋体"/>
          <w:bCs/>
          <w:sz w:val="24"/>
          <w:szCs w:val="20"/>
        </w:rPr>
        <w:t xml:space="preserve">    6.分辨率：16MP；12MP；8MP；5MP；4MP；3MP；1080p；720p；D1；</w:t>
      </w:r>
      <w:r>
        <w:rPr>
          <w:rFonts w:hint="eastAsia" w:ascii="宋体" w:hAnsi="宋体" w:cs="宋体"/>
          <w:bCs/>
          <w:sz w:val="24"/>
          <w:szCs w:val="20"/>
        </w:rPr>
        <w:br w:type="textWrapping" w:clear="all"/>
      </w:r>
      <w:r>
        <w:rPr>
          <w:rFonts w:hint="eastAsia" w:ascii="宋体" w:hAnsi="宋体" w:cs="宋体"/>
          <w:bCs/>
          <w:sz w:val="24"/>
          <w:szCs w:val="20"/>
        </w:rPr>
        <w:t xml:space="preserve">    7.解码能力：不开智能：1路16M@20fps；1路12M@20fps；2路8M@30fps；4路5M@30fps；5路4M@30fps；10路1080P@30fps；开智能：1路16M@20fps；1路12M@20fps；2路8MP@30FPS；3路5MP@30FPS；4路4MP@30FPS；8路1080P@30FPS；</w:t>
      </w:r>
      <w:r>
        <w:rPr>
          <w:rFonts w:hint="eastAsia" w:ascii="宋体" w:hAnsi="宋体" w:cs="宋体"/>
          <w:bCs/>
          <w:sz w:val="24"/>
          <w:szCs w:val="20"/>
        </w:rPr>
        <w:br w:type="textWrapping" w:clear="all"/>
      </w:r>
      <w:r>
        <w:rPr>
          <w:rFonts w:hint="eastAsia" w:ascii="宋体" w:hAnsi="宋体" w:cs="宋体"/>
          <w:bCs/>
          <w:sz w:val="24"/>
          <w:szCs w:val="20"/>
        </w:rPr>
        <w:t xml:space="preserve">    8.多路回放：最大支持16路回放；</w:t>
      </w:r>
      <w:r>
        <w:rPr>
          <w:rFonts w:hint="eastAsia" w:ascii="宋体" w:hAnsi="宋体" w:cs="宋体"/>
          <w:bCs/>
          <w:sz w:val="24"/>
          <w:szCs w:val="20"/>
        </w:rPr>
        <w:br w:type="textWrapping" w:clear="all"/>
      </w:r>
      <w:r>
        <w:rPr>
          <w:rFonts w:hint="eastAsia" w:ascii="宋体" w:hAnsi="宋体" w:cs="宋体"/>
          <w:bCs/>
          <w:sz w:val="24"/>
          <w:szCs w:val="20"/>
        </w:rPr>
        <w:t xml:space="preserve">    9.报警输入：≥16路；报警输出：≥4路；</w:t>
      </w:r>
      <w:r>
        <w:rPr>
          <w:rFonts w:hint="eastAsia" w:ascii="宋体" w:hAnsi="宋体" w:cs="宋体"/>
          <w:bCs/>
          <w:sz w:val="24"/>
          <w:szCs w:val="20"/>
        </w:rPr>
        <w:br w:type="textWrapping" w:clear="all"/>
      </w:r>
      <w:r>
        <w:rPr>
          <w:rFonts w:hint="eastAsia" w:ascii="宋体" w:hAnsi="宋体" w:cs="宋体"/>
          <w:bCs/>
          <w:sz w:val="24"/>
          <w:szCs w:val="20"/>
        </w:rPr>
        <w:t xml:space="preserve">    10.画面分割：主屏：1/4/8/9/16/25/36；辅屏：1/4/8/9/；</w:t>
      </w:r>
      <w:r>
        <w:rPr>
          <w:rFonts w:hint="eastAsia" w:ascii="宋体" w:hAnsi="宋体" w:cs="宋体"/>
          <w:bCs/>
          <w:sz w:val="24"/>
          <w:szCs w:val="20"/>
        </w:rPr>
        <w:br w:type="textWrapping" w:clear="all"/>
      </w:r>
      <w:r>
        <w:rPr>
          <w:rFonts w:hint="eastAsia" w:ascii="宋体" w:hAnsi="宋体" w:cs="宋体"/>
          <w:bCs/>
          <w:sz w:val="24"/>
          <w:szCs w:val="20"/>
        </w:rPr>
        <w:t xml:space="preserve">    11.前智能分析：支持前智能人脸检测、人脸识别、周界防范、通用行为分析、立体行为分析、人群分布、人数统计、热度图、SMD功能；</w:t>
      </w:r>
      <w:r>
        <w:rPr>
          <w:rFonts w:hint="eastAsia" w:ascii="宋体" w:hAnsi="宋体" w:cs="宋体"/>
          <w:bCs/>
          <w:sz w:val="24"/>
          <w:szCs w:val="20"/>
        </w:rPr>
        <w:br w:type="textWrapping" w:clear="all"/>
      </w:r>
      <w:r>
        <w:rPr>
          <w:rFonts w:hint="eastAsia" w:ascii="宋体" w:hAnsi="宋体" w:cs="宋体"/>
          <w:bCs/>
          <w:sz w:val="24"/>
          <w:szCs w:val="20"/>
        </w:rPr>
        <w:t xml:space="preserve">    12.后智能分析：支持后智能人脸检测、人脸识别、周界防范、SMD；</w:t>
      </w:r>
      <w:r>
        <w:rPr>
          <w:rFonts w:hint="eastAsia" w:ascii="宋体" w:hAnsi="宋体" w:cs="宋体"/>
          <w:bCs/>
          <w:sz w:val="24"/>
          <w:szCs w:val="20"/>
        </w:rPr>
        <w:br w:type="textWrapping" w:clear="all"/>
      </w:r>
      <w:r>
        <w:rPr>
          <w:rFonts w:hint="eastAsia" w:ascii="宋体" w:hAnsi="宋体" w:cs="宋体"/>
          <w:bCs/>
          <w:sz w:val="24"/>
          <w:szCs w:val="20"/>
        </w:rPr>
        <w:t xml:space="preserve">    13.音频输入：≥1路，RCA输入口，语音对讲输入；音频输出：≥1路，RCA输出口，复用语音对讲输出；</w:t>
      </w:r>
      <w:r>
        <w:rPr>
          <w:rFonts w:hint="eastAsia" w:ascii="宋体" w:hAnsi="宋体" w:cs="宋体"/>
          <w:bCs/>
          <w:sz w:val="24"/>
          <w:szCs w:val="20"/>
        </w:rPr>
        <w:br w:type="textWrapping" w:clear="all"/>
      </w:r>
      <w:r>
        <w:rPr>
          <w:rFonts w:hint="eastAsia" w:ascii="宋体" w:hAnsi="宋体" w:cs="宋体"/>
          <w:bCs/>
          <w:sz w:val="24"/>
          <w:szCs w:val="20"/>
        </w:rPr>
        <w:t xml:space="preserve">    14.HDMI接口：≥1个，最大支持4K分辨率输出；VGA接口：≥1个；</w:t>
      </w:r>
      <w:r>
        <w:rPr>
          <w:rFonts w:hint="eastAsia" w:ascii="宋体" w:hAnsi="宋体" w:cs="宋体"/>
          <w:bCs/>
          <w:sz w:val="24"/>
          <w:szCs w:val="20"/>
        </w:rPr>
        <w:br w:type="textWrapping" w:clear="all"/>
      </w:r>
      <w:r>
        <w:rPr>
          <w:rFonts w:hint="eastAsia" w:ascii="宋体" w:hAnsi="宋体" w:cs="宋体"/>
          <w:bCs/>
          <w:sz w:val="24"/>
          <w:szCs w:val="20"/>
        </w:rPr>
        <w:t xml:space="preserve">    15.支持按时间、按事件等多种方式进行录像的检索、回放、备份，支持图片本地回放与查询；</w:t>
      </w:r>
      <w:r>
        <w:rPr>
          <w:rFonts w:hint="eastAsia" w:ascii="宋体" w:hAnsi="宋体" w:cs="宋体"/>
          <w:bCs/>
          <w:sz w:val="24"/>
          <w:szCs w:val="20"/>
        </w:rPr>
        <w:br w:type="textWrapping" w:clear="all"/>
      </w:r>
      <w:r>
        <w:rPr>
          <w:rFonts w:hint="eastAsia" w:ascii="宋体" w:hAnsi="宋体" w:cs="宋体"/>
          <w:bCs/>
          <w:sz w:val="24"/>
          <w:szCs w:val="20"/>
        </w:rPr>
        <w:t xml:space="preserve">    16.支持标签自定义功能，设备支持对指定时间的录像进行标签并归档，便于后续査看；</w:t>
      </w:r>
      <w:r>
        <w:rPr>
          <w:rFonts w:hint="eastAsia" w:ascii="宋体" w:hAnsi="宋体" w:cs="宋体"/>
          <w:bCs/>
          <w:sz w:val="24"/>
          <w:szCs w:val="20"/>
        </w:rPr>
        <w:br w:type="textWrapping" w:clear="all"/>
      </w:r>
      <w:r>
        <w:rPr>
          <w:rFonts w:hint="eastAsia" w:ascii="宋体" w:hAnsi="宋体" w:cs="宋体"/>
          <w:bCs/>
          <w:sz w:val="24"/>
          <w:szCs w:val="20"/>
        </w:rPr>
        <w:t xml:space="preserve">    17.支持本机硬盘、网络等存储方式，支持硬盘、外接USB存储设备备份方式；</w:t>
      </w:r>
      <w:r>
        <w:rPr>
          <w:rFonts w:hint="eastAsia" w:ascii="宋体" w:hAnsi="宋体" w:cs="宋体"/>
          <w:bCs/>
          <w:sz w:val="24"/>
          <w:szCs w:val="20"/>
        </w:rPr>
        <w:br w:type="textWrapping" w:clear="all"/>
      </w:r>
      <w:r>
        <w:rPr>
          <w:rFonts w:hint="eastAsia" w:ascii="宋体" w:hAnsi="宋体" w:cs="宋体"/>
          <w:bCs/>
          <w:sz w:val="24"/>
          <w:szCs w:val="20"/>
        </w:rPr>
        <w:t xml:space="preserve">    18.支持设备操作日志、报警日志、系统日志的记录与查询功能；</w:t>
      </w:r>
      <w:r>
        <w:rPr>
          <w:rFonts w:hint="eastAsia" w:ascii="宋体" w:hAnsi="宋体" w:cs="宋体"/>
          <w:bCs/>
          <w:sz w:val="24"/>
          <w:szCs w:val="20"/>
        </w:rPr>
        <w:br w:type="textWrapping" w:clear="all"/>
      </w:r>
      <w:r>
        <w:rPr>
          <w:rFonts w:hint="eastAsia" w:ascii="宋体" w:hAnsi="宋体" w:cs="宋体"/>
          <w:bCs/>
          <w:sz w:val="24"/>
          <w:szCs w:val="20"/>
        </w:rPr>
        <w:t xml:space="preserve">    19.支持断网续传功能，能对前端摄像机断网这段时间内SD卡中的录像回传到NVR；</w:t>
      </w:r>
      <w:r>
        <w:rPr>
          <w:rFonts w:hint="eastAsia" w:ascii="宋体" w:hAnsi="宋体" w:cs="宋体"/>
          <w:bCs/>
          <w:sz w:val="24"/>
          <w:szCs w:val="20"/>
        </w:rPr>
        <w:br w:type="textWrapping" w:clear="all"/>
      </w:r>
      <w:r>
        <w:rPr>
          <w:rFonts w:hint="eastAsia" w:ascii="宋体" w:hAnsi="宋体" w:cs="宋体"/>
          <w:bCs/>
          <w:sz w:val="24"/>
          <w:szCs w:val="20"/>
        </w:rPr>
        <w:t xml:space="preserve">    20.支持即时回放功能，在预览画面下回放指定通道的录像；</w:t>
      </w:r>
      <w:r>
        <w:rPr>
          <w:rFonts w:hint="eastAsia" w:ascii="宋体" w:hAnsi="宋体" w:cs="宋体"/>
          <w:bCs/>
          <w:sz w:val="24"/>
          <w:szCs w:val="20"/>
        </w:rPr>
        <w:br w:type="textWrapping" w:clear="all"/>
      </w:r>
      <w:r>
        <w:rPr>
          <w:rFonts w:hint="eastAsia" w:ascii="宋体" w:hAnsi="宋体" w:cs="宋体"/>
          <w:bCs/>
          <w:sz w:val="24"/>
          <w:szCs w:val="20"/>
        </w:rPr>
        <w:t xml:space="preserve">    21.支持预览图像与回放图像的电子放大；</w:t>
      </w:r>
      <w:r>
        <w:rPr>
          <w:rFonts w:hint="eastAsia" w:ascii="宋体" w:hAnsi="宋体" w:cs="宋体"/>
          <w:bCs/>
          <w:sz w:val="24"/>
          <w:szCs w:val="20"/>
        </w:rPr>
        <w:br w:type="textWrapping" w:clear="all"/>
      </w:r>
      <w:r>
        <w:rPr>
          <w:rFonts w:hint="eastAsia" w:ascii="宋体" w:hAnsi="宋体" w:cs="宋体"/>
          <w:bCs/>
          <w:sz w:val="24"/>
          <w:szCs w:val="20"/>
        </w:rPr>
        <w:t xml:space="preserve">    22.支持远程管理IPC功能，支持对前端IPC远程升级，支持远程对IPC的编码配置修改等操作；</w:t>
      </w:r>
      <w:r>
        <w:rPr>
          <w:rFonts w:hint="eastAsia" w:ascii="宋体" w:hAnsi="宋体" w:cs="宋体"/>
          <w:bCs/>
          <w:sz w:val="24"/>
          <w:szCs w:val="20"/>
        </w:rPr>
        <w:br w:type="textWrapping" w:clear="all"/>
      </w:r>
      <w:r>
        <w:rPr>
          <w:rFonts w:hint="eastAsia" w:ascii="宋体" w:hAnsi="宋体" w:cs="宋体"/>
          <w:bCs/>
          <w:sz w:val="24"/>
          <w:szCs w:val="20"/>
        </w:rPr>
        <w:t xml:space="preserve">    23.支持远程零通道预览功能，可将接入的多路视频图像多画面显示在一路视频图像上；</w:t>
      </w:r>
      <w:r>
        <w:rPr>
          <w:rFonts w:hint="eastAsia" w:ascii="宋体" w:hAnsi="宋体" w:cs="宋体"/>
          <w:bCs/>
          <w:sz w:val="24"/>
          <w:szCs w:val="20"/>
        </w:rPr>
        <w:br w:type="textWrapping" w:clear="all"/>
      </w:r>
      <w:r>
        <w:rPr>
          <w:rFonts w:hint="eastAsia" w:ascii="宋体" w:hAnsi="宋体" w:cs="宋体"/>
          <w:bCs/>
          <w:sz w:val="24"/>
          <w:szCs w:val="20"/>
        </w:rPr>
        <w:t xml:space="preserve">    24.支持盘组管理功能，实现视频录像的定向存储；</w:t>
      </w:r>
      <w:r>
        <w:rPr>
          <w:rFonts w:hint="eastAsia" w:ascii="宋体" w:hAnsi="宋体" w:cs="宋体"/>
          <w:bCs/>
          <w:sz w:val="24"/>
          <w:szCs w:val="20"/>
        </w:rPr>
        <w:br w:type="textWrapping" w:clear="all"/>
      </w:r>
      <w:r>
        <w:rPr>
          <w:rFonts w:hint="eastAsia" w:ascii="宋体" w:hAnsi="宋体" w:cs="宋体"/>
          <w:bCs/>
          <w:sz w:val="24"/>
          <w:szCs w:val="20"/>
        </w:rPr>
        <w:t xml:space="preserve">    25.支持配额管理功能，实现按通道分配不同的录像天数进行存储；</w:t>
      </w:r>
      <w:r>
        <w:rPr>
          <w:rFonts w:hint="eastAsia" w:ascii="宋体" w:hAnsi="宋体" w:cs="宋体"/>
          <w:bCs/>
          <w:sz w:val="24"/>
          <w:szCs w:val="20"/>
        </w:rPr>
        <w:br w:type="textWrapping" w:clear="all"/>
      </w:r>
      <w:r>
        <w:rPr>
          <w:rFonts w:hint="eastAsia" w:ascii="宋体" w:hAnsi="宋体" w:cs="宋体"/>
          <w:bCs/>
          <w:sz w:val="24"/>
          <w:szCs w:val="20"/>
        </w:rPr>
        <w:t xml:space="preserve">    26.支持走廊模式功能，支持IPC画面旋转90°或270°，成9：16走廊模式；</w:t>
      </w:r>
      <w:r>
        <w:rPr>
          <w:rFonts w:hint="eastAsia" w:ascii="宋体" w:hAnsi="宋体" w:cs="宋体"/>
          <w:bCs/>
          <w:sz w:val="24"/>
          <w:szCs w:val="20"/>
        </w:rPr>
        <w:br w:type="textWrapping" w:clear="all"/>
      </w:r>
      <w:r>
        <w:rPr>
          <w:rFonts w:hint="eastAsia" w:ascii="宋体" w:hAnsi="宋体" w:cs="宋体"/>
          <w:bCs/>
          <w:sz w:val="24"/>
          <w:szCs w:val="20"/>
        </w:rPr>
        <w:t xml:space="preserve">    27.支持不少于2个千兆以太网口，支持2个不同段IP地址的IPC设备接入，支持将双网口设置同一个IP地址，实现数据链路冗余。</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（十二）单门双向门禁控制器：原型号为DH-ASC1201C-D</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1.工业型专业设计，带锁具及铰链转动结构，可承受80kg力，防暴性能优良；</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2.集成报警、门禁、消防报警接入；</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3.采用32位高处理器，支持TCP/IP通讯方式；</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4.具有双通讯协议设计，同时支持RS485协议和韦根协议读卡器的接入；</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5.韦根接口支持国际标准W26\W34，可无缝兼容第三方产品；</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6.应可接入2个读卡器，其中1个RS485读卡器和1个wiegand读卡器；还应具有以下接口：①报警输入接口2个；②事件输入接口2个；③门磁输入接口1个；④开门按钮接口1个；⑤电锁输出接口1个；⑥报警输出接口2个；（提供公安部有效检测报告复印件加盖原厂公章）</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7.系统应具有应急开启的方法。如消防联动功能，当检测到消防信号后，可以自动打开门锁；（提供公安部有效检测报告复印件加盖原厂公章）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8.系统应具有手动或自动校时功能；（提供公安部有效检测报告复印件加盖原厂公章）</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9.FLASH存储容量为16M，最大支持100，000个持卡者，150，000条刷卡记录；</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10.具有防反潜、多重验证、远程验证等多项专项功能，支持首卡开门；</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11.支持普通卡、VIP卡、来宾卡、巡逻卡、黑白名单、胁迫卡等类型及权限下发；</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12.支持非法闯入报警、开门超时报警、支持胁迫卡及胁迫码设定，支持黑白名单及巡逻卡设定；</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13.支持卡片、密码、指纹各种组合方式开门，支持分时段开门；</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14.支持128组时间表及128组假日时段表，支持常开时间段、常闭时间段、远程开门时间段、首卡开门时间段等设置；</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15.所有连接端口均具备过流和过压保护，当出入控制设备执行启闭动作的电动或电磁等部件短路时，任何操作不会导致电源损坏；</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16.具有丰富的事件记录存储及上传功能，断网后可将数据存储在本地，网络恢复后继续上传；</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17.应支持指纹识别装置等生物识别设备；（提供公安部有效检测报告复印件加盖原厂公章）</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18.外接设备功能：通过外接设备，应可支持10卡识读、二维码识读、NFC识读、二代身份证识读和RFID卡识读；（提供公安部有效检测报告复印件加盖原厂公章）</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19.主机具有备用电池设计，外部供电断开时可不间断切换蓄电池供电，保证门禁系统正常运行；</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20.工作温度：-30℃-+60℃，工作湿度：≤95%。</w:t>
      </w:r>
      <w:r>
        <w:rPr>
          <w:rFonts w:hint="eastAsia" w:ascii="宋体" w:hAnsi="宋体" w:cs="宋体"/>
          <w:bCs/>
          <w:sz w:val="24"/>
          <w:szCs w:val="20"/>
        </w:rPr>
      </w:r>
      <w:r/>
    </w:p>
    <w:p>
      <w:pPr>
        <w:pStyle w:val="995"/>
        <w:ind w:firstLine="482"/>
        <w:spacing w:line="360" w:lineRule="auto"/>
        <w:rPr>
          <w:rFonts w:hint="eastAsia" w:ascii="宋体" w:hAnsi="宋体" w:cs="宋体"/>
          <w:b/>
          <w:sz w:val="24"/>
        </w:rPr>
        <w:outlineLvl w:val="2"/>
      </w:pPr>
      <w:r>
        <w:rPr>
          <w:rFonts w:hint="eastAsia" w:ascii="宋体" w:hAnsi="宋体" w:cs="宋体"/>
          <w:b/>
          <w:sz w:val="24"/>
        </w:rPr>
        <w:t xml:space="preserve">（十三）双门双向门禁控制器：原型号为DH-ASC1202C-D</w:t>
      </w:r>
      <w:r>
        <w:rPr>
          <w:rFonts w:hint="eastAsia" w:ascii="宋体" w:hAnsi="宋体" w:cs="宋体"/>
          <w:b/>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1.工业型专业设计，带锁具及铰链转动结构，可承受80kg力，防暴性能优良；</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2.集成报警、门禁、消防报警接入；</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3.采用32位高处理器，支持TCP/IP通讯方式；</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4.具有双通讯协议设计，同时支持RS485协议和韦根协议读卡器的接入；</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5.韦根接口支持国际标准W26\W34，可无缝兼容第三方产品；</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6.应可外接4个读卡器，其中2个RS485读卡器和2个wiegand读卡器；还应具有以下接口：①报警输入接口4个；②事件输入接口4个；③门磁输入接口2个；④开门按钮接口2个；⑤电锁输出接口2个；⑥报警输出接口4个；（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7.应具有消防联动功能，当检测到消防信号后，可以自动打开门锁；（提供公安部有效检测报告复印件加盖原厂公章）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8.系统应具有手动或自动校时功能；（提供公安部有效检测报告复印件加盖原厂公章）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9.FLASH存储容量为16M，最大支持100，000个持卡者，150，000条刷卡记录</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10.具有防反潜、多门互锁、多重验证、远程验证等多项专项功能，支持首卡开门；</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11.支持普通卡、VIP卡、来宾卡、巡逻卡、黑白名单、胁迫卡等类型及权限下发；</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12.支持非法闯入报警、开门超时报警、支持胁迫卡及胁迫码设定，支持黑白名单及巡逻卡设定；</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13.支持卡片、密码、指纹各种组合方式开门，支持分时段开门；</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14.支持128组时间表及128组假日时段表，支持常开时间段、常闭时间段、远程开门时间段、首卡开门时间段等设置；</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15.所有连接端口均具备过流和过压保护，当出入控制设备执行启闭动作的电动或电磁等部件短路时，任何操作不会导致电源损坏；</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16.具有丰富的事件记录存储及上传功能，断网后可将数据存储在本地，网络恢复后继续上传；</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17.应支持指纹识别装置等生物识别设备；（提供公安部有效检测报告复印件加盖原厂公章）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18.通过外接设备，应可支持IC卡识读、二维码识读、NFC识读、二代身份证识读和RFID卡识读；（提供公安部有效检测报告复印件加盖原厂公章）</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19.工作温度：-30℃-+60℃，工作湿度：≤95%。</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（十四）四门双向门禁控制器：原型号为DH-ASC1204C-D</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1.工业型专业设计，带锁具及铰链转动结构，可承受80kg力，防暴性能优良；</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2.集成报警、门禁、消防报警接入；</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3.采用32位高处理器，支持TCP/IP通讯方式；</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4.具有双通讯协议设计，同时支持RS485协议和韦根协议读卡器的接入；</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5.韦根接口支持国际标准W26\W34，可无缝兼容第三方产品；</w:t>
      </w:r>
      <w:r>
        <w:rPr>
          <w:rFonts w:hint="eastAsia"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6.可接入读卡器数量8个，其中4个RS485读卡器和4个wiegand读卡器；报警输入接口8个；事件输入接口8个；门磁输入接口4个；开门按钮接口4个；电锁输出接口4个；报警输出接口8个。</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7.主机应具有消防联动功能，当检测到消防信号后，可以自动打开门锁；（提供公安部有效检测报告复印件加盖原厂公章）</w:t>
      </w:r>
      <w:r>
        <w:rPr>
          <w:rFonts w:ascii="宋体" w:hAnsi="宋体" w:cs="宋体"/>
          <w:bCs/>
          <w:sz w:val="24"/>
          <w:szCs w:val="20"/>
        </w:rPr>
      </w:r>
      <w:r/>
    </w:p>
    <w:p>
      <w:pPr>
        <w:pStyle w:val="995"/>
        <w:ind w:firstLine="480"/>
        <w:spacing w:line="360" w:lineRule="auto"/>
        <w:rPr>
          <w:rFonts w:ascii="宋体" w:hAnsi="宋体" w:cs="宋体"/>
          <w:bCs/>
          <w:sz w:val="24"/>
          <w:szCs w:val="20"/>
        </w:rPr>
      </w:pPr>
      <w:r>
        <w:rPr>
          <w:rFonts w:hint="eastAsia" w:ascii="宋体" w:hAnsi="宋体" w:cs="宋体"/>
          <w:bCs/>
          <w:sz w:val="24"/>
          <w:szCs w:val="20"/>
        </w:rPr>
        <w:t xml:space="preserve">8.系统平台应具有视频联动报警功能；（提供公安部有效检测报告复印件加盖原厂公章）</w:t>
      </w:r>
      <w:r>
        <w:rPr>
          <w:rFonts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9.FLASH存储容量为16M，最大支持100，000个持卡者，150，000条刷卡记录；</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10.具有防反潜、多门互锁、多重验证、远程验证等多项专项功能，支持首卡开门；</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11.支持普通卡、VIP卡、来宾卡、巡逻卡、黑白名单、胁迫卡等类型及权限下发；</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12.支持非法闯入报警、开门超时报警、支持胁迫卡及胁迫码设定，支持黑白名单及巡逻卡设定；</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13.通过外接设备，可支持1C卡识读、二维码识读、NFC识读、二代身份证识读、RFID卡识读等；</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14.支持128组时间表及128组假日时段表，支持常开时间段、常闭时间段、远程开门时间段、首卡开门时间段等设置；</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15.所有连接端口均具备过流和过压保护，当出入控制设备执行启闭动作的电动或电磁等部件短路时，任何操作不会导致电源损坏；</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16.具有丰富的事件记录存储及上传功能，断网后可将数据存储在本地，网络恢复后继续上传；</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17.具有看门狗保护功能，可对内置程序进行诊断，在数据发生异常时自动复位；</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18.内置RTC（支持夏令时），支持手动校时、自动校时功能；</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19.数据断电永久保存，支持在线升级；</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20.工作温度：-30℃-+60℃，工作湿度：≤95%。</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（十五）门禁磁力锁及安装：原型号为DH-ASF280B</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1.产品款式：磁力锁；</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2.外壳材料：铝合金；</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3.表面工艺：电镀拉丝；</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4.信号输出：COM/NO/NC；</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5.门状态检测：1路，继电器；</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6.安全类型：断电开门；</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7.最大拉力：280kg×2（600Lbs×2）直线拉力；</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8.电源：不标配；</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9.供电方式：DC 12V 650X2(mA)；</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10.产品尺寸：500mm×48.6mm×26mm；</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11.工作温度：-20℃～+55℃；</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12.安装方式：明装。</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（十六）出门按钮：原型号为DH-ASF900</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1.外壳材料：塑料外壳；</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2.产品尺寸：86mm×86mm×25mm；</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3.工作温度：-30℃～+60℃；</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4.工作湿度：≤95%；</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5.净重：0.1kg。</w:t>
      </w:r>
      <w:r>
        <w:rPr>
          <w:rFonts w:hint="eastAsia" w:ascii="宋体" w:hAnsi="宋体" w:cs="宋体"/>
          <w:bCs/>
          <w:sz w:val="24"/>
          <w:szCs w:val="20"/>
        </w:rPr>
      </w:r>
      <w:r/>
    </w:p>
    <w:p>
      <w:pPr>
        <w:pStyle w:val="995"/>
        <w:ind w:firstLine="482"/>
        <w:spacing w:line="360" w:lineRule="auto"/>
        <w:rPr>
          <w:rFonts w:hint="eastAsia" w:ascii="宋体" w:hAnsi="宋体" w:cs="宋体"/>
          <w:b/>
          <w:bCs/>
          <w:sz w:val="24"/>
        </w:rPr>
        <w:outlineLvl w:val="2"/>
      </w:pPr>
      <w:r>
        <w:rPr>
          <w:rFonts w:hint="eastAsia" w:ascii="宋体" w:hAnsi="宋体" w:cs="宋体"/>
          <w:b/>
          <w:bCs/>
          <w:sz w:val="24"/>
        </w:rPr>
        <w:t xml:space="preserve">（十七）读卡器：原型号为DH-ASR1100B</w:t>
      </w:r>
      <w:r>
        <w:rPr>
          <w:rFonts w:hint="eastAsia" w:ascii="宋体" w:hAnsi="宋体" w:cs="宋体"/>
          <w:b/>
          <w:bCs/>
          <w:sz w:val="24"/>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1.支持刷卡开门模式，操作简便；</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2.非接触式读卡，可读取Mifare卡（IC卡）卡号、身份证序列号；</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3.读卡频率13.56MHz；</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4.支持RS485通信和韦根通信；</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5.韦根接口支持国际标准W34（其它韦根协议可定制），可无缝兼容第三方产品；</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6.支持在线升级；</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7.带蜂鸣器和指示灯提示功能</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8.所有连接端口均具备过流和过压保护；</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9.内部灌胶处理，支持明线安装方式；</w:t>
      </w:r>
      <w:r>
        <w:rPr>
          <w:rFonts w:hint="eastAsia" w:ascii="宋体" w:hAnsi="宋体" w:cs="宋体"/>
          <w:bCs/>
          <w:sz w:val="24"/>
          <w:szCs w:val="20"/>
        </w:rPr>
      </w:r>
      <w:r/>
    </w:p>
    <w:p>
      <w:pPr>
        <w:pStyle w:val="995"/>
        <w:ind w:firstLine="480"/>
        <w:spacing w:line="360" w:lineRule="auto"/>
        <w:rPr>
          <w:rFonts w:hint="eastAsia" w:ascii="宋体" w:hAnsi="宋体" w:cs="宋体"/>
          <w:bCs/>
          <w:sz w:val="24"/>
          <w:szCs w:val="20"/>
        </w:rPr>
      </w:pPr>
      <w:r>
        <w:rPr>
          <w:rFonts w:hint="eastAsia" w:ascii="宋体" w:hAnsi="宋体" w:cs="宋体"/>
          <w:bCs/>
          <w:sz w:val="24"/>
          <w:szCs w:val="20"/>
        </w:rPr>
        <w:t xml:space="preserve">10.防护等级：IP66。</w:t>
      </w:r>
      <w:r>
        <w:rPr>
          <w:rFonts w:hint="eastAsia" w:ascii="宋体" w:hAnsi="宋体" w:cs="宋体"/>
          <w:bCs/>
          <w:sz w:val="24"/>
          <w:szCs w:val="20"/>
        </w:rPr>
      </w:r>
      <w:r/>
    </w:p>
    <w:p>
      <w:pPr>
        <w:pStyle w:val="995"/>
        <w:ind w:firstLine="482"/>
        <w:spacing w:line="360" w:lineRule="auto"/>
        <w:rPr>
          <w:rFonts w:hint="eastAsia" w:ascii="宋体" w:hAnsi="宋体" w:cs="宋体"/>
          <w:b/>
          <w:sz w:val="24"/>
        </w:rPr>
        <w:outlineLvl w:val="1"/>
      </w:pPr>
      <w:r>
        <w:rPr>
          <w:rFonts w:hint="eastAsia" w:ascii="宋体" w:hAnsi="宋体" w:cs="宋体"/>
          <w:b/>
          <w:sz w:val="24"/>
        </w:rPr>
        <w:t xml:space="preserve">七、考核标准</w:t>
      </w:r>
      <w:r>
        <w:rPr>
          <w:rFonts w:hint="eastAsia" w:ascii="宋体" w:hAnsi="宋体" w:cs="宋体"/>
          <w:b/>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1.考核方法</w:t>
      </w:r>
      <w:r>
        <w:rPr>
          <w:rFonts w:hint="eastAsia"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结合考核细则，通过查看各类记录、现场检查、现场打分、拍照或视频录像等，每月实行检查、考核。</w:t>
      </w:r>
      <w:r>
        <w:rPr>
          <w:rFonts w:hint="eastAsia"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2.考核人员</w:t>
      </w:r>
      <w:r>
        <w:rPr>
          <w:rFonts w:hint="eastAsia"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由泵站所管理人员组成。</w:t>
      </w:r>
      <w:r>
        <w:rPr>
          <w:rFonts w:hint="eastAsia" w:ascii="宋体" w:hAnsi="宋体" w:cs="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3.考核细则</w:t>
      </w:r>
      <w:r>
        <w:rPr>
          <w:rFonts w:hint="eastAsia"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泵站变电所运维及电气零星维修考核表（含泵站视频（门禁）维修考核）</w:t>
      </w:r>
      <w:r>
        <w:rPr>
          <w:rFonts w:ascii="宋体" w:hAnsi="宋体" w:cs="宋体"/>
          <w:sz w:val="24"/>
        </w:rPr>
      </w:r>
      <w:r/>
    </w:p>
    <w:tbl>
      <w:tblPr>
        <w:tblW w:w="597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44"/>
        <w:gridCol w:w="6905"/>
        <w:gridCol w:w="967"/>
        <w:gridCol w:w="965"/>
      </w:tblGrid>
      <w:tr>
        <w:trPr>
          <w:trHeight w:val="602"/>
        </w:trPr>
        <w:tc>
          <w:tcPr>
            <w:tcBorders>
              <w:top w:val="single" w:color="000000" w:sz="4" w:space="0"/>
              <w:left w:val="single" w:color="000000" w:sz="4" w:space="0"/>
              <w:bottom w:val="none" w:color="000000" w:sz="0" w:space="0"/>
              <w:right w:val="single" w:color="000000" w:sz="4" w:space="0"/>
            </w:tcBorders>
            <w:tcW w:w="660" w:type="dxa"/>
            <w:vAlign w:val="center"/>
            <w:textDirection w:val="lrTb"/>
            <w:noWrap/>
          </w:tcPr>
          <w:p>
            <w:pPr>
              <w:pStyle w:val="995"/>
              <w:jc w:val="center"/>
              <w:widowControl/>
              <w:rPr>
                <w:rFonts w:ascii="宋体" w:hAnsi="宋体" w:cs="宋体"/>
                <w:b/>
                <w:bCs/>
                <w:sz w:val="24"/>
                <w:szCs w:val="22"/>
              </w:rPr>
            </w:pPr>
            <w:r>
              <w:rPr>
                <w:rFonts w:hint="eastAsia" w:ascii="宋体" w:hAnsi="宋体" w:cs="宋体"/>
                <w:b/>
                <w:bCs/>
                <w:sz w:val="24"/>
                <w:szCs w:val="22"/>
              </w:rPr>
              <w:t xml:space="preserve">考核内容</w:t>
            </w:r>
            <w:r>
              <w:rPr>
                <w:rFonts w:ascii="宋体" w:hAnsi="宋体" w:cs="宋体"/>
                <w:b/>
                <w:bCs/>
                <w:sz w:val="24"/>
                <w:szCs w:val="22"/>
              </w:rPr>
            </w:r>
            <w:r/>
          </w:p>
        </w:tc>
        <w:tc>
          <w:tcPr>
            <w:tcBorders>
              <w:top w:val="single" w:color="000000" w:sz="4" w:space="0"/>
              <w:left w:val="single" w:color="000000" w:sz="4" w:space="0"/>
              <w:bottom w:val="none" w:color="000000" w:sz="0" w:space="0"/>
              <w:right w:val="single" w:color="000000" w:sz="4" w:space="0"/>
            </w:tcBorders>
            <w:tcW w:w="3391" w:type="dxa"/>
            <w:vAlign w:val="center"/>
            <w:textDirection w:val="lrTb"/>
            <w:noWrap/>
          </w:tcPr>
          <w:p>
            <w:pPr>
              <w:pStyle w:val="995"/>
              <w:jc w:val="center"/>
              <w:widowControl/>
              <w:rPr>
                <w:rFonts w:ascii="宋体" w:hAnsi="宋体" w:cs="宋体"/>
                <w:b/>
                <w:bCs/>
                <w:sz w:val="24"/>
                <w:szCs w:val="22"/>
              </w:rPr>
            </w:pPr>
            <w:r>
              <w:rPr>
                <w:rFonts w:hint="eastAsia" w:ascii="宋体" w:hAnsi="宋体" w:cs="宋体"/>
                <w:b/>
                <w:bCs/>
                <w:sz w:val="24"/>
                <w:szCs w:val="22"/>
              </w:rPr>
              <w:t xml:space="preserve">考核细则</w:t>
            </w:r>
            <w:r>
              <w:rPr>
                <w:rFonts w:ascii="宋体" w:hAnsi="宋体" w:cs="宋体"/>
                <w:b/>
                <w:bCs/>
                <w:sz w:val="24"/>
                <w:szCs w:val="22"/>
              </w:rPr>
            </w:r>
            <w:r/>
          </w:p>
        </w:tc>
        <w:tc>
          <w:tcPr>
            <w:tcBorders>
              <w:top w:val="single" w:color="000000" w:sz="4" w:space="0"/>
              <w:left w:val="single" w:color="000000" w:sz="4" w:space="0"/>
              <w:bottom w:val="none" w:color="000000" w:sz="0" w:space="0"/>
              <w:right w:val="single" w:color="000000" w:sz="4" w:space="0"/>
            </w:tcBorders>
            <w:tcW w:w="475" w:type="dxa"/>
            <w:vAlign w:val="center"/>
            <w:textDirection w:val="lrTb"/>
            <w:noWrap/>
          </w:tcPr>
          <w:p>
            <w:pPr>
              <w:pStyle w:val="995"/>
              <w:jc w:val="center"/>
              <w:widowControl/>
              <w:rPr>
                <w:rFonts w:ascii="宋体" w:hAnsi="宋体" w:cs="宋体"/>
                <w:b/>
                <w:bCs/>
                <w:sz w:val="24"/>
                <w:szCs w:val="22"/>
              </w:rPr>
            </w:pPr>
            <w:r>
              <w:rPr>
                <w:rFonts w:hint="eastAsia" w:ascii="宋体" w:hAnsi="宋体" w:cs="宋体"/>
                <w:b/>
                <w:bCs/>
                <w:sz w:val="24"/>
                <w:szCs w:val="22"/>
              </w:rPr>
              <w:t xml:space="preserve">考核分数</w:t>
            </w:r>
            <w:r>
              <w:rPr>
                <w:rFonts w:ascii="宋体" w:hAnsi="宋体" w:cs="宋体"/>
                <w:b/>
                <w:bCs/>
                <w:sz w:val="24"/>
                <w:szCs w:val="22"/>
              </w:rPr>
            </w:r>
            <w:r/>
          </w:p>
        </w:tc>
        <w:tc>
          <w:tcPr>
            <w:tcBorders>
              <w:top w:val="single" w:color="000000" w:sz="4" w:space="0"/>
              <w:left w:val="single" w:color="000000" w:sz="4" w:space="0"/>
              <w:bottom w:val="none" w:color="000000" w:sz="0" w:space="0"/>
              <w:right w:val="single" w:color="000000" w:sz="4" w:space="0"/>
            </w:tcBorders>
            <w:tcW w:w="475" w:type="dxa"/>
            <w:vAlign w:val="top"/>
            <w:textDirection w:val="lrTb"/>
            <w:noWrap w:val="false"/>
          </w:tcPr>
          <w:p>
            <w:pPr>
              <w:pStyle w:val="995"/>
              <w:jc w:val="center"/>
              <w:widowControl/>
              <w:rPr>
                <w:rFonts w:hint="eastAsia" w:ascii="宋体" w:hAnsi="宋体" w:cs="宋体"/>
                <w:b/>
                <w:bCs/>
                <w:sz w:val="24"/>
                <w:szCs w:val="22"/>
              </w:rPr>
            </w:pPr>
            <w:r>
              <w:rPr>
                <w:rFonts w:hint="eastAsia" w:ascii="宋体" w:hAnsi="宋体" w:cs="宋体"/>
                <w:b/>
                <w:bCs/>
                <w:sz w:val="24"/>
                <w:szCs w:val="22"/>
              </w:rPr>
              <w:t xml:space="preserve">扣分原因</w:t>
            </w:r>
            <w:r>
              <w:rPr>
                <w:rFonts w:hint="eastAsia" w:ascii="宋体" w:hAnsi="宋体" w:cs="宋体"/>
                <w:b/>
                <w:bCs/>
                <w:sz w:val="24"/>
                <w:szCs w:val="22"/>
              </w:rPr>
            </w:r>
            <w:r/>
          </w:p>
        </w:tc>
      </w:tr>
      <w:tr>
        <w:trPr>
          <w:trHeight w:val="100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95"/>
              <w:jc w:val="center"/>
              <w:widowControl/>
              <w:rPr>
                <w:rFonts w:ascii="宋体" w:hAnsi="宋体" w:cs="宋体"/>
                <w:sz w:val="24"/>
                <w:szCs w:val="22"/>
              </w:rPr>
            </w:pPr>
            <w:r>
              <w:rPr>
                <w:rFonts w:hint="eastAsia" w:ascii="宋体" w:hAnsi="宋体" w:cs="宋体"/>
                <w:sz w:val="24"/>
                <w:szCs w:val="22"/>
              </w:rPr>
              <w:t xml:space="preserve">维保响应及完成时间</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pStyle w:val="995"/>
              <w:jc w:val="left"/>
              <w:widowControl/>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rPr>
              <w:t xml:space="preserve">泵站变电所运维及电气零星维修：</w:t>
            </w:r>
            <w:r>
              <w:rPr>
                <w:rFonts w:hint="eastAsia" w:ascii="宋体" w:hAnsi="宋体" w:cs="宋体"/>
                <w:sz w:val="24"/>
                <w:szCs w:val="22"/>
              </w:rPr>
              <w:t xml:space="preserve">抢</w:t>
            </w:r>
            <w:r>
              <w:rPr>
                <w:rFonts w:ascii="宋体" w:hAnsi="宋体" w:cs="宋体"/>
                <w:sz w:val="24"/>
                <w:szCs w:val="22"/>
              </w:rPr>
              <w:t xml:space="preserve">修任务未按要求</w:t>
            </w:r>
            <w:r>
              <w:rPr>
                <w:rFonts w:hint="eastAsia" w:ascii="宋体" w:hAnsi="宋体" w:cs="宋体"/>
                <w:sz w:val="24"/>
                <w:szCs w:val="22"/>
              </w:rPr>
              <w:t xml:space="preserve">1小时内到达</w:t>
            </w:r>
            <w:r>
              <w:rPr>
                <w:rFonts w:ascii="宋体" w:hAnsi="宋体" w:cs="宋体"/>
                <w:sz w:val="24"/>
                <w:szCs w:val="22"/>
              </w:rPr>
              <w:t xml:space="preserve">现场</w:t>
            </w:r>
            <w:r>
              <w:rPr>
                <w:rFonts w:hint="eastAsia" w:ascii="宋体" w:hAnsi="宋体" w:cs="宋体"/>
                <w:sz w:val="24"/>
                <w:szCs w:val="22"/>
              </w:rPr>
              <w:t xml:space="preserve">进行处理，</w:t>
            </w:r>
            <w:r>
              <w:rPr>
                <w:rFonts w:ascii="宋体" w:hAnsi="宋体" w:cs="宋体"/>
                <w:sz w:val="24"/>
                <w:szCs w:val="22"/>
              </w:rPr>
              <w:t xml:space="preserve">每延误</w:t>
            </w:r>
            <w:r>
              <w:rPr>
                <w:rFonts w:hint="eastAsia" w:ascii="宋体" w:hAnsi="宋体" w:cs="宋体"/>
                <w:sz w:val="24"/>
                <w:szCs w:val="22"/>
              </w:rPr>
              <w:t xml:space="preserve">1</w:t>
            </w:r>
            <w:r>
              <w:rPr>
                <w:rFonts w:ascii="宋体" w:hAnsi="宋体" w:cs="宋体"/>
                <w:sz w:val="24"/>
                <w:szCs w:val="22"/>
              </w:rPr>
              <w:t xml:space="preserve">次，</w:t>
            </w:r>
            <w:r>
              <w:rPr>
                <w:rFonts w:hint="eastAsia" w:ascii="宋体" w:hAnsi="宋体" w:cs="宋体"/>
                <w:sz w:val="24"/>
                <w:szCs w:val="22"/>
              </w:rPr>
              <w:t xml:space="preserve">扣5</w:t>
            </w:r>
            <w:r>
              <w:rPr>
                <w:rFonts w:ascii="宋体" w:hAnsi="宋体" w:cs="宋体"/>
                <w:sz w:val="24"/>
                <w:szCs w:val="22"/>
              </w:rPr>
              <w:t xml:space="preserve">分</w:t>
            </w:r>
            <w:r>
              <w:rPr>
                <w:rFonts w:hint="eastAsia" w:ascii="宋体" w:hAnsi="宋体" w:cs="宋体"/>
                <w:sz w:val="24"/>
                <w:szCs w:val="22"/>
              </w:rPr>
              <w:t xml:space="preserve">。</w:t>
            </w:r>
            <w:r>
              <w:rPr>
                <w:rFonts w:ascii="宋体" w:hAnsi="宋体" w:cs="宋体"/>
                <w:sz w:val="24"/>
                <w:szCs w:val="22"/>
              </w:rPr>
            </w:r>
            <w:r/>
          </w:p>
          <w:p>
            <w:pPr>
              <w:pStyle w:val="995"/>
              <w:jc w:val="left"/>
              <w:widowControl/>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rPr>
              <w:t xml:space="preserve">泵站变电所运维及电气零星维修：</w:t>
            </w:r>
            <w:r>
              <w:rPr>
                <w:rFonts w:hint="eastAsia" w:ascii="宋体" w:hAnsi="宋体" w:cs="宋体"/>
                <w:sz w:val="24"/>
                <w:szCs w:val="22"/>
              </w:rPr>
              <w:t xml:space="preserve">接到维修</w:t>
            </w:r>
            <w:r>
              <w:rPr>
                <w:rFonts w:ascii="宋体" w:hAnsi="宋体" w:cs="宋体"/>
                <w:sz w:val="24"/>
                <w:szCs w:val="22"/>
              </w:rPr>
              <w:t xml:space="preserve">、改造等任务，未按要求</w:t>
            </w:r>
            <w:r>
              <w:rPr>
                <w:rFonts w:hint="eastAsia" w:ascii="宋体" w:hAnsi="宋体" w:cs="宋体"/>
                <w:sz w:val="24"/>
                <w:szCs w:val="22"/>
              </w:rPr>
              <w:t xml:space="preserve">2个工作日内安排人员到现场查看，每延误1次，扣5分。</w:t>
            </w:r>
            <w:r>
              <w:rPr>
                <w:rFonts w:ascii="宋体" w:hAnsi="宋体" w:cs="宋体"/>
                <w:sz w:val="24"/>
                <w:szCs w:val="22"/>
              </w:rPr>
            </w:r>
            <w:r/>
          </w:p>
          <w:p>
            <w:pPr>
              <w:pStyle w:val="995"/>
              <w:jc w:val="left"/>
              <w:widowControl/>
              <w:rPr>
                <w:rFonts w:ascii="宋体" w:hAnsi="宋体" w:cs="宋体"/>
                <w:sz w:val="24"/>
                <w:szCs w:val="22"/>
              </w:rPr>
            </w:pPr>
            <w:r>
              <w:rPr>
                <w:rFonts w:hint="eastAsia" w:ascii="宋体" w:hAnsi="宋体" w:cs="宋体"/>
                <w:sz w:val="24"/>
                <w:szCs w:val="22"/>
              </w:rPr>
              <w:t xml:space="preserve">3、</w:t>
            </w:r>
            <w:r>
              <w:rPr>
                <w:rFonts w:hint="eastAsia" w:ascii="宋体" w:hAnsi="宋体" w:cs="宋体"/>
                <w:sz w:val="24"/>
              </w:rPr>
              <w:t xml:space="preserve">泵站变电所运维及电气零星维修：当月</w:t>
            </w:r>
            <w:r>
              <w:rPr>
                <w:rFonts w:hint="eastAsia" w:ascii="宋体" w:hAnsi="宋体" w:cs="宋体"/>
                <w:sz w:val="24"/>
                <w:szCs w:val="22"/>
              </w:rPr>
              <w:t xml:space="preserve">未按要求时间完成变电所巡检、维修及保养的，延迟</w:t>
            </w:r>
            <w:r>
              <w:rPr>
                <w:rFonts w:hint="eastAsia" w:ascii="宋体" w:hAnsi="宋体" w:cs="宋体"/>
                <w:sz w:val="24"/>
                <w:szCs w:val="20"/>
              </w:rPr>
              <w:t xml:space="preserve">1-7个日历日扣10分；延迟8-14个日历日扣15分；延迟15个日历日以上扣20分。</w:t>
            </w:r>
            <w:r>
              <w:rPr>
                <w:rFonts w:ascii="宋体" w:hAnsi="宋体" w:cs="宋体"/>
                <w:sz w:val="24"/>
                <w:szCs w:val="22"/>
              </w:rPr>
            </w:r>
            <w:r/>
          </w:p>
          <w:p>
            <w:pPr>
              <w:pStyle w:val="995"/>
              <w:jc w:val="left"/>
              <w:widowControl/>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rPr>
              <w:t xml:space="preserve">泵站变电所运维及电气零星维修：</w:t>
            </w:r>
            <w:r>
              <w:rPr>
                <w:rFonts w:hint="eastAsia" w:ascii="宋体" w:hAnsi="宋体" w:cs="宋体"/>
                <w:sz w:val="24"/>
                <w:szCs w:val="22"/>
              </w:rPr>
              <w:t xml:space="preserve">任务完成后，应将相关资料反馈招标人。若没有在规定时间内反馈的，出现1次扣2分；若资料存在弄虚作假的，每发现1次扣5分。</w:t>
            </w:r>
            <w:r>
              <w:rPr>
                <w:rFonts w:hint="eastAsia" w:ascii="宋体" w:hAnsi="宋体" w:cs="宋体"/>
                <w:sz w:val="24"/>
                <w:szCs w:val="22"/>
              </w:rPr>
            </w:r>
            <w:r/>
          </w:p>
          <w:p>
            <w:pPr>
              <w:pStyle w:val="995"/>
              <w:jc w:val="left"/>
              <w:widowControl/>
              <w:rPr>
                <w:rFonts w:hint="eastAsia" w:ascii="宋体" w:hAnsi="宋体" w:cs="宋体"/>
                <w:sz w:val="24"/>
                <w:szCs w:val="22"/>
              </w:rPr>
            </w:pPr>
            <w:r>
              <w:rPr>
                <w:rFonts w:hint="eastAsia" w:ascii="宋体" w:hAnsi="宋体" w:cs="宋体"/>
                <w:sz w:val="24"/>
                <w:szCs w:val="22"/>
              </w:rPr>
              <w:t xml:space="preserve">5、泵站视频门禁维修：在规定时限内（一般问题</w:t>
            </w:r>
            <w:r>
              <w:rPr>
                <w:rFonts w:ascii="宋体" w:hAnsi="宋体" w:cs="宋体"/>
                <w:sz w:val="24"/>
                <w:szCs w:val="22"/>
              </w:rPr>
              <w:t xml:space="preserve">24</w:t>
            </w:r>
            <w:r>
              <w:rPr>
                <w:rFonts w:hint="eastAsia" w:ascii="宋体" w:hAnsi="宋体" w:cs="宋体"/>
                <w:sz w:val="24"/>
                <w:szCs w:val="22"/>
              </w:rPr>
              <w:t xml:space="preserve">小时、紧急问题</w:t>
            </w:r>
            <w:r>
              <w:rPr>
                <w:rFonts w:ascii="宋体" w:hAnsi="宋体" w:cs="宋体"/>
                <w:sz w:val="24"/>
                <w:szCs w:val="22"/>
              </w:rPr>
              <w:t xml:space="preserve">4</w:t>
            </w:r>
            <w:r>
              <w:rPr>
                <w:rFonts w:hint="eastAsia" w:ascii="宋体" w:hAnsi="宋体" w:cs="宋体"/>
                <w:sz w:val="24"/>
                <w:szCs w:val="22"/>
              </w:rPr>
              <w:t xml:space="preserve">小时）对发现问题进行响应。每出现</w:t>
            </w:r>
            <w:r>
              <w:rPr>
                <w:rFonts w:ascii="宋体" w:hAnsi="宋体" w:cs="宋体"/>
                <w:sz w:val="24"/>
                <w:szCs w:val="22"/>
              </w:rPr>
              <w:t xml:space="preserve">1</w:t>
            </w:r>
            <w:r>
              <w:rPr>
                <w:rFonts w:hint="eastAsia" w:ascii="宋体" w:hAnsi="宋体" w:cs="宋体"/>
                <w:sz w:val="24"/>
                <w:szCs w:val="22"/>
              </w:rPr>
              <w:t xml:space="preserve">次延误，扣除</w:t>
            </w:r>
            <w:r>
              <w:rPr>
                <w:rFonts w:ascii="宋体" w:hAnsi="宋体" w:cs="宋体"/>
                <w:sz w:val="24"/>
                <w:szCs w:val="22"/>
              </w:rPr>
              <w:t xml:space="preserve">2</w:t>
            </w:r>
            <w:r>
              <w:rPr>
                <w:rFonts w:hint="eastAsia" w:ascii="宋体" w:hAnsi="宋体" w:cs="宋体"/>
                <w:sz w:val="24"/>
                <w:szCs w:val="22"/>
              </w:rPr>
              <w:t xml:space="preserve">分。</w:t>
            </w:r>
            <w:r>
              <w:rPr>
                <w:rFonts w:hint="eastAsia" w:ascii="宋体" w:hAnsi="宋体" w:cs="宋体"/>
                <w:sz w:val="24"/>
                <w:szCs w:val="22"/>
              </w:rPr>
            </w:r>
            <w:r/>
          </w:p>
          <w:p>
            <w:pPr>
              <w:pStyle w:val="995"/>
              <w:jc w:val="left"/>
              <w:widowControl/>
              <w:rPr>
                <w:rFonts w:ascii="宋体" w:hAnsi="宋体" w:cs="宋体"/>
                <w:sz w:val="24"/>
                <w:szCs w:val="22"/>
              </w:rPr>
            </w:pPr>
            <w:r>
              <w:rPr>
                <w:rFonts w:hint="eastAsia" w:ascii="宋体" w:hAnsi="宋体" w:cs="宋体"/>
                <w:sz w:val="24"/>
                <w:szCs w:val="22"/>
              </w:rPr>
              <w:t xml:space="preserve">6、泵站视频门禁维修：在规定时限内（一般维修</w:t>
            </w:r>
            <w:r>
              <w:rPr>
                <w:rFonts w:ascii="宋体" w:hAnsi="宋体" w:cs="宋体"/>
                <w:sz w:val="24"/>
                <w:szCs w:val="22"/>
              </w:rPr>
              <w:t xml:space="preserve">5</w:t>
            </w:r>
            <w:r>
              <w:rPr>
                <w:rFonts w:hint="eastAsia" w:ascii="宋体" w:hAnsi="宋体" w:cs="宋体"/>
                <w:sz w:val="24"/>
                <w:szCs w:val="22"/>
              </w:rPr>
              <w:t xml:space="preserve">个工作日，复杂维修</w:t>
            </w:r>
            <w:r>
              <w:rPr>
                <w:rFonts w:ascii="宋体" w:hAnsi="宋体" w:cs="宋体"/>
                <w:sz w:val="24"/>
                <w:szCs w:val="22"/>
              </w:rPr>
              <w:t xml:space="preserve">10</w:t>
            </w:r>
            <w:r>
              <w:rPr>
                <w:rFonts w:hint="eastAsia" w:ascii="宋体" w:hAnsi="宋体" w:cs="宋体"/>
                <w:sz w:val="24"/>
                <w:szCs w:val="22"/>
              </w:rPr>
              <w:t xml:space="preserve">个工作日，等待甲供设备等特殊情况除外）妥善解决问题。每出现</w:t>
            </w:r>
            <w:r>
              <w:rPr>
                <w:rFonts w:ascii="宋体" w:hAnsi="宋体" w:cs="宋体"/>
                <w:sz w:val="24"/>
                <w:szCs w:val="22"/>
              </w:rPr>
              <w:t xml:space="preserve">1</w:t>
            </w:r>
            <w:r>
              <w:rPr>
                <w:rFonts w:hint="eastAsia" w:ascii="宋体" w:hAnsi="宋体" w:cs="宋体"/>
                <w:sz w:val="24"/>
                <w:szCs w:val="22"/>
              </w:rPr>
              <w:t xml:space="preserve">次延误，扣除</w:t>
            </w:r>
            <w:r>
              <w:rPr>
                <w:rFonts w:ascii="宋体" w:hAnsi="宋体" w:cs="宋体"/>
                <w:sz w:val="24"/>
                <w:szCs w:val="22"/>
              </w:rPr>
              <w:t xml:space="preserve">2</w:t>
            </w:r>
            <w:r>
              <w:rPr>
                <w:rFonts w:hint="eastAsia" w:ascii="宋体" w:hAnsi="宋体" w:cs="宋体"/>
                <w:sz w:val="24"/>
                <w:szCs w:val="22"/>
              </w:rPr>
              <w:t xml:space="preserve">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95"/>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95"/>
              <w:jc w:val="center"/>
              <w:widowControl/>
              <w:rPr>
                <w:rFonts w:ascii="宋体" w:hAnsi="宋体" w:cs="宋体"/>
                <w:sz w:val="24"/>
                <w:szCs w:val="22"/>
              </w:rPr>
            </w:pPr>
            <w:r>
              <w:rPr>
                <w:rFonts w:ascii="宋体" w:hAnsi="宋体" w:cs="宋体"/>
                <w:sz w:val="24"/>
                <w:szCs w:val="22"/>
              </w:rPr>
            </w:r>
            <w:r/>
          </w:p>
        </w:tc>
      </w:tr>
      <w:tr>
        <w:trPr>
          <w:trHeight w:val="100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95"/>
              <w:jc w:val="center"/>
              <w:widowControl/>
              <w:rPr>
                <w:rFonts w:ascii="宋体" w:hAnsi="宋体" w:cs="宋体"/>
                <w:sz w:val="24"/>
                <w:szCs w:val="22"/>
              </w:rPr>
            </w:pPr>
            <w:r>
              <w:rPr>
                <w:rFonts w:hint="eastAsia" w:ascii="宋体" w:hAnsi="宋体" w:cs="宋体"/>
                <w:sz w:val="24"/>
                <w:szCs w:val="22"/>
              </w:rPr>
              <w:t xml:space="preserve">维保质量</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pStyle w:val="995"/>
              <w:widowControl/>
              <w:rPr>
                <w:rFonts w:ascii="宋体" w:hAnsi="宋体" w:cs="宋体"/>
                <w:strike/>
                <w:sz w:val="24"/>
                <w:szCs w:val="22"/>
              </w:rPr>
            </w:pPr>
            <w:r>
              <w:rPr>
                <w:rFonts w:hint="eastAsia" w:ascii="宋体" w:hAnsi="宋体" w:cs="宋体"/>
                <w:sz w:val="24"/>
                <w:szCs w:val="22"/>
              </w:rPr>
              <w:t xml:space="preserve">1、</w:t>
            </w:r>
            <w:r>
              <w:rPr>
                <w:rFonts w:hint="eastAsia" w:ascii="宋体" w:hAnsi="宋体" w:cs="宋体"/>
                <w:sz w:val="24"/>
              </w:rPr>
              <w:t xml:space="preserve">泵站变电所运维及电气零星维修：</w:t>
            </w:r>
            <w:r>
              <w:rPr>
                <w:rFonts w:hint="eastAsia" w:ascii="宋体" w:hAnsi="宋体" w:cs="宋体"/>
                <w:sz w:val="24"/>
                <w:szCs w:val="22"/>
              </w:rPr>
              <w:t xml:space="preserve">每月未按要求进行变电所巡检的，发现1项扣2分。</w:t>
            </w:r>
            <w:r>
              <w:rPr>
                <w:rFonts w:ascii="宋体" w:hAnsi="宋体" w:cs="宋体"/>
                <w:strike/>
                <w:sz w:val="24"/>
                <w:szCs w:val="22"/>
              </w:rPr>
            </w:r>
            <w:r/>
          </w:p>
          <w:p>
            <w:pPr>
              <w:pStyle w:val="995"/>
              <w:widowControl/>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rPr>
              <w:t xml:space="preserve">泵站变电所运维及电气零星维修：</w:t>
            </w:r>
            <w:r>
              <w:rPr>
                <w:rFonts w:hint="eastAsia" w:ascii="宋体" w:hAnsi="宋体" w:cs="宋体"/>
                <w:sz w:val="24"/>
                <w:szCs w:val="22"/>
              </w:rPr>
              <w:t xml:space="preserve">未按要求进行维修及保养任务。每一项扣5分；运管科和泵站所采用不定期抽查和旁站的检查方式。若维修及</w:t>
            </w:r>
            <w:r>
              <w:rPr>
                <w:rFonts w:ascii="宋体" w:hAnsi="宋体" w:cs="宋体"/>
                <w:sz w:val="24"/>
                <w:szCs w:val="22"/>
              </w:rPr>
              <w:t xml:space="preserve">保养内容未执行到位的，</w:t>
            </w:r>
            <w:r>
              <w:rPr>
                <w:rFonts w:hint="eastAsia" w:ascii="宋体" w:hAnsi="宋体" w:cs="宋体"/>
                <w:sz w:val="24"/>
                <w:szCs w:val="22"/>
              </w:rPr>
              <w:t xml:space="preserve">发现一项，扣5 分。</w:t>
            </w:r>
            <w:r>
              <w:rPr>
                <w:rFonts w:ascii="宋体" w:hAnsi="宋体" w:cs="宋体"/>
                <w:sz w:val="24"/>
                <w:szCs w:val="22"/>
              </w:rPr>
            </w:r>
            <w:r/>
          </w:p>
          <w:p>
            <w:pPr>
              <w:pStyle w:val="995"/>
              <w:widowControl/>
              <w:rPr>
                <w:rFonts w:ascii="宋体" w:hAnsi="宋体" w:cs="宋体"/>
                <w:sz w:val="24"/>
                <w:szCs w:val="22"/>
              </w:rPr>
            </w:pPr>
            <w:r>
              <w:rPr>
                <w:rFonts w:hint="eastAsia" w:ascii="宋体" w:hAnsi="宋体" w:cs="宋体"/>
                <w:sz w:val="24"/>
                <w:szCs w:val="22"/>
              </w:rPr>
              <w:t xml:space="preserve">3、</w:t>
            </w:r>
            <w:r>
              <w:rPr>
                <w:rFonts w:hint="eastAsia" w:ascii="宋体" w:hAnsi="宋体" w:cs="宋体"/>
                <w:sz w:val="24"/>
              </w:rPr>
              <w:t xml:space="preserve">泵站变电所运维及电气零星维修：</w:t>
            </w:r>
            <w:r>
              <w:rPr>
                <w:rFonts w:hint="eastAsia" w:ascii="宋体" w:hAnsi="宋体" w:cs="宋体"/>
                <w:sz w:val="24"/>
                <w:szCs w:val="22"/>
              </w:rPr>
              <w:t xml:space="preserve">维修后15天内再次发生同样问题进行维修的，发生1 次，扣5分。 </w:t>
            </w:r>
            <w:r>
              <w:rPr>
                <w:rFonts w:ascii="宋体" w:hAnsi="宋体" w:cs="宋体"/>
                <w:sz w:val="24"/>
                <w:szCs w:val="22"/>
              </w:rPr>
            </w:r>
            <w:r/>
          </w:p>
          <w:p>
            <w:pPr>
              <w:pStyle w:val="995"/>
              <w:widowControl/>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rPr>
              <w:t xml:space="preserve">泵站变电所运维及电气零星维修：</w:t>
            </w:r>
            <w:r>
              <w:rPr>
                <w:rFonts w:hint="eastAsia" w:ascii="宋体" w:hAnsi="宋体" w:cs="宋体"/>
                <w:sz w:val="24"/>
                <w:szCs w:val="22"/>
              </w:rPr>
              <w:t xml:space="preserve">因维保不当导致其他设备故障（但不影响泵站运行）的，单次扣除20分。</w:t>
            </w:r>
            <w:r>
              <w:rPr>
                <w:rFonts w:hint="eastAsia" w:ascii="宋体" w:hAnsi="宋体" w:cs="宋体"/>
                <w:sz w:val="24"/>
                <w:szCs w:val="22"/>
              </w:rPr>
            </w:r>
            <w:r/>
          </w:p>
          <w:p>
            <w:pPr>
              <w:pStyle w:val="995"/>
              <w:widowControl/>
              <w:rPr>
                <w:rFonts w:hint="eastAsia" w:ascii="宋体" w:hAnsi="宋体" w:cs="宋体"/>
                <w:sz w:val="24"/>
                <w:szCs w:val="22"/>
              </w:rPr>
            </w:pPr>
            <w:r>
              <w:rPr>
                <w:rFonts w:hint="eastAsia" w:ascii="宋体" w:hAnsi="宋体" w:cs="宋体"/>
                <w:sz w:val="24"/>
                <w:szCs w:val="22"/>
              </w:rPr>
              <w:t xml:space="preserve">5、泵站视频门禁维修：若维修工单完成</w:t>
            </w:r>
            <w:r>
              <w:rPr>
                <w:rFonts w:ascii="宋体" w:hAnsi="宋体" w:cs="宋体"/>
                <w:sz w:val="24"/>
                <w:szCs w:val="22"/>
              </w:rPr>
              <w:t xml:space="preserve">15</w:t>
            </w:r>
            <w:r>
              <w:rPr>
                <w:rFonts w:hint="eastAsia" w:ascii="宋体" w:hAnsi="宋体" w:cs="宋体"/>
                <w:sz w:val="24"/>
                <w:szCs w:val="22"/>
              </w:rPr>
              <w:t xml:space="preserve">日内，设备再次出现问题，视为验收不合格，进入返修流程，返修不重复计算人工费用等已发生的费用，以返修结束时间更新工单完成时间。单个工单出现超过</w:t>
            </w:r>
            <w:r>
              <w:rPr>
                <w:rFonts w:ascii="宋体" w:hAnsi="宋体" w:cs="宋体"/>
                <w:sz w:val="24"/>
                <w:szCs w:val="22"/>
              </w:rPr>
              <w:t xml:space="preserve">2</w:t>
            </w:r>
            <w:r>
              <w:rPr>
                <w:rFonts w:hint="eastAsia" w:ascii="宋体" w:hAnsi="宋体" w:cs="宋体"/>
                <w:sz w:val="24"/>
                <w:szCs w:val="22"/>
              </w:rPr>
              <w:t xml:space="preserve">次返修（含</w:t>
            </w:r>
            <w:r>
              <w:rPr>
                <w:rFonts w:ascii="宋体" w:hAnsi="宋体" w:cs="宋体"/>
                <w:sz w:val="24"/>
                <w:szCs w:val="22"/>
              </w:rPr>
              <w:t xml:space="preserve">2</w:t>
            </w:r>
            <w:r>
              <w:rPr>
                <w:rFonts w:hint="eastAsia" w:ascii="宋体" w:hAnsi="宋体" w:cs="宋体"/>
                <w:sz w:val="24"/>
                <w:szCs w:val="22"/>
              </w:rPr>
              <w:t xml:space="preserve">次），扣除</w:t>
            </w:r>
            <w:r>
              <w:rPr>
                <w:rFonts w:ascii="宋体" w:hAnsi="宋体" w:cs="宋体"/>
                <w:sz w:val="24"/>
                <w:szCs w:val="22"/>
              </w:rPr>
              <w:t xml:space="preserve">2</w:t>
            </w:r>
            <w:r>
              <w:rPr>
                <w:rFonts w:hint="eastAsia" w:ascii="宋体" w:hAnsi="宋体" w:cs="宋体"/>
                <w:sz w:val="24"/>
                <w:szCs w:val="22"/>
              </w:rPr>
              <w:t xml:space="preserve">分。</w:t>
            </w:r>
            <w:r>
              <w:rPr>
                <w:rFonts w:hint="eastAsia" w:ascii="宋体" w:hAnsi="宋体" w:cs="宋体"/>
                <w:sz w:val="24"/>
                <w:szCs w:val="22"/>
              </w:rPr>
            </w:r>
            <w:r/>
          </w:p>
          <w:p>
            <w:pPr>
              <w:pStyle w:val="995"/>
              <w:widowControl/>
              <w:rPr>
                <w:rFonts w:hint="eastAsia" w:ascii="宋体" w:hAnsi="宋体" w:cs="宋体"/>
                <w:sz w:val="24"/>
                <w:szCs w:val="22"/>
              </w:rPr>
            </w:pPr>
            <w:r>
              <w:rPr>
                <w:rFonts w:hint="eastAsia" w:ascii="宋体" w:hAnsi="宋体" w:cs="宋体"/>
                <w:sz w:val="24"/>
                <w:szCs w:val="22"/>
              </w:rPr>
              <w:t xml:space="preserve">6、泵站视频门禁维修：对维修过程中维修（更换）的部件、线路等各类耗材及维修（更换）的摄像头、钥匙箱、录像机、门禁主机等各类设备提供</w:t>
            </w:r>
            <w:r>
              <w:rPr>
                <w:rFonts w:ascii="宋体" w:hAnsi="宋体" w:cs="宋体"/>
                <w:sz w:val="24"/>
                <w:szCs w:val="22"/>
              </w:rPr>
              <w:t xml:space="preserve">1</w:t>
            </w:r>
            <w:r>
              <w:rPr>
                <w:rFonts w:hint="eastAsia" w:ascii="宋体" w:hAnsi="宋体" w:cs="宋体"/>
                <w:sz w:val="24"/>
                <w:szCs w:val="22"/>
              </w:rPr>
              <w:t xml:space="preserve">年的质保（绿植修剪</w:t>
            </w:r>
            <w:r>
              <w:rPr>
                <w:rFonts w:ascii="宋体" w:hAnsi="宋体" w:cs="宋体"/>
                <w:sz w:val="24"/>
                <w:szCs w:val="22"/>
              </w:rPr>
              <w:t xml:space="preserve">3</w:t>
            </w:r>
            <w:r>
              <w:rPr>
                <w:rFonts w:hint="eastAsia" w:ascii="宋体" w:hAnsi="宋体" w:cs="宋体"/>
                <w:sz w:val="24"/>
                <w:szCs w:val="22"/>
              </w:rPr>
              <w:t xml:space="preserve">个月）。质保期内若因维保质量致使设备或相关设备出现故障，需进行无偿返修（无偿返修同样参照维修进行考核，质保期按无偿返修结束时间重新计算）。单月内出现质保期内需无偿返修次数超过</w:t>
            </w:r>
            <w:r>
              <w:rPr>
                <w:rFonts w:ascii="宋体" w:hAnsi="宋体" w:cs="宋体"/>
                <w:sz w:val="24"/>
                <w:szCs w:val="22"/>
              </w:rPr>
              <w:t xml:space="preserve">1</w:t>
            </w:r>
            <w:r>
              <w:rPr>
                <w:rFonts w:hint="eastAsia" w:ascii="宋体" w:hAnsi="宋体" w:cs="宋体"/>
                <w:sz w:val="24"/>
                <w:szCs w:val="22"/>
              </w:rPr>
              <w:t xml:space="preserve">次（不含</w:t>
            </w:r>
            <w:r>
              <w:rPr>
                <w:rFonts w:ascii="宋体" w:hAnsi="宋体" w:cs="宋体"/>
                <w:sz w:val="24"/>
                <w:szCs w:val="22"/>
              </w:rPr>
              <w:t xml:space="preserve">1</w:t>
            </w:r>
            <w:r>
              <w:rPr>
                <w:rFonts w:hint="eastAsia" w:ascii="宋体" w:hAnsi="宋体" w:cs="宋体"/>
                <w:sz w:val="24"/>
                <w:szCs w:val="22"/>
              </w:rPr>
              <w:t xml:space="preserve">次），每再出现</w:t>
            </w:r>
            <w:r>
              <w:rPr>
                <w:rFonts w:ascii="宋体" w:hAnsi="宋体" w:cs="宋体"/>
                <w:sz w:val="24"/>
                <w:szCs w:val="22"/>
              </w:rPr>
              <w:t xml:space="preserve">1</w:t>
            </w:r>
            <w:r>
              <w:rPr>
                <w:rFonts w:hint="eastAsia" w:ascii="宋体" w:hAnsi="宋体" w:cs="宋体"/>
                <w:sz w:val="24"/>
                <w:szCs w:val="22"/>
              </w:rPr>
              <w:t xml:space="preserve">次，扣</w:t>
            </w:r>
            <w:r>
              <w:rPr>
                <w:rFonts w:ascii="宋体" w:hAnsi="宋体" w:cs="宋体"/>
                <w:sz w:val="24"/>
                <w:szCs w:val="22"/>
              </w:rPr>
              <w:t xml:space="preserve">2</w:t>
            </w:r>
            <w:r>
              <w:rPr>
                <w:rFonts w:hint="eastAsia" w:ascii="宋体" w:hAnsi="宋体" w:cs="宋体"/>
                <w:sz w:val="24"/>
                <w:szCs w:val="22"/>
              </w:rPr>
              <w:t xml:space="preserve">分。</w:t>
            </w:r>
            <w:r>
              <w:rPr>
                <w:rFonts w:hint="eastAsia" w:ascii="宋体" w:hAnsi="宋体" w:cs="宋体"/>
                <w:sz w:val="24"/>
                <w:szCs w:val="22"/>
              </w:rPr>
            </w:r>
            <w:r/>
          </w:p>
          <w:p>
            <w:pPr>
              <w:pStyle w:val="995"/>
              <w:widowControl/>
              <w:rPr>
                <w:rFonts w:hint="eastAsia" w:ascii="宋体" w:hAnsi="宋体" w:cs="宋体"/>
                <w:sz w:val="24"/>
                <w:szCs w:val="22"/>
              </w:rPr>
            </w:pPr>
            <w:r>
              <w:rPr>
                <w:rFonts w:hint="eastAsia" w:ascii="宋体" w:hAnsi="宋体" w:cs="宋体"/>
                <w:sz w:val="24"/>
                <w:szCs w:val="22"/>
              </w:rPr>
              <w:t xml:space="preserve">7、泵站视频门禁维修：工单涉及重新放线时，应及时提交线路敷设图纸，未能及时提交，单次扣</w:t>
            </w:r>
            <w:r>
              <w:rPr>
                <w:rFonts w:ascii="宋体" w:hAnsi="宋体" w:cs="宋体"/>
                <w:sz w:val="24"/>
                <w:szCs w:val="22"/>
              </w:rPr>
              <w:t xml:space="preserve">1</w:t>
            </w:r>
            <w:r>
              <w:rPr>
                <w:rFonts w:hint="eastAsia" w:ascii="宋体" w:hAnsi="宋体" w:cs="宋体"/>
                <w:sz w:val="24"/>
                <w:szCs w:val="22"/>
              </w:rPr>
              <w:t xml:space="preserve">分。</w:t>
            </w:r>
            <w:r>
              <w:rPr>
                <w:rFonts w:hint="eastAsia" w:ascii="宋体" w:hAnsi="宋体" w:cs="宋体"/>
                <w:sz w:val="24"/>
                <w:szCs w:val="22"/>
              </w:rPr>
            </w:r>
            <w:r/>
          </w:p>
          <w:p>
            <w:pPr>
              <w:pStyle w:val="995"/>
              <w:widowControl/>
              <w:rPr>
                <w:rFonts w:ascii="宋体" w:hAnsi="宋体" w:cs="宋体"/>
                <w:sz w:val="24"/>
                <w:szCs w:val="22"/>
              </w:rPr>
            </w:pPr>
            <w:r>
              <w:rPr>
                <w:rFonts w:hint="eastAsia" w:ascii="宋体" w:hAnsi="宋体" w:cs="宋体"/>
                <w:sz w:val="24"/>
                <w:szCs w:val="22"/>
              </w:rPr>
              <w:t xml:space="preserve">8、泵站视频门禁维修：因维修造成泵站内其他设备故障、停转等，单次扣除</w:t>
            </w:r>
            <w:r>
              <w:rPr>
                <w:rFonts w:ascii="宋体" w:hAnsi="宋体" w:cs="宋体"/>
                <w:sz w:val="24"/>
                <w:szCs w:val="22"/>
              </w:rPr>
              <w:t xml:space="preserve">15</w:t>
            </w:r>
            <w:r>
              <w:rPr>
                <w:rFonts w:hint="eastAsia" w:ascii="宋体" w:hAnsi="宋体" w:cs="宋体"/>
                <w:sz w:val="24"/>
                <w:szCs w:val="22"/>
              </w:rPr>
              <w:t xml:space="preserve">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95"/>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95"/>
              <w:jc w:val="center"/>
              <w:widowControl/>
              <w:rPr>
                <w:rFonts w:ascii="宋体" w:hAnsi="宋体" w:cs="宋体"/>
                <w:sz w:val="24"/>
                <w:szCs w:val="22"/>
              </w:rPr>
            </w:pPr>
            <w:r>
              <w:rPr>
                <w:rFonts w:ascii="宋体" w:hAnsi="宋体" w:cs="宋体"/>
                <w:sz w:val="24"/>
                <w:szCs w:val="22"/>
              </w:rPr>
            </w:r>
            <w:r/>
          </w:p>
        </w:tc>
      </w:tr>
      <w:tr>
        <w:trPr>
          <w:trHeight w:val="70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95"/>
              <w:jc w:val="center"/>
              <w:widowControl/>
              <w:rPr>
                <w:rFonts w:ascii="宋体" w:hAnsi="宋体" w:cs="宋体"/>
                <w:sz w:val="24"/>
                <w:szCs w:val="22"/>
              </w:rPr>
            </w:pPr>
            <w:r>
              <w:rPr>
                <w:rFonts w:hint="eastAsia" w:ascii="宋体" w:hAnsi="宋体" w:cs="宋体"/>
                <w:sz w:val="24"/>
                <w:szCs w:val="22"/>
              </w:rPr>
              <w:t xml:space="preserve">环境卫生</w:t>
            </w:r>
            <w:r>
              <w:rPr>
                <w:rFonts w:ascii="宋体" w:hAnsi="宋体" w:cs="宋体"/>
                <w:sz w:val="24"/>
                <w:szCs w:val="22"/>
              </w:rPr>
            </w:r>
            <w:r/>
          </w:p>
          <w:p>
            <w:pPr>
              <w:pStyle w:val="995"/>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pStyle w:val="995"/>
              <w:widowControl/>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rPr>
              <w:t xml:space="preserve">泵站变电所运维及电气零星维修：</w:t>
            </w:r>
            <w:r>
              <w:rPr>
                <w:rFonts w:hint="eastAsia" w:ascii="宋体" w:hAnsi="宋体" w:cs="宋体"/>
                <w:sz w:val="24"/>
                <w:szCs w:val="22"/>
              </w:rPr>
              <w:t xml:space="preserve">变电所巡检后未及时提交巡检工作联系单的，扣5分。</w:t>
            </w:r>
            <w:r>
              <w:rPr>
                <w:rFonts w:ascii="宋体" w:hAnsi="宋体" w:cs="宋体"/>
                <w:sz w:val="24"/>
                <w:szCs w:val="22"/>
              </w:rPr>
            </w:r>
            <w:r/>
          </w:p>
          <w:p>
            <w:pPr>
              <w:pStyle w:val="995"/>
              <w:jc w:val="left"/>
              <w:widowControl/>
              <w:rPr>
                <w:rFonts w:hint="eastAsia" w:ascii="宋体" w:hAnsi="宋体" w:cs="宋体"/>
                <w:sz w:val="24"/>
                <w:szCs w:val="22"/>
              </w:rPr>
            </w:pPr>
            <w:r>
              <w:rPr>
                <w:rFonts w:hint="eastAsia" w:ascii="宋体" w:hAnsi="宋体" w:cs="宋体"/>
                <w:sz w:val="24"/>
                <w:szCs w:val="22"/>
              </w:rPr>
              <w:t xml:space="preserve">2、</w:t>
            </w:r>
            <w:r>
              <w:rPr>
                <w:rFonts w:hint="eastAsia" w:ascii="宋体" w:hAnsi="宋体" w:cs="宋体"/>
                <w:sz w:val="24"/>
              </w:rPr>
              <w:t xml:space="preserve">泵站变电所运维及电气零星维修：</w:t>
            </w:r>
            <w:r>
              <w:rPr>
                <w:rFonts w:hint="eastAsia" w:ascii="宋体" w:hAnsi="宋体" w:cs="宋体"/>
                <w:sz w:val="24"/>
                <w:szCs w:val="22"/>
              </w:rPr>
              <w:t xml:space="preserve">维保作业结束后，应确保工作现场干净整洁、无遗留杂物。每发现1次卫生问题，扣3分。</w:t>
            </w:r>
            <w:r>
              <w:rPr>
                <w:rFonts w:hint="eastAsia" w:ascii="宋体" w:hAnsi="宋体" w:cs="宋体"/>
                <w:sz w:val="24"/>
                <w:szCs w:val="22"/>
              </w:rPr>
            </w:r>
            <w:r/>
          </w:p>
          <w:p>
            <w:pPr>
              <w:pStyle w:val="995"/>
              <w:jc w:val="left"/>
              <w:widowControl/>
              <w:rPr>
                <w:rFonts w:ascii="宋体" w:hAnsi="宋体" w:cs="宋体"/>
                <w:sz w:val="24"/>
                <w:szCs w:val="22"/>
              </w:rPr>
            </w:pPr>
            <w:r>
              <w:rPr>
                <w:rFonts w:hint="eastAsia" w:ascii="宋体" w:hAnsi="宋体" w:cs="宋体"/>
                <w:sz w:val="24"/>
                <w:szCs w:val="22"/>
              </w:rPr>
              <w:t xml:space="preserve">3、泵站视频门禁维修：施工作业结束后应确保工作场地卫生。参考提交照片，每发现</w:t>
            </w:r>
            <w:r>
              <w:rPr>
                <w:rFonts w:ascii="宋体" w:hAnsi="宋体" w:cs="宋体"/>
                <w:sz w:val="24"/>
                <w:szCs w:val="22"/>
              </w:rPr>
              <w:t xml:space="preserve">1</w:t>
            </w:r>
            <w:r>
              <w:rPr>
                <w:rFonts w:hint="eastAsia" w:ascii="宋体" w:hAnsi="宋体" w:cs="宋体"/>
                <w:sz w:val="24"/>
                <w:szCs w:val="22"/>
              </w:rPr>
              <w:t xml:space="preserve">次卫生问题，扣除</w:t>
            </w:r>
            <w:r>
              <w:rPr>
                <w:rFonts w:ascii="宋体" w:hAnsi="宋体" w:cs="宋体"/>
                <w:sz w:val="24"/>
                <w:szCs w:val="22"/>
              </w:rPr>
              <w:t xml:space="preserve">1</w:t>
            </w:r>
            <w:r>
              <w:rPr>
                <w:rFonts w:hint="eastAsia" w:ascii="宋体" w:hAnsi="宋体" w:cs="宋体"/>
                <w:sz w:val="24"/>
                <w:szCs w:val="22"/>
              </w:rPr>
              <w:t xml:space="preserve">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95"/>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95"/>
              <w:jc w:val="center"/>
              <w:widowControl/>
              <w:rPr>
                <w:rFonts w:ascii="宋体" w:hAnsi="宋体" w:cs="宋体"/>
                <w:sz w:val="24"/>
                <w:szCs w:val="22"/>
              </w:rPr>
            </w:pPr>
            <w:r>
              <w:rPr>
                <w:rFonts w:ascii="宋体" w:hAnsi="宋体" w:cs="宋体"/>
                <w:sz w:val="24"/>
                <w:szCs w:val="22"/>
              </w:rPr>
            </w:r>
            <w:r/>
          </w:p>
        </w:tc>
      </w:tr>
      <w:tr>
        <w:trPr>
          <w:trHeight w:val="100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95"/>
              <w:jc w:val="center"/>
              <w:widowControl/>
              <w:rPr>
                <w:rFonts w:ascii="宋体" w:hAnsi="宋体" w:cs="宋体"/>
                <w:sz w:val="24"/>
                <w:szCs w:val="22"/>
              </w:rPr>
            </w:pPr>
            <w:r>
              <w:rPr>
                <w:rFonts w:hint="eastAsia" w:ascii="宋体" w:hAnsi="宋体" w:cs="宋体"/>
                <w:sz w:val="24"/>
                <w:szCs w:val="22"/>
              </w:rPr>
              <w:t xml:space="preserve">台账资料</w:t>
            </w:r>
            <w:r>
              <w:rPr>
                <w:rFonts w:ascii="宋体" w:hAnsi="宋体" w:cs="宋体"/>
                <w:sz w:val="24"/>
                <w:szCs w:val="22"/>
              </w:rPr>
            </w:r>
            <w:r/>
          </w:p>
          <w:p>
            <w:pPr>
              <w:pStyle w:val="995"/>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pStyle w:val="995"/>
              <w:widowControl/>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rPr>
              <w:t xml:space="preserve">泵站变电所运维及电气零星维修：</w:t>
            </w:r>
            <w:r>
              <w:rPr>
                <w:rFonts w:hint="eastAsia" w:ascii="宋体" w:hAnsi="宋体" w:cs="宋体"/>
                <w:sz w:val="24"/>
                <w:szCs w:val="22"/>
              </w:rPr>
              <w:t xml:space="preserve">按要求做好变电所现场巡检记录，字迹清晰、数据准确，未达要求，发现１处扣１分。</w:t>
            </w:r>
            <w:r>
              <w:rPr>
                <w:rFonts w:ascii="宋体" w:hAnsi="宋体" w:cs="宋体"/>
                <w:sz w:val="24"/>
                <w:szCs w:val="22"/>
              </w:rPr>
            </w:r>
            <w:r/>
          </w:p>
          <w:p>
            <w:pPr>
              <w:pStyle w:val="995"/>
              <w:widowControl/>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rPr>
              <w:t xml:space="preserve">泵站变电所运维及电气零星维修：</w:t>
            </w:r>
            <w:r>
              <w:rPr>
                <w:rFonts w:hint="eastAsia" w:ascii="宋体" w:hAnsi="宋体" w:cs="宋体"/>
                <w:sz w:val="24"/>
                <w:szCs w:val="22"/>
              </w:rPr>
              <w:t xml:space="preserve">按要求提供完善、准确的巡检、维保签证及结算等材料。材料存在瑕疵的，每发现1项扣3分。</w:t>
            </w:r>
            <w:r>
              <w:rPr>
                <w:rFonts w:ascii="宋体" w:hAnsi="宋体" w:cs="宋体"/>
                <w:sz w:val="24"/>
                <w:szCs w:val="22"/>
              </w:rPr>
            </w:r>
            <w:r/>
          </w:p>
          <w:p>
            <w:pPr>
              <w:pStyle w:val="995"/>
              <w:widowControl/>
              <w:rPr>
                <w:rFonts w:hint="eastAsia" w:ascii="宋体" w:hAnsi="宋体" w:cs="宋体"/>
                <w:sz w:val="24"/>
                <w:szCs w:val="20"/>
              </w:rPr>
            </w:pPr>
            <w:r>
              <w:rPr>
                <w:rFonts w:hint="eastAsia" w:ascii="宋体" w:hAnsi="宋体" w:cs="宋体"/>
                <w:sz w:val="24"/>
                <w:szCs w:val="22"/>
              </w:rPr>
              <w:t xml:space="preserve">3、</w:t>
            </w:r>
            <w:r>
              <w:rPr>
                <w:rFonts w:hint="eastAsia" w:ascii="宋体" w:hAnsi="宋体" w:cs="宋体"/>
                <w:sz w:val="24"/>
              </w:rPr>
              <w:t xml:space="preserve">泵站变电所运维及电气零星维修：</w:t>
            </w:r>
            <w:r>
              <w:rPr>
                <w:rFonts w:hint="eastAsia" w:ascii="宋体" w:hAnsi="宋体"/>
                <w:sz w:val="24"/>
              </w:rPr>
              <w:t xml:space="preserve">未能按时提交结算资料，按延迟时间处理：</w:t>
            </w:r>
            <w:r>
              <w:rPr>
                <w:rFonts w:hint="eastAsia" w:ascii="宋体" w:hAnsi="宋体" w:cs="宋体"/>
                <w:sz w:val="24"/>
                <w:szCs w:val="22"/>
              </w:rPr>
              <w:t xml:space="preserve">延迟</w:t>
            </w:r>
            <w:r>
              <w:rPr>
                <w:rFonts w:hint="eastAsia" w:ascii="宋体" w:hAnsi="宋体" w:cs="宋体"/>
                <w:sz w:val="24"/>
                <w:szCs w:val="20"/>
              </w:rPr>
              <w:t xml:space="preserve">1-7个日历日扣10分；延迟8-14个日历日扣15分；延迟15个日历日以上扣20分。</w:t>
            </w:r>
            <w:r>
              <w:rPr>
                <w:rFonts w:hint="eastAsia" w:ascii="宋体" w:hAnsi="宋体" w:cs="宋体"/>
                <w:sz w:val="24"/>
                <w:szCs w:val="20"/>
              </w:rPr>
            </w:r>
            <w:r/>
          </w:p>
          <w:p>
            <w:pPr>
              <w:pStyle w:val="995"/>
              <w:widowControl/>
              <w:rPr>
                <w:rFonts w:ascii="宋体" w:hAnsi="宋体" w:cs="宋体"/>
                <w:sz w:val="24"/>
                <w:szCs w:val="22"/>
              </w:rPr>
            </w:pPr>
            <w:r>
              <w:rPr>
                <w:rFonts w:hint="eastAsia" w:ascii="宋体" w:hAnsi="宋体" w:cs="宋体"/>
                <w:sz w:val="24"/>
                <w:szCs w:val="20"/>
              </w:rPr>
              <w:t xml:space="preserve">4、</w:t>
            </w:r>
            <w:r>
              <w:rPr>
                <w:rFonts w:hint="eastAsia" w:ascii="宋体" w:hAnsi="宋体" w:cs="宋体"/>
                <w:sz w:val="24"/>
                <w:szCs w:val="22"/>
              </w:rPr>
              <w:t xml:space="preserve">泵站视频门禁维修：因材料存在瑕疵，被要求修订超过</w:t>
            </w:r>
            <w:r>
              <w:rPr>
                <w:rFonts w:ascii="宋体" w:hAnsi="宋体" w:cs="宋体"/>
                <w:sz w:val="24"/>
                <w:szCs w:val="22"/>
              </w:rPr>
              <w:t xml:space="preserve">2</w:t>
            </w:r>
            <w:r>
              <w:rPr>
                <w:rFonts w:hint="eastAsia" w:ascii="宋体" w:hAnsi="宋体" w:cs="宋体"/>
                <w:sz w:val="24"/>
                <w:szCs w:val="22"/>
              </w:rPr>
              <w:t xml:space="preserve">次，每再出现</w:t>
            </w:r>
            <w:r>
              <w:rPr>
                <w:rFonts w:ascii="宋体" w:hAnsi="宋体" w:cs="宋体"/>
                <w:sz w:val="24"/>
                <w:szCs w:val="22"/>
              </w:rPr>
              <w:t xml:space="preserve">1</w:t>
            </w:r>
            <w:r>
              <w:rPr>
                <w:rFonts w:hint="eastAsia" w:ascii="宋体" w:hAnsi="宋体" w:cs="宋体"/>
                <w:sz w:val="24"/>
                <w:szCs w:val="22"/>
              </w:rPr>
              <w:t xml:space="preserve">次扣除</w:t>
            </w:r>
            <w:r>
              <w:rPr>
                <w:rFonts w:ascii="宋体" w:hAnsi="宋体" w:cs="宋体"/>
                <w:sz w:val="24"/>
                <w:szCs w:val="22"/>
              </w:rPr>
              <w:t xml:space="preserve">2</w:t>
            </w:r>
            <w:r>
              <w:rPr>
                <w:rFonts w:hint="eastAsia" w:ascii="宋体" w:hAnsi="宋体" w:cs="宋体"/>
                <w:sz w:val="24"/>
                <w:szCs w:val="22"/>
              </w:rPr>
              <w:t xml:space="preserve">分。若未能在规定时间报送完备的纸质结算材料（含发票，材料无需再次修订），扣除</w:t>
            </w:r>
            <w:r>
              <w:rPr>
                <w:rFonts w:ascii="宋体" w:hAnsi="宋体" w:cs="宋体"/>
                <w:sz w:val="24"/>
                <w:szCs w:val="22"/>
              </w:rPr>
              <w:t xml:space="preserve">2</w:t>
            </w:r>
            <w:r>
              <w:rPr>
                <w:rFonts w:hint="eastAsia" w:ascii="宋体" w:hAnsi="宋体" w:cs="宋体"/>
                <w:sz w:val="24"/>
                <w:szCs w:val="22"/>
              </w:rPr>
              <w:t xml:space="preserve">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95"/>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95"/>
              <w:jc w:val="center"/>
              <w:widowControl/>
              <w:rPr>
                <w:rFonts w:ascii="宋体" w:hAnsi="宋体" w:cs="宋体"/>
                <w:sz w:val="24"/>
                <w:szCs w:val="22"/>
              </w:rPr>
            </w:pPr>
            <w:r>
              <w:rPr>
                <w:rFonts w:ascii="宋体" w:hAnsi="宋体" w:cs="宋体"/>
                <w:sz w:val="24"/>
                <w:szCs w:val="22"/>
              </w:rPr>
            </w:r>
            <w:r/>
          </w:p>
        </w:tc>
      </w:tr>
      <w:tr>
        <w:trPr>
          <w:trHeight w:val="283"/>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95"/>
              <w:jc w:val="center"/>
              <w:widowControl/>
              <w:rPr>
                <w:rFonts w:ascii="宋体" w:hAnsi="宋体" w:cs="宋体"/>
                <w:sz w:val="24"/>
                <w:szCs w:val="22"/>
              </w:rPr>
            </w:pPr>
            <w:r>
              <w:rPr>
                <w:rFonts w:hint="eastAsia" w:ascii="宋体" w:hAnsi="宋体" w:cs="宋体"/>
                <w:sz w:val="24"/>
                <w:szCs w:val="22"/>
              </w:rPr>
              <w:t xml:space="preserve">安全管理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pStyle w:val="995"/>
              <w:widowControl/>
              <w:rPr>
                <w:rFonts w:hint="eastAsia" w:ascii="宋体" w:hAnsi="宋体" w:cs="宋体"/>
                <w:sz w:val="24"/>
                <w:szCs w:val="22"/>
              </w:rPr>
            </w:pPr>
            <w:r>
              <w:rPr>
                <w:rFonts w:hint="eastAsia" w:ascii="宋体" w:hAnsi="宋体" w:cs="宋体"/>
                <w:sz w:val="24"/>
              </w:rPr>
              <w:t xml:space="preserve">1、泵站变电所运维及电气零星维修：</w:t>
            </w:r>
            <w:r>
              <w:rPr>
                <w:rFonts w:hint="eastAsia" w:ascii="宋体" w:hAnsi="宋体" w:cs="宋体"/>
                <w:sz w:val="24"/>
                <w:szCs w:val="22"/>
              </w:rPr>
              <w:t xml:space="preserve">未按相关安全规范操作（如操作中未佩戴个人防护设备，使用安全用具、放置警示标牌等），每发现一项扣</w:t>
            </w:r>
            <w:r>
              <w:rPr>
                <w:rFonts w:ascii="宋体" w:hAnsi="宋体" w:cs="宋体"/>
                <w:sz w:val="24"/>
                <w:szCs w:val="22"/>
              </w:rPr>
              <w:t xml:space="preserve">3</w:t>
            </w:r>
            <w:r>
              <w:rPr>
                <w:rFonts w:hint="eastAsia" w:ascii="宋体" w:hAnsi="宋体" w:cs="宋体"/>
                <w:sz w:val="24"/>
                <w:szCs w:val="22"/>
              </w:rPr>
              <w:t xml:space="preserve">分。</w:t>
            </w:r>
            <w:r>
              <w:rPr>
                <w:rFonts w:hint="eastAsia" w:ascii="宋体" w:hAnsi="宋体" w:cs="宋体"/>
                <w:sz w:val="24"/>
                <w:szCs w:val="22"/>
              </w:rPr>
            </w:r>
            <w:r/>
          </w:p>
          <w:p>
            <w:pPr>
              <w:pStyle w:val="995"/>
              <w:widowControl/>
              <w:rPr>
                <w:rFonts w:ascii="宋体" w:hAnsi="宋体" w:cs="宋体"/>
                <w:sz w:val="24"/>
                <w:szCs w:val="22"/>
              </w:rPr>
            </w:pPr>
            <w:r>
              <w:rPr>
                <w:rFonts w:hint="eastAsia" w:ascii="宋体" w:hAnsi="宋体" w:cs="宋体"/>
                <w:sz w:val="24"/>
                <w:szCs w:val="22"/>
              </w:rPr>
              <w:t xml:space="preserve">2、因施工作业时安全措施不到位导致人员受伤的，每出现</w:t>
            </w:r>
            <w:r>
              <w:rPr>
                <w:rFonts w:ascii="宋体" w:hAnsi="宋体" w:cs="宋体"/>
                <w:sz w:val="24"/>
                <w:szCs w:val="22"/>
              </w:rPr>
              <w:t xml:space="preserve">1</w:t>
            </w:r>
            <w:r>
              <w:rPr>
                <w:rFonts w:hint="eastAsia" w:ascii="宋体" w:hAnsi="宋体" w:cs="宋体"/>
                <w:sz w:val="24"/>
                <w:szCs w:val="22"/>
              </w:rPr>
              <w:t xml:space="preserve">次扣除</w:t>
            </w:r>
            <w:r>
              <w:rPr>
                <w:rFonts w:ascii="宋体" w:hAnsi="宋体" w:cs="宋体"/>
                <w:sz w:val="24"/>
                <w:szCs w:val="22"/>
              </w:rPr>
              <w:t xml:space="preserve">15</w:t>
            </w:r>
            <w:r>
              <w:rPr>
                <w:rFonts w:hint="eastAsia" w:ascii="宋体" w:hAnsi="宋体" w:cs="宋体"/>
                <w:sz w:val="24"/>
                <w:szCs w:val="22"/>
              </w:rPr>
              <w:t xml:space="preserve">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95"/>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95"/>
              <w:jc w:val="center"/>
              <w:widowControl/>
              <w:rPr>
                <w:rFonts w:ascii="宋体" w:hAnsi="宋体" w:cs="宋体"/>
                <w:sz w:val="24"/>
                <w:szCs w:val="22"/>
              </w:rPr>
            </w:pPr>
            <w:r>
              <w:rPr>
                <w:rFonts w:ascii="宋体" w:hAnsi="宋体" w:cs="宋体"/>
                <w:sz w:val="24"/>
                <w:szCs w:val="22"/>
              </w:rPr>
            </w:r>
            <w:r/>
          </w:p>
        </w:tc>
      </w:tr>
    </w:tbl>
    <w:p>
      <w:pPr>
        <w:pStyle w:val="995"/>
        <w:spacing w:line="360" w:lineRule="auto"/>
        <w:rPr>
          <w:rFonts w:ascii="宋体" w:hAnsi="宋体"/>
          <w:sz w:val="24"/>
        </w:rPr>
      </w:pPr>
      <w:r>
        <w:rPr>
          <w:rFonts w:ascii="宋体" w:hAnsi="宋体"/>
          <w:sz w:val="24"/>
        </w:rPr>
        <w:t xml:space="preserve">日期：______年____月____日                              得分：</w:t>
      </w:r>
      <w:r>
        <w:rPr>
          <w:rFonts w:ascii="宋体" w:hAnsi="宋体"/>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4.考核评分</w:t>
      </w:r>
      <w:r>
        <w:rPr>
          <w:rFonts w:hint="eastAsia" w:ascii="宋体" w:hAnsi="宋体" w:cs="宋体"/>
          <w:sz w:val="24"/>
        </w:rPr>
      </w:r>
      <w:r/>
    </w:p>
    <w:p>
      <w:pPr>
        <w:pStyle w:val="995"/>
        <w:ind w:firstLine="480"/>
        <w:jc w:val="left"/>
        <w:spacing w:line="360" w:lineRule="auto"/>
        <w:rPr>
          <w:rFonts w:hint="eastAsia" w:ascii="宋体" w:hAnsi="宋体" w:cs="宋体"/>
          <w:sz w:val="24"/>
        </w:rPr>
      </w:pPr>
      <w:r>
        <w:rPr>
          <w:rFonts w:hint="eastAsia" w:ascii="宋体" w:hAnsi="宋体"/>
          <w:sz w:val="24"/>
        </w:rPr>
        <w:t xml:space="preserve">以优良90分计算，月度考核分≤90分的，</w:t>
      </w:r>
      <w:r>
        <w:rPr>
          <w:rFonts w:hint="eastAsia" w:ascii="宋体" w:hAnsi="宋体" w:cs="宋体"/>
          <w:sz w:val="24"/>
        </w:rPr>
        <w:t xml:space="preserve">扣除当月该项服务费用，</w:t>
      </w:r>
      <w:r>
        <w:rPr>
          <w:rFonts w:hint="eastAsia" w:ascii="宋体" w:hAnsi="宋体"/>
          <w:sz w:val="24"/>
        </w:rPr>
        <w:t xml:space="preserve">扣款=（90-月度考核分）*当月该项服务费*1%，</w:t>
      </w:r>
      <w:r>
        <w:rPr>
          <w:rFonts w:ascii="宋体" w:hAnsi="宋体"/>
          <w:sz w:val="24"/>
        </w:rPr>
        <w:t xml:space="preserve">相应扣款将在维保费用中直接予以扣除。</w:t>
      </w:r>
      <w:r>
        <w:rPr>
          <w:rFonts w:hint="eastAsia" w:ascii="宋体" w:hAnsi="宋体" w:cs="宋体"/>
          <w:sz w:val="24"/>
        </w:rPr>
      </w:r>
      <w:r/>
    </w:p>
    <w:p>
      <w:pPr>
        <w:pStyle w:val="995"/>
        <w:ind w:firstLine="482"/>
        <w:jc w:val="left"/>
        <w:spacing w:line="360" w:lineRule="auto"/>
        <w:rPr>
          <w:rFonts w:hint="eastAsia" w:ascii="宋体" w:hAnsi="宋体" w:cs="宋体"/>
          <w:b/>
          <w:sz w:val="24"/>
        </w:rPr>
        <w:outlineLvl w:val="1"/>
      </w:pPr>
      <w:r>
        <w:rPr>
          <w:rFonts w:hint="eastAsia" w:ascii="宋体" w:hAnsi="宋体" w:cs="宋体"/>
          <w:b/>
          <w:sz w:val="24"/>
        </w:rPr>
        <w:t xml:space="preserve">八、附件：部分抢修维修基准单价表</w:t>
      </w:r>
      <w:r>
        <w:rPr>
          <w:rFonts w:hint="eastAsia" w:ascii="宋体" w:hAnsi="宋体" w:cs="宋体"/>
          <w:b/>
          <w:sz w:val="24"/>
        </w:rPr>
      </w:r>
      <w:r/>
    </w:p>
    <w:tbl>
      <w:tblPr>
        <w:tblW w:w="97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2847"/>
        <w:gridCol w:w="3098"/>
        <w:gridCol w:w="765"/>
        <w:gridCol w:w="988"/>
        <w:gridCol w:w="1340"/>
      </w:tblGrid>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b/>
                <w:bCs/>
                <w:sz w:val="18"/>
                <w:szCs w:val="18"/>
              </w:rPr>
            </w:pPr>
            <w:r>
              <w:rPr>
                <w:rFonts w:hint="eastAsia" w:ascii="宋体" w:hAnsi="宋体" w:cs="宋体"/>
                <w:b/>
                <w:bCs/>
                <w:sz w:val="18"/>
                <w:szCs w:val="18"/>
              </w:rPr>
              <w:t xml:space="preserve">项目名称</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b/>
                <w:bCs/>
                <w:sz w:val="18"/>
                <w:szCs w:val="18"/>
              </w:rPr>
            </w:pPr>
            <w:r>
              <w:rPr>
                <w:rFonts w:ascii="宋体" w:hAnsi="宋体"/>
                <w:b/>
                <w:bCs/>
                <w:sz w:val="18"/>
                <w:szCs w:val="18"/>
              </w:rPr>
              <w:t xml:space="preserve">规格型号</w:t>
            </w:r>
            <w:r>
              <w:rPr>
                <w:rFonts w:ascii="宋体" w:hAnsi="宋体"/>
                <w:b/>
                <w:bCs/>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b/>
                <w:bCs/>
                <w:sz w:val="18"/>
                <w:szCs w:val="18"/>
              </w:rPr>
            </w:pPr>
            <w:r>
              <w:rPr>
                <w:rFonts w:hint="eastAsia" w:ascii="宋体" w:hAnsi="宋体" w:cs="宋体"/>
                <w:b/>
                <w:bCs/>
                <w:sz w:val="18"/>
                <w:szCs w:val="18"/>
              </w:rPr>
              <w:t xml:space="preserve">单位</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b/>
                <w:bCs/>
                <w:sz w:val="18"/>
                <w:szCs w:val="18"/>
              </w:rPr>
            </w:pPr>
            <w:r>
              <w:rPr>
                <w:rFonts w:ascii="宋体" w:hAnsi="宋体"/>
                <w:b/>
                <w:bCs/>
                <w:sz w:val="18"/>
                <w:szCs w:val="18"/>
              </w:rPr>
              <w:t xml:space="preserve">单价</w:t>
            </w:r>
            <w:r>
              <w:rPr>
                <w:rFonts w:ascii="宋体" w:hAnsi="宋体"/>
                <w:b/>
                <w:bCs/>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b/>
                <w:bCs/>
                <w:sz w:val="18"/>
                <w:szCs w:val="18"/>
              </w:rPr>
            </w:pPr>
            <w:r>
              <w:rPr>
                <w:rFonts w:hint="eastAsia" w:ascii="宋体" w:hAnsi="宋体" w:cs="宋体"/>
                <w:b/>
                <w:bCs/>
                <w:sz w:val="18"/>
                <w:szCs w:val="18"/>
              </w:rPr>
              <w:t xml:space="preserve">备注</w:t>
            </w:r>
            <w:r>
              <w:rPr>
                <w:rFonts w:ascii="宋体" w:hAnsi="宋体" w:cs="宋体"/>
                <w:b/>
                <w:bCs/>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bCs/>
                <w:sz w:val="18"/>
                <w:szCs w:val="18"/>
              </w:rPr>
            </w:pPr>
            <w:r>
              <w:rPr>
                <w:rFonts w:hint="eastAsia" w:ascii="宋体" w:hAnsi="宋体" w:cs="宋体"/>
                <w:color w:val="000000"/>
                <w:sz w:val="18"/>
                <w:szCs w:val="18"/>
              </w:rPr>
              <w:t xml:space="preserve">1</w:t>
            </w:r>
            <w:r>
              <w:rPr>
                <w:rFonts w:ascii="宋体" w:hAnsi="宋体" w:cs="宋体"/>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428</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b/>
                <w:bCs/>
                <w:sz w:val="18"/>
                <w:szCs w:val="18"/>
              </w:rPr>
            </w:pPr>
            <w:r>
              <w:rPr>
                <w:rFonts w:hint="eastAsia" w:ascii="宋体" w:hAnsi="宋体" w:cs="宋体"/>
                <w:color w:val="000000"/>
                <w:sz w:val="18"/>
                <w:szCs w:val="18"/>
              </w:rPr>
              <w:t xml:space="preserve">2</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户外</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868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防火封堵</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柜盘/管道</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悬式瓷瓶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XP70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可视化电缆盖板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600*600</w:t>
            </w:r>
            <w:r>
              <w:rPr>
                <w:rFonts w:hint="eastAsia" w:ascii="宋体" w:hAnsi="宋体"/>
                <w:sz w:val="18"/>
                <w:szCs w:val="18"/>
              </w:rPr>
              <w:t xml:space="preserve">；</w:t>
            </w:r>
            <w:r>
              <w:rPr>
                <w:rFonts w:ascii="宋体" w:hAnsi="宋体"/>
                <w:sz w:val="18"/>
                <w:szCs w:val="18"/>
              </w:rPr>
              <w:t xml:space="preserve">含安装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带电作业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车辆台班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8T及以下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叉车台班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吊车台班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吊车台班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跌落熔断器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RW12-15 100A以下 含熔管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跌落熔管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RW12-15 100A以下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高压PT熔管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XRNP1-10/12KV/0.5A 1A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环网柜熔管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XRNT-10kV-80A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微机综保</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PCS-9600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南瑞</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微机综保</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PSL641UX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南自</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HY5WZ-17/50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HY5WZ-17/45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避雷器计数器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JS-8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LZZBJ9-10 不区分变比</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10kV电压互感器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JDZ10-10 不区分变比</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带电显示器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DXN-T/Q 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高压接地开关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JN15-12/31.5-210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柜内除湿器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半导体冷凝</w:t>
            </w:r>
            <w:r>
              <w:rPr>
                <w:rFonts w:hint="eastAsia" w:ascii="宋体" w:hAnsi="宋体"/>
                <w:sz w:val="18"/>
                <w:szCs w:val="18"/>
              </w:rPr>
              <w:t xml:space="preserve">；</w:t>
            </w:r>
            <w:r>
              <w:rPr>
                <w:rFonts w:ascii="宋体" w:hAnsi="宋体"/>
                <w:sz w:val="18"/>
                <w:szCs w:val="18"/>
              </w:rPr>
              <w:t xml:space="preserve">AC220V 120W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穿墙套管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180*110/12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电加热器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DJR-500W AC220V 铝合金 带风扇</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10kV传感器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CG5-10Q</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H140/12kV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静触头盒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CH3-10Q/150 630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静触头盒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CH3-10Q/180 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静触头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630/10kV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静触头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1250/10kV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动触头(梅花)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GC5 630A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动触头(梅花)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GC5 1250A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中置柜活门机构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800宽</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VS1分闸线圈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ZN63-12 DC</w:t>
            </w:r>
            <w:r>
              <w:rPr>
                <w:rFonts w:hint="eastAsia" w:ascii="宋体" w:hAnsi="宋体"/>
                <w:sz w:val="18"/>
                <w:szCs w:val="18"/>
              </w:rPr>
              <w:t xml:space="preserve">；</w:t>
            </w:r>
            <w:r>
              <w:rPr>
                <w:rFonts w:ascii="宋体" w:hAnsi="宋体"/>
                <w:sz w:val="18"/>
                <w:szCs w:val="18"/>
              </w:rPr>
              <w:t xml:space="preserve">110/220V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真空断路器分闸线圈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EV12S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真空断路器厂家测试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EV12S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安全工器具试验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绝缘手套、绝缘靴、验电笔、令克棒、绝缘垫</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付/块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安全工器具试验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接地棒</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温度控制器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BWDK-326D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配变电磁锁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适用各类箱变、高低压柜</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铰链/锁扣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适用各类箱变、高低压柜、配电柜</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配变冷却风机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适用各类干变</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配变密封圈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低压</w:t>
            </w:r>
            <w:r>
              <w:rPr>
                <w:rFonts w:hint="eastAsia" w:ascii="宋体" w:hAnsi="宋体"/>
                <w:sz w:val="18"/>
                <w:szCs w:val="18"/>
              </w:rPr>
              <w:t xml:space="preserve">，</w:t>
            </w:r>
            <w:r>
              <w:rPr>
                <w:rFonts w:ascii="宋体" w:hAnsi="宋体"/>
                <w:sz w:val="18"/>
                <w:szCs w:val="18"/>
              </w:rPr>
              <w:t xml:space="preserve">0.4kV，4只/套</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配变密封圈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高压</w:t>
            </w:r>
            <w:r>
              <w:rPr>
                <w:rFonts w:hint="eastAsia" w:ascii="宋体" w:hAnsi="宋体"/>
                <w:sz w:val="18"/>
                <w:szCs w:val="18"/>
              </w:rPr>
              <w:t xml:space="preserve">，</w:t>
            </w:r>
            <w:r>
              <w:rPr>
                <w:rFonts w:ascii="宋体" w:hAnsi="宋体"/>
                <w:sz w:val="18"/>
                <w:szCs w:val="18"/>
              </w:rPr>
              <w:t xml:space="preserve">10kV，3只/套</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变压器油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DB-25#</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kg</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变压器减震器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500kg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NSX100N/3P TMD 16~100A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1238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NSX160N/3P TMD 80~160A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1986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NSX250N/3P TMD 125~250A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2801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NSX400N/3P TMD 250~400A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3674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NSX630N/3P TMD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6607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CM3-100L/3300</w:t>
            </w:r>
            <w:r>
              <w:rPr>
                <w:rFonts w:hint="eastAsia" w:ascii="宋体" w:hAnsi="宋体"/>
                <w:sz w:val="18"/>
                <w:szCs w:val="18"/>
              </w:rPr>
              <w:t xml:space="preserve">；</w:t>
            </w:r>
            <w:r>
              <w:rPr>
                <w:rFonts w:ascii="宋体" w:hAnsi="宋体"/>
                <w:sz w:val="18"/>
                <w:szCs w:val="18"/>
              </w:rPr>
              <w:t xml:space="preserve">63~100A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574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CM3-250L/3300</w:t>
            </w:r>
            <w:r>
              <w:rPr>
                <w:rFonts w:hint="eastAsia" w:ascii="宋体" w:hAnsi="宋体"/>
                <w:sz w:val="18"/>
                <w:szCs w:val="18"/>
              </w:rPr>
              <w:t xml:space="preserve">；</w:t>
            </w:r>
            <w:r>
              <w:rPr>
                <w:rFonts w:ascii="宋体" w:hAnsi="宋体"/>
                <w:sz w:val="18"/>
                <w:szCs w:val="18"/>
              </w:rPr>
              <w:t xml:space="preserve">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1204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CM3-400L/3300</w:t>
            </w:r>
            <w:r>
              <w:rPr>
                <w:rFonts w:hint="eastAsia" w:ascii="宋体" w:hAnsi="宋体"/>
                <w:sz w:val="18"/>
                <w:szCs w:val="18"/>
              </w:rPr>
              <w:t xml:space="preserve">；</w:t>
            </w:r>
            <w:r>
              <w:rPr>
                <w:rFonts w:ascii="宋体" w:hAnsi="宋体"/>
                <w:sz w:val="18"/>
                <w:szCs w:val="18"/>
              </w:rPr>
              <w:t xml:space="preserve">225~400A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1506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CM3-100L/3340</w:t>
            </w:r>
            <w:r>
              <w:rPr>
                <w:rFonts w:hint="eastAsia" w:ascii="宋体" w:hAnsi="宋体"/>
                <w:sz w:val="18"/>
                <w:szCs w:val="18"/>
              </w:rPr>
              <w:t xml:space="preserve">；</w:t>
            </w:r>
            <w:r>
              <w:rPr>
                <w:rFonts w:ascii="宋体" w:hAnsi="宋体"/>
                <w:sz w:val="18"/>
                <w:szCs w:val="18"/>
              </w:rPr>
              <w:t xml:space="preserve">63~100A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701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CM3-250L/3340</w:t>
            </w:r>
            <w:r>
              <w:rPr>
                <w:rFonts w:hint="eastAsia" w:ascii="宋体" w:hAnsi="宋体"/>
                <w:sz w:val="18"/>
                <w:szCs w:val="18"/>
              </w:rPr>
              <w:t xml:space="preserve">；</w:t>
            </w:r>
            <w:r>
              <w:rPr>
                <w:rFonts w:ascii="宋体" w:hAnsi="宋体"/>
                <w:sz w:val="18"/>
                <w:szCs w:val="18"/>
              </w:rPr>
              <w:t xml:space="preserve">100~250A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1346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CM3-400L/3340</w:t>
            </w:r>
            <w:r>
              <w:rPr>
                <w:rFonts w:hint="eastAsia" w:ascii="宋体" w:hAnsi="宋体"/>
                <w:sz w:val="18"/>
                <w:szCs w:val="18"/>
              </w:rPr>
              <w:t xml:space="preserve">；</w:t>
            </w:r>
            <w:r>
              <w:rPr>
                <w:rFonts w:ascii="宋体" w:hAnsi="宋体"/>
                <w:sz w:val="18"/>
                <w:szCs w:val="18"/>
              </w:rPr>
              <w:t xml:space="preserve">225~400A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1506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1P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1P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182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2P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2P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3P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3P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288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4P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4P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384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3P D16~32A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266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3P D40~63A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63/1P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63/2P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63/3P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63/4P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OT160E-03K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1067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OT200E-03K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OT250E-03K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1699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OT400E-03K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OT630E-03K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4752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OT800E-03K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7135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WG160/3P</w:t>
            </w:r>
            <w:r>
              <w:rPr>
                <w:rFonts w:hint="eastAsia" w:ascii="宋体" w:hAnsi="宋体"/>
                <w:sz w:val="18"/>
                <w:szCs w:val="18"/>
              </w:rPr>
              <w:t xml:space="preserve">；</w:t>
            </w:r>
            <w:r>
              <w:rPr>
                <w:rFonts w:ascii="宋体" w:hAnsi="宋体"/>
                <w:sz w:val="18"/>
                <w:szCs w:val="18"/>
              </w:rPr>
              <w:t xml:space="preserve">100~160A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643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WG315/3P</w:t>
            </w:r>
            <w:r>
              <w:rPr>
                <w:rFonts w:hint="eastAsia" w:ascii="宋体" w:hAnsi="宋体"/>
                <w:sz w:val="18"/>
                <w:szCs w:val="18"/>
              </w:rPr>
              <w:t xml:space="preserve">；</w:t>
            </w:r>
            <w:r>
              <w:rPr>
                <w:rFonts w:ascii="宋体" w:hAnsi="宋体"/>
                <w:sz w:val="18"/>
                <w:szCs w:val="18"/>
              </w:rPr>
              <w:t xml:space="preserve">160~250A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WG315/3P</w:t>
            </w:r>
            <w:r>
              <w:rPr>
                <w:rFonts w:hint="eastAsia" w:ascii="宋体" w:hAnsi="宋体"/>
                <w:sz w:val="18"/>
                <w:szCs w:val="18"/>
              </w:rPr>
              <w:t xml:space="preserve">；</w:t>
            </w:r>
            <w:r>
              <w:rPr>
                <w:rFonts w:ascii="宋体" w:hAnsi="宋体"/>
                <w:sz w:val="18"/>
                <w:szCs w:val="18"/>
              </w:rPr>
              <w:t xml:space="preserve">315A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WG400/3P</w:t>
            </w:r>
            <w:r>
              <w:rPr>
                <w:rFonts w:hint="eastAsia" w:ascii="宋体" w:hAnsi="宋体"/>
                <w:sz w:val="18"/>
                <w:szCs w:val="18"/>
              </w:rPr>
              <w:t xml:space="preserve">；</w:t>
            </w:r>
            <w:r>
              <w:rPr>
                <w:rFonts w:ascii="宋体" w:hAnsi="宋体"/>
                <w:sz w:val="18"/>
                <w:szCs w:val="18"/>
              </w:rPr>
              <w:t xml:space="preserve">315~400A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1419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500A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1938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630A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800A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QA-125A/3P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QA-160A/3P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QA-200A/3P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QA-400A/3P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QA-630A/3P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1458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QA-1000A/3P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2959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HD13-200A/31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HD13-400A/31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466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HD13-630A/31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HD13-1000A/31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1295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HD13-1500A/31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160A及以下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160A及以下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250A及以下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250A及以下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400A及以下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400A及以下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630A及以下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630A及以下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800A及以下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800A及以下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快速熔断器熔芯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RS71/NGT</w:t>
            </w:r>
            <w:r>
              <w:rPr>
                <w:rFonts w:hint="eastAsia" w:ascii="宋体" w:hAnsi="宋体"/>
                <w:sz w:val="18"/>
                <w:szCs w:val="18"/>
              </w:rPr>
              <w:t xml:space="preserve">；</w:t>
            </w:r>
            <w:r>
              <w:rPr>
                <w:rFonts w:ascii="宋体" w:hAnsi="宋体"/>
                <w:sz w:val="18"/>
                <w:szCs w:val="18"/>
              </w:rPr>
              <w:t xml:space="preserve">250~800A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母线框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不区分柜型、母线规格</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低压开关操作手柄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指示灯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AD11-22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旋钮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LA18-22X2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LA38-11B(T)</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2节 二档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3节 三档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4节 四档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限位开关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YBLX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BH-0.66 600/5A及以下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BH-0.66 800/5A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1000/5A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LQ96L LED 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ZEF96L LED 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电压表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6L2-V-0-250(450)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6L2-A-5~4000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电度表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DTZ63</w:t>
            </w:r>
            <w:r>
              <w:rPr>
                <w:rFonts w:hint="eastAsia" w:ascii="宋体" w:hAnsi="宋体"/>
                <w:sz w:val="18"/>
                <w:szCs w:val="18"/>
              </w:rPr>
              <w:t xml:space="preserve">；</w:t>
            </w:r>
            <w:r>
              <w:rPr>
                <w:rFonts w:ascii="宋体" w:hAnsi="宋体"/>
                <w:sz w:val="18"/>
                <w:szCs w:val="18"/>
              </w:rPr>
              <w:t xml:space="preserve">3*1.6（5）A</w:t>
            </w:r>
            <w:r>
              <w:rPr>
                <w:rFonts w:hint="eastAsia" w:ascii="宋体" w:hAnsi="宋体"/>
                <w:sz w:val="18"/>
                <w:szCs w:val="18"/>
              </w:rPr>
              <w:t xml:space="preserve">；</w:t>
            </w:r>
            <w:r>
              <w:rPr>
                <w:rFonts w:ascii="宋体" w:hAnsi="宋体"/>
                <w:sz w:val="18"/>
                <w:szCs w:val="18"/>
              </w:rPr>
              <w:t xml:space="preserve">0.5S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HH52P~54P</w:t>
            </w:r>
            <w:r>
              <w:rPr>
                <w:rFonts w:hint="eastAsia" w:ascii="宋体" w:hAnsi="宋体"/>
                <w:sz w:val="18"/>
                <w:szCs w:val="18"/>
              </w:rPr>
              <w:t xml:space="preserve">；</w:t>
            </w:r>
            <w:r>
              <w:rPr>
                <w:rFonts w:ascii="宋体" w:hAnsi="宋体"/>
                <w:sz w:val="18"/>
                <w:szCs w:val="18"/>
              </w:rPr>
              <w:t xml:space="preserve">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国优</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RXM2A~4A 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99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通风风机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TXA60S-200B2H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过滤网罩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TX9805-200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220" w:leader="none"/>
                <w:tab w:val="center" w:pos="407" w:leader="none"/>
              </w:tabs>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TD20A-10P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UK-2.5B/3N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UK-2.5N/3N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断路器智能控制器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断路器智能控制器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三锁两钥匙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三锁两钥匙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欠压线圈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欠压线圈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抽屉动静插件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MNS/GCK，C7C2，100~630A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柜门及柜板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2.0mm</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塑壳开关绝缘挡板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低压抽屉故障排查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框架断路器桩头清洗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框架断路器返厂拆检</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框架断路器定值整定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HH15(QSA)-160/3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HH15(QSA)-250/3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HH15(QSA)-400/3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993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HH15(QSA)-630/3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HH15(QSA)-800/3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HH15(QSA)-1000/3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4830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动态补偿控制器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JKW5-16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静态补偿控制器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JKL5-12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功率因素表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6L2-COS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MDDQFK-</w:t>
            </w:r>
            <w:r>
              <w:rPr>
                <w:rFonts w:ascii="宋体" w:hAnsi="宋体" w:cs="Cambria Math"/>
                <w:sz w:val="18"/>
                <w:szCs w:val="18"/>
              </w:rPr>
              <w:t xml:space="preserve">△</w:t>
            </w:r>
            <w:r>
              <w:rPr>
                <w:rFonts w:ascii="宋体" w:hAnsi="宋体"/>
                <w:sz w:val="18"/>
                <w:szCs w:val="18"/>
              </w:rPr>
              <w:t xml:space="preserve">380V-3kvar</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LBFK-32AY-250V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谐波抑制器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LXY0.45-3-3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投切器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LBT50/G 50kVar</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3281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MDDQT3C2-40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MDDQT3C2-25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CJ19-32/11 220V/380V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CJ19-43/11 220V/380V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CJ19-63/11 220V/380V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热继电器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JR36-20 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热继电器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JR36-63 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BSMJ0.45-10-3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BSMJ0.45-14-3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BSMJ0.45-16-3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BSMJ0.45-20-3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BSMJ0.45-30-3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BSMJ0.45-40-3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BSMJ0.25-10-3YN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BSMJ0.25-16-3YN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BSMJ0.25-20-3YN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BSMJ0.25-25-3YN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BSMJ0.25-30-3YN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BSMJ0.25-40-3YN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电抗器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CKSG-2.8/0.48/7%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JLFK-63A/</w:t>
            </w:r>
            <w:r>
              <w:rPr>
                <w:rFonts w:ascii="宋体" w:hAnsi="宋体" w:cs="Cambria Math"/>
                <w:sz w:val="18"/>
                <w:szCs w:val="18"/>
              </w:rPr>
              <w:t xml:space="preserve">△</w:t>
            </w:r>
            <w:r>
              <w:rPr>
                <w:rFonts w:ascii="宋体" w:hAnsi="宋体"/>
                <w:sz w:val="18"/>
                <w:szCs w:val="18"/>
              </w:rPr>
              <w:t xml:space="preserve">400V-CS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JLKCS3F0.25-15*3-1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JLMJ0.28-40-3YN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电抗器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JLCKDG0.28-0.933/7%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无功补偿组件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电容+电抗+可控硅 NL-SMT480-30-R7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无功补偿组件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电容+电抗+可控硅 NL-SMT480-20-R7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DN-MKPd0.25-8.33-1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DN-MKPd0.44-40-3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color w:val="000000"/>
                <w:sz w:val="18"/>
                <w:szCs w:val="18"/>
              </w:rPr>
            </w:pPr>
            <w:r>
              <w:rPr>
                <w:rFonts w:hint="eastAsia" w:ascii="宋体" w:hAnsi="宋体" w:cs="宋体"/>
                <w:color w:val="000000"/>
                <w:sz w:val="18"/>
                <w:szCs w:val="18"/>
              </w:rPr>
              <w:t xml:space="preserve">202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SVG柜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STD SVG-0.4-300k/4L</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82000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hint="eastAsia" w:ascii="宋体" w:hAnsi="宋体" w:cs="宋体"/>
                <w:sz w:val="18"/>
                <w:szCs w:val="18"/>
              </w:rPr>
            </w:pPr>
            <w:r>
              <w:rPr>
                <w:rFonts w:hint="eastAsia" w:ascii="宋体" w:hAnsi="宋体" w:cs="宋体"/>
                <w:sz w:val="18"/>
                <w:szCs w:val="18"/>
              </w:rPr>
              <w:t xml:space="preserve">国产优质</w:t>
            </w:r>
            <w:r>
              <w:rPr>
                <w:rFonts w:hint="eastAsia"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12V 20AH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12V 40AH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12V 65AH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12V 100AH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直流屏充电模块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综合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直流屏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DC110V 20Ah，含蓄电池</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PZ30-8S</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PZ30-15S</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200*300(H)*200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300*400(H)*200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400*600(H)*200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600*800(H)*200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配电柜体(壳)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400*800*1800(H)</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风机控制箱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1*1.5kW</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元器件常熟</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控制电缆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KVVP-4*1.5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通讯电缆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ATSP-RS485 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通讯电缆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RVVSP 3*1.5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防火封堵</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柜盘/管道</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砖砌电缆井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卷帘门按钮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304面板</w:t>
            </w:r>
            <w:r>
              <w:rPr>
                <w:rFonts w:hint="eastAsia" w:ascii="宋体" w:hAnsi="宋体"/>
                <w:sz w:val="18"/>
                <w:szCs w:val="18"/>
              </w:rPr>
              <w:t xml:space="preserve">；</w:t>
            </w:r>
            <w:r>
              <w:rPr>
                <w:rFonts w:ascii="宋体" w:hAnsi="宋体"/>
                <w:sz w:val="18"/>
                <w:szCs w:val="18"/>
              </w:rPr>
              <w:t xml:space="preserve">2钥匙</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混流风机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AUX-DF3.5B</w:t>
            </w:r>
            <w:r>
              <w:rPr>
                <w:rFonts w:hint="eastAsia" w:ascii="宋体" w:hAnsi="宋体"/>
                <w:sz w:val="18"/>
                <w:szCs w:val="18"/>
              </w:rPr>
              <w:t xml:space="preserve">；</w:t>
            </w:r>
            <w:r>
              <w:rPr>
                <w:rFonts w:ascii="宋体" w:hAnsi="宋体"/>
                <w:sz w:val="18"/>
                <w:szCs w:val="18"/>
              </w:rPr>
              <w:t xml:space="preserve">500W</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单层百叶风口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500*320</w:t>
            </w:r>
            <w:r>
              <w:rPr>
                <w:rFonts w:hint="eastAsia" w:ascii="宋体" w:hAnsi="宋体"/>
                <w:sz w:val="18"/>
                <w:szCs w:val="18"/>
              </w:rPr>
              <w:t xml:space="preserve">；</w:t>
            </w:r>
            <w:r>
              <w:rPr>
                <w:rFonts w:ascii="宋体" w:hAnsi="宋体"/>
                <w:sz w:val="18"/>
                <w:szCs w:val="18"/>
              </w:rPr>
              <w:t xml:space="preserve">铝合金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柜内清扫</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控制柜/控制箱</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柜内防锈处理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门板焊接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触摸屏组态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NSX100N/3P MIC 40~160A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3179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NSX250N/3P MIC 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7218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NSX400N/3P MIC 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NSX630N/3P MIC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13149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NSX100N/4P MIC 40~160A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7432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NSX250N/4P MIC 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9877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NSX400N/4P MIC 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NSX630N/4P MIC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13855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2P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2P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441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3P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529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3P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4P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4P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DPNa Vigi 1P+N</w:t>
            </w:r>
            <w:r>
              <w:rPr>
                <w:rFonts w:hint="eastAsia" w:ascii="宋体" w:hAnsi="宋体"/>
                <w:sz w:val="18"/>
                <w:szCs w:val="18"/>
              </w:rPr>
              <w:t xml:space="preserve">；</w:t>
            </w:r>
            <w:r>
              <w:rPr>
                <w:rFonts w:ascii="宋体" w:hAnsi="宋体"/>
                <w:sz w:val="18"/>
                <w:szCs w:val="18"/>
              </w:rPr>
              <w:t xml:space="preserve">C16~40A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DPNa Vigi 1P+N</w:t>
            </w:r>
            <w:r>
              <w:rPr>
                <w:rFonts w:hint="eastAsia" w:ascii="宋体" w:hAnsi="宋体"/>
                <w:sz w:val="18"/>
                <w:szCs w:val="18"/>
              </w:rPr>
              <w:t xml:space="preserve">；</w:t>
            </w:r>
            <w:r>
              <w:rPr>
                <w:rFonts w:ascii="宋体" w:hAnsi="宋体"/>
                <w:sz w:val="18"/>
                <w:szCs w:val="18"/>
              </w:rPr>
              <w:t xml:space="preserve">D16~40A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NXBLE-63/2P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NXBLE-63/3P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NXBLE-63/4P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MRB65LE-50/2P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MRB65LE-50/3P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MRB65LE-50/4P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电动机热磁断路器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GV2ME06~16</w:t>
            </w:r>
            <w:r>
              <w:rPr>
                <w:rFonts w:hint="eastAsia" w:ascii="宋体" w:hAnsi="宋体"/>
                <w:sz w:val="18"/>
                <w:szCs w:val="18"/>
              </w:rPr>
              <w:t xml:space="preserve">；</w:t>
            </w:r>
            <w:r>
              <w:rPr>
                <w:rFonts w:ascii="宋体" w:hAnsi="宋体"/>
                <w:sz w:val="18"/>
                <w:szCs w:val="18"/>
              </w:rPr>
              <w:t xml:space="preserve">1~14A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LC1D09</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LC1D12</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LC1D18</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LC1D25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LC1D32</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LC1D40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LC1D50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LC1D65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LC1D80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LC1D95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LC1D115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1979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LC1D150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LC1D170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CDCH8S-20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CDCH8S-25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CDCH8S-40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CDCH8S-63</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热继电器(含底座)</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LRD07C~35C 1.6~38A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I级浪涌保护器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TK25-T1-385/4P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277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I级专用后备保护器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TK-SCB-T1-25/4P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1339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278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TK80-T2-385/4P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1326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TRONK</w:t>
            </w:r>
            <w:r>
              <w:rPr>
                <w:rFonts w:hint="eastAsia"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279</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TK-SCB-T2-80/4P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975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TRONK</w:t>
            </w:r>
            <w:r>
              <w:rPr>
                <w:rFonts w:hint="eastAsia"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TK40-T2-320/4P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962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281</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TK-SCB-T2-40/4P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282</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Ⅲ级浪涌保护器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TK20-T2-275/4P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871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283</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Ⅲ级专用后备保护器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TK-SCB-T2-40/4P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284</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Ⅱ级浪涌保护器(220V)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TK40-T2-320/2P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494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285</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Ⅱ级专用后备保护器(220V)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TK-SCB-T2-40/2P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286</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Ⅲ级浪涌保护器(220V)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TK20-T2-275/2P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442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Ⅲ级专用后备保护器(220V)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TK-SCB-T2-40/2P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百兆以太网SPD（安装于室内）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TKRJ45-100M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289</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百兆以太网SPD（安装于室外）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TKRJ45-100M-H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以太网PoE  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TKRJ45-PoE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291</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千兆以太网SPD（安装于室内）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TKRJ45-1000M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292</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千兆以太网SPD（安装于室外）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TKRJ45-1000M-H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293</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电源网络二合一（24V)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w:t>
            </w:r>
            <w:r>
              <w:rPr>
                <w:rFonts w:ascii="宋体" w:hAnsi="宋体"/>
                <w:sz w:val="18"/>
                <w:szCs w:val="18"/>
              </w:rPr>
              <w:t xml:space="preserve">-2/24V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294</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电源网络二合一（220V)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w:t>
            </w:r>
            <w:r>
              <w:rPr>
                <w:rFonts w:ascii="宋体" w:hAnsi="宋体"/>
                <w:sz w:val="18"/>
                <w:szCs w:val="18"/>
              </w:rPr>
              <w:t xml:space="preserve">-2/220V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295</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24V电源SPD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TK20-24V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494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296</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4-20mA模拟量信号SPD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TKS-X-CG-1×2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数字量信号SPD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TKS-24-M-1×2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各类总线SPD（MODBUS、RS485等）</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TKS-5-CG-1×4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color w:val="000000"/>
                <w:sz w:val="18"/>
                <w:szCs w:val="18"/>
              </w:rPr>
              <w:t xml:space="preserve">299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信号隔离器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TKB-111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468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M10及以内综合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TB15A-4P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TB25A-4P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TB45A-4P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TC60A-4P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TC100A-4P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指示灯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AD11-22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旋钮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LA18-22X2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LA38-11B(T)</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2节 二档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3节 三档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4节 四档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时控开关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KG316T</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限位开关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YBLX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BH-0.66 600/5A及以下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BH-0.66 800/5A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电流互感器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1000/5A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多功能表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PD194Z-9CNX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多功能表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PD760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电压表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6L2-V-0-250(450)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6L2-A-5~4000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电度表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DTZ63</w:t>
            </w:r>
            <w:r>
              <w:rPr>
                <w:rFonts w:hint="eastAsia" w:ascii="宋体" w:hAnsi="宋体"/>
                <w:sz w:val="18"/>
                <w:szCs w:val="18"/>
              </w:rPr>
              <w:t xml:space="preserve">；</w:t>
            </w:r>
            <w:r>
              <w:rPr>
                <w:rFonts w:ascii="宋体" w:hAnsi="宋体"/>
                <w:sz w:val="18"/>
                <w:szCs w:val="18"/>
              </w:rPr>
              <w:t xml:space="preserve">3*1.6（5）A</w:t>
            </w:r>
            <w:r>
              <w:rPr>
                <w:rFonts w:hint="eastAsia" w:ascii="宋体" w:hAnsi="宋体"/>
                <w:sz w:val="18"/>
                <w:szCs w:val="18"/>
              </w:rPr>
              <w:t xml:space="preserve">；</w:t>
            </w:r>
            <w:r>
              <w:rPr>
                <w:rFonts w:ascii="宋体" w:hAnsi="宋体"/>
                <w:sz w:val="18"/>
                <w:szCs w:val="18"/>
              </w:rPr>
              <w:t xml:space="preserve">0.5S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电源模块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HDR-60-24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HH52P~54P</w:t>
            </w:r>
            <w:r>
              <w:rPr>
                <w:rFonts w:hint="eastAsia" w:ascii="宋体" w:hAnsi="宋体"/>
                <w:sz w:val="18"/>
                <w:szCs w:val="18"/>
              </w:rPr>
              <w:t xml:space="preserve">；</w:t>
            </w:r>
            <w:r>
              <w:rPr>
                <w:rFonts w:ascii="宋体" w:hAnsi="宋体"/>
                <w:sz w:val="18"/>
                <w:szCs w:val="18"/>
              </w:rPr>
              <w:t xml:space="preserve">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RXM2A~4A 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继电器模组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LC-16NG8C-D24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温控仪表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CHB-401</w:t>
            </w:r>
            <w:r>
              <w:rPr>
                <w:rFonts w:hint="eastAsia" w:ascii="宋体" w:hAnsi="宋体"/>
                <w:sz w:val="18"/>
                <w:szCs w:val="18"/>
              </w:rPr>
              <w:t xml:space="preserve">；</w:t>
            </w:r>
            <w:r>
              <w:rPr>
                <w:rFonts w:ascii="宋体" w:hAnsi="宋体"/>
                <w:sz w:val="18"/>
                <w:szCs w:val="18"/>
              </w:rPr>
              <w:t xml:space="preserve">数显</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通风风机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TXA60S-200B2H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过滤网罩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TX9805-200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TG/A C30-4/25A 400V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TG/A C30-3/16A 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TG/A C30-2/16A 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TD20A-10P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UK-2.5B/3N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UK-2.5N/3N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电气导轨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钢制</w:t>
            </w:r>
            <w:r>
              <w:rPr>
                <w:rFonts w:hint="eastAsia" w:ascii="宋体" w:hAnsi="宋体"/>
                <w:sz w:val="18"/>
                <w:szCs w:val="18"/>
              </w:rPr>
              <w:t xml:space="preserve">；</w:t>
            </w:r>
            <w:r>
              <w:rPr>
                <w:rFonts w:ascii="宋体" w:hAnsi="宋体"/>
                <w:sz w:val="18"/>
                <w:szCs w:val="18"/>
              </w:rPr>
              <w:t xml:space="preserve">C35</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电气导轨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铝制</w:t>
            </w:r>
            <w:r>
              <w:rPr>
                <w:rFonts w:hint="eastAsia" w:ascii="宋体" w:hAnsi="宋体"/>
                <w:sz w:val="18"/>
                <w:szCs w:val="18"/>
              </w:rPr>
              <w:t xml:space="preserve">；</w:t>
            </w:r>
            <w:r>
              <w:rPr>
                <w:rFonts w:ascii="宋体" w:hAnsi="宋体"/>
                <w:sz w:val="18"/>
                <w:szCs w:val="18"/>
              </w:rPr>
              <w:t xml:space="preserve">C35</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电气梁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环氧板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3mm厚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钢化玻璃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有机玻璃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柜门及柜板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2.0mm</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塑壳开关绝缘挡板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8553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8680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3kW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9932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10172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12483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11kW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14485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16667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21035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30kW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23232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33630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38828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48747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58891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110kW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68176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78721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9302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11646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30kW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13998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16604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17948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19159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22355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110kW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24504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29265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变频器控制板处理器单元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变频器控制板存储单元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变频器控制板存储单元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180kW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变频器控制板网口单元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变频器控制板网口单元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ACS/ATV/SINAMICS/MD</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施耐德/ABB/西门子/汇川</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变频器主控板容阻单元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变频器主控板容阻单元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变频器主控板接线桩单元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变频器主控板温度检测单元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180kW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变频器辅控板通风单元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软启动器控制板IC光耦单元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软启动器主控板容阻组件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软启动器主控板容阻组件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220V避雷器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220V，标称泄放电流：20KA，自配熔断器，防谐波，防浪涌</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24V避雷器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PAD-24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模拟量信号隔离器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SUM1211001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薄片继电器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PLC-RSC-24DC/21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菲尼克斯</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开关电源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S-350-24</w:t>
            </w:r>
            <w:r>
              <w:rPr>
                <w:rFonts w:hint="eastAsia" w:ascii="宋体" w:hAnsi="宋体"/>
                <w:sz w:val="18"/>
                <w:szCs w:val="18"/>
              </w:rPr>
              <w:t xml:space="preserve">；</w:t>
            </w:r>
            <w:r>
              <w:rPr>
                <w:rFonts w:ascii="宋体" w:hAnsi="宋体"/>
                <w:sz w:val="18"/>
                <w:szCs w:val="18"/>
              </w:rPr>
              <w:t xml:space="preserve">200-240VAC/4.0A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2080-LC50-48QWB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2080-IF4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2080-OF4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BMXP342020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PLC电源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BMXCPS2000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PLC底板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BMXXBP0800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PLC数字量输入模块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BMXDDI3202K</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PLC数字量输出模块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BMXDDO1602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PLC模拟量输入模块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BMXAMI0410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PLC模拟量输出模块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BMXAMO0410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1769-L30ER-BB1B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PLC通讯模块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1769-SM2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PLC数字量输入模块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1769-IQ16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PLC数字量输出模块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1769-OB16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PLC模拟量输入模块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1769-IF8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PLC模拟量输出模块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1769-OF4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2080-IF2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VS1 合闸线圈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VS1 分闸按钮组件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晶闸管投切开关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TSC480-3-50EP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控制电缆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KVVP2-22 0.75kV/4*4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变压器测控保护装置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PST-645UX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国电南自</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智能无功补偿控制器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R1-24D EP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PD194Z-9DY</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CJX2-25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双电源转换开关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WATSGA-250/4A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10809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软启动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ATS48C110Q/45kW</w:t>
            </w:r>
            <w:r>
              <w:rPr>
                <w:rFonts w:hint="eastAsia" w:ascii="宋体" w:hAnsi="宋体"/>
                <w:sz w:val="18"/>
                <w:szCs w:val="18"/>
              </w:rPr>
              <w:t xml:space="preserve">；</w:t>
            </w:r>
            <w:r>
              <w:rPr>
                <w:rFonts w:ascii="宋体" w:hAnsi="宋体"/>
                <w:sz w:val="18"/>
                <w:szCs w:val="18"/>
              </w:rPr>
              <w:t xml:space="preserve">更换可控硅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软启动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ATS48C110Q/45kW</w:t>
            </w:r>
            <w:r>
              <w:rPr>
                <w:rFonts w:hint="eastAsia" w:ascii="宋体" w:hAnsi="宋体"/>
                <w:sz w:val="18"/>
                <w:szCs w:val="18"/>
              </w:rPr>
              <w:t xml:space="preserve">；</w:t>
            </w:r>
            <w:r>
              <w:rPr>
                <w:rFonts w:ascii="宋体" w:hAnsi="宋体"/>
                <w:sz w:val="18"/>
                <w:szCs w:val="18"/>
              </w:rPr>
              <w:t xml:space="preserve">更换盖板等配件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BZMJ0.45-12-3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ATV630D45N4/45kW</w:t>
            </w:r>
            <w:r>
              <w:rPr>
                <w:rFonts w:hint="eastAsia" w:ascii="宋体" w:hAnsi="宋体"/>
                <w:sz w:val="18"/>
                <w:szCs w:val="18"/>
              </w:rPr>
              <w:t xml:space="preserve">；</w:t>
            </w:r>
            <w:r>
              <w:rPr>
                <w:rFonts w:ascii="宋体" w:hAnsi="宋体"/>
                <w:sz w:val="18"/>
                <w:szCs w:val="18"/>
              </w:rPr>
              <w:t xml:space="preserve">更换IGBT模块、端子排、AJ330、A7/22R电阻</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1286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MD300T15B-XC/45kW</w:t>
            </w:r>
            <w:r>
              <w:rPr>
                <w:rFonts w:hint="eastAsia" w:ascii="宋体" w:hAnsi="宋体"/>
                <w:sz w:val="18"/>
                <w:szCs w:val="18"/>
              </w:rPr>
              <w:t xml:space="preserve">；</w:t>
            </w:r>
            <w:r>
              <w:rPr>
                <w:rFonts w:ascii="宋体" w:hAnsi="宋体"/>
                <w:sz w:val="18"/>
                <w:szCs w:val="18"/>
              </w:rPr>
              <w:t xml:space="preserve">更换驱动板A3120、FR107、Y6、A7840、36R等配件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接触式IC卡读写设备</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预付费电表管理系统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RDW300-USB5.0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水泵中转柜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不锈钢</w:t>
            </w:r>
            <w:r>
              <w:rPr>
                <w:rFonts w:hint="eastAsia" w:ascii="宋体" w:hAnsi="宋体"/>
                <w:sz w:val="18"/>
                <w:szCs w:val="18"/>
              </w:rPr>
              <w:t xml:space="preserve">；</w:t>
            </w:r>
            <w:r>
              <w:rPr>
                <w:rFonts w:ascii="宋体" w:hAnsi="宋体"/>
                <w:sz w:val="18"/>
                <w:szCs w:val="18"/>
              </w:rPr>
              <w:t xml:space="preserve">950*500*250mm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1281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10mm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成组电缆液位浮球液位开关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SL-PG2-1.5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VS1</w:t>
            </w:r>
            <w:r>
              <w:rPr>
                <w:rFonts w:hint="eastAsia" w:ascii="宋体" w:hAnsi="宋体"/>
                <w:sz w:val="18"/>
                <w:szCs w:val="18"/>
              </w:rPr>
              <w:t xml:space="preserve">；</w:t>
            </w:r>
            <w:r>
              <w:rPr>
                <w:rFonts w:ascii="宋体" w:hAnsi="宋体"/>
                <w:sz w:val="18"/>
                <w:szCs w:val="18"/>
              </w:rPr>
              <w:t xml:space="preserve">底盘车</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1641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VS1</w:t>
            </w:r>
            <w:r>
              <w:rPr>
                <w:rFonts w:hint="eastAsia" w:ascii="宋体" w:hAnsi="宋体"/>
                <w:sz w:val="18"/>
                <w:szCs w:val="18"/>
              </w:rPr>
              <w:t xml:space="preserve">；</w:t>
            </w:r>
            <w:r>
              <w:rPr>
                <w:rFonts w:ascii="宋体" w:hAnsi="宋体"/>
                <w:sz w:val="18"/>
                <w:szCs w:val="18"/>
              </w:rPr>
              <w:t xml:space="preserve">操作机构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10kV 环网柜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XGN15-12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13776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挡鼠板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400*2015*5mm</w:t>
            </w:r>
            <w:r>
              <w:rPr>
                <w:rFonts w:hint="eastAsia" w:ascii="宋体" w:hAnsi="宋体"/>
                <w:sz w:val="18"/>
                <w:szCs w:val="18"/>
              </w:rPr>
              <w:t xml:space="preserve">；</w:t>
            </w:r>
            <w:r>
              <w:rPr>
                <w:rFonts w:ascii="宋体" w:hAnsi="宋体"/>
                <w:sz w:val="18"/>
                <w:szCs w:val="18"/>
              </w:rPr>
              <w:t xml:space="preserve">环氧板</w:t>
            </w:r>
            <w:r>
              <w:rPr>
                <w:rFonts w:hint="eastAsia" w:ascii="宋体" w:hAnsi="宋体"/>
                <w:sz w:val="18"/>
                <w:szCs w:val="18"/>
              </w:rPr>
              <w:t xml:space="preserve">；</w:t>
            </w:r>
            <w:r>
              <w:rPr>
                <w:rFonts w:ascii="宋体" w:hAnsi="宋体"/>
                <w:sz w:val="18"/>
                <w:szCs w:val="18"/>
              </w:rPr>
              <w:t xml:space="preserve">新增</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挡鼠板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400*830*5mm</w:t>
            </w:r>
            <w:r>
              <w:rPr>
                <w:rFonts w:hint="eastAsia" w:ascii="宋体" w:hAnsi="宋体"/>
                <w:sz w:val="18"/>
                <w:szCs w:val="18"/>
              </w:rPr>
              <w:t xml:space="preserve">；</w:t>
            </w:r>
            <w:r>
              <w:rPr>
                <w:rFonts w:ascii="宋体" w:hAnsi="宋体"/>
                <w:sz w:val="18"/>
                <w:szCs w:val="18"/>
              </w:rPr>
              <w:t xml:space="preserve">环氧板</w:t>
            </w:r>
            <w:r>
              <w:rPr>
                <w:rFonts w:hint="eastAsia" w:ascii="宋体" w:hAnsi="宋体"/>
                <w:sz w:val="18"/>
                <w:szCs w:val="18"/>
              </w:rPr>
              <w:t xml:space="preserve">；</w:t>
            </w:r>
            <w:r>
              <w:rPr>
                <w:rFonts w:ascii="宋体" w:hAnsi="宋体"/>
                <w:sz w:val="18"/>
                <w:szCs w:val="18"/>
              </w:rPr>
              <w:t xml:space="preserve">新增</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阀控式密封铅酸蓄电池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DJW12-26</w:t>
            </w:r>
            <w:r>
              <w:rPr>
                <w:rFonts w:hint="eastAsia" w:ascii="宋体" w:hAnsi="宋体"/>
                <w:sz w:val="18"/>
                <w:szCs w:val="18"/>
              </w:rPr>
              <w:t xml:space="preserve">；</w:t>
            </w:r>
            <w:r>
              <w:rPr>
                <w:rFonts w:ascii="宋体" w:hAnsi="宋体"/>
                <w:sz w:val="18"/>
                <w:szCs w:val="18"/>
              </w:rPr>
              <w:t xml:space="preserve">12V 26Ah</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ATV630D45N4/45kW</w:t>
            </w:r>
            <w:r>
              <w:rPr>
                <w:rFonts w:hint="eastAsia" w:ascii="宋体" w:hAnsi="宋体"/>
                <w:sz w:val="18"/>
                <w:szCs w:val="18"/>
              </w:rPr>
              <w:t xml:space="preserve">；</w:t>
            </w:r>
            <w:r>
              <w:rPr>
                <w:rFonts w:ascii="宋体" w:hAnsi="宋体"/>
                <w:sz w:val="18"/>
                <w:szCs w:val="18"/>
              </w:rPr>
              <w:t xml:space="preserve">更换防雷板</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不锈钢保护罩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450*450*10mm</w:t>
            </w:r>
            <w:r>
              <w:rPr>
                <w:rFonts w:hint="eastAsia" w:ascii="宋体" w:hAnsi="宋体"/>
                <w:sz w:val="18"/>
                <w:szCs w:val="18"/>
              </w:rPr>
              <w:t xml:space="preserve">；</w:t>
            </w:r>
            <w:r>
              <w:rPr>
                <w:rFonts w:ascii="宋体" w:hAnsi="宋体"/>
                <w:sz w:val="18"/>
                <w:szCs w:val="18"/>
              </w:rPr>
              <w:t xml:space="preserve">厚度2mm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蓄电池组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12V 200Ah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柜内智能除湿器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MTS-8060GTS-52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柜内智能除湿器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MTS-8030GTS-52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柜内智能除湿器</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MTS-8020GTS-52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200万红外枪机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DH-IPC-HFW3268PM-I1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560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200万全彩枪机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DH-IPC-HFW3279PM-LED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630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400万红外枪机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DH-IPC-HFW3468PM-I1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400万全彩枪机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DH-IPC-HFW3479PM-LED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720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枪机/球机支架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200万红外球机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DH-SD-6C3258-HNY-DBG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200万全彩球机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DH-SD-6C3268-HNY-XBG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3700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400万红外球机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DH-SD-6C3486-HNY-GBPS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3700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400万全彩球机</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DH-SD-6C3497-HNY-GB-AD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台</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4300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不锈钢监控立杆</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根</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1000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硬盘录像机DH-NVR2208-I2-PG</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DH-NVR2208-I2-PG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hint="eastAsia" w:ascii="宋体" w:hAnsi="宋体" w:cs="Arial"/>
                <w:sz w:val="18"/>
                <w:szCs w:val="18"/>
              </w:rPr>
            </w:pPr>
            <w:r>
              <w:rPr>
                <w:rFonts w:hint="eastAsia" w:ascii="宋体" w:hAnsi="宋体" w:cs="Arial"/>
                <w:sz w:val="18"/>
                <w:szCs w:val="18"/>
              </w:rPr>
              <w:t xml:space="preserve">1200</w:t>
            </w: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硬盘录像机DH-NVR4416-4KS2/I-PF</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DH-NVR4416-4KS2/I-PF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hint="eastAsia" w:ascii="宋体" w:hAnsi="宋体" w:cs="Arial"/>
                <w:sz w:val="18"/>
                <w:szCs w:val="18"/>
              </w:rPr>
            </w:pPr>
            <w:r>
              <w:rPr>
                <w:rFonts w:hint="eastAsia" w:ascii="宋体" w:hAnsi="宋体" w:cs="Arial"/>
                <w:sz w:val="18"/>
                <w:szCs w:val="18"/>
              </w:rPr>
              <w:t xml:space="preserve">3000</w:t>
            </w: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硬盘录像机DH-NVR4832-4KS2/I-PF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DH-NVR4832-4KS2/I-PF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3900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机械硬盘</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希捷</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块</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890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机械硬盘</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希捷</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块</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1950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摄像机防雷器BSP M2 BE HF5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BSP M2 BE HF5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台</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800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门禁控制器DH-ASC1201C-D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DH-ASC1201C-D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门禁控制器DH-ASC1202C-D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DH-ASC1202C-D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1100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门禁控制器DH-ASC1204C-D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DH-ASC1204C-D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1500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门禁磁力锁及安装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DH-ASF280B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550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出门按钮</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DH-ASF900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25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读卡器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DH-ASR1100B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400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门禁钥匙箱</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只</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ascii="宋体" w:hAnsi="宋体" w:cs="Arial"/>
                <w:sz w:val="18"/>
                <w:szCs w:val="18"/>
              </w:rPr>
              <w:t xml:space="preserve">300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室外防水箱</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500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光纤收发器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光端机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600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电子围栏</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米</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线路更换修理费（单次）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综合人工安装修理费（单次）</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次</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700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摄像头保洁</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站次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100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5"/>
              <w:jc w:val="left"/>
              <w:rPr>
                <w:rFonts w:ascii="宋体" w:hAnsi="宋体"/>
                <w:sz w:val="18"/>
                <w:szCs w:val="18"/>
              </w:rPr>
            </w:pPr>
            <w:r>
              <w:rPr>
                <w:rFonts w:hint="eastAsia" w:ascii="宋体" w:hAnsi="宋体" w:cs="宋体"/>
                <w:b/>
                <w:bCs/>
                <w:color w:val="000000"/>
                <w:sz w:val="18"/>
                <w:szCs w:val="18"/>
              </w:rPr>
              <w:t xml:space="preserve">常州勤业桥分流井</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495</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西门子SM 1223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6ES7 223-1BL32-0XB0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5130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西门子触摸屏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KTP700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color w:val="000000"/>
                <w:sz w:val="18"/>
                <w:szCs w:val="18"/>
              </w:rPr>
              <w:t xml:space="preserve">8800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西门子CPU</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1214C/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sz w:val="18"/>
                <w:szCs w:val="18"/>
              </w:rPr>
            </w:pPr>
            <w:r>
              <w:rPr>
                <w:rFonts w:hint="eastAsia" w:ascii="宋体" w:hAnsi="宋体"/>
                <w:sz w:val="18"/>
                <w:szCs w:val="18"/>
              </w:rPr>
              <w:t xml:space="preserve">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西门子模块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SM1234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sz w:val="18"/>
                <w:szCs w:val="18"/>
              </w:rPr>
            </w:pPr>
            <w:r>
              <w:rPr>
                <w:rFonts w:hint="eastAsia" w:ascii="宋体" w:hAnsi="宋体"/>
                <w:sz w:val="18"/>
                <w:szCs w:val="18"/>
              </w:rPr>
              <w:t xml:space="preserve">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闸门液压油管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10米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堰门液油管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8米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堰门液油管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10米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闸油管快速接头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G1/4″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堰油管快速接头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G1/2″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滤芯更换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0110R10BN/HC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PLC程序编写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8000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触摸屏程序</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hint="eastAsia" w:ascii="宋体" w:hAnsi="宋体"/>
                <w:sz w:val="18"/>
                <w:szCs w:val="18"/>
              </w:rPr>
            </w:pP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项</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5000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5"/>
              <w:jc w:val="left"/>
              <w:rPr>
                <w:rFonts w:ascii="宋体" w:hAnsi="宋体"/>
                <w:sz w:val="18"/>
                <w:szCs w:val="18"/>
              </w:rPr>
            </w:pPr>
            <w:r/>
            <w:bookmarkStart w:id="822" w:name="OLE_LINK1"/>
            <w:r/>
            <w:bookmarkStart w:id="823" w:name="OLE_LINK2"/>
            <w:r>
              <w:rPr>
                <w:rFonts w:hint="eastAsia" w:ascii="宋体" w:hAnsi="宋体" w:cs="宋体"/>
                <w:b/>
                <w:bCs/>
                <w:color w:val="000000"/>
                <w:sz w:val="18"/>
                <w:szCs w:val="18"/>
              </w:rPr>
              <w:t xml:space="preserve">水质水量仪器仪表</w:t>
            </w:r>
            <w:bookmarkEnd w:id="822"/>
            <w:r/>
            <w:bookmarkEnd w:id="823"/>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507</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508</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6500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509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7540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510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511</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512</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513</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科隆电磁流量计专用电缆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信号+励磁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科隆专用IP68封胶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OPTISIL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1300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科隆电磁流量计传感器本体接线盒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OPTIFLUX2000F</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4940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液晶屏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1274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键盘控制处理器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845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按键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525</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哈希溶解氧传感器荧光帽</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荧光帽</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526</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3848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51500317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527</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E+H变送器显示屏及程序板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3510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51503398</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528</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E+H变送器CPU模块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6760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51501225</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529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CM442-3PQ7/0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71100611</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530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E+H变送器主板和输出板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CM442-3PQ7/0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71431301</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531</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FMU90-R11CA111AA3A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78977667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532</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E+H变送器主板和输出板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FMU90-R11CA111AA3A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5980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75559878</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533</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E+H变送器电流/频率输出模块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9360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50096757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534</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568877009</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E+H变送器放大板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8840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578875433</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XPD0040-WAALH2</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E+H变送器输入输出板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XPD0040-WAALH3</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E+H变送器放大板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XPD0040-WAALH4</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帕萨Pulsar超声波液位计变送器面板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Ultra 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5"/>
              <w:jc w:val="left"/>
              <w:rPr>
                <w:rFonts w:ascii="宋体" w:hAnsi="宋体" w:cs="宋体"/>
                <w:sz w:val="18"/>
                <w:szCs w:val="18"/>
              </w:rPr>
            </w:pPr>
            <w:r>
              <w:rPr>
                <w:rFonts w:hint="eastAsia" w:ascii="宋体" w:hAnsi="宋体" w:cs="宋体"/>
                <w:b/>
                <w:bCs/>
                <w:color w:val="000000"/>
                <w:sz w:val="18"/>
                <w:szCs w:val="18"/>
              </w:rPr>
              <w:t xml:space="preserve">发电机维修</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柴油滤芯8193841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柴油滤芯38050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500KW上柴系列发电机组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柴油滤芯5052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康明斯系列500KW KTA19-G6A发电机组康明斯360KW KTA19-G3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康明斯系列250KW-NTA855-G1A发电机组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柴油滤芯38050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柴油滤芯S00005435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上柴系列150KW-SC7H250D2发电机组/上柴系列200KW-SC9D340D2发电机组/玉柴系列150KW-SC7H250D2发电机组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柴油滤芯S00009060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上柴系列200KW-SC9D340D2发电机组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柴油滤芯T7A00-1105140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玉柴500KW WDG-CC500发电机组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机油滤466634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机油滤D17-002-02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500KW上柴系列发电机组/200KW康明斯系列6LTAA8.9-G2发电机组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机油滤芯430-1012240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玉柴500KW WDG-CC500发电机组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机油滤芯670\777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康明斯系列500KW KTA19-G6A发电机组/康明斯360KWKTA19-G3发电机组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562.5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康明斯电机组</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机油滤芯9009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康明斯系列250KW-NTA855-G1A发电机组/360KW上柴系列SC25G610发电机组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机油滤芯D17-002-02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机油滤芯D17-002-2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上柴系列200KW-SC9D340D2发电机组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机油滤芯D638-002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上柴系列150KW-SC7H250D2发电机组/250KW-SC13G420D2发电机组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机油旁通虑477556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387.5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上柴系列150KW-SC7H250D2发电机组/上柴系列200KW-SC9D340D2发电机组/上柴系列250KW-SC13G420D2发电机组/玉柴系列150KW-SC7H250D2发电机组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500KW上柴系列发电机组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200KW康明斯系列6LTAA8.9-G2发电机组/康明斯系列250KW-NTA855-G1A发电机组/360KW上柴系列SC25G610发电机组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625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500KW康明斯KTA19-G6A发电机组/360KW康明斯KTA19-G3/上柴系列500KW-12V135BZLD-2发电机组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空气滤芯T9600-1109101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玉柴500KW WDG-CC500发电机组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空气滤芯21212204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2750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康明斯系列250KW-NTA855-G1A发电机组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500KW康明斯KTA19-G6A发电机组/360KW康明斯KTA19-G3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康明斯系列500KW发电机组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水滤21192875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492.5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油水分离器8159975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油水1280/水滤2071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243.75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专用机油CH级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专用机油CF15W-40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防冻液-25°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机油CF15W-40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底盘油箱清洗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水箱除锈清洗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200AH免维护蓄电池</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78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84.5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2860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650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260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130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3250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1105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电瓶线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156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78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84.5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1560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650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260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130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2080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975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835.9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1014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1067.3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26928.2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780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986.7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811.2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610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9880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611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5590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bl>
    <w:p>
      <w:pPr>
        <w:pStyle w:val="995"/>
        <w:ind w:firstLine="482"/>
        <w:spacing w:line="360" w:lineRule="auto"/>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九、履约保证金</w:t>
      </w:r>
      <w:r>
        <w:rPr>
          <w:rFonts w:hint="eastAsia" w:ascii="宋体" w:hAnsi="宋体" w:cs="宋体"/>
          <w:b/>
          <w:bCs/>
          <w:color w:val="000000"/>
          <w:sz w:val="24"/>
          <w:highlight w:val="none"/>
        </w:rPr>
      </w:r>
      <w:r/>
    </w:p>
    <w:p>
      <w:pPr>
        <w:pStyle w:val="9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履约保证金金额为项目年度预算的5%，中标人须在中标通知书发出之日起15日内缴纳履约保证金或提交履约保函，履约保函应为不可撤销、不可转让的见索即付独立保函，格式详见附件。</w:t>
      </w:r>
      <w:r>
        <w:rPr>
          <w:rFonts w:hint="eastAsia" w:ascii="宋体" w:hAnsi="宋体" w:cs="宋体"/>
          <w:color w:val="000000"/>
          <w:sz w:val="24"/>
          <w:highlight w:val="none"/>
        </w:rPr>
      </w:r>
      <w:r/>
    </w:p>
    <w:p>
      <w:pPr>
        <w:pStyle w:val="995"/>
        <w:spacing w:line="360" w:lineRule="auto"/>
        <w:rPr>
          <w:rFonts w:ascii="宋体" w:hAnsi="宋体" w:cs="宋体"/>
          <w:b/>
          <w:bCs/>
          <w:color w:val="000000"/>
          <w:sz w:val="24"/>
          <w:highlight w:val="none"/>
        </w:rPr>
        <w:sectPr>
          <w:headerReference w:type="default" r:id="rId13"/>
          <w:footerReference w:type="default" r:id="rId18"/>
          <w:footnotePr/>
          <w:endnotePr/>
          <w:type w:val="nextPage"/>
          <w:pgSz w:w="11907" w:h="16840" w:orient="portrait"/>
          <w:pgMar w:top="1440" w:right="1803" w:bottom="1440" w:left="1803" w:header="851" w:footer="851" w:gutter="0"/>
          <w:cols w:num="1" w:sep="0" w:space="1701" w:equalWidth="1"/>
          <w:docGrid w:linePitch="360"/>
        </w:sectPr>
        <w:outlineLvl w:val="1"/>
      </w:pPr>
      <w:r>
        <w:rPr>
          <w:rFonts w:ascii="宋体" w:hAnsi="宋体" w:cs="宋体"/>
          <w:b/>
          <w:bCs/>
          <w:color w:val="000000"/>
          <w:sz w:val="24"/>
          <w:highlight w:val="none"/>
        </w:rPr>
      </w:r>
      <w:r/>
    </w:p>
    <w:p>
      <w:pPr>
        <w:pStyle w:val="995"/>
        <w:spacing w:line="360" w:lineRule="auto"/>
        <w:rPr>
          <w:rFonts w:ascii="宋体" w:hAnsi="宋体" w:cs="宋体"/>
          <w:color w:val="000000"/>
          <w:sz w:val="24"/>
          <w:highlight w:val="none"/>
        </w:rPr>
        <w:outlineLvl w:val="1"/>
      </w:pPr>
      <w:r>
        <w:rPr>
          <w:rFonts w:ascii="宋体" w:hAnsi="宋体" w:cs="宋体"/>
          <w:b/>
          <w:bCs/>
          <w:color w:val="000000"/>
          <w:sz w:val="24"/>
          <w:highlight w:val="none"/>
        </w:rPr>
        <w:t xml:space="preserve">附件一、履约保函格式</w:t>
      </w:r>
      <w:r>
        <w:rPr>
          <w:rFonts w:ascii="宋体" w:hAnsi="宋体" w:cs="宋体"/>
          <w:color w:val="000000"/>
          <w:sz w:val="24"/>
          <w:highlight w:val="none"/>
        </w:rPr>
      </w:r>
      <w:r/>
    </w:p>
    <w:p>
      <w:pPr>
        <w:pStyle w:val="995"/>
        <w:jc w:val="center"/>
        <w:spacing w:line="560" w:lineRule="exact"/>
        <w:rPr>
          <w:rFonts w:ascii="宋体" w:hAnsi="宋体" w:cs="宋体"/>
          <w:b/>
          <w:bCs/>
          <w:color w:val="000000"/>
          <w:sz w:val="28"/>
          <w:szCs w:val="28"/>
          <w:highlight w:val="none"/>
        </w:rPr>
      </w:pPr>
      <w:r>
        <w:rPr>
          <w:rFonts w:ascii="宋体" w:hAnsi="宋体" w:cs="宋体"/>
          <w:b/>
          <w:bCs/>
          <w:color w:val="000000"/>
          <w:sz w:val="28"/>
          <w:szCs w:val="28"/>
          <w:highlight w:val="none"/>
        </w:rPr>
        <w:t xml:space="preserve">见索即付履约保函（独立保函）模板 （仅供参考）</w:t>
      </w:r>
      <w:r>
        <w:rPr>
          <w:rFonts w:ascii="宋体" w:hAnsi="宋体" w:cs="宋体"/>
          <w:b/>
          <w:bCs/>
          <w:color w:val="000000"/>
          <w:sz w:val="28"/>
          <w:szCs w:val="28"/>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申请人： </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地址： </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受益人：</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地址：</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开立人： </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地址： </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r>
      <w:r/>
    </w:p>
    <w:p>
      <w:pPr>
        <w:pStyle w:val="995"/>
        <w:spacing w:line="560" w:lineRule="exact"/>
        <w:rPr>
          <w:rFonts w:hint="eastAsia" w:ascii="宋体" w:hAnsi="宋体" w:cs="宋体"/>
          <w:color w:val="000000"/>
          <w:sz w:val="24"/>
          <w:highlight w:val="none"/>
        </w:rPr>
      </w:pPr>
      <w:r>
        <w:rPr>
          <w:rFonts w:ascii="宋体" w:hAnsi="宋体" w:cs="宋体"/>
          <w:color w:val="000000"/>
          <w:sz w:val="24"/>
          <w:highlight w:val="none"/>
        </w:rPr>
        <w:t xml:space="preserve">鉴于</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（以下简称“受益人”）</w:t>
      </w:r>
      <w:r>
        <w:rPr>
          <w:rFonts w:hint="eastAsia" w:ascii="宋体" w:hAnsi="宋体" w:cs="宋体"/>
          <w:color w:val="000000"/>
          <w:sz w:val="24"/>
          <w:highlight w:val="none"/>
        </w:rPr>
        <w:t xml:space="preserve">已确定</w:t>
      </w:r>
      <w:r>
        <w:rPr>
          <w:rFonts w:ascii="宋体" w:hAnsi="宋体" w:cs="宋体"/>
          <w:color w:val="000000"/>
          <w:sz w:val="24"/>
          <w:highlight w:val="none"/>
          <w:u w:val="single"/>
        </w:rPr>
        <w:t xml:space="preserve">XXXX</w:t>
      </w:r>
      <w:r>
        <w:rPr>
          <w:rFonts w:hint="eastAsia" w:ascii="宋体" w:hAnsi="宋体" w:cs="宋体"/>
          <w:color w:val="000000"/>
          <w:sz w:val="24"/>
          <w:highlight w:val="none"/>
        </w:rPr>
        <w:t xml:space="preserve">公司</w:t>
      </w:r>
      <w:r>
        <w:rPr>
          <w:rFonts w:ascii="宋体" w:hAnsi="宋体" w:cs="宋体"/>
          <w:color w:val="000000"/>
          <w:sz w:val="24"/>
          <w:highlight w:val="none"/>
        </w:rPr>
        <w:t xml:space="preserve">，地址：</w:t>
      </w:r>
      <w:r>
        <w:rPr>
          <w:rFonts w:ascii="宋体" w:hAnsi="宋体" w:cs="宋体"/>
          <w:color w:val="000000"/>
          <w:sz w:val="24"/>
          <w:highlight w:val="none"/>
          <w:u w:val="single"/>
        </w:rPr>
        <w:t xml:space="preserve">XXXX</w:t>
      </w:r>
      <w:r>
        <w:rPr>
          <w:rFonts w:ascii="宋体" w:hAnsi="宋体" w:cs="宋体"/>
          <w:color w:val="000000"/>
          <w:sz w:val="24"/>
          <w:highlight w:val="none"/>
        </w:rPr>
        <w:t xml:space="preserve"> （以下简称“申请人”）于XXXX年XX月XX日</w:t>
      </w:r>
      <w:r>
        <w:rPr>
          <w:rFonts w:hint="eastAsia" w:ascii="宋体" w:hAnsi="宋体" w:cs="宋体"/>
          <w:color w:val="000000"/>
          <w:sz w:val="24"/>
          <w:highlight w:val="none"/>
        </w:rPr>
        <w:t xml:space="preserve">为</w:t>
      </w:r>
      <w:r>
        <w:rPr>
          <w:rFonts w:ascii="宋体" w:hAnsi="宋体" w:cs="宋体"/>
          <w:color w:val="000000"/>
          <w:sz w:val="24"/>
          <w:highlight w:val="none"/>
          <w:u w:val="single"/>
        </w:rPr>
        <w:t xml:space="preserve">XXXX</w:t>
      </w:r>
      <w:r>
        <w:rPr>
          <w:rFonts w:hint="eastAsia" w:ascii="宋体" w:hAnsi="宋体" w:cs="宋体"/>
          <w:color w:val="000000"/>
          <w:sz w:val="24"/>
          <w:highlight w:val="none"/>
        </w:rPr>
        <w:t xml:space="preserve">项目</w:t>
      </w:r>
      <w:r>
        <w:rPr>
          <w:rFonts w:ascii="宋体" w:hAnsi="宋体" w:cs="宋体"/>
          <w:color w:val="000000"/>
          <w:sz w:val="24"/>
          <w:highlight w:val="none"/>
        </w:rPr>
        <w:t xml:space="preserve">（以下简称“本</w:t>
      </w:r>
      <w:r>
        <w:rPr>
          <w:rFonts w:hint="eastAsia" w:ascii="宋体" w:hAnsi="宋体" w:cs="宋体"/>
          <w:color w:val="000000"/>
          <w:sz w:val="24"/>
          <w:highlight w:val="none"/>
        </w:rPr>
        <w:t xml:space="preserve">项目</w:t>
      </w:r>
      <w:r>
        <w:rPr>
          <w:rFonts w:ascii="宋体" w:hAnsi="宋体" w:cs="宋体"/>
          <w:color w:val="000000"/>
          <w:sz w:val="24"/>
          <w:highlight w:val="none"/>
        </w:rPr>
        <w:t xml:space="preserve">”） </w:t>
      </w:r>
      <w:r>
        <w:rPr>
          <w:rFonts w:hint="eastAsia" w:ascii="宋体" w:hAnsi="宋体" w:cs="宋体"/>
          <w:color w:val="000000"/>
          <w:sz w:val="24"/>
          <w:highlight w:val="none"/>
        </w:rPr>
        <w:t xml:space="preserve">中标人</w:t>
      </w:r>
      <w:r>
        <w:rPr>
          <w:rFonts w:ascii="宋体" w:hAnsi="宋体" w:cs="宋体"/>
          <w:color w:val="000000"/>
          <w:sz w:val="24"/>
          <w:highlight w:val="none"/>
        </w:rPr>
        <w:t xml:space="preserve">，我方（即“开立人”）应申请人的申请，同意就申请人履行与贵方签订的基础合同项下的义务，向贵方提供不可撤销、不可转让的见索即付独立保函（以下简称“本保函”）。 </w:t>
      </w:r>
      <w:r>
        <w:rPr>
          <w:rFonts w:hint="eastAsia"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一、</w:t>
      </w:r>
      <w:r>
        <w:rPr>
          <w:rFonts w:ascii="宋体" w:hAnsi="宋体" w:cs="宋体"/>
          <w:color w:val="000000"/>
          <w:sz w:val="24"/>
          <w:highlight w:val="none"/>
        </w:rPr>
        <w:t xml:space="preserve">本保函担保范围：</w:t>
      </w:r>
      <w:r>
        <w:rPr>
          <w:rFonts w:hint="eastAsia" w:ascii="宋体" w:hAnsi="宋体" w:cs="宋体"/>
          <w:color w:val="000000"/>
          <w:sz w:val="24"/>
          <w:highlight w:val="none"/>
        </w:rPr>
        <w:t xml:space="preserve">无论基础合同存在任何争议、申请人提出任何抗辩，只要受益人提交的付款通知符合本保函第四条约定的形式要件，开立人均需承担担保责任，范围包括但不限于</w:t>
      </w:r>
      <w:r>
        <w:rPr>
          <w:rFonts w:ascii="宋体" w:hAnsi="宋体" w:cs="宋体"/>
          <w:color w:val="000000"/>
          <w:sz w:val="24"/>
          <w:highlight w:val="none"/>
        </w:rPr>
        <w:t xml:space="preserve">申请人未按照基础合同的约定履行义务，应当向贵方承担的违约责任和赔偿因此造成的损失、利息、律师费、诉讼费用、仲裁费用等实现债权的费用。</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二、本保函担保金额最高不超过人民币（大写）XXXX</w:t>
      </w:r>
      <w:r>
        <w:rPr>
          <w:rFonts w:hint="eastAsia" w:ascii="宋体" w:hAnsi="宋体" w:cs="宋体"/>
          <w:color w:val="000000"/>
          <w:sz w:val="24"/>
          <w:highlight w:val="none"/>
        </w:rPr>
        <w:t xml:space="preserve">元</w:t>
      </w:r>
      <w:r>
        <w:rPr>
          <w:rFonts w:ascii="宋体" w:hAnsi="宋体" w:cs="宋体"/>
          <w:color w:val="000000"/>
          <w:sz w:val="24"/>
          <w:highlight w:val="none"/>
        </w:rPr>
        <w:t xml:space="preserve">整（CNY</w:t>
      </w:r>
      <w:r>
        <w:rPr>
          <w:rFonts w:hint="eastAsia" w:ascii="宋体" w:hAnsi="宋体" w:cs="宋体"/>
          <w:color w:val="000000"/>
          <w:sz w:val="24"/>
          <w:highlight w:val="none"/>
        </w:rPr>
        <w:t xml:space="preserve"> </w:t>
      </w:r>
      <w:r>
        <w:rPr>
          <w:rFonts w:ascii="宋体" w:hAnsi="宋体" w:cs="宋体"/>
          <w:color w:val="000000"/>
          <w:sz w:val="24"/>
          <w:highlight w:val="none"/>
        </w:rPr>
        <w:t xml:space="preserve">XXXX）。</w:t>
      </w:r>
      <w:r>
        <w:rPr>
          <w:rFonts w:hint="eastAsia" w:ascii="宋体" w:hAnsi="宋体" w:cs="宋体"/>
          <w:color w:val="000000"/>
          <w:sz w:val="24"/>
          <w:highlight w:val="none"/>
        </w:rPr>
        <w:t xml:space="preserve">受益人累计索赔金额不超过前述最高担保金额的，开立人均应足额支付，不得无故扣减任何款项。</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三、本保函自出具之日起生效，有效期至</w:t>
      </w:r>
      <w:r>
        <w:rPr>
          <w:rFonts w:hint="eastAsia" w:ascii="宋体" w:hAnsi="宋体" w:cs="宋体"/>
          <w:color w:val="000000"/>
          <w:sz w:val="24"/>
          <w:highlight w:val="none"/>
        </w:rPr>
        <w:t xml:space="preserve">本项目招标有效期截止之日后60天</w:t>
      </w:r>
      <w:r>
        <w:rPr>
          <w:rFonts w:ascii="宋体" w:hAnsi="宋体" w:cs="宋体"/>
          <w:color w:val="000000"/>
          <w:sz w:val="24"/>
          <w:highlight w:val="none"/>
        </w:rPr>
        <w:t xml:space="preserve">。</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四、我方承诺在收到受益人发来的书面付款通知纸质原件</w:t>
      </w:r>
      <w:r>
        <w:rPr>
          <w:rFonts w:hint="eastAsia" w:ascii="宋体" w:hAnsi="宋体" w:cs="宋体"/>
          <w:color w:val="000000"/>
          <w:sz w:val="24"/>
          <w:highlight w:val="none"/>
        </w:rPr>
        <w:t xml:space="preserve">、加盖受益人公章的电子扫描件，或通过公证送达、数据电文（包括但不限于电子邮件、可信电子函证系统）等能够有效记录并证明通知已送达的方式</w:t>
      </w:r>
      <w:r>
        <w:rPr>
          <w:rFonts w:ascii="宋体" w:hAnsi="宋体" w:cs="宋体"/>
          <w:color w:val="000000"/>
          <w:sz w:val="24"/>
          <w:highlight w:val="none"/>
        </w:rPr>
        <w:t xml:space="preserve">后的7个工作日内无条件向受益人支付，前述书面付款通知即为付款要求之单据，且应满足以下要求：</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（1）付款通知到达的日期在本保函的有效期内；</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（2）载明要求支付的金额；</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（3）载明申请人违反合同义务的条款和内容；</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上述付款通知送达我方的地址为：XXXX。</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五、与本保函有关的基础合同不成立、不生效、无效、被撤销、被解除，不影响本保函的独立有效。</w:t>
      </w:r>
      <w:r>
        <w:rPr>
          <w:rFonts w:hint="eastAsia" w:ascii="宋体" w:hAnsi="宋体" w:cs="宋体"/>
          <w:color w:val="000000"/>
          <w:sz w:val="24"/>
          <w:highlight w:val="none"/>
        </w:rPr>
        <w:t xml:space="preserve">开立人承诺放弃基于与申请人之间的委托合同关系产生的全部抗辩权，不得以此拒绝承担本保函项下的付款义务。</w:t>
      </w: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t xml:space="preserve">六、本保函应受国际商会制定的《见索即付保函统一规则》（第七百五十八号出版物）的</w:t>
      </w:r>
      <w:r>
        <w:rPr>
          <w:rFonts w:hint="eastAsia" w:ascii="宋体" w:hAnsi="宋体" w:cs="宋体"/>
          <w:color w:val="000000"/>
          <w:sz w:val="24"/>
          <w:highlight w:val="none"/>
        </w:rPr>
        <w:t xml:space="preserve">约束</w:t>
      </w:r>
      <w:r>
        <w:rPr>
          <w:rFonts w:ascii="宋体" w:hAnsi="宋体" w:cs="宋体"/>
          <w:color w:val="000000"/>
          <w:sz w:val="24"/>
          <w:highlight w:val="none"/>
        </w:rPr>
        <w:t xml:space="preserve">。</w:t>
      </w:r>
      <w:r>
        <w:rPr>
          <w:rFonts w:ascii="宋体" w:hAnsi="宋体" w:cs="宋体"/>
          <w:color w:val="000000"/>
          <w:sz w:val="24"/>
          <w:highlight w:val="none"/>
        </w:rPr>
      </w:r>
      <w:r/>
    </w:p>
    <w:p>
      <w:pPr>
        <w:pStyle w:val="995"/>
        <w:spacing w:line="560" w:lineRule="exact"/>
        <w:rPr>
          <w:rFonts w:hint="eastAsia" w:ascii="宋体" w:hAnsi="宋体" w:cs="宋体"/>
          <w:color w:val="000000"/>
          <w:sz w:val="24"/>
          <w:highlight w:val="none"/>
        </w:rPr>
      </w:pPr>
      <w:r>
        <w:rPr>
          <w:rFonts w:ascii="宋体" w:hAnsi="宋体" w:cs="宋体"/>
          <w:color w:val="000000"/>
          <w:sz w:val="24"/>
          <w:highlight w:val="none"/>
        </w:rPr>
        <w:t xml:space="preserve">七、本保函适用中华人民共和国法律。在本保函履行期间，如发生争议，任何一方可向常州仲裁委员会申请仲裁</w:t>
      </w:r>
      <w:r>
        <w:rPr>
          <w:rFonts w:hint="eastAsia" w:ascii="宋体" w:hAnsi="宋体" w:cs="宋体"/>
          <w:color w:val="000000"/>
          <w:sz w:val="24"/>
          <w:highlight w:val="none"/>
        </w:rPr>
        <w:t xml:space="preserve">，仲裁裁决是终局的，对各方均具有约束力。</w:t>
      </w:r>
      <w:r>
        <w:rPr>
          <w:rFonts w:hint="eastAsia" w:ascii="宋体" w:hAnsi="宋体" w:cs="宋体"/>
          <w:color w:val="000000"/>
          <w:sz w:val="24"/>
          <w:highlight w:val="none"/>
        </w:rPr>
      </w:r>
      <w:r/>
    </w:p>
    <w:p>
      <w:pPr>
        <w:pStyle w:val="995"/>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r>
      <w:r/>
    </w:p>
    <w:p>
      <w:pPr>
        <w:pStyle w:val="995"/>
        <w:spacing w:line="560" w:lineRule="exact"/>
        <w:rPr>
          <w:rFonts w:ascii="宋体" w:hAnsi="宋体" w:cs="宋体"/>
          <w:color w:val="000000"/>
          <w:sz w:val="24"/>
          <w:highlight w:val="none"/>
        </w:rPr>
      </w:pPr>
      <w:r>
        <w:rPr>
          <w:rFonts w:ascii="宋体" w:hAnsi="宋体" w:cs="宋体"/>
          <w:color w:val="000000"/>
          <w:sz w:val="24"/>
          <w:highlight w:val="none"/>
        </w:rPr>
      </w:r>
      <w:r/>
    </w:p>
    <w:p>
      <w:pPr>
        <w:pStyle w:val="995"/>
        <w:jc w:val="right"/>
        <w:spacing w:line="560" w:lineRule="exact"/>
        <w:rPr>
          <w:rFonts w:hint="eastAsia" w:ascii="宋体" w:hAnsi="宋体" w:cs="宋体"/>
          <w:color w:val="000000"/>
          <w:sz w:val="24"/>
          <w:highlight w:val="none"/>
        </w:rPr>
      </w:pPr>
      <w:r>
        <w:rPr>
          <w:rFonts w:ascii="宋体" w:hAnsi="宋体" w:cs="宋体"/>
          <w:color w:val="000000"/>
          <w:sz w:val="24"/>
          <w:highlight w:val="none"/>
        </w:rPr>
        <w:t xml:space="preserve">保函开立人名称（盖章）：</w:t>
      </w:r>
      <w:r>
        <w:rPr>
          <w:rFonts w:hint="eastAsia" w:ascii="宋体" w:hAnsi="宋体" w:cs="宋体"/>
          <w:color w:val="000000"/>
          <w:sz w:val="24"/>
          <w:highlight w:val="none"/>
        </w:rPr>
      </w:r>
      <w:r/>
    </w:p>
    <w:p>
      <w:pPr>
        <w:pStyle w:val="995"/>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95"/>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本保函一式三份，申请人、受益人、开立人各执一份，具有同等法律效力。</w:t>
      </w:r>
      <w:r>
        <w:rPr>
          <w:rFonts w:hint="eastAsia" w:ascii="宋体" w:hAnsi="宋体" w:cs="宋体"/>
          <w:color w:val="000000"/>
          <w:sz w:val="24"/>
          <w:highlight w:val="none"/>
        </w:rPr>
      </w:r>
      <w:r/>
    </w:p>
    <w:p>
      <w:pPr>
        <w:pStyle w:val="995"/>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未经受益人书面同意，开立人不得单方变更、解除本保函</w:t>
      </w:r>
      <w:r>
        <w:rPr>
          <w:rFonts w:hint="eastAsia" w:ascii="宋体" w:hAnsi="宋体" w:cs="宋体"/>
          <w:color w:val="000000"/>
          <w:sz w:val="24"/>
          <w:highlight w:val="none"/>
        </w:rPr>
      </w:r>
      <w:r/>
    </w:p>
    <w:p>
      <w:pPr>
        <w:pStyle w:val="995"/>
        <w:jc w:val="right"/>
        <w:spacing w:line="560" w:lineRule="exact"/>
        <w:rPr>
          <w:rFonts w:hint="eastAsia"/>
        </w:rPr>
        <w:sectPr>
          <w:footnotePr/>
          <w:endnotePr/>
          <w:type w:val="nextPage"/>
          <w:pgSz w:w="11907" w:h="16840" w:orient="portrait"/>
          <w:pgMar w:top="1440" w:right="1803" w:bottom="1440" w:left="1803" w:header="851" w:footer="851" w:gutter="0"/>
          <w:cols w:num="1" w:sep="0" w:space="1701" w:equalWidth="1"/>
          <w:docGrid w:linePitch="360"/>
        </w:sectPr>
      </w:pPr>
      <w:r>
        <w:rPr>
          <w:rFonts w:hint="eastAsia"/>
        </w:rPr>
      </w:r>
      <w:r/>
    </w:p>
    <w:p>
      <w:pPr>
        <w:pStyle w:val="995"/>
        <w:jc w:val="center"/>
        <w:spacing w:line="360" w:lineRule="auto"/>
        <w:rPr>
          <w:b/>
          <w:sz w:val="36"/>
          <w:szCs w:val="36"/>
        </w:rPr>
        <w:outlineLvl w:val="0"/>
      </w:pPr>
      <w:r>
        <w:rPr>
          <w:b/>
          <w:sz w:val="36"/>
          <w:szCs w:val="36"/>
        </w:rPr>
        <w:t xml:space="preserve">第六章   拟签订的合同文本</w:t>
      </w:r>
      <w:bookmarkEnd w:id="815"/>
      <w:r>
        <w:rPr>
          <w:b/>
          <w:sz w:val="36"/>
          <w:szCs w:val="36"/>
        </w:rPr>
      </w:r>
      <w:r/>
    </w:p>
    <w:p>
      <w:pPr>
        <w:pStyle w:val="1035"/>
        <w:ind w:right="-57" w:firstLine="240"/>
        <w:jc w:val="center"/>
        <w:spacing w:line="360" w:lineRule="auto"/>
        <w:rPr>
          <w:rFonts w:hAnsi="宋体"/>
          <w:sz w:val="24"/>
          <w:szCs w:val="24"/>
          <w:u w:val="single"/>
        </w:rPr>
      </w:pPr>
      <w:r>
        <w:rPr>
          <w:rFonts w:hAnsi="宋体"/>
          <w:sz w:val="24"/>
          <w:szCs w:val="24"/>
        </w:rPr>
        <w:t xml:space="preserve">                            合同编号：</w:t>
      </w:r>
      <w:r>
        <w:rPr>
          <w:rFonts w:hAnsi="宋体"/>
          <w:sz w:val="24"/>
          <w:szCs w:val="24"/>
          <w:u w:val="single"/>
        </w:rPr>
      </w:r>
      <w:r/>
    </w:p>
    <w:p>
      <w:pPr>
        <w:pStyle w:val="1035"/>
        <w:ind w:right="-57" w:firstLine="240"/>
        <w:jc w:val="right"/>
        <w:spacing w:line="360" w:lineRule="auto"/>
        <w:rPr>
          <w:rFonts w:hAnsi="宋体"/>
          <w:sz w:val="24"/>
          <w:szCs w:val="24"/>
          <w:u w:val="single"/>
        </w:rPr>
      </w:pPr>
      <w:r>
        <w:rPr>
          <w:rFonts w:hAnsi="宋体"/>
          <w:sz w:val="24"/>
          <w:szCs w:val="24"/>
        </w:rPr>
        <w:t xml:space="preserve">签订时间：2026年  月  日</w:t>
      </w:r>
      <w:r>
        <w:rPr>
          <w:rFonts w:hAnsi="宋体"/>
          <w:sz w:val="24"/>
          <w:szCs w:val="24"/>
          <w:u w:val="single"/>
        </w:rPr>
      </w:r>
      <w:r/>
    </w:p>
    <w:p>
      <w:pPr>
        <w:pStyle w:val="995"/>
        <w:jc w:val="left"/>
        <w:spacing w:line="360" w:lineRule="auto"/>
        <w:rPr>
          <w:rFonts w:ascii="宋体" w:hAnsi="宋体"/>
          <w:sz w:val="24"/>
          <w:lang w:val="zh-CN"/>
        </w:rPr>
      </w:pPr>
      <w:r>
        <w:rPr>
          <w:rFonts w:hint="eastAsia" w:ascii="宋体" w:hAnsi="宋体"/>
          <w:sz w:val="24"/>
          <w:lang w:val="zh-CN"/>
        </w:rPr>
        <w:t xml:space="preserve">甲方（甲方</w:t>
      </w:r>
      <w:r>
        <w:rPr>
          <w:rFonts w:ascii="宋体" w:hAnsi="宋体"/>
          <w:sz w:val="24"/>
          <w:lang w:val="zh-CN"/>
        </w:rPr>
        <w:t xml:space="preserve">）</w:t>
      </w:r>
      <w:r>
        <w:rPr>
          <w:rFonts w:hint="eastAsia" w:ascii="宋体" w:hAnsi="宋体"/>
          <w:sz w:val="24"/>
          <w:lang w:val="zh-CN"/>
        </w:rPr>
        <w:t xml:space="preserve">：</w:t>
      </w:r>
      <w:r>
        <w:rPr>
          <w:rFonts w:ascii="宋体" w:hAnsi="宋体"/>
          <w:sz w:val="24"/>
          <w:lang w:val="zh-CN"/>
        </w:rPr>
      </w:r>
      <w:r/>
    </w:p>
    <w:p>
      <w:pPr>
        <w:pStyle w:val="995"/>
        <w:jc w:val="left"/>
        <w:spacing w:line="360" w:lineRule="auto"/>
        <w:rPr>
          <w:rFonts w:ascii="宋体" w:hAnsi="宋体"/>
          <w:sz w:val="24"/>
          <w:lang w:val="zh-CN"/>
        </w:rPr>
      </w:pPr>
      <w:r>
        <w:rPr>
          <w:rFonts w:hint="eastAsia" w:ascii="宋体" w:hAnsi="宋体"/>
          <w:sz w:val="24"/>
          <w:lang w:val="zh-CN"/>
        </w:rPr>
        <w:t xml:space="preserve">住所地：常州市飞龙东路116号</w:t>
      </w:r>
      <w:r>
        <w:rPr>
          <w:rFonts w:ascii="宋体" w:hAnsi="宋体"/>
          <w:sz w:val="24"/>
          <w:lang w:val="zh-CN"/>
        </w:rPr>
      </w:r>
      <w:r/>
    </w:p>
    <w:p>
      <w:pPr>
        <w:pStyle w:val="995"/>
        <w:jc w:val="left"/>
        <w:spacing w:line="360" w:lineRule="auto"/>
        <w:rPr>
          <w:rFonts w:ascii="宋体" w:hAnsi="宋体"/>
          <w:sz w:val="24"/>
          <w:lang w:val="zh-CN"/>
        </w:rPr>
      </w:pPr>
      <w:r>
        <w:rPr>
          <w:rFonts w:hint="eastAsia" w:ascii="宋体" w:hAnsi="宋体"/>
          <w:sz w:val="24"/>
          <w:lang w:val="zh-CN"/>
        </w:rPr>
        <w:t xml:space="preserve">法定代表人：</w:t>
      </w:r>
      <w:r>
        <w:rPr>
          <w:rFonts w:ascii="宋体" w:hAnsi="宋体"/>
          <w:sz w:val="24"/>
          <w:lang w:val="zh-CN"/>
        </w:rPr>
      </w:r>
      <w:r/>
    </w:p>
    <w:p>
      <w:pPr>
        <w:pStyle w:val="995"/>
        <w:jc w:val="left"/>
        <w:spacing w:line="360" w:lineRule="auto"/>
        <w:rPr>
          <w:rFonts w:ascii="宋体" w:hAnsi="宋体"/>
          <w:sz w:val="24"/>
          <w:lang w:val="zh-CN"/>
        </w:rPr>
      </w:pPr>
      <w:r>
        <w:rPr>
          <w:rFonts w:hint="eastAsia" w:ascii="宋体" w:hAnsi="宋体"/>
          <w:sz w:val="24"/>
          <w:lang w:val="zh-CN"/>
        </w:rPr>
        <w:t xml:space="preserve">统一社会信用代码：</w:t>
      </w:r>
      <w:r>
        <w:rPr>
          <w:rFonts w:ascii="宋体" w:hAnsi="宋体"/>
          <w:sz w:val="24"/>
          <w:lang w:val="zh-CN"/>
        </w:rPr>
      </w:r>
      <w:r/>
    </w:p>
    <w:p>
      <w:pPr>
        <w:pStyle w:val="995"/>
        <w:jc w:val="left"/>
        <w:spacing w:line="360" w:lineRule="auto"/>
        <w:rPr>
          <w:rFonts w:ascii="宋体" w:hAnsi="宋体"/>
          <w:sz w:val="24"/>
          <w:u w:val="single"/>
        </w:rPr>
      </w:pPr>
      <w:r>
        <w:rPr>
          <w:rFonts w:ascii="宋体" w:hAnsi="宋体"/>
          <w:sz w:val="24"/>
          <w:u w:val="single"/>
        </w:rPr>
      </w:r>
      <w:r/>
    </w:p>
    <w:p>
      <w:pPr>
        <w:pStyle w:val="995"/>
        <w:jc w:val="left"/>
        <w:spacing w:line="360" w:lineRule="auto"/>
        <w:rPr>
          <w:rFonts w:ascii="宋体" w:hAnsi="宋体"/>
          <w:sz w:val="24"/>
          <w:lang w:val="zh-CN"/>
        </w:rPr>
      </w:pPr>
      <w:r>
        <w:rPr>
          <w:rFonts w:hint="eastAsia" w:ascii="宋体" w:hAnsi="宋体"/>
          <w:sz w:val="24"/>
          <w:lang w:val="zh-CN"/>
        </w:rPr>
        <w:t xml:space="preserve">乙方</w:t>
      </w:r>
      <w:r>
        <w:rPr>
          <w:rFonts w:ascii="宋体" w:hAnsi="宋体"/>
          <w:sz w:val="24"/>
          <w:lang w:val="zh-CN"/>
        </w:rPr>
        <w:t xml:space="preserve">(</w:t>
      </w:r>
      <w:r>
        <w:rPr>
          <w:rFonts w:hint="eastAsia" w:ascii="宋体" w:hAnsi="宋体"/>
          <w:sz w:val="24"/>
          <w:lang w:val="zh-CN"/>
        </w:rPr>
        <w:t xml:space="preserve">承揽人</w:t>
      </w:r>
      <w:r>
        <w:rPr>
          <w:rFonts w:ascii="宋体" w:hAnsi="宋体"/>
          <w:sz w:val="24"/>
          <w:lang w:val="zh-CN"/>
        </w:rPr>
        <w:t xml:space="preserve">）</w:t>
      </w:r>
      <w:r>
        <w:rPr>
          <w:rFonts w:hint="eastAsia" w:ascii="宋体" w:hAnsi="宋体"/>
          <w:sz w:val="24"/>
          <w:lang w:val="zh-CN"/>
        </w:rPr>
        <w:t xml:space="preserve">：</w:t>
      </w:r>
      <w:r>
        <w:rPr>
          <w:rFonts w:ascii="宋体" w:hAnsi="宋体"/>
          <w:sz w:val="24"/>
          <w:lang w:val="zh-CN"/>
        </w:rPr>
      </w:r>
      <w:r/>
    </w:p>
    <w:p>
      <w:pPr>
        <w:pStyle w:val="995"/>
        <w:jc w:val="left"/>
        <w:spacing w:line="360" w:lineRule="auto"/>
        <w:rPr>
          <w:rFonts w:ascii="宋体" w:hAnsi="宋体"/>
          <w:sz w:val="24"/>
          <w:u w:val="single"/>
        </w:rPr>
      </w:pPr>
      <w:r>
        <w:rPr>
          <w:rFonts w:hint="eastAsia" w:ascii="宋体" w:hAnsi="宋体"/>
          <w:sz w:val="24"/>
          <w:lang w:val="zh-CN"/>
        </w:rPr>
        <w:t xml:space="preserve">住所地：</w:t>
      </w:r>
      <w:r>
        <w:rPr>
          <w:rFonts w:ascii="宋体" w:hAnsi="宋体"/>
          <w:sz w:val="24"/>
          <w:u w:val="single"/>
        </w:rPr>
      </w:r>
      <w:r/>
    </w:p>
    <w:p>
      <w:pPr>
        <w:pStyle w:val="995"/>
        <w:jc w:val="left"/>
        <w:spacing w:line="360" w:lineRule="auto"/>
        <w:rPr>
          <w:rFonts w:ascii="宋体" w:hAnsi="宋体"/>
          <w:sz w:val="24"/>
          <w:lang w:val="zh-CN"/>
        </w:rPr>
      </w:pPr>
      <w:r>
        <w:rPr>
          <w:rFonts w:hint="eastAsia" w:ascii="宋体" w:hAnsi="宋体"/>
          <w:sz w:val="24"/>
          <w:lang w:val="zh-CN"/>
        </w:rPr>
        <w:t xml:space="preserve">法定代表人：</w:t>
      </w:r>
      <w:r>
        <w:rPr>
          <w:rFonts w:ascii="宋体" w:hAnsi="宋体"/>
          <w:sz w:val="24"/>
          <w:lang w:val="zh-CN"/>
        </w:rPr>
      </w:r>
      <w:r/>
    </w:p>
    <w:p>
      <w:pPr>
        <w:pStyle w:val="995"/>
        <w:jc w:val="left"/>
        <w:spacing w:line="360" w:lineRule="auto"/>
        <w:rPr>
          <w:rFonts w:ascii="宋体" w:hAnsi="宋体"/>
          <w:sz w:val="24"/>
          <w:lang w:val="zh-CN"/>
        </w:rPr>
      </w:pPr>
      <w:r>
        <w:rPr>
          <w:rFonts w:hint="eastAsia" w:ascii="宋体" w:hAnsi="宋体"/>
          <w:sz w:val="24"/>
          <w:lang w:val="zh-CN"/>
        </w:rPr>
        <w:t xml:space="preserve">统一社会信用代码：</w:t>
      </w:r>
      <w:r>
        <w:rPr>
          <w:rFonts w:ascii="宋体" w:hAnsi="宋体"/>
          <w:sz w:val="24"/>
          <w:lang w:val="zh-CN"/>
        </w:rPr>
      </w:r>
      <w:r/>
    </w:p>
    <w:p>
      <w:pPr>
        <w:pStyle w:val="995"/>
        <w:jc w:val="left"/>
        <w:spacing w:line="360" w:lineRule="auto"/>
        <w:rPr>
          <w:rFonts w:ascii="宋体" w:hAnsi="宋体"/>
          <w:color w:val="ff0000"/>
          <w:sz w:val="24"/>
          <w:lang w:val="zh-CN"/>
        </w:rPr>
      </w:pPr>
      <w:r>
        <w:rPr>
          <w:rFonts w:ascii="宋体" w:hAnsi="宋体"/>
          <w:color w:val="ff0000"/>
          <w:sz w:val="24"/>
          <w:lang w:val="zh-CN"/>
        </w:rPr>
      </w:r>
      <w:r/>
    </w:p>
    <w:p>
      <w:pPr>
        <w:pStyle w:val="995"/>
        <w:ind w:firstLine="480"/>
        <w:jc w:val="left"/>
        <w:spacing w:line="360" w:lineRule="auto"/>
        <w:rPr>
          <w:rFonts w:ascii="宋体" w:hAnsi="宋体"/>
          <w:sz w:val="24"/>
        </w:rPr>
      </w:pPr>
      <w:r>
        <w:rPr>
          <w:rFonts w:hint="eastAsia" w:ascii="宋体" w:hAnsi="宋体"/>
          <w:sz w:val="24"/>
        </w:rPr>
        <w:t xml:space="preserve">根据《中华人民共和国政府采购法》、《中华人民共和国民法典》等法律法规的规定，甲乙双方按照江苏中冠工程咨询有限公司的采购结果签订本合同。</w:t>
      </w:r>
      <w:r>
        <w:rPr>
          <w:rFonts w:ascii="宋体" w:hAnsi="宋体"/>
          <w:sz w:val="24"/>
        </w:rPr>
      </w:r>
      <w:r/>
    </w:p>
    <w:p>
      <w:pPr>
        <w:pStyle w:val="995"/>
        <w:jc w:val="left"/>
        <w:spacing w:line="360" w:lineRule="auto"/>
        <w:tabs>
          <w:tab w:val="left" w:pos="1505" w:leader="none"/>
        </w:tabs>
        <w:rPr>
          <w:rFonts w:ascii="宋体" w:hAnsi="宋体"/>
          <w:b/>
          <w:bCs/>
          <w:sz w:val="24"/>
        </w:rPr>
      </w:pPr>
      <w:r>
        <w:rPr>
          <w:rFonts w:hint="eastAsia" w:ascii="宋体" w:hAnsi="宋体" w:cs="宋体"/>
          <w:b/>
          <w:bCs/>
          <w:sz w:val="24"/>
        </w:rPr>
        <w:t xml:space="preserve">第一条 项目概况</w:t>
      </w:r>
      <w:r>
        <w:rPr>
          <w:rFonts w:ascii="宋体" w:hAnsi="宋体"/>
          <w:b/>
          <w:bCs/>
          <w:sz w:val="24"/>
        </w:rPr>
      </w:r>
      <w:r/>
    </w:p>
    <w:p>
      <w:pPr>
        <w:pStyle w:val="995"/>
        <w:ind w:firstLine="480"/>
        <w:spacing w:line="360" w:lineRule="auto"/>
        <w:rPr>
          <w:rFonts w:hint="eastAsia" w:ascii="宋体" w:hAnsi="宋体" w:eastAsia="宋体"/>
          <w:sz w:val="24"/>
          <w:lang w:eastAsia="zh-CN"/>
        </w:rPr>
      </w:pPr>
      <w:r>
        <w:rPr>
          <w:rFonts w:hint="eastAsia" w:ascii="宋体" w:hAnsi="宋体"/>
          <w:sz w:val="24"/>
        </w:rPr>
        <w:t xml:space="preserve">1.项目名称：</w:t>
      </w:r>
      <w:r>
        <w:rPr>
          <w:rFonts w:hint="eastAsia" w:ascii="宋体" w:hAnsi="宋体"/>
          <w:sz w:val="24"/>
          <w:u w:val="single"/>
          <w:lang w:eastAsia="zh-CN"/>
        </w:rPr>
        <w:t xml:space="preserve">2026-2029年变电所运维及电气零星维修</w:t>
      </w:r>
      <w:r>
        <w:rPr>
          <w:rFonts w:hint="eastAsia" w:ascii="宋体" w:hAnsi="宋体" w:eastAsia="宋体"/>
          <w:sz w:val="24"/>
          <w:lang w:eastAsia="zh-CN"/>
        </w:rPr>
      </w:r>
      <w:r/>
    </w:p>
    <w:p>
      <w:pPr>
        <w:pStyle w:val="995"/>
        <w:ind w:firstLine="480"/>
        <w:spacing w:line="360" w:lineRule="auto"/>
        <w:rPr>
          <w:rFonts w:ascii="宋体" w:hAnsi="宋体"/>
          <w:sz w:val="24"/>
          <w:u w:val="single"/>
        </w:rPr>
      </w:pPr>
      <w:r>
        <w:rPr>
          <w:rFonts w:hint="eastAsia" w:ascii="宋体" w:hAnsi="宋体"/>
          <w:sz w:val="24"/>
        </w:rPr>
        <w:t xml:space="preserve">2.项目地点：</w:t>
      </w:r>
      <w:r>
        <w:rPr>
          <w:rFonts w:hint="eastAsia" w:ascii="宋体" w:hAnsi="宋体"/>
          <w:sz w:val="24"/>
          <w:u w:val="single"/>
        </w:rPr>
        <w:t xml:space="preserve">各泵站</w:t>
      </w:r>
      <w:r>
        <w:rPr>
          <w:rFonts w:ascii="宋体" w:hAnsi="宋体"/>
          <w:sz w:val="24"/>
          <w:u w:val="single"/>
        </w:rPr>
      </w:r>
      <w:r/>
    </w:p>
    <w:p>
      <w:pPr>
        <w:pStyle w:val="995"/>
        <w:ind w:firstLine="480"/>
        <w:spacing w:line="360" w:lineRule="auto"/>
        <w:rPr>
          <w:rFonts w:ascii="宋体" w:hAnsi="宋体"/>
          <w:sz w:val="24"/>
          <w:u w:val="single"/>
        </w:rPr>
      </w:pPr>
      <w:r>
        <w:rPr>
          <w:rFonts w:hint="eastAsia" w:ascii="宋体" w:hAnsi="宋体"/>
          <w:sz w:val="24"/>
        </w:rPr>
        <w:t xml:space="preserve">3.服务范围：</w:t>
      </w:r>
      <w:r>
        <w:rPr>
          <w:rFonts w:hint="eastAsia" w:ascii="宋体" w:hAnsi="宋体"/>
          <w:sz w:val="24"/>
          <w:u w:val="single"/>
        </w:rPr>
        <w:t xml:space="preserve">泵站变电所运维抢修、泵站电气零星维修、泵站视频维修</w:t>
      </w:r>
      <w:r>
        <w:rPr>
          <w:rFonts w:ascii="宋体" w:hAnsi="宋体"/>
          <w:sz w:val="24"/>
          <w:u w:val="single"/>
        </w:rPr>
      </w:r>
      <w:r/>
    </w:p>
    <w:p>
      <w:pPr>
        <w:pStyle w:val="995"/>
        <w:ind w:firstLine="480"/>
        <w:spacing w:line="360" w:lineRule="auto"/>
        <w:rPr>
          <w:rFonts w:ascii="宋体" w:hAnsi="宋体"/>
          <w:sz w:val="24"/>
          <w:u w:val="single"/>
        </w:rPr>
      </w:pPr>
      <w:r>
        <w:rPr>
          <w:rFonts w:hint="eastAsia" w:ascii="宋体" w:hAnsi="宋体"/>
          <w:sz w:val="24"/>
        </w:rPr>
        <w:t xml:space="preserve">4.服务期限：三年，合同一年一签。上一年度合同到期前一个月甲方对乙方服务满意的，经双方同意，可续签下一年度合同。本合同为第</w:t>
      </w:r>
      <w:r>
        <w:rPr>
          <w:rFonts w:hint="eastAsia" w:ascii="宋体" w:hAnsi="宋体"/>
          <w:sz w:val="24"/>
          <w:u w:val="single"/>
        </w:rPr>
        <w:t xml:space="preserve">      </w:t>
      </w:r>
      <w:r>
        <w:rPr>
          <w:rFonts w:hint="eastAsia" w:ascii="宋体" w:hAnsi="宋体"/>
          <w:sz w:val="24"/>
        </w:rPr>
        <w:t xml:space="preserve">年，服务期自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日至</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u w:val="single"/>
        </w:rPr>
      </w:r>
      <w:r/>
    </w:p>
    <w:p>
      <w:pPr>
        <w:pStyle w:val="995"/>
        <w:ind w:firstLine="480"/>
        <w:jc w:val="left"/>
        <w:spacing w:line="360" w:lineRule="auto"/>
        <w:rPr>
          <w:rFonts w:ascii="宋体" w:hAnsi="宋体" w:cs="宋体"/>
          <w:sz w:val="24"/>
        </w:rPr>
      </w:pPr>
      <w:r>
        <w:rPr>
          <w:rFonts w:ascii="宋体" w:hAnsi="宋体" w:cs="宋体"/>
          <w:sz w:val="24"/>
        </w:rPr>
      </w:r>
      <w:r/>
    </w:p>
    <w:p>
      <w:pPr>
        <w:pStyle w:val="995"/>
        <w:jc w:val="left"/>
        <w:spacing w:line="360" w:lineRule="auto"/>
        <w:tabs>
          <w:tab w:val="left" w:pos="1505" w:leader="none"/>
        </w:tabs>
        <w:rPr>
          <w:rFonts w:ascii="宋体" w:hAnsi="宋体"/>
          <w:b/>
          <w:bCs/>
          <w:sz w:val="24"/>
        </w:rPr>
      </w:pPr>
      <w:r>
        <w:rPr>
          <w:rFonts w:hint="eastAsia" w:ascii="宋体" w:hAnsi="宋体" w:cs="宋体"/>
          <w:b/>
          <w:bCs/>
          <w:sz w:val="24"/>
        </w:rPr>
        <w:t xml:space="preserve">第二条 服务内容</w:t>
      </w:r>
      <w:r>
        <w:rPr>
          <w:rFonts w:ascii="宋体" w:hAnsi="宋体"/>
          <w:b/>
          <w:bCs/>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1.泵站变电所运维的内容包括（但不限于）变电所线下巡检、电气设备保养、供电抢修维修、变电所改造等。</w:t>
      </w:r>
      <w:r>
        <w:rPr>
          <w:rFonts w:hint="eastAsia" w:ascii="宋体" w:hAnsi="宋体"/>
          <w:sz w:val="24"/>
        </w:rPr>
        <w:t xml:space="preserve">具体要求见招标文件。</w:t>
      </w:r>
      <w:r>
        <w:rPr>
          <w:rFonts w:hint="eastAsia" w:ascii="宋体" w:hAnsi="宋体" w:cs="宋体"/>
          <w:sz w:val="24"/>
        </w:rPr>
      </w:r>
      <w:r/>
    </w:p>
    <w:p>
      <w:pPr>
        <w:pStyle w:val="995"/>
        <w:spacing w:line="360" w:lineRule="auto"/>
        <w:rPr>
          <w:rFonts w:hint="eastAsia" w:ascii="宋体" w:hAnsi="宋体" w:cs="宋体"/>
          <w:sz w:val="24"/>
        </w:rPr>
      </w:pPr>
      <w:r>
        <w:rPr>
          <w:rFonts w:hint="eastAsia" w:ascii="宋体" w:hAnsi="宋体" w:cs="宋体"/>
          <w:sz w:val="24"/>
        </w:rPr>
        <w:t xml:space="preserve">    2.泵站低压电气零星维修的内容包括（但不限于）泵站设备控制柜、仪表等的故障诊断、维修、改造，泵站柴油发电机组及移动发电车的柴油发电机组的按需保养、应急抢修，泵站自控系统PLC柜及无人值守柜的软硬件故障诊断、现场维修、改造等。</w:t>
      </w:r>
      <w:r>
        <w:rPr>
          <w:rFonts w:hint="eastAsia" w:ascii="宋体" w:hAnsi="宋体"/>
          <w:sz w:val="24"/>
        </w:rPr>
        <w:t xml:space="preserve">具体要求见招标文件。</w:t>
      </w:r>
      <w:r>
        <w:rPr>
          <w:rFonts w:hint="eastAsia" w:ascii="宋体" w:hAnsi="宋体" w:cs="宋体"/>
          <w:sz w:val="24"/>
        </w:rPr>
      </w:r>
      <w:r/>
    </w:p>
    <w:p>
      <w:pPr>
        <w:pStyle w:val="995"/>
        <w:spacing w:line="360" w:lineRule="auto"/>
        <w:rPr>
          <w:rFonts w:hint="eastAsia" w:ascii="宋体" w:hAnsi="宋体" w:cs="宋体"/>
          <w:sz w:val="24"/>
        </w:rPr>
      </w:pPr>
      <w:r>
        <w:rPr>
          <w:rFonts w:hint="eastAsia" w:ascii="宋体" w:hAnsi="宋体" w:cs="宋体"/>
          <w:sz w:val="24"/>
        </w:rPr>
        <w:t xml:space="preserve">  3.泵站视频门禁等维保维修的内容包括（但不限于）泵站</w:t>
      </w:r>
      <w:r>
        <w:rPr>
          <w:rFonts w:ascii="宋体" w:hAnsi="宋体" w:cs="宋体"/>
          <w:sz w:val="24"/>
        </w:rPr>
        <w:t xml:space="preserve">内的</w:t>
      </w:r>
      <w:r>
        <w:rPr>
          <w:rFonts w:hint="eastAsia" w:ascii="宋体" w:hAnsi="宋体" w:cs="宋体"/>
          <w:sz w:val="24"/>
        </w:rPr>
        <w:t xml:space="preserve">视频、门禁</w:t>
      </w:r>
      <w:r>
        <w:rPr>
          <w:rFonts w:ascii="宋体" w:hAnsi="宋体" w:cs="宋体"/>
          <w:sz w:val="24"/>
        </w:rPr>
        <w:t xml:space="preserve">设备</w:t>
      </w:r>
      <w:r>
        <w:rPr>
          <w:rFonts w:hint="eastAsia" w:ascii="宋体" w:hAnsi="宋体" w:cs="宋体"/>
          <w:sz w:val="24"/>
        </w:rPr>
        <w:t xml:space="preserve">维修</w:t>
      </w:r>
      <w:r>
        <w:rPr>
          <w:rFonts w:ascii="宋体" w:hAnsi="宋体" w:cs="宋体"/>
          <w:sz w:val="24"/>
        </w:rPr>
        <w:t xml:space="preserve">服务</w:t>
      </w:r>
      <w:r>
        <w:rPr>
          <w:rFonts w:hint="eastAsia" w:ascii="宋体" w:hAnsi="宋体" w:cs="宋体"/>
          <w:sz w:val="24"/>
        </w:rPr>
        <w:t xml:space="preserve">。</w:t>
      </w:r>
      <w:r>
        <w:rPr>
          <w:rFonts w:hint="eastAsia" w:ascii="宋体" w:hAnsi="宋体"/>
          <w:sz w:val="24"/>
        </w:rPr>
        <w:t xml:space="preserve">具体要求见招标文件。</w:t>
      </w:r>
      <w:r>
        <w:rPr>
          <w:rFonts w:hint="eastAsia" w:ascii="宋体" w:hAnsi="宋体" w:cs="宋体"/>
          <w:sz w:val="24"/>
        </w:rPr>
      </w:r>
      <w:r/>
    </w:p>
    <w:p>
      <w:pPr>
        <w:pStyle w:val="995"/>
        <w:ind w:firstLine="480"/>
        <w:jc w:val="left"/>
        <w:spacing w:line="360" w:lineRule="auto"/>
        <w:rPr>
          <w:rFonts w:ascii="宋体" w:hAnsi="宋体" w:cs="宋体"/>
          <w:sz w:val="24"/>
        </w:rPr>
      </w:pPr>
      <w:r>
        <w:rPr>
          <w:rFonts w:ascii="宋体" w:hAnsi="宋体" w:cs="宋体"/>
          <w:sz w:val="24"/>
        </w:rPr>
      </w:r>
      <w:r/>
    </w:p>
    <w:p>
      <w:pPr>
        <w:pStyle w:val="995"/>
        <w:jc w:val="left"/>
        <w:spacing w:line="360" w:lineRule="auto"/>
        <w:rPr>
          <w:rFonts w:ascii="宋体" w:hAnsi="宋体"/>
          <w:b/>
          <w:sz w:val="24"/>
        </w:rPr>
      </w:pPr>
      <w:r>
        <w:rPr>
          <w:rFonts w:hint="eastAsia" w:ascii="宋体" w:hAnsi="宋体"/>
          <w:b/>
          <w:sz w:val="24"/>
        </w:rPr>
        <w:t xml:space="preserve">第三条 合同文件组成</w:t>
      </w:r>
      <w:r>
        <w:rPr>
          <w:rFonts w:ascii="宋体" w:hAnsi="宋体"/>
          <w:b/>
          <w:sz w:val="24"/>
        </w:rPr>
      </w:r>
      <w:r/>
    </w:p>
    <w:p>
      <w:pPr>
        <w:pStyle w:val="995"/>
        <w:ind w:firstLine="480"/>
        <w:spacing w:line="360" w:lineRule="auto"/>
        <w:rPr>
          <w:rFonts w:ascii="宋体" w:hAnsi="宋体"/>
          <w:sz w:val="24"/>
        </w:rPr>
      </w:pPr>
      <w:r>
        <w:rPr>
          <w:rFonts w:hint="eastAsia" w:ascii="宋体" w:hAnsi="宋体"/>
          <w:sz w:val="24"/>
        </w:rPr>
        <w:t xml:space="preserve">合同文件应能互相解释，互为说明，其组成如下： </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1.合同相关的补充协议；</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2.本合同协议书；</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3.中标通知书；</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4.招标文件及相关说明；</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5.投标文件及相关说明；</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6.乙方在招投标过程中所作的其它承诺、声明、书面澄清等。</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当合同文件出现含糊不清或不相一致，按以上优先顺序进行解释。</w:t>
      </w:r>
      <w:r>
        <w:rPr>
          <w:rFonts w:ascii="宋体" w:hAnsi="宋体"/>
          <w:sz w:val="24"/>
        </w:rPr>
      </w:r>
      <w:r/>
    </w:p>
    <w:p>
      <w:pPr>
        <w:pStyle w:val="995"/>
        <w:ind w:firstLine="480"/>
        <w:jc w:val="left"/>
        <w:spacing w:line="360" w:lineRule="auto"/>
        <w:rPr>
          <w:rFonts w:ascii="宋体" w:hAnsi="宋体" w:cs="宋体"/>
          <w:sz w:val="24"/>
        </w:rPr>
      </w:pPr>
      <w:r>
        <w:rPr>
          <w:rFonts w:ascii="宋体" w:hAnsi="宋体" w:cs="宋体"/>
          <w:sz w:val="24"/>
        </w:rPr>
      </w:r>
      <w:r/>
    </w:p>
    <w:p>
      <w:pPr>
        <w:pStyle w:val="995"/>
        <w:jc w:val="left"/>
        <w:spacing w:line="360" w:lineRule="auto"/>
        <w:rPr>
          <w:rFonts w:ascii="宋体" w:hAnsi="宋体"/>
          <w:b/>
          <w:sz w:val="24"/>
        </w:rPr>
      </w:pPr>
      <w:r>
        <w:rPr>
          <w:rFonts w:hint="eastAsia" w:ascii="宋体" w:hAnsi="宋体"/>
          <w:b/>
          <w:sz w:val="24"/>
        </w:rPr>
        <w:t xml:space="preserve">第四条 履约保证金</w:t>
      </w:r>
      <w:r>
        <w:rPr>
          <w:rFonts w:ascii="宋体" w:hAnsi="宋体"/>
          <w:b/>
          <w:sz w:val="24"/>
        </w:rPr>
      </w:r>
      <w:r/>
    </w:p>
    <w:p>
      <w:pPr>
        <w:pStyle w:val="995"/>
        <w:ind w:firstLine="480"/>
        <w:jc w:val="left"/>
        <w:spacing w:line="360" w:lineRule="auto"/>
        <w:rPr>
          <w:rFonts w:hint="eastAsia" w:ascii="宋体" w:hAnsi="宋体" w:cs="宋体"/>
          <w:sz w:val="24"/>
        </w:rPr>
      </w:pPr>
      <w:r>
        <w:rPr>
          <w:rFonts w:hint="eastAsia" w:ascii="宋体" w:hAnsi="宋体" w:cs="宋体"/>
          <w:sz w:val="24"/>
        </w:rPr>
        <w:t xml:space="preserve">1.合同签订后30日内，乙方向甲方提交履约保证金（年度预算的5%）（人民币</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），履约保证金以向甲方银行账户转账或提交银行履约保函的形式提交。若履约保证金以向甲方银行账户转账的形式提交，甲方账户如下：</w:t>
      </w:r>
      <w:r>
        <w:rPr>
          <w:rFonts w:hint="eastAsia" w:ascii="宋体" w:hAnsi="宋体" w:cs="宋体"/>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账户名：常州市财政局，开户银行：建行常州分行营业部，账号：32001629101052500075。</w:t>
      </w:r>
      <w:r>
        <w:rPr>
          <w:rFonts w:ascii="宋体" w:hAnsi="宋体" w:cs="宋体"/>
          <w:sz w:val="24"/>
        </w:rPr>
      </w:r>
      <w:r/>
    </w:p>
    <w:p>
      <w:pPr>
        <w:pStyle w:val="995"/>
        <w:ind w:firstLine="480"/>
        <w:jc w:val="left"/>
        <w:spacing w:line="360" w:lineRule="auto"/>
        <w:rPr>
          <w:rFonts w:ascii="宋体" w:hAnsi="宋体"/>
          <w:sz w:val="24"/>
        </w:rPr>
      </w:pPr>
      <w:r>
        <w:rPr>
          <w:rFonts w:hint="eastAsia" w:ascii="宋体" w:hAnsi="宋体" w:cs="宋体"/>
          <w:sz w:val="24"/>
        </w:rPr>
        <w:t xml:space="preserve">2.如乙方未能履行合同规定的义务，甲方有权从履约保证金中取得补偿。</w:t>
      </w:r>
      <w:r>
        <w:rPr>
          <w:rFonts w:ascii="宋体" w:hAnsi="宋体"/>
          <w:sz w:val="24"/>
        </w:rPr>
      </w:r>
      <w:r/>
    </w:p>
    <w:p>
      <w:pPr>
        <w:pStyle w:val="995"/>
        <w:ind w:firstLine="480"/>
        <w:jc w:val="left"/>
        <w:spacing w:line="360" w:lineRule="auto"/>
        <w:rPr>
          <w:rFonts w:ascii="宋体" w:hAnsi="宋体"/>
          <w:sz w:val="24"/>
        </w:rPr>
      </w:pPr>
      <w:r>
        <w:rPr>
          <w:rFonts w:hint="eastAsia" w:ascii="宋体" w:hAnsi="宋体" w:cs="宋体"/>
          <w:sz w:val="24"/>
        </w:rPr>
        <w:t xml:space="preserve">3.按照合同约定应退还的履约保证金，在项目服务结束后15个工作日内，无息退还给乙方。</w:t>
      </w:r>
      <w:r>
        <w:rPr>
          <w:rFonts w:ascii="宋体" w:hAnsi="宋体"/>
          <w:sz w:val="24"/>
        </w:rPr>
      </w:r>
      <w:r/>
    </w:p>
    <w:p>
      <w:pPr>
        <w:pStyle w:val="995"/>
        <w:ind w:firstLine="480"/>
        <w:jc w:val="left"/>
        <w:spacing w:line="360" w:lineRule="auto"/>
        <w:rPr>
          <w:rFonts w:ascii="宋体" w:hAnsi="宋体" w:cs="宋体"/>
          <w:sz w:val="24"/>
        </w:rPr>
      </w:pPr>
      <w:r>
        <w:rPr>
          <w:rFonts w:ascii="宋体" w:hAnsi="宋体" w:cs="宋体"/>
          <w:sz w:val="24"/>
        </w:rPr>
      </w:r>
      <w:r/>
    </w:p>
    <w:p>
      <w:pPr>
        <w:pStyle w:val="995"/>
        <w:jc w:val="left"/>
        <w:spacing w:line="360" w:lineRule="auto"/>
        <w:rPr>
          <w:rFonts w:hint="eastAsia" w:ascii="宋体" w:hAnsi="宋体"/>
          <w:b/>
          <w:sz w:val="24"/>
        </w:rPr>
      </w:pPr>
      <w:r>
        <w:rPr>
          <w:rFonts w:hint="eastAsia" w:ascii="宋体" w:hAnsi="宋体"/>
          <w:b/>
          <w:sz w:val="24"/>
        </w:rPr>
        <w:t xml:space="preserve">第五条 合同价格</w:t>
      </w:r>
      <w:r>
        <w:rPr>
          <w:rFonts w:ascii="宋体" w:hAnsi="宋体"/>
          <w:b/>
          <w:sz w:val="24"/>
        </w:rPr>
        <w:t xml:space="preserve">、</w:t>
      </w:r>
      <w:r>
        <w:rPr>
          <w:rFonts w:hint="eastAsia" w:ascii="宋体" w:hAnsi="宋体"/>
          <w:b/>
          <w:sz w:val="24"/>
        </w:rPr>
        <w:t xml:space="preserve">计量与支付</w:t>
      </w:r>
      <w:r>
        <w:rPr>
          <w:rFonts w:hint="eastAsia" w:ascii="宋体" w:hAnsi="宋体"/>
          <w:b/>
          <w:sz w:val="24"/>
        </w:rPr>
      </w:r>
      <w:r/>
    </w:p>
    <w:p>
      <w:pPr>
        <w:pStyle w:val="995"/>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1.本项目预计合同总价为185.8555万元/年</w:t>
      </w:r>
      <w:r>
        <w:rPr>
          <w:rFonts w:hint="eastAsia" w:ascii="宋体" w:hAnsi="宋体" w:cs="宋体"/>
          <w:sz w:val="24"/>
          <w:highlight w:val="none"/>
        </w:rPr>
      </w:r>
      <w:r/>
    </w:p>
    <w:p>
      <w:pPr>
        <w:pStyle w:val="995"/>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2.本项目合同采用单价合同；</w:t>
      </w:r>
      <w:r>
        <w:rPr>
          <w:rFonts w:hint="eastAsia" w:ascii="宋体" w:hAnsi="宋体" w:cs="宋体"/>
          <w:sz w:val="24"/>
          <w:highlight w:val="none"/>
        </w:rPr>
      </w:r>
      <w:r/>
    </w:p>
    <w:p>
      <w:pPr>
        <w:pStyle w:val="995"/>
        <w:ind w:firstLine="480"/>
        <w:spacing w:line="360" w:lineRule="auto"/>
        <w:rPr>
          <w:rFonts w:hint="eastAsia" w:ascii="宋体" w:hAnsi="宋体"/>
          <w:sz w:val="24"/>
          <w:highlight w:val="none"/>
        </w:rPr>
      </w:pPr>
      <w:r>
        <w:rPr>
          <w:rFonts w:hint="eastAsia" w:ascii="宋体" w:hAnsi="宋体" w:cs="宋体"/>
          <w:sz w:val="24"/>
          <w:highlight w:val="none"/>
        </w:rPr>
        <w:t xml:space="preserve">3.</w:t>
      </w:r>
      <w:r>
        <w:rPr>
          <w:rFonts w:hint="eastAsia" w:ascii="宋体" w:hAnsi="宋体"/>
          <w:sz w:val="24"/>
          <w:highlight w:val="none"/>
        </w:rPr>
        <w:t xml:space="preserve"> 报价、结算原则</w:t>
      </w:r>
      <w:r>
        <w:rPr>
          <w:rFonts w:hint="eastAsia" w:ascii="宋体" w:hAnsi="宋体"/>
          <w:sz w:val="24"/>
          <w:highlight w:val="none"/>
        </w:rPr>
      </w:r>
      <w:r/>
    </w:p>
    <w:p>
      <w:pPr>
        <w:pStyle w:val="995"/>
        <w:ind w:firstLine="480"/>
        <w:spacing w:line="360" w:lineRule="auto"/>
        <w:rPr>
          <w:rFonts w:hint="eastAsia" w:ascii="宋体" w:hAnsi="宋体"/>
          <w:sz w:val="24"/>
        </w:rPr>
      </w:pPr>
      <w:r>
        <w:rPr>
          <w:rFonts w:hint="eastAsia" w:ascii="宋体" w:hAnsi="宋体"/>
          <w:sz w:val="24"/>
        </w:rPr>
        <w:t xml:space="preserve">3.1本合同无预付款</w:t>
      </w:r>
      <w:r>
        <w:rPr>
          <w:rFonts w:hint="eastAsia" w:ascii="宋体" w:hAnsi="宋体"/>
          <w:sz w:val="24"/>
        </w:rPr>
      </w:r>
      <w:r/>
    </w:p>
    <w:p>
      <w:pPr>
        <w:pStyle w:val="995"/>
        <w:ind w:firstLine="480"/>
        <w:spacing w:line="360" w:lineRule="auto"/>
        <w:rPr>
          <w:rFonts w:hint="eastAsia" w:ascii="宋体" w:hAnsi="宋体" w:cs="宋体"/>
          <w:sz w:val="24"/>
        </w:rPr>
      </w:pPr>
      <w:r>
        <w:rPr>
          <w:rFonts w:hint="eastAsia" w:ascii="宋体" w:hAnsi="宋体" w:cs="宋体"/>
          <w:sz w:val="24"/>
          <w:szCs w:val="20"/>
        </w:rPr>
        <w:t xml:space="preserve">3.2表中第1-3项为“固定服务费”，费用结算不需进行审计。每月结算一次，结算单价为</w:t>
      </w:r>
      <w:r>
        <w:rPr>
          <w:rFonts w:hint="eastAsia" w:ascii="宋体" w:hAnsi="宋体" w:cs="宋体"/>
          <w:sz w:val="24"/>
        </w:rPr>
        <w:t xml:space="preserve">投标单价，结算数量按实计量；</w:t>
      </w:r>
      <w:r>
        <w:rPr>
          <w:rFonts w:hint="eastAsia" w:ascii="宋体" w:hAnsi="宋体" w:cs="宋体"/>
          <w:sz w:val="24"/>
        </w:rPr>
      </w:r>
      <w:r/>
    </w:p>
    <w:p>
      <w:pPr>
        <w:pStyle w:val="995"/>
        <w:ind w:firstLine="480"/>
        <w:spacing w:line="360" w:lineRule="auto"/>
        <w:rPr>
          <w:rFonts w:hint="eastAsia" w:ascii="宋体" w:hAnsi="宋体" w:cs="宋体"/>
          <w:sz w:val="24"/>
          <w:szCs w:val="20"/>
        </w:rPr>
      </w:pPr>
      <w:r>
        <w:rPr>
          <w:rFonts w:hint="eastAsia" w:ascii="宋体" w:hAnsi="宋体" w:cs="宋体"/>
          <w:sz w:val="24"/>
          <w:szCs w:val="20"/>
        </w:rPr>
        <w:t xml:space="preserve">3.3表中第4项为“非固定服务费”，费用结算需进行审计。变电所供配电设施设备抢维修、泵站低压电气零星维修、视频门禁维修原则上每2个月审计结算一次。表中这部分“预算价，最高限价”119.71万仅为模拟假定的全年发生费用，抢维修是否发生及发生内容、数量均按实派单、签证、计量。抢修、维修的部分基准价格或材料主材价格详见附件，投标单位根据“模拟假定的全年发生费用”以及“抢修、维修的部分基准价格或材料主材价格”等综合因素做出该部分报价，报价参与价格评审。</w:t>
      </w:r>
      <w:r>
        <w:rPr>
          <w:rFonts w:hint="eastAsia"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中标人该部分的投标报价除以“预算价，最高限价”119.71万，为该部分的投标让利率，抢修、维修的部分的主材和人工均按该让利率进行审计结算。抢维修工程量为部门签证确认，中标人应按照实际发生的抢修及维修工程量编制结算书，送招标人指定审计单位审计并按让利率进行结算。</w:t>
      </w:r>
      <w:r>
        <w:rPr>
          <w:rFonts w:ascii="宋体" w:hAnsi="宋体" w:cs="宋体"/>
          <w:sz w:val="24"/>
          <w:szCs w:val="20"/>
        </w:rPr>
      </w:r>
      <w:r/>
    </w:p>
    <w:p>
      <w:pPr>
        <w:pStyle w:val="995"/>
        <w:ind w:firstLine="480"/>
        <w:spacing w:line="360" w:lineRule="auto"/>
        <w:rPr>
          <w:rFonts w:hint="eastAsia" w:ascii="宋体" w:hAnsi="宋体" w:cs="宋体"/>
          <w:sz w:val="24"/>
          <w:szCs w:val="20"/>
        </w:rPr>
      </w:pPr>
      <w:r>
        <w:rPr>
          <w:rFonts w:hint="eastAsia" w:ascii="宋体" w:hAnsi="宋体" w:cs="宋体"/>
          <w:sz w:val="24"/>
        </w:rPr>
        <w:t xml:space="preserve">3.4</w:t>
      </w:r>
      <w:r>
        <w:rPr>
          <w:rFonts w:hint="eastAsia" w:ascii="宋体" w:hAnsi="宋体" w:cs="宋体"/>
          <w:sz w:val="24"/>
          <w:szCs w:val="20"/>
        </w:rPr>
        <w:t xml:space="preserve">变电所供配电设施设备抢维修、泵站低压电气零星维修、视频门禁维修结算书编制执行《江苏省安装工程计价定额（2014版）》和《江苏省建设工程费用定额（2014年）》。如上述文件没有可参照的，执行《江苏省市政工程计价定额（2014版）》</w:t>
      </w:r>
      <w:r>
        <w:rPr>
          <w:rFonts w:hint="eastAsia" w:ascii="宋体" w:hAnsi="宋体" w:cs="宋体"/>
          <w:sz w:val="24"/>
          <w:szCs w:val="20"/>
        </w:rPr>
      </w:r>
      <w:r/>
    </w:p>
    <w:p>
      <w:pPr>
        <w:pStyle w:val="995"/>
        <w:ind w:firstLine="480"/>
        <w:spacing w:line="360" w:lineRule="auto"/>
        <w:rPr>
          <w:rFonts w:ascii="宋体" w:hAnsi="宋体" w:cs="宋体"/>
          <w:sz w:val="24"/>
          <w:szCs w:val="20"/>
        </w:rPr>
      </w:pPr>
      <w:r>
        <w:rPr>
          <w:rFonts w:hint="eastAsia" w:ascii="宋体" w:hAnsi="宋体" w:cs="宋体"/>
          <w:sz w:val="24"/>
          <w:szCs w:val="20"/>
        </w:rPr>
        <w:t xml:space="preserve">材料价格确定机制：除甲供材料外，材料价格按《</w:t>
      </w:r>
      <w:r>
        <w:rPr>
          <w:rFonts w:hint="eastAsia" w:ascii="宋体" w:hAnsi="宋体" w:cs="宋体"/>
          <w:b/>
          <w:sz w:val="24"/>
        </w:rPr>
        <w:t xml:space="preserve">部分抢修维修基准单价表</w:t>
      </w:r>
      <w:r>
        <w:rPr>
          <w:rFonts w:hint="eastAsia" w:ascii="宋体" w:hAnsi="宋体" w:cs="宋体"/>
          <w:sz w:val="24"/>
          <w:szCs w:val="20"/>
        </w:rPr>
        <w:t xml:space="preserve">》和实际施工月份《常州工程造价信息》（当期未有的逐月前推）依序执行。如上述文件均没有可参照的，原则上应由招标人、中标人及跟踪审计单位根据市场询价共同确定，定价材料不再下浮。如需定价的材料单价高于2000元或累计金额大于10000元，需先报价审核后再采购和维修。</w:t>
      </w:r>
      <w:r>
        <w:rPr>
          <w:rFonts w:ascii="宋体" w:hAnsi="宋体" w:cs="宋体"/>
          <w:sz w:val="24"/>
          <w:szCs w:val="20"/>
        </w:rPr>
      </w:r>
      <w:r/>
    </w:p>
    <w:p>
      <w:pPr>
        <w:pStyle w:val="995"/>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审定工程价：是指中标人按照合同约定结算周期完成的工程量，经跟踪审计单位审核且招标人和中标人双方认可的工程造价。</w:t>
      </w:r>
      <w:r>
        <w:rPr>
          <w:rFonts w:hint="eastAsia" w:ascii="宋体" w:hAnsi="宋体" w:eastAsia="宋体" w:cs="宋体"/>
          <w:sz w:val="24"/>
          <w:szCs w:val="20"/>
        </w:rPr>
      </w:r>
      <w:r/>
    </w:p>
    <w:p>
      <w:pPr>
        <w:pStyle w:val="995"/>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审定结算价：招标人在审定工程价基础上按照合同相关条款并进行扣除后，与审定工程价一起形成的合价为审定结算价。</w:t>
      </w:r>
      <w:r>
        <w:rPr>
          <w:rFonts w:hint="eastAsia" w:ascii="宋体" w:hAnsi="宋体" w:eastAsia="宋体" w:cs="宋体"/>
          <w:sz w:val="24"/>
          <w:szCs w:val="20"/>
        </w:rPr>
      </w:r>
      <w:r/>
    </w:p>
    <w:p>
      <w:pPr>
        <w:pStyle w:val="995"/>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中标人应本着实事求是的原则申报结算，如结算审计（外审）核减率大于15%，除超出部分（基数为核减率15%）的审计服务费按实由中标人支付外，核减率每超过1%（不足1%按相应比例计）扣除中标人审定工程价的1%，最高不超过审定工程价的10%。</w:t>
      </w:r>
      <w:r>
        <w:rPr>
          <w:rFonts w:hint="eastAsia" w:ascii="宋体" w:hAnsi="宋体" w:eastAsia="宋体" w:cs="宋体"/>
          <w:sz w:val="24"/>
          <w:szCs w:val="20"/>
        </w:rPr>
      </w:r>
      <w:r/>
    </w:p>
    <w:p>
      <w:pPr>
        <w:pStyle w:val="995"/>
        <w:ind w:firstLine="482"/>
        <w:spacing w:line="400" w:lineRule="exact"/>
        <w:tabs>
          <w:tab w:val="left" w:pos="851" w:leader="none"/>
        </w:tabs>
        <w:rPr>
          <w:rFonts w:hint="eastAsia" w:ascii="宋体" w:hAnsi="宋体" w:cs="宋体"/>
          <w:b/>
          <w:sz w:val="24"/>
          <w:highlight w:val="none"/>
        </w:rPr>
      </w:pPr>
      <w:r>
        <w:rPr>
          <w:rFonts w:hint="eastAsia" w:ascii="宋体" w:hAnsi="宋体" w:cs="宋体"/>
          <w:b/>
          <w:sz w:val="24"/>
          <w:highlight w:val="none"/>
        </w:rPr>
        <w:t xml:space="preserve">如审计、财政等政府机关组织对该项目包含但不限于结算的审核结果、合同履行进行评价、抽查、复审，甲乙双方同意项目结算必须以其评价、抽查、复审结果为准。</w:t>
      </w:r>
      <w:r>
        <w:rPr>
          <w:rFonts w:hint="eastAsia" w:ascii="宋体" w:hAnsi="宋体" w:cs="宋体"/>
          <w:b/>
          <w:sz w:val="24"/>
          <w:highlight w:val="none"/>
        </w:rPr>
      </w:r>
      <w:r/>
    </w:p>
    <w:p>
      <w:pPr>
        <w:pStyle w:val="995"/>
        <w:ind w:firstLine="482"/>
        <w:spacing w:line="400" w:lineRule="exact"/>
        <w:tabs>
          <w:tab w:val="left" w:pos="851" w:leader="none"/>
        </w:tabs>
        <w:rPr>
          <w:rFonts w:ascii="宋体" w:hAnsi="宋体" w:cs="宋体"/>
          <w:b/>
          <w:sz w:val="24"/>
          <w:highlight w:val="none"/>
        </w:rPr>
      </w:pPr>
      <w:r>
        <w:rPr>
          <w:rFonts w:hint="eastAsia" w:ascii="宋体" w:hAnsi="宋体" w:cs="宋体"/>
          <w:b/>
          <w:sz w:val="24"/>
          <w:highlight w:val="none"/>
        </w:rPr>
        <w:t xml:space="preserve">如遇整改问题涉及乙方的，乙方应积极完成整改工作，整改涉及的相关费用支出及审定金额退费由乙方承担。</w:t>
      </w:r>
      <w:r>
        <w:rPr>
          <w:rFonts w:ascii="宋体" w:hAnsi="宋体" w:cs="宋体"/>
          <w:b/>
          <w:sz w:val="24"/>
          <w:highlight w:val="none"/>
        </w:rPr>
      </w:r>
      <w:r/>
    </w:p>
    <w:tbl>
      <w:tblPr>
        <w:tblW w:w="103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20"/>
        <w:gridCol w:w="660"/>
        <w:gridCol w:w="690"/>
        <w:gridCol w:w="1439"/>
        <w:gridCol w:w="1771"/>
        <w:gridCol w:w="1215"/>
        <w:gridCol w:w="1111"/>
        <w:gridCol w:w="1395"/>
      </w:tblGrid>
      <w:tr>
        <w:trPr>
          <w:trHeight w:val="454"/>
          <w:tblHeader/>
        </w:trPr>
        <w:tc>
          <w:tcPr>
            <w:tcW w:w="709"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序号</w:t>
            </w:r>
            <w:r>
              <w:rPr>
                <w:rFonts w:cs="宋体"/>
                <w:b/>
                <w:bCs/>
                <w:sz w:val="22"/>
                <w:szCs w:val="22"/>
                <w:highlight w:val="none"/>
                <w:lang w:val="en-US" w:eastAsia="zh-CN"/>
              </w:rPr>
            </w:r>
            <w:r/>
          </w:p>
        </w:tc>
        <w:tc>
          <w:tcPr>
            <w:tcW w:w="1320"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项目</w:t>
            </w:r>
            <w:r>
              <w:rPr>
                <w:rFonts w:cs="宋体"/>
                <w:b/>
                <w:bCs/>
                <w:sz w:val="22"/>
                <w:szCs w:val="22"/>
                <w:highlight w:val="none"/>
                <w:lang w:val="en-US" w:eastAsia="zh-CN"/>
              </w:rPr>
            </w:r>
            <w:r/>
          </w:p>
        </w:tc>
        <w:tc>
          <w:tcPr>
            <w:tcW w:w="660"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单位</w:t>
            </w:r>
            <w:r>
              <w:rPr>
                <w:rFonts w:cs="宋体"/>
                <w:b/>
                <w:bCs/>
                <w:sz w:val="22"/>
                <w:szCs w:val="22"/>
                <w:highlight w:val="none"/>
                <w:lang w:val="en-US" w:eastAsia="zh-CN"/>
              </w:rPr>
            </w:r>
            <w:r/>
          </w:p>
        </w:tc>
        <w:tc>
          <w:tcPr>
            <w:tcW w:w="690"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数量</w:t>
            </w:r>
            <w:r>
              <w:rPr>
                <w:rFonts w:cs="宋体"/>
                <w:b/>
                <w:bCs/>
                <w:sz w:val="22"/>
                <w:szCs w:val="22"/>
                <w:highlight w:val="none"/>
                <w:lang w:val="en-US" w:eastAsia="zh-CN"/>
              </w:rPr>
            </w:r>
            <w:r/>
          </w:p>
        </w:tc>
        <w:tc>
          <w:tcPr>
            <w:tcW w:w="1439"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投标单价（元/座/月）</w:t>
            </w:r>
            <w:r>
              <w:rPr>
                <w:rFonts w:cs="宋体"/>
                <w:b/>
                <w:bCs/>
                <w:sz w:val="22"/>
                <w:szCs w:val="22"/>
                <w:highlight w:val="none"/>
                <w:lang w:val="en-US" w:eastAsia="zh-CN"/>
              </w:rPr>
            </w:r>
            <w:r/>
          </w:p>
        </w:tc>
        <w:tc>
          <w:tcPr>
            <w:tcW w:w="1771"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基准单价最高限价（元/座/月）</w:t>
            </w:r>
            <w:r>
              <w:rPr>
                <w:rFonts w:cs="宋体"/>
                <w:b/>
                <w:bCs/>
                <w:sz w:val="22"/>
                <w:szCs w:val="22"/>
                <w:highlight w:val="none"/>
                <w:lang w:val="en-US" w:eastAsia="zh-CN"/>
              </w:rPr>
            </w:r>
            <w:r/>
          </w:p>
        </w:tc>
        <w:tc>
          <w:tcPr>
            <w:tcW w:w="1215" w:type="dxa"/>
            <w:vAlign w:val="center"/>
            <w:textDirection w:val="lrTb"/>
            <w:noWrap w:val="false"/>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合计价格（元/月）</w:t>
            </w:r>
            <w:r>
              <w:rPr>
                <w:rFonts w:hint="eastAsia" w:cs="宋体"/>
                <w:b/>
                <w:bCs/>
                <w:sz w:val="22"/>
                <w:szCs w:val="22"/>
                <w:highlight w:val="none"/>
                <w:lang w:val="en-US" w:eastAsia="zh-CN"/>
              </w:rPr>
            </w:r>
            <w:r/>
          </w:p>
        </w:tc>
        <w:tc>
          <w:tcPr>
            <w:tcW w:w="1111" w:type="dxa"/>
            <w:vAlign w:val="center"/>
            <w:textDirection w:val="lrTb"/>
            <w:noWrap w:val="false"/>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合计价格（元/年）</w:t>
            </w:r>
            <w:r>
              <w:rPr>
                <w:rFonts w:hint="eastAsia" w:cs="宋体"/>
                <w:b/>
                <w:bCs/>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备注</w:t>
            </w:r>
            <w:r>
              <w:rPr>
                <w:rFonts w:cs="宋体"/>
                <w:b/>
                <w:bCs/>
                <w:sz w:val="22"/>
                <w:szCs w:val="22"/>
                <w:highlight w:val="none"/>
                <w:lang w:val="en-US" w:eastAsia="zh-CN"/>
              </w:rPr>
            </w:r>
            <w:r/>
          </w:p>
        </w:tc>
      </w:tr>
      <w:tr>
        <w:trPr>
          <w:trHeight w:val="454"/>
          <w:tblHeader/>
        </w:trPr>
        <w:tc>
          <w:tcPr>
            <w:tcW w:w="709"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1</w:t>
            </w:r>
            <w:r>
              <w:rPr>
                <w:rFonts w:hint="eastAsia" w:cs="宋体"/>
                <w:sz w:val="22"/>
                <w:szCs w:val="22"/>
                <w:highlight w:val="none"/>
                <w:lang w:val="en-US" w:eastAsia="zh-CN"/>
              </w:rPr>
            </w:r>
            <w:r/>
          </w:p>
        </w:tc>
        <w:tc>
          <w:tcPr>
            <w:tcW w:w="1320" w:type="dxa"/>
            <w:vAlign w:val="center"/>
            <w:textDirection w:val="lrTb"/>
            <w:noWrap/>
          </w:tcPr>
          <w:p>
            <w:pPr>
              <w:pStyle w:val="995"/>
              <w:jc w:val="center"/>
              <w:widowControl/>
              <w:rPr>
                <w:rFonts w:ascii="宋体" w:hAnsi="宋体" w:cs="宋体"/>
                <w:sz w:val="22"/>
                <w:szCs w:val="22"/>
                <w:highlight w:val="none"/>
              </w:rPr>
            </w:pPr>
            <w:r>
              <w:rPr>
                <w:rFonts w:hint="eastAsia" w:ascii="宋体" w:hAnsi="宋体" w:cs="宋体"/>
                <w:sz w:val="22"/>
                <w:szCs w:val="22"/>
                <w:highlight w:val="none"/>
              </w:rPr>
              <w:t xml:space="preserve">变电所月度巡检</w:t>
            </w:r>
            <w:r>
              <w:rPr>
                <w:rFonts w:ascii="宋体" w:hAnsi="宋体" w:cs="宋体"/>
                <w:sz w:val="22"/>
                <w:szCs w:val="22"/>
                <w:highlight w:val="none"/>
              </w:rPr>
            </w:r>
            <w:r/>
          </w:p>
        </w:tc>
        <w:tc>
          <w:tcPr>
            <w:tcW w:w="660" w:type="dxa"/>
            <w:vAlign w:val="center"/>
            <w:textDirection w:val="lrTb"/>
            <w:noWrap/>
          </w:tcPr>
          <w:p>
            <w:pPr>
              <w:pStyle w:val="995"/>
              <w:jc w:val="center"/>
              <w:widowControl/>
              <w:rPr>
                <w:rFonts w:ascii="宋体" w:hAnsi="宋体" w:cs="宋体"/>
                <w:sz w:val="22"/>
                <w:szCs w:val="22"/>
                <w:highlight w:val="none"/>
              </w:rPr>
            </w:pPr>
            <w:r>
              <w:rPr>
                <w:rFonts w:hint="eastAsia" w:ascii="宋体" w:hAnsi="宋体" w:cs="宋体"/>
                <w:sz w:val="22"/>
                <w:szCs w:val="22"/>
                <w:highlight w:val="none"/>
              </w:rPr>
              <w:t xml:space="preserve">座</w:t>
            </w:r>
            <w:r>
              <w:rPr>
                <w:rFonts w:ascii="宋体" w:hAnsi="宋体" w:cs="宋体"/>
                <w:sz w:val="22"/>
                <w:szCs w:val="22"/>
                <w:highlight w:val="none"/>
              </w:rPr>
            </w:r>
            <w:r/>
          </w:p>
        </w:tc>
        <w:tc>
          <w:tcPr>
            <w:tcW w:w="690" w:type="dxa"/>
            <w:vAlign w:val="center"/>
            <w:textDirection w:val="lrTb"/>
            <w:noWrap/>
          </w:tcPr>
          <w:p>
            <w:pPr>
              <w:pStyle w:val="995"/>
              <w:jc w:val="center"/>
              <w:widowControl/>
              <w:rPr>
                <w:rFonts w:ascii="宋体" w:hAnsi="宋体" w:cs="宋体"/>
                <w:sz w:val="22"/>
                <w:szCs w:val="22"/>
                <w:highlight w:val="none"/>
              </w:rPr>
            </w:pPr>
            <w:r>
              <w:rPr>
                <w:rFonts w:hint="eastAsia" w:ascii="宋体" w:hAnsi="宋体" w:cs="宋体"/>
                <w:sz w:val="22"/>
                <w:szCs w:val="22"/>
                <w:highlight w:val="none"/>
              </w:rPr>
              <w:t xml:space="preserve">69</w:t>
            </w:r>
            <w:r>
              <w:rPr>
                <w:rFonts w:ascii="宋体" w:hAnsi="宋体" w:cs="宋体"/>
                <w:sz w:val="22"/>
                <w:szCs w:val="22"/>
                <w:highlight w:val="none"/>
              </w:rPr>
            </w:r>
            <w:r/>
          </w:p>
        </w:tc>
        <w:tc>
          <w:tcPr>
            <w:tcW w:w="1439"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771" w:type="dxa"/>
            <w:vAlign w:val="center"/>
            <w:textDirection w:val="lrTb"/>
            <w:noWrap/>
          </w:tcPr>
          <w:p>
            <w:pPr>
              <w:pStyle w:val="99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209</w:t>
            </w:r>
            <w:r>
              <w:rPr>
                <w:rFonts w:hint="eastAsia" w:ascii="宋体" w:hAnsi="宋体" w:cs="宋体"/>
                <w:color w:val="000000"/>
                <w:sz w:val="22"/>
                <w:szCs w:val="22"/>
                <w:highlight w:val="none"/>
              </w:rPr>
            </w:r>
            <w:r/>
          </w:p>
        </w:tc>
        <w:tc>
          <w:tcPr>
            <w:tcW w:w="1215" w:type="dxa"/>
            <w:vAlign w:val="center"/>
            <w:textDirection w:val="lrTb"/>
            <w:noWrap w:val="false"/>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111" w:type="dxa"/>
            <w:vAlign w:val="center"/>
            <w:textDirection w:val="lrTb"/>
            <w:noWrap w:val="false"/>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每座变电所每月巡检1次</w:t>
            </w:r>
            <w:r>
              <w:rPr>
                <w:rFonts w:hint="eastAsia" w:cs="宋体"/>
                <w:sz w:val="22"/>
                <w:szCs w:val="22"/>
                <w:highlight w:val="none"/>
                <w:lang w:val="en-US" w:eastAsia="zh-CN"/>
              </w:rPr>
            </w:r>
            <w:r/>
          </w:p>
        </w:tc>
      </w:tr>
      <w:tr>
        <w:trPr>
          <w:trHeight w:val="454"/>
          <w:tblHeader/>
        </w:trPr>
        <w:tc>
          <w:tcPr>
            <w:tcW w:w="709"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序号</w:t>
            </w:r>
            <w:r>
              <w:rPr>
                <w:rFonts w:cs="宋体"/>
                <w:b/>
                <w:bCs/>
                <w:sz w:val="22"/>
                <w:szCs w:val="22"/>
                <w:highlight w:val="none"/>
                <w:lang w:val="en-US" w:eastAsia="zh-CN"/>
              </w:rPr>
            </w:r>
            <w:r/>
          </w:p>
        </w:tc>
        <w:tc>
          <w:tcPr>
            <w:tcW w:w="1320"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项目</w:t>
            </w:r>
            <w:r>
              <w:rPr>
                <w:rFonts w:cs="宋体"/>
                <w:b/>
                <w:bCs/>
                <w:sz w:val="22"/>
                <w:szCs w:val="22"/>
                <w:highlight w:val="none"/>
                <w:lang w:val="en-US" w:eastAsia="zh-CN"/>
              </w:rPr>
            </w:r>
            <w:r/>
          </w:p>
        </w:tc>
        <w:tc>
          <w:tcPr>
            <w:tcW w:w="660"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单位</w:t>
            </w:r>
            <w:r>
              <w:rPr>
                <w:rFonts w:cs="宋体"/>
                <w:b/>
                <w:bCs/>
                <w:sz w:val="22"/>
                <w:szCs w:val="22"/>
                <w:highlight w:val="none"/>
                <w:lang w:val="en-US" w:eastAsia="zh-CN"/>
              </w:rPr>
            </w:r>
            <w:r/>
          </w:p>
        </w:tc>
        <w:tc>
          <w:tcPr>
            <w:tcW w:w="690"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数量</w:t>
            </w:r>
            <w:r>
              <w:rPr>
                <w:rFonts w:cs="宋体"/>
                <w:b/>
                <w:bCs/>
                <w:sz w:val="22"/>
                <w:szCs w:val="22"/>
                <w:highlight w:val="none"/>
                <w:lang w:val="en-US" w:eastAsia="zh-CN"/>
              </w:rPr>
            </w:r>
            <w:r/>
          </w:p>
        </w:tc>
        <w:tc>
          <w:tcPr>
            <w:tcW w:w="1439"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投标单价（元/座/年）</w:t>
            </w:r>
            <w:r>
              <w:rPr>
                <w:rFonts w:cs="宋体"/>
                <w:b/>
                <w:bCs/>
                <w:sz w:val="22"/>
                <w:szCs w:val="22"/>
                <w:highlight w:val="none"/>
                <w:lang w:val="en-US" w:eastAsia="zh-CN"/>
              </w:rPr>
            </w:r>
            <w:r/>
          </w:p>
        </w:tc>
        <w:tc>
          <w:tcPr>
            <w:tcW w:w="1771"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基准单价最高限价（元/座/年）</w:t>
            </w:r>
            <w:r>
              <w:rPr>
                <w:rFonts w:cs="宋体"/>
                <w:b/>
                <w:bCs/>
                <w:sz w:val="22"/>
                <w:szCs w:val="22"/>
                <w:highlight w:val="none"/>
                <w:lang w:val="en-US" w:eastAsia="zh-CN"/>
              </w:rPr>
            </w:r>
            <w:r/>
          </w:p>
        </w:tc>
        <w:tc>
          <w:tcPr>
            <w:gridSpan w:val="2"/>
            <w:tcW w:w="2326" w:type="dxa"/>
            <w:vAlign w:val="center"/>
            <w:textDirection w:val="lrTb"/>
            <w:noWrap w:val="false"/>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合计价格（元/年）</w:t>
            </w:r>
            <w:r>
              <w:rPr>
                <w:rFonts w:hint="eastAsia" w:cs="宋体"/>
                <w:b/>
                <w:bCs/>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备注</w:t>
            </w:r>
            <w:r>
              <w:rPr>
                <w:rFonts w:cs="宋体"/>
                <w:b/>
                <w:bCs/>
                <w:sz w:val="22"/>
                <w:szCs w:val="22"/>
                <w:highlight w:val="none"/>
                <w:lang w:val="en-US" w:eastAsia="zh-CN"/>
              </w:rPr>
            </w:r>
            <w:r/>
          </w:p>
        </w:tc>
      </w:tr>
      <w:tr>
        <w:trPr>
          <w:trHeight w:val="454"/>
          <w:tblHeader/>
        </w:trPr>
        <w:tc>
          <w:tcPr>
            <w:tcW w:w="709"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2</w:t>
            </w:r>
            <w:r>
              <w:rPr>
                <w:rFonts w:hint="eastAsia" w:cs="宋体"/>
                <w:sz w:val="22"/>
                <w:szCs w:val="22"/>
                <w:highlight w:val="none"/>
                <w:lang w:val="en-US" w:eastAsia="zh-CN"/>
              </w:rPr>
            </w:r>
            <w:r/>
          </w:p>
        </w:tc>
        <w:tc>
          <w:tcPr>
            <w:tcW w:w="1320" w:type="dxa"/>
            <w:vAlign w:val="center"/>
            <w:textDirection w:val="lrTb"/>
            <w:noWrap/>
          </w:tcPr>
          <w:p>
            <w:pPr>
              <w:pStyle w:val="995"/>
              <w:jc w:val="center"/>
              <w:widowControl/>
              <w:rPr>
                <w:rFonts w:ascii="宋体" w:hAnsi="宋体" w:cs="宋体"/>
                <w:sz w:val="22"/>
                <w:szCs w:val="22"/>
                <w:highlight w:val="none"/>
              </w:rPr>
            </w:pPr>
            <w:r>
              <w:rPr>
                <w:rFonts w:hint="eastAsia" w:ascii="宋体" w:hAnsi="宋体" w:cs="宋体"/>
                <w:sz w:val="22"/>
                <w:szCs w:val="22"/>
                <w:highlight w:val="none"/>
              </w:rPr>
              <w:t xml:space="preserve">变电所年度停电保养</w:t>
            </w:r>
            <w:r>
              <w:rPr>
                <w:rFonts w:ascii="宋体" w:hAnsi="宋体" w:cs="宋体"/>
                <w:sz w:val="22"/>
                <w:szCs w:val="22"/>
                <w:highlight w:val="none"/>
              </w:rPr>
            </w:r>
            <w:r/>
          </w:p>
        </w:tc>
        <w:tc>
          <w:tcPr>
            <w:tcW w:w="660" w:type="dxa"/>
            <w:vAlign w:val="center"/>
            <w:textDirection w:val="lrTb"/>
            <w:noWrap/>
          </w:tcPr>
          <w:p>
            <w:pPr>
              <w:pStyle w:val="995"/>
              <w:jc w:val="center"/>
              <w:widowControl/>
              <w:rPr>
                <w:rFonts w:ascii="宋体" w:hAnsi="宋体" w:cs="宋体"/>
                <w:sz w:val="22"/>
                <w:szCs w:val="22"/>
                <w:highlight w:val="none"/>
              </w:rPr>
            </w:pPr>
            <w:r>
              <w:rPr>
                <w:rFonts w:hint="eastAsia" w:ascii="宋体" w:hAnsi="宋体" w:cs="宋体"/>
                <w:sz w:val="22"/>
                <w:szCs w:val="22"/>
                <w:highlight w:val="none"/>
              </w:rPr>
              <w:t xml:space="preserve">座</w:t>
            </w:r>
            <w:r>
              <w:rPr>
                <w:rFonts w:ascii="宋体" w:hAnsi="宋体" w:cs="宋体"/>
                <w:sz w:val="22"/>
                <w:szCs w:val="22"/>
                <w:highlight w:val="none"/>
              </w:rPr>
            </w:r>
            <w:r/>
          </w:p>
        </w:tc>
        <w:tc>
          <w:tcPr>
            <w:tcW w:w="690" w:type="dxa"/>
            <w:vAlign w:val="center"/>
            <w:textDirection w:val="lrTb"/>
            <w:noWrap/>
          </w:tcPr>
          <w:p>
            <w:pPr>
              <w:pStyle w:val="995"/>
              <w:jc w:val="center"/>
              <w:widowControl/>
              <w:rPr>
                <w:rFonts w:ascii="宋体" w:hAnsi="宋体" w:cs="宋体"/>
                <w:sz w:val="22"/>
                <w:szCs w:val="22"/>
                <w:highlight w:val="none"/>
              </w:rPr>
            </w:pPr>
            <w:r>
              <w:rPr>
                <w:rFonts w:hint="eastAsia" w:ascii="宋体" w:hAnsi="宋体" w:cs="宋体"/>
                <w:sz w:val="22"/>
                <w:szCs w:val="22"/>
                <w:highlight w:val="none"/>
              </w:rPr>
              <w:t xml:space="preserve">96</w:t>
            </w:r>
            <w:r>
              <w:rPr>
                <w:rFonts w:ascii="宋体" w:hAnsi="宋体" w:cs="宋体"/>
                <w:sz w:val="22"/>
                <w:szCs w:val="22"/>
                <w:highlight w:val="none"/>
              </w:rPr>
            </w:r>
            <w:r/>
          </w:p>
        </w:tc>
        <w:tc>
          <w:tcPr>
            <w:tcW w:w="1439"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771" w:type="dxa"/>
            <w:vAlign w:val="center"/>
            <w:textDirection w:val="lrTb"/>
            <w:noWrap/>
          </w:tcPr>
          <w:p>
            <w:pPr>
              <w:pStyle w:val="99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3500</w:t>
            </w:r>
            <w:r>
              <w:rPr>
                <w:rFonts w:hint="eastAsia" w:ascii="宋体" w:hAnsi="宋体" w:cs="宋体"/>
                <w:color w:val="000000"/>
                <w:sz w:val="22"/>
                <w:szCs w:val="22"/>
                <w:highlight w:val="none"/>
              </w:rPr>
            </w:r>
            <w:r/>
          </w:p>
        </w:tc>
        <w:tc>
          <w:tcPr>
            <w:gridSpan w:val="2"/>
            <w:tcW w:w="2326" w:type="dxa"/>
            <w:vAlign w:val="center"/>
            <w:textDirection w:val="lrTb"/>
            <w:noWrap w:val="false"/>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不以月计，1次/年</w:t>
            </w:r>
            <w:r>
              <w:rPr>
                <w:rFonts w:hint="eastAsia" w:cs="宋体"/>
                <w:sz w:val="22"/>
                <w:szCs w:val="22"/>
                <w:highlight w:val="none"/>
                <w:lang w:val="en-US" w:eastAsia="zh-CN"/>
              </w:rPr>
            </w:r>
            <w:r/>
          </w:p>
        </w:tc>
      </w:tr>
      <w:tr>
        <w:trPr>
          <w:trHeight w:val="454"/>
          <w:tblHeader/>
        </w:trPr>
        <w:tc>
          <w:tcPr>
            <w:tcW w:w="709"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3</w:t>
            </w:r>
            <w:r>
              <w:rPr>
                <w:rFonts w:hint="eastAsia" w:cs="宋体"/>
                <w:sz w:val="22"/>
                <w:szCs w:val="22"/>
                <w:highlight w:val="none"/>
                <w:lang w:val="en-US" w:eastAsia="zh-CN"/>
              </w:rPr>
            </w:r>
            <w:r/>
          </w:p>
        </w:tc>
        <w:tc>
          <w:tcPr>
            <w:tcW w:w="1320" w:type="dxa"/>
            <w:vAlign w:val="center"/>
            <w:textDirection w:val="lrTb"/>
            <w:noWrap/>
          </w:tcPr>
          <w:p>
            <w:pPr>
              <w:pStyle w:val="99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变电所电气试验</w:t>
            </w:r>
            <w:r>
              <w:rPr>
                <w:rFonts w:hint="eastAsia" w:ascii="宋体" w:hAnsi="宋体" w:cs="宋体"/>
                <w:color w:val="000000"/>
                <w:sz w:val="22"/>
                <w:szCs w:val="22"/>
                <w:highlight w:val="none"/>
              </w:rPr>
            </w:r>
            <w:r/>
          </w:p>
        </w:tc>
        <w:tc>
          <w:tcPr>
            <w:tcW w:w="660" w:type="dxa"/>
            <w:vAlign w:val="center"/>
            <w:textDirection w:val="lrTb"/>
            <w:noWrap/>
          </w:tcPr>
          <w:p>
            <w:pPr>
              <w:pStyle w:val="995"/>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座</w:t>
            </w:r>
            <w:r>
              <w:rPr>
                <w:rFonts w:hint="eastAsia" w:ascii="宋体" w:hAnsi="宋体" w:cs="宋体"/>
                <w:sz w:val="22"/>
                <w:szCs w:val="22"/>
                <w:highlight w:val="none"/>
              </w:rPr>
            </w:r>
            <w:r/>
          </w:p>
        </w:tc>
        <w:tc>
          <w:tcPr>
            <w:tcW w:w="690" w:type="dxa"/>
            <w:vAlign w:val="center"/>
            <w:textDirection w:val="lrTb"/>
            <w:noWrap/>
          </w:tcPr>
          <w:p>
            <w:pPr>
              <w:pStyle w:val="995"/>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24</w:t>
            </w:r>
            <w:r>
              <w:rPr>
                <w:rFonts w:hint="eastAsia" w:ascii="宋体" w:hAnsi="宋体" w:cs="宋体"/>
                <w:sz w:val="22"/>
                <w:szCs w:val="22"/>
                <w:highlight w:val="none"/>
              </w:rPr>
            </w:r>
            <w:r/>
          </w:p>
        </w:tc>
        <w:tc>
          <w:tcPr>
            <w:tcW w:w="1439"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771" w:type="dxa"/>
            <w:vAlign w:val="center"/>
            <w:textDirection w:val="lrTb"/>
            <w:noWrap/>
          </w:tcPr>
          <w:p>
            <w:pPr>
              <w:pStyle w:val="99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4375</w:t>
            </w:r>
            <w:r>
              <w:rPr>
                <w:rFonts w:hint="eastAsia" w:ascii="宋体" w:hAnsi="宋体" w:cs="宋体"/>
                <w:color w:val="000000"/>
                <w:sz w:val="22"/>
                <w:szCs w:val="22"/>
                <w:highlight w:val="none"/>
              </w:rPr>
            </w:r>
            <w:r/>
          </w:p>
        </w:tc>
        <w:tc>
          <w:tcPr>
            <w:gridSpan w:val="2"/>
            <w:tcW w:w="2326" w:type="dxa"/>
            <w:vAlign w:val="center"/>
            <w:textDirection w:val="lrTb"/>
            <w:noWrap w:val="false"/>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不以月计，按次结算</w:t>
            </w:r>
            <w:r>
              <w:rPr>
                <w:rFonts w:hint="eastAsia" w:cs="宋体"/>
                <w:sz w:val="22"/>
                <w:szCs w:val="22"/>
                <w:highlight w:val="none"/>
                <w:lang w:val="en-US" w:eastAsia="zh-CN"/>
              </w:rPr>
            </w:r>
            <w:r/>
          </w:p>
        </w:tc>
      </w:tr>
      <w:tr>
        <w:trPr>
          <w:trHeight w:val="454"/>
          <w:tblHeader/>
        </w:trPr>
        <w:tc>
          <w:tcPr>
            <w:tcW w:w="709"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序号</w:t>
            </w:r>
            <w:r>
              <w:rPr>
                <w:rFonts w:hint="eastAsia" w:cs="宋体"/>
                <w:sz w:val="22"/>
                <w:szCs w:val="22"/>
                <w:highlight w:val="none"/>
                <w:lang w:val="en-US" w:eastAsia="zh-CN"/>
              </w:rPr>
            </w:r>
            <w:r/>
          </w:p>
        </w:tc>
        <w:tc>
          <w:tcPr>
            <w:tcW w:w="1320"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项目</w:t>
            </w:r>
            <w:r>
              <w:rPr>
                <w:rFonts w:hint="eastAsia" w:cs="宋体"/>
                <w:sz w:val="22"/>
                <w:szCs w:val="22"/>
                <w:highlight w:val="none"/>
                <w:lang w:val="en-US" w:eastAsia="zh-CN"/>
              </w:rPr>
            </w:r>
            <w:r/>
          </w:p>
        </w:tc>
        <w:tc>
          <w:tcPr>
            <w:tcW w:w="660"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单位</w:t>
            </w:r>
            <w:r>
              <w:rPr>
                <w:rFonts w:hint="eastAsia" w:cs="宋体"/>
                <w:sz w:val="22"/>
                <w:szCs w:val="22"/>
                <w:highlight w:val="none"/>
                <w:lang w:val="en-US" w:eastAsia="zh-CN"/>
              </w:rPr>
            </w:r>
            <w:r/>
          </w:p>
        </w:tc>
        <w:tc>
          <w:tcPr>
            <w:tcW w:w="690"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数量</w:t>
            </w:r>
            <w:r>
              <w:rPr>
                <w:rFonts w:hint="eastAsia" w:cs="宋体"/>
                <w:sz w:val="22"/>
                <w:szCs w:val="22"/>
                <w:highlight w:val="none"/>
                <w:lang w:val="en-US" w:eastAsia="zh-CN"/>
              </w:rPr>
            </w:r>
            <w:r/>
          </w:p>
        </w:tc>
        <w:tc>
          <w:tcPr>
            <w:gridSpan w:val="2"/>
            <w:tcW w:w="3210" w:type="dxa"/>
            <w:vAlign w:val="center"/>
            <w:textDirection w:val="lrTb"/>
            <w:noWrap/>
          </w:tcPr>
          <w:p>
            <w:pPr>
              <w:pStyle w:val="995"/>
              <w:jc w:val="center"/>
              <w:widowControl/>
              <w:rPr>
                <w:rFonts w:hint="eastAsia" w:ascii="宋体" w:hAnsi="宋体" w:cs="宋体"/>
                <w:color w:val="000000"/>
                <w:sz w:val="22"/>
                <w:szCs w:val="22"/>
                <w:highlight w:val="none"/>
              </w:rPr>
            </w:pPr>
            <w:r>
              <w:rPr>
                <w:rFonts w:hint="eastAsia" w:ascii="宋体" w:hAnsi="宋体" w:cs="宋体"/>
                <w:b/>
                <w:bCs/>
                <w:sz w:val="22"/>
                <w:szCs w:val="22"/>
                <w:highlight w:val="none"/>
              </w:rPr>
              <w:t xml:space="preserve">预估价，最高限价（元/年）</w:t>
            </w:r>
            <w:r>
              <w:rPr>
                <w:rFonts w:hint="eastAsia" w:ascii="宋体" w:hAnsi="宋体" w:cs="宋体"/>
                <w:color w:val="000000"/>
                <w:sz w:val="22"/>
                <w:szCs w:val="22"/>
                <w:highlight w:val="none"/>
              </w:rPr>
            </w:r>
            <w:r/>
          </w:p>
        </w:tc>
        <w:tc>
          <w:tcPr>
            <w:gridSpan w:val="2"/>
            <w:tcW w:w="2326" w:type="dxa"/>
            <w:vAlign w:val="center"/>
            <w:textDirection w:val="lrTb"/>
            <w:noWrap w:val="false"/>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投标报价（元/年）</w:t>
            </w:r>
            <w:r>
              <w:rPr>
                <w:rFonts w:hint="eastAsia" w:cs="宋体"/>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备注</w:t>
            </w:r>
            <w:r>
              <w:rPr>
                <w:rFonts w:hint="eastAsia" w:cs="宋体"/>
                <w:sz w:val="22"/>
                <w:szCs w:val="22"/>
                <w:highlight w:val="none"/>
                <w:lang w:val="en-US" w:eastAsia="zh-CN"/>
              </w:rPr>
            </w:r>
            <w:r/>
          </w:p>
        </w:tc>
      </w:tr>
      <w:tr>
        <w:trPr>
          <w:trHeight w:val="454"/>
          <w:tblHeader/>
        </w:trPr>
        <w:tc>
          <w:tcPr>
            <w:tcW w:w="709"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4</w:t>
            </w:r>
            <w:r>
              <w:rPr>
                <w:rFonts w:hint="eastAsia" w:cs="宋体"/>
                <w:sz w:val="22"/>
                <w:szCs w:val="22"/>
                <w:highlight w:val="none"/>
                <w:lang w:val="en-US" w:eastAsia="zh-CN"/>
              </w:rPr>
            </w:r>
            <w:r/>
          </w:p>
        </w:tc>
        <w:tc>
          <w:tcPr>
            <w:tcW w:w="1320" w:type="dxa"/>
            <w:vAlign w:val="center"/>
            <w:textDirection w:val="lrTb"/>
            <w:noWrap/>
          </w:tcPr>
          <w:p>
            <w:pPr>
              <w:pStyle w:val="995"/>
              <w:jc w:val="center"/>
              <w:widowControl/>
              <w:rPr>
                <w:rFonts w:hint="eastAsia" w:ascii="宋体" w:hAnsi="宋体" w:cs="宋体"/>
                <w:color w:val="000000"/>
                <w:sz w:val="22"/>
                <w:szCs w:val="22"/>
                <w:highlight w:val="none"/>
              </w:rPr>
            </w:pPr>
            <w:r>
              <w:rPr>
                <w:rFonts w:hint="eastAsia" w:ascii="宋体" w:hAnsi="宋体" w:cs="宋体"/>
                <w:sz w:val="22"/>
                <w:szCs w:val="22"/>
                <w:highlight w:val="none"/>
              </w:rPr>
              <w:t xml:space="preserve">变电所供配电设施设备抢修维修、低压电气零星维修、视频门禁维修</w:t>
            </w:r>
            <w:r>
              <w:rPr>
                <w:rFonts w:hint="eastAsia" w:ascii="宋体" w:hAnsi="宋体" w:cs="宋体"/>
                <w:color w:val="000000"/>
                <w:sz w:val="22"/>
                <w:szCs w:val="22"/>
                <w:highlight w:val="none"/>
              </w:rPr>
            </w:r>
            <w:r/>
          </w:p>
        </w:tc>
        <w:tc>
          <w:tcPr>
            <w:tcW w:w="660" w:type="dxa"/>
            <w:vAlign w:val="center"/>
            <w:textDirection w:val="lrTb"/>
            <w:noWrap/>
          </w:tcPr>
          <w:p>
            <w:pPr>
              <w:pStyle w:val="995"/>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项</w:t>
            </w:r>
            <w:r>
              <w:rPr>
                <w:rFonts w:hint="eastAsia" w:ascii="宋体" w:hAnsi="宋体" w:cs="宋体"/>
                <w:sz w:val="22"/>
                <w:szCs w:val="22"/>
                <w:highlight w:val="none"/>
              </w:rPr>
            </w:r>
            <w:r/>
          </w:p>
        </w:tc>
        <w:tc>
          <w:tcPr>
            <w:tcW w:w="690" w:type="dxa"/>
            <w:vAlign w:val="center"/>
            <w:textDirection w:val="lrTb"/>
            <w:noWrap/>
          </w:tcPr>
          <w:p>
            <w:pPr>
              <w:pStyle w:val="995"/>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rPr>
            </w:r>
            <w:r/>
          </w:p>
        </w:tc>
        <w:tc>
          <w:tcPr>
            <w:gridSpan w:val="2"/>
            <w:tcW w:w="3210" w:type="dxa"/>
            <w:vAlign w:val="center"/>
            <w:textDirection w:val="lrTb"/>
            <w:noWrap/>
          </w:tcPr>
          <w:p>
            <w:pPr>
              <w:pStyle w:val="99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1197100</w:t>
            </w:r>
            <w:r>
              <w:rPr>
                <w:rFonts w:hint="eastAsia" w:ascii="宋体" w:hAnsi="宋体" w:cs="宋体"/>
                <w:color w:val="000000"/>
                <w:sz w:val="22"/>
                <w:szCs w:val="22"/>
                <w:highlight w:val="none"/>
              </w:rPr>
            </w:r>
            <w:r/>
          </w:p>
        </w:tc>
        <w:tc>
          <w:tcPr>
            <w:gridSpan w:val="2"/>
            <w:tcW w:w="2326" w:type="dxa"/>
            <w:vAlign w:val="center"/>
            <w:textDirection w:val="lrTb"/>
            <w:noWrap w:val="false"/>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各项估计费用：变电所供配电设施设备抢维修费预估40万，低压电气、视频门禁等零星维修预估79.71万，</w:t>
            </w:r>
            <w:r>
              <w:rPr>
                <w:rFonts w:hint="eastAsia" w:cs="宋体"/>
                <w:sz w:val="22"/>
                <w:szCs w:val="22"/>
                <w:highlight w:val="none"/>
                <w:lang w:val="en-US" w:eastAsia="zh-CN"/>
              </w:rPr>
            </w:r>
            <w:r/>
          </w:p>
        </w:tc>
      </w:tr>
      <w:tr>
        <w:trPr>
          <w:trHeight w:val="454"/>
          <w:tblHeader/>
        </w:trPr>
        <w:tc>
          <w:tcPr>
            <w:tcW w:w="709"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序号</w:t>
            </w:r>
            <w:r>
              <w:rPr>
                <w:rFonts w:cs="宋体"/>
                <w:b/>
                <w:bCs/>
                <w:sz w:val="22"/>
                <w:szCs w:val="22"/>
                <w:highlight w:val="none"/>
                <w:lang w:val="en-US" w:eastAsia="zh-CN"/>
              </w:rPr>
            </w:r>
            <w:r/>
          </w:p>
        </w:tc>
        <w:tc>
          <w:tcPr>
            <w:tcW w:w="1320"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项目</w:t>
            </w:r>
            <w:r>
              <w:rPr>
                <w:rFonts w:cs="宋体"/>
                <w:b/>
                <w:bCs/>
                <w:sz w:val="22"/>
                <w:szCs w:val="22"/>
                <w:highlight w:val="none"/>
                <w:lang w:val="en-US" w:eastAsia="zh-CN"/>
              </w:rPr>
            </w:r>
            <w:r/>
          </w:p>
        </w:tc>
        <w:tc>
          <w:tcPr>
            <w:tcW w:w="660"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单位</w:t>
            </w:r>
            <w:r>
              <w:rPr>
                <w:rFonts w:cs="宋体"/>
                <w:b/>
                <w:bCs/>
                <w:sz w:val="22"/>
                <w:szCs w:val="22"/>
                <w:highlight w:val="none"/>
                <w:lang w:val="en-US" w:eastAsia="zh-CN"/>
              </w:rPr>
            </w:r>
            <w:r/>
          </w:p>
        </w:tc>
        <w:tc>
          <w:tcPr>
            <w:tcW w:w="690"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数量</w:t>
            </w:r>
            <w:r>
              <w:rPr>
                <w:rFonts w:cs="宋体"/>
                <w:b/>
                <w:bCs/>
                <w:sz w:val="22"/>
                <w:szCs w:val="22"/>
                <w:highlight w:val="none"/>
                <w:lang w:val="en-US" w:eastAsia="zh-CN"/>
              </w:rPr>
            </w:r>
            <w:r/>
          </w:p>
        </w:tc>
        <w:tc>
          <w:tcPr>
            <w:gridSpan w:val="2"/>
            <w:tcW w:w="3210"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预估价，最高限价（元/年）</w:t>
            </w:r>
            <w:r>
              <w:rPr>
                <w:rFonts w:cs="宋体"/>
                <w:b/>
                <w:bCs/>
                <w:sz w:val="22"/>
                <w:szCs w:val="22"/>
                <w:highlight w:val="none"/>
                <w:lang w:val="en-US" w:eastAsia="zh-CN"/>
              </w:rPr>
            </w:r>
            <w:r/>
          </w:p>
        </w:tc>
        <w:tc>
          <w:tcPr>
            <w:tcW w:w="1215" w:type="dxa"/>
            <w:vAlign w:val="center"/>
            <w:textDirection w:val="lrTb"/>
            <w:noWrap w:val="false"/>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合计价格（元/月）</w:t>
            </w:r>
            <w:r>
              <w:rPr>
                <w:rFonts w:hint="eastAsia" w:cs="宋体"/>
                <w:b/>
                <w:bCs/>
                <w:sz w:val="22"/>
                <w:szCs w:val="22"/>
                <w:highlight w:val="none"/>
                <w:lang w:val="en-US" w:eastAsia="zh-CN"/>
              </w:rPr>
            </w:r>
            <w:r/>
          </w:p>
        </w:tc>
        <w:tc>
          <w:tcPr>
            <w:tcW w:w="1111" w:type="dxa"/>
            <w:vAlign w:val="center"/>
            <w:textDirection w:val="lrTb"/>
            <w:noWrap w:val="false"/>
          </w:tcPr>
          <w:p>
            <w:pPr>
              <w:pStyle w:val="1027"/>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合计价格（元/年）</w:t>
            </w:r>
            <w:r>
              <w:rPr>
                <w:rFonts w:hint="eastAsia" w:cs="宋体"/>
                <w:b/>
                <w:bCs/>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备注</w:t>
            </w:r>
            <w:r>
              <w:rPr>
                <w:rFonts w:cs="宋体"/>
                <w:b/>
                <w:bCs/>
                <w:sz w:val="22"/>
                <w:szCs w:val="22"/>
                <w:highlight w:val="none"/>
                <w:lang w:val="en-US" w:eastAsia="zh-CN"/>
              </w:rPr>
            </w:r>
            <w:r/>
          </w:p>
        </w:tc>
      </w:tr>
      <w:tr>
        <w:trPr>
          <w:trHeight w:val="454"/>
          <w:tblHeader/>
        </w:trPr>
        <w:tc>
          <w:tcPr>
            <w:tcW w:w="709"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5</w:t>
            </w:r>
            <w:r>
              <w:rPr>
                <w:rFonts w:hint="eastAsia" w:cs="宋体"/>
                <w:sz w:val="22"/>
                <w:szCs w:val="22"/>
                <w:highlight w:val="none"/>
                <w:lang w:val="en-US" w:eastAsia="zh-CN"/>
              </w:rPr>
            </w:r>
            <w:r/>
          </w:p>
        </w:tc>
        <w:tc>
          <w:tcPr>
            <w:tcW w:w="1320" w:type="dxa"/>
            <w:vAlign w:val="center"/>
            <w:textDirection w:val="lrTb"/>
            <w:noWrap/>
          </w:tcPr>
          <w:p>
            <w:pPr>
              <w:pStyle w:val="995"/>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中水科设施清洁生产维护</w:t>
            </w:r>
            <w:r>
              <w:rPr>
                <w:rFonts w:hint="eastAsia" w:ascii="宋体" w:hAnsi="宋体" w:cs="宋体"/>
                <w:sz w:val="22"/>
                <w:szCs w:val="22"/>
                <w:highlight w:val="none"/>
              </w:rPr>
            </w:r>
            <w:r/>
          </w:p>
        </w:tc>
        <w:tc>
          <w:tcPr>
            <w:tcW w:w="660" w:type="dxa"/>
            <w:vAlign w:val="center"/>
            <w:textDirection w:val="lrTb"/>
            <w:noWrap/>
          </w:tcPr>
          <w:p>
            <w:pPr>
              <w:pStyle w:val="995"/>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项</w:t>
            </w:r>
            <w:r>
              <w:rPr>
                <w:rFonts w:hint="eastAsia" w:ascii="宋体" w:hAnsi="宋体" w:cs="宋体"/>
                <w:sz w:val="22"/>
                <w:szCs w:val="22"/>
                <w:highlight w:val="none"/>
              </w:rPr>
            </w:r>
            <w:r/>
          </w:p>
        </w:tc>
        <w:tc>
          <w:tcPr>
            <w:tcW w:w="690" w:type="dxa"/>
            <w:vAlign w:val="center"/>
            <w:textDirection w:val="lrTb"/>
            <w:noWrap/>
          </w:tcPr>
          <w:p>
            <w:pPr>
              <w:pStyle w:val="995"/>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rPr>
            </w:r>
            <w:r/>
          </w:p>
        </w:tc>
        <w:tc>
          <w:tcPr>
            <w:gridSpan w:val="2"/>
            <w:tcW w:w="3210" w:type="dxa"/>
            <w:vAlign w:val="center"/>
            <w:textDirection w:val="lrTb"/>
            <w:noWrap/>
          </w:tcPr>
          <w:p>
            <w:pPr>
              <w:pStyle w:val="99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15" w:type="dxa"/>
            <w:vAlign w:val="center"/>
            <w:textDirection w:val="lrTb"/>
            <w:noWrap w:val="false"/>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3950.25</w:t>
            </w:r>
            <w:r>
              <w:rPr>
                <w:rFonts w:hint="eastAsia" w:cs="宋体"/>
                <w:sz w:val="22"/>
                <w:szCs w:val="22"/>
                <w:highlight w:val="none"/>
                <w:lang w:val="en-US" w:eastAsia="zh-CN"/>
              </w:rPr>
            </w:r>
            <w:r/>
          </w:p>
        </w:tc>
        <w:tc>
          <w:tcPr>
            <w:tcW w:w="1111" w:type="dxa"/>
            <w:vAlign w:val="center"/>
            <w:textDirection w:val="lrTb"/>
            <w:noWrap w:val="false"/>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47403</w:t>
            </w:r>
            <w:r>
              <w:rPr>
                <w:rFonts w:hint="eastAsia" w:cs="宋体"/>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（属于不可竞争费）</w:t>
            </w:r>
            <w:r>
              <w:rPr>
                <w:rFonts w:hint="eastAsia" w:cs="宋体"/>
                <w:sz w:val="22"/>
                <w:szCs w:val="22"/>
                <w:highlight w:val="none"/>
                <w:lang w:val="en-US" w:eastAsia="zh-CN"/>
              </w:rPr>
            </w:r>
            <w:r/>
          </w:p>
        </w:tc>
      </w:tr>
      <w:tr>
        <w:trPr>
          <w:trHeight w:val="454"/>
          <w:tblHeader/>
        </w:trPr>
        <w:tc>
          <w:tcPr>
            <w:gridSpan w:val="6"/>
            <w:tcW w:w="6589" w:type="dxa"/>
            <w:vAlign w:val="center"/>
            <w:textDirection w:val="lrTb"/>
            <w:noWrap/>
          </w:tcPr>
          <w:p>
            <w:pPr>
              <w:pStyle w:val="1027"/>
              <w:jc w:val="center"/>
              <w:spacing w:before="0" w:line="240" w:lineRule="auto"/>
              <w:tabs>
                <w:tab w:val="left" w:pos="567" w:leader="none"/>
              </w:tabs>
              <w:rPr>
                <w:rFonts w:hint="eastAsia" w:cs="宋体"/>
                <w:b/>
                <w:color w:val="000000"/>
                <w:sz w:val="22"/>
                <w:szCs w:val="22"/>
                <w:lang w:val="en-US" w:eastAsia="zh-CN"/>
              </w:rPr>
            </w:pPr>
            <w:r>
              <w:rPr>
                <w:rFonts w:hint="eastAsia" w:cs="宋体"/>
                <w:b/>
                <w:color w:val="000000"/>
                <w:sz w:val="22"/>
                <w:szCs w:val="22"/>
                <w:lang w:val="en-US" w:eastAsia="zh-CN"/>
              </w:rPr>
              <w:t xml:space="preserve">投标总价（元/年）</w:t>
            </w:r>
            <w:r>
              <w:rPr>
                <w:rFonts w:hint="eastAsia" w:cs="宋体"/>
                <w:b/>
                <w:color w:val="000000"/>
                <w:sz w:val="22"/>
                <w:szCs w:val="22"/>
                <w:lang w:val="en-US" w:eastAsia="zh-CN"/>
              </w:rPr>
            </w:r>
            <w:r/>
          </w:p>
        </w:tc>
        <w:tc>
          <w:tcPr>
            <w:gridSpan w:val="3"/>
            <w:tcW w:w="3721" w:type="dxa"/>
            <w:vAlign w:val="center"/>
            <w:textDirection w:val="lrTb"/>
            <w:noWrap w:val="false"/>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r>
    </w:tbl>
    <w:p>
      <w:pPr>
        <w:pStyle w:val="995"/>
        <w:spacing w:line="36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bCs/>
          <w:sz w:val="24"/>
          <w:szCs w:val="20"/>
        </w:rPr>
        <w:t xml:space="preserve">上表中第1-3项为固定服务内容，但每月实际发生数量也会按部门要求可能进行增减；表中第4项为非固定服务内容，涉及到的抢修、维修是否发生及发生内容、数量按实计量。</w:t>
      </w:r>
      <w:r>
        <w:rPr>
          <w:rFonts w:hint="eastAsia" w:ascii="宋体" w:hAnsi="宋体" w:cs="宋体"/>
          <w:b/>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4.考核评分</w:t>
      </w:r>
      <w:r>
        <w:rPr>
          <w:rFonts w:hint="eastAsia" w:ascii="宋体" w:hAnsi="宋体" w:cs="宋体"/>
          <w:sz w:val="24"/>
        </w:rPr>
      </w:r>
      <w:r/>
    </w:p>
    <w:p>
      <w:pPr>
        <w:pStyle w:val="995"/>
        <w:ind w:firstLine="480"/>
        <w:jc w:val="left"/>
        <w:spacing w:line="360" w:lineRule="auto"/>
        <w:rPr>
          <w:rFonts w:hint="eastAsia" w:ascii="宋体" w:hAnsi="宋体" w:cs="宋体"/>
          <w:sz w:val="24"/>
        </w:rPr>
      </w:pPr>
      <w:r/>
      <w:bookmarkStart w:id="824" w:name="OLE_LINK7"/>
      <w:r>
        <w:rPr>
          <w:rFonts w:hint="eastAsia" w:ascii="宋体" w:hAnsi="宋体" w:cs="宋体"/>
          <w:sz w:val="24"/>
        </w:rPr>
        <w:t xml:space="preserve">（1）</w:t>
      </w:r>
      <w:r>
        <w:rPr>
          <w:rFonts w:ascii="宋体" w:hAnsi="宋体"/>
          <w:sz w:val="24"/>
        </w:rPr>
        <w:t xml:space="preserve">月度考核评分按照100分计算，按</w:t>
      </w:r>
      <w:r>
        <w:rPr>
          <w:rFonts w:hint="eastAsia" w:ascii="宋体" w:hAnsi="宋体"/>
          <w:sz w:val="24"/>
        </w:rPr>
        <w:t xml:space="preserve">《月度考核表》</w:t>
      </w:r>
      <w:r>
        <w:rPr>
          <w:rFonts w:ascii="宋体" w:hAnsi="宋体"/>
          <w:sz w:val="24"/>
        </w:rPr>
        <w:t xml:space="preserve">检查情况进行综合</w:t>
      </w:r>
      <w:r>
        <w:rPr>
          <w:rFonts w:hint="eastAsia" w:ascii="宋体" w:hAnsi="宋体"/>
          <w:sz w:val="24"/>
        </w:rPr>
        <w:t xml:space="preserve">打</w:t>
      </w:r>
      <w:r>
        <w:rPr>
          <w:rFonts w:ascii="宋体" w:hAnsi="宋体"/>
          <w:sz w:val="24"/>
        </w:rPr>
        <w:t xml:space="preserve">分，考核</w:t>
      </w:r>
      <w:r>
        <w:rPr>
          <w:rFonts w:hint="eastAsia" w:ascii="宋体" w:hAnsi="宋体"/>
          <w:sz w:val="24"/>
        </w:rPr>
        <w:t xml:space="preserve">总</w:t>
      </w:r>
      <w:r>
        <w:rPr>
          <w:rFonts w:ascii="宋体" w:hAnsi="宋体"/>
          <w:sz w:val="24"/>
        </w:rPr>
        <w:t xml:space="preserve">分80-100分为合格</w:t>
      </w:r>
      <w:r>
        <w:rPr>
          <w:rFonts w:hint="eastAsia" w:ascii="宋体" w:hAnsi="宋体"/>
          <w:sz w:val="24"/>
        </w:rPr>
        <w:t xml:space="preserve">；</w:t>
      </w:r>
      <w:r>
        <w:rPr>
          <w:rFonts w:ascii="宋体" w:hAnsi="宋体"/>
          <w:bCs/>
          <w:sz w:val="24"/>
        </w:rPr>
        <w:t xml:space="preserve">80分以下为不合格，</w:t>
      </w:r>
      <w:r>
        <w:rPr>
          <w:rFonts w:hint="eastAsia" w:ascii="宋体" w:hAnsi="宋体"/>
          <w:bCs/>
          <w:sz w:val="24"/>
        </w:rPr>
        <w:t xml:space="preserve">连续三个</w:t>
      </w:r>
      <w:r>
        <w:rPr>
          <w:rFonts w:ascii="宋体" w:hAnsi="宋体"/>
          <w:bCs/>
          <w:sz w:val="24"/>
        </w:rPr>
        <w:t xml:space="preserve">月度考评不合格</w:t>
      </w:r>
      <w:r>
        <w:rPr>
          <w:rFonts w:hint="eastAsia" w:ascii="宋体" w:hAnsi="宋体"/>
          <w:bCs/>
          <w:sz w:val="24"/>
        </w:rPr>
        <w:t xml:space="preserve">招标人有权</w:t>
      </w:r>
      <w:r>
        <w:rPr>
          <w:rFonts w:ascii="宋体" w:hAnsi="宋体"/>
          <w:bCs/>
          <w:sz w:val="24"/>
        </w:rPr>
        <w:t xml:space="preserve">终止合同</w:t>
      </w:r>
      <w:r>
        <w:rPr>
          <w:rFonts w:hint="eastAsia" w:ascii="宋体" w:hAnsi="宋体"/>
          <w:sz w:val="24"/>
        </w:rPr>
        <w:t xml:space="preserve">。</w:t>
      </w:r>
      <w:r>
        <w:rPr>
          <w:rFonts w:hint="eastAsia" w:ascii="宋体" w:hAnsi="宋体" w:cs="宋体"/>
          <w:sz w:val="24"/>
        </w:rPr>
      </w:r>
      <w:r/>
    </w:p>
    <w:p>
      <w:pPr>
        <w:pStyle w:val="995"/>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sz w:val="24"/>
        </w:rPr>
        <w:t xml:space="preserve">以优良90分计算，月度考核分≤90分的，</w:t>
      </w:r>
      <w:r>
        <w:rPr>
          <w:rFonts w:hint="eastAsia" w:ascii="宋体" w:hAnsi="宋体" w:cs="宋体"/>
          <w:sz w:val="24"/>
        </w:rPr>
        <w:t xml:space="preserve">扣除当月该项服务费用，</w:t>
      </w:r>
      <w:r>
        <w:rPr>
          <w:rFonts w:hint="eastAsia" w:ascii="宋体" w:hAnsi="宋体"/>
          <w:sz w:val="24"/>
        </w:rPr>
        <w:t xml:space="preserve">扣款=（90-月度考核分）*当月该项服务费*1%，</w:t>
      </w:r>
      <w:r>
        <w:rPr>
          <w:rFonts w:ascii="宋体" w:hAnsi="宋体"/>
          <w:sz w:val="24"/>
        </w:rPr>
        <w:t xml:space="preserve">相应扣款将在维保费用中直接予以扣除。</w:t>
      </w:r>
      <w:r>
        <w:rPr>
          <w:rFonts w:hint="eastAsia" w:ascii="宋体" w:hAnsi="宋体" w:cs="宋体"/>
          <w:sz w:val="24"/>
        </w:rPr>
      </w:r>
      <w:r/>
    </w:p>
    <w:p>
      <w:pPr>
        <w:pStyle w:val="995"/>
        <w:ind w:firstLine="480"/>
        <w:jc w:val="left"/>
        <w:spacing w:line="360" w:lineRule="auto"/>
        <w:rPr>
          <w:rFonts w:ascii="宋体" w:hAnsi="宋体" w:cs="宋体"/>
          <w:sz w:val="24"/>
        </w:rPr>
      </w:pPr>
      <w:r/>
      <w:bookmarkEnd w:id="824"/>
      <w:r>
        <w:rPr>
          <w:rFonts w:ascii="宋体" w:hAnsi="宋体" w:cs="宋体"/>
          <w:sz w:val="24"/>
        </w:rPr>
      </w:r>
      <w:r/>
    </w:p>
    <w:p>
      <w:pPr>
        <w:pStyle w:val="995"/>
        <w:jc w:val="left"/>
        <w:spacing w:line="360" w:lineRule="auto"/>
        <w:rPr>
          <w:rFonts w:ascii="宋体" w:hAnsi="宋体" w:cs="宋体"/>
          <w:b/>
          <w:bCs/>
          <w:sz w:val="24"/>
        </w:rPr>
      </w:pPr>
      <w:r>
        <w:rPr>
          <w:rFonts w:hint="eastAsia" w:ascii="宋体" w:hAnsi="宋体" w:cs="宋体"/>
          <w:b/>
          <w:bCs/>
          <w:sz w:val="24"/>
        </w:rPr>
        <w:t xml:space="preserve">第六条   甲方权利与义务</w:t>
      </w:r>
      <w:r>
        <w:rPr>
          <w:rFonts w:ascii="宋体" w:hAnsi="宋体" w:cs="宋体"/>
          <w:b/>
          <w:bCs/>
          <w:sz w:val="24"/>
        </w:rPr>
      </w:r>
      <w:r/>
    </w:p>
    <w:p>
      <w:pPr>
        <w:pStyle w:val="995"/>
        <w:ind w:firstLine="480"/>
        <w:jc w:val="left"/>
        <w:spacing w:line="360" w:lineRule="auto"/>
        <w:rPr>
          <w:rFonts w:ascii="宋体" w:hAnsi="宋体"/>
          <w:sz w:val="24"/>
        </w:rPr>
      </w:pPr>
      <w:r>
        <w:rPr>
          <w:rFonts w:hint="eastAsia" w:ascii="宋体" w:hAnsi="宋体"/>
          <w:sz w:val="24"/>
        </w:rPr>
        <w:t xml:space="preserve">1.甲方权利</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1.1检查监督乙方管理工作的实施情况；</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1.2检查监督乙方本合同的执行情况。</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2.甲方义务</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2.1处理非乙方原因而产生的各种纠纷；</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2.2提供乙方管理及维护保养服务所必须的水电；</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2.3协助乙方做好维修抢修工作；</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2.4法规、政策规定由甲方承担的其他责任。</w:t>
      </w:r>
      <w:r>
        <w:rPr>
          <w:rFonts w:ascii="宋体" w:hAnsi="宋体"/>
          <w:sz w:val="24"/>
        </w:rPr>
      </w:r>
      <w:r/>
    </w:p>
    <w:p>
      <w:pPr>
        <w:pStyle w:val="995"/>
        <w:ind w:firstLine="480"/>
        <w:jc w:val="left"/>
        <w:spacing w:line="360" w:lineRule="auto"/>
        <w:rPr>
          <w:rFonts w:ascii="宋体" w:hAnsi="宋体"/>
          <w:sz w:val="24"/>
        </w:rPr>
      </w:pPr>
      <w:r>
        <w:rPr>
          <w:rFonts w:ascii="宋体" w:hAnsi="宋体"/>
          <w:sz w:val="24"/>
        </w:rPr>
      </w:r>
      <w:r/>
    </w:p>
    <w:p>
      <w:pPr>
        <w:pStyle w:val="995"/>
        <w:jc w:val="left"/>
        <w:spacing w:line="360" w:lineRule="auto"/>
        <w:rPr>
          <w:rFonts w:ascii="宋体" w:hAnsi="宋体" w:cs="宋体"/>
          <w:b/>
          <w:bCs/>
          <w:sz w:val="24"/>
        </w:rPr>
      </w:pPr>
      <w:r>
        <w:rPr>
          <w:rFonts w:hint="eastAsia" w:ascii="宋体" w:hAnsi="宋体" w:cs="宋体"/>
          <w:b/>
          <w:bCs/>
          <w:sz w:val="24"/>
        </w:rPr>
        <w:t xml:space="preserve">第七条   乙方权利与义务</w:t>
      </w:r>
      <w:r>
        <w:rPr>
          <w:rFonts w:ascii="宋体" w:hAnsi="宋体" w:cs="宋体"/>
          <w:b/>
          <w:bCs/>
          <w:sz w:val="24"/>
        </w:rPr>
      </w:r>
      <w:r/>
    </w:p>
    <w:p>
      <w:pPr>
        <w:pStyle w:val="995"/>
        <w:ind w:firstLine="480"/>
        <w:jc w:val="left"/>
        <w:spacing w:line="360" w:lineRule="auto"/>
        <w:rPr>
          <w:rFonts w:ascii="宋体" w:hAnsi="宋体"/>
          <w:sz w:val="24"/>
        </w:rPr>
      </w:pPr>
      <w:r>
        <w:rPr>
          <w:rFonts w:hint="eastAsia" w:ascii="宋体" w:hAnsi="宋体"/>
          <w:sz w:val="24"/>
        </w:rPr>
        <w:t xml:space="preserve">1.乙方权利</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1.1根据有关法律、法规和本合同的规定，向甲方收取运维服务费用；</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2.乙方义务</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2.1按照甲方要求开展各项管理活动，但不得侵害甲方及他人的合法权益，不得利用提供委托管理及维护保养服务的便利获取不当利益；</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2.2承担合同规定的的管理业务，不得擅自将合同的整体或部分转包给第三方；</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2.3不得擅自占用和改变设施的功能；</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2.4合同终止时，向甲方移交相关档案资料和属甲方所有的其他资产；</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2.5合同签订后2个月内，乙方应提供运维人员的学历证书、操作证书、劳动合同、社保证明及为其购买的100万雇主险或意外险的原件供甲方确认。</w:t>
      </w:r>
      <w:r>
        <w:rPr>
          <w:rFonts w:ascii="宋体" w:hAnsi="宋体"/>
          <w:sz w:val="24"/>
        </w:rPr>
      </w:r>
      <w:r/>
    </w:p>
    <w:p>
      <w:pPr>
        <w:pStyle w:val="995"/>
        <w:ind w:firstLine="480"/>
        <w:jc w:val="left"/>
        <w:spacing w:line="360" w:lineRule="auto"/>
        <w:rPr>
          <w:rFonts w:ascii="宋体" w:hAnsi="宋体"/>
          <w:sz w:val="24"/>
        </w:rPr>
      </w:pPr>
      <w:r>
        <w:rPr>
          <w:rFonts w:hint="eastAsia" w:ascii="宋体" w:hAnsi="宋体"/>
          <w:sz w:val="24"/>
        </w:rPr>
        <w:t xml:space="preserve">2.6法规、政策规定由乙方承担的其他责任。</w:t>
      </w:r>
      <w:r>
        <w:rPr>
          <w:rFonts w:ascii="宋体" w:hAnsi="宋体"/>
          <w:sz w:val="24"/>
        </w:rPr>
      </w:r>
      <w:r/>
    </w:p>
    <w:p>
      <w:pPr>
        <w:pStyle w:val="995"/>
        <w:ind w:firstLine="480"/>
        <w:jc w:val="left"/>
        <w:spacing w:line="360" w:lineRule="auto"/>
        <w:rPr>
          <w:rFonts w:ascii="宋体" w:hAnsi="宋体"/>
          <w:sz w:val="24"/>
        </w:rPr>
      </w:pPr>
      <w:r>
        <w:rPr>
          <w:rFonts w:ascii="宋体" w:hAnsi="宋体"/>
          <w:sz w:val="24"/>
        </w:rPr>
      </w:r>
      <w:r/>
    </w:p>
    <w:p>
      <w:pPr>
        <w:pStyle w:val="995"/>
        <w:spacing w:line="360" w:lineRule="auto"/>
        <w:rPr>
          <w:rFonts w:ascii="宋体" w:hAnsi="宋体"/>
          <w:b/>
          <w:sz w:val="24"/>
        </w:rPr>
      </w:pPr>
      <w:r>
        <w:rPr>
          <w:rFonts w:hint="eastAsia" w:ascii="宋体" w:hAnsi="宋体"/>
          <w:b/>
          <w:sz w:val="24"/>
        </w:rPr>
        <w:t xml:space="preserve">第八条 服务要求</w:t>
      </w:r>
      <w:r>
        <w:rPr>
          <w:rFonts w:ascii="宋体" w:hAnsi="宋体"/>
          <w:b/>
          <w:sz w:val="24"/>
        </w:rPr>
      </w:r>
      <w:r/>
    </w:p>
    <w:p>
      <w:pPr>
        <w:pStyle w:val="995"/>
        <w:ind w:firstLine="482"/>
        <w:spacing w:line="360" w:lineRule="auto"/>
        <w:rPr>
          <w:rFonts w:ascii="宋体" w:hAnsi="宋体"/>
          <w:b/>
          <w:bCs/>
          <w:sz w:val="24"/>
        </w:rPr>
      </w:pPr>
      <w:r>
        <w:rPr>
          <w:rFonts w:ascii="宋体" w:hAnsi="宋体"/>
          <w:b/>
          <w:bCs/>
          <w:sz w:val="24"/>
        </w:rPr>
        <w:t xml:space="preserve">1</w:t>
      </w:r>
      <w:r>
        <w:rPr>
          <w:rFonts w:hint="eastAsia" w:ascii="宋体" w:hAnsi="宋体"/>
          <w:b/>
          <w:bCs/>
          <w:sz w:val="24"/>
        </w:rPr>
        <w:t xml:space="preserve">.技术要求</w:t>
      </w:r>
      <w:r>
        <w:rPr>
          <w:rFonts w:ascii="宋体" w:hAnsi="宋体"/>
          <w:b/>
          <w:bCs/>
          <w:sz w:val="24"/>
        </w:rPr>
      </w:r>
      <w:r/>
    </w:p>
    <w:p>
      <w:pPr>
        <w:pStyle w:val="995"/>
        <w:ind w:firstLine="480"/>
        <w:spacing w:line="360" w:lineRule="auto"/>
        <w:rPr>
          <w:rFonts w:ascii="宋体" w:hAnsi="宋体"/>
          <w:sz w:val="24"/>
        </w:rPr>
      </w:pPr>
      <w:r>
        <w:rPr>
          <w:rFonts w:hint="eastAsia" w:ascii="宋体" w:hAnsi="宋体"/>
          <w:sz w:val="24"/>
        </w:rPr>
        <w:t xml:space="preserve">详见招标文件</w:t>
      </w:r>
      <w:r>
        <w:rPr>
          <w:rFonts w:ascii="宋体" w:hAnsi="宋体"/>
          <w:sz w:val="24"/>
        </w:rPr>
        <w:t xml:space="preserve">。</w:t>
      </w:r>
      <w:r>
        <w:rPr>
          <w:rFonts w:ascii="宋体" w:hAnsi="宋体"/>
          <w:sz w:val="24"/>
        </w:rPr>
      </w:r>
      <w:r/>
    </w:p>
    <w:p>
      <w:pPr>
        <w:pStyle w:val="995"/>
        <w:ind w:firstLine="482"/>
        <w:spacing w:line="360" w:lineRule="auto"/>
        <w:rPr>
          <w:rFonts w:ascii="宋体" w:hAnsi="宋体"/>
          <w:b/>
          <w:bCs/>
          <w:sz w:val="24"/>
        </w:rPr>
      </w:pPr>
      <w:r>
        <w:rPr>
          <w:rFonts w:hint="eastAsia" w:ascii="宋体" w:hAnsi="宋体"/>
          <w:b/>
          <w:bCs/>
          <w:sz w:val="24"/>
        </w:rPr>
        <w:t xml:space="preserve">2.签证要求</w:t>
      </w:r>
      <w:r>
        <w:rPr>
          <w:rFonts w:ascii="宋体" w:hAnsi="宋体"/>
          <w:b/>
          <w:bCs/>
          <w:sz w:val="24"/>
        </w:rPr>
      </w:r>
      <w:r/>
    </w:p>
    <w:p>
      <w:pPr>
        <w:pStyle w:val="995"/>
        <w:ind w:firstLine="480"/>
        <w:spacing w:line="360" w:lineRule="auto"/>
        <w:rPr>
          <w:rFonts w:ascii="宋体" w:hAnsi="宋体"/>
          <w:sz w:val="24"/>
        </w:rPr>
      </w:pPr>
      <w:r>
        <w:rPr>
          <w:rFonts w:hint="eastAsia" w:ascii="宋体" w:hAnsi="宋体"/>
          <w:sz w:val="24"/>
        </w:rPr>
        <w:t xml:space="preserve">乙方会同甲方对已完成的服务内容进行签证，签证时间不超过1个月。</w:t>
      </w:r>
      <w:r>
        <w:rPr>
          <w:rFonts w:ascii="宋体" w:hAnsi="宋体"/>
          <w:sz w:val="24"/>
        </w:rPr>
      </w:r>
      <w:r/>
    </w:p>
    <w:p>
      <w:pPr>
        <w:pStyle w:val="995"/>
        <w:ind w:firstLine="482"/>
        <w:spacing w:line="360" w:lineRule="auto"/>
        <w:rPr>
          <w:rFonts w:ascii="宋体" w:hAnsi="宋体"/>
          <w:b/>
          <w:bCs/>
          <w:sz w:val="24"/>
        </w:rPr>
      </w:pPr>
      <w:r>
        <w:rPr>
          <w:rFonts w:hint="eastAsia" w:ascii="宋体" w:hAnsi="宋体"/>
          <w:b/>
          <w:bCs/>
          <w:sz w:val="24"/>
        </w:rPr>
        <w:t xml:space="preserve">3.考核要求</w:t>
      </w:r>
      <w:r>
        <w:rPr>
          <w:rFonts w:ascii="宋体" w:hAnsi="宋体"/>
          <w:b/>
          <w:bCs/>
          <w:sz w:val="24"/>
        </w:rPr>
      </w:r>
      <w:r/>
    </w:p>
    <w:p>
      <w:pPr>
        <w:pStyle w:val="995"/>
        <w:ind w:firstLine="480"/>
        <w:spacing w:line="360" w:lineRule="auto"/>
        <w:rPr>
          <w:rFonts w:ascii="宋体" w:hAnsi="宋体"/>
          <w:sz w:val="24"/>
        </w:rPr>
      </w:pPr>
      <w:r>
        <w:rPr>
          <w:rFonts w:hint="eastAsia" w:ascii="宋体" w:hAnsi="宋体"/>
          <w:sz w:val="24"/>
        </w:rPr>
        <w:t xml:space="preserve">甲方可按合同和招标文件的要求，对乙方服务的及时性和质量等进行考核，考核要求详见各项服务对应的月度考核表。</w:t>
      </w:r>
      <w:r>
        <w:rPr>
          <w:rFonts w:ascii="宋体" w:hAnsi="宋体"/>
          <w:sz w:val="24"/>
        </w:rPr>
      </w:r>
      <w:r/>
    </w:p>
    <w:p>
      <w:pPr>
        <w:pStyle w:val="995"/>
        <w:jc w:val="left"/>
        <w:spacing w:line="360" w:lineRule="auto"/>
        <w:rPr>
          <w:rFonts w:ascii="宋体" w:hAnsi="宋体"/>
          <w:sz w:val="24"/>
        </w:rPr>
      </w:pPr>
      <w:r>
        <w:rPr>
          <w:rFonts w:ascii="宋体" w:hAnsi="宋体"/>
          <w:sz w:val="24"/>
        </w:rPr>
      </w:r>
      <w:r/>
    </w:p>
    <w:p>
      <w:pPr>
        <w:pStyle w:val="995"/>
        <w:jc w:val="left"/>
        <w:spacing w:line="360" w:lineRule="auto"/>
        <w:rPr>
          <w:rFonts w:ascii="宋体" w:hAnsi="宋体"/>
          <w:b/>
          <w:sz w:val="24"/>
        </w:rPr>
      </w:pPr>
      <w:r>
        <w:rPr>
          <w:rFonts w:hint="eastAsia" w:ascii="宋体" w:hAnsi="宋体"/>
          <w:b/>
          <w:sz w:val="24"/>
        </w:rPr>
        <w:t xml:space="preserve">第九条 安全责任</w:t>
      </w:r>
      <w:r>
        <w:rPr>
          <w:rFonts w:ascii="宋体" w:hAnsi="宋体"/>
          <w:b/>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1.乙方有义务接受甲方的工作监督和安全检查。乙方须对员工进行上岗前培训，按要求购买保险，对于需要持证上岗的工种，须持证上岗。</w:t>
      </w:r>
      <w:r>
        <w:rPr>
          <w:rFonts w:ascii="宋体" w:hAnsi="宋体" w:cs="宋体"/>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2.乙方承诺为甲方服务的员工劳动关系隶属于乙方。在工作中发生的所有人员伤亡事故均由乙方承担处理，与甲方无关；如因乙方处理不善影响甲方正常运行或造成甲方损失的，甲方有权追究乙方责任。</w:t>
      </w:r>
      <w:r>
        <w:rPr>
          <w:rFonts w:ascii="宋体" w:hAnsi="宋体" w:cs="宋体"/>
          <w:sz w:val="24"/>
        </w:rPr>
      </w:r>
      <w:r/>
    </w:p>
    <w:p>
      <w:pPr>
        <w:pStyle w:val="995"/>
        <w:ind w:firstLine="480"/>
        <w:spacing w:line="360" w:lineRule="auto"/>
        <w:rPr>
          <w:rFonts w:ascii="宋体" w:hAnsi="宋体"/>
          <w:sz w:val="24"/>
        </w:rPr>
      </w:pPr>
      <w:r>
        <w:rPr>
          <w:rFonts w:hint="eastAsia" w:ascii="宋体" w:hAnsi="宋体" w:cs="宋体"/>
          <w:sz w:val="24"/>
        </w:rPr>
        <w:t xml:space="preserve">3.双方在签订本合同的同时签订安全协议。</w:t>
      </w:r>
      <w:r>
        <w:rPr>
          <w:rFonts w:ascii="宋体" w:hAnsi="宋体"/>
          <w:sz w:val="24"/>
        </w:rPr>
      </w:r>
      <w:r/>
    </w:p>
    <w:p>
      <w:pPr>
        <w:pStyle w:val="995"/>
        <w:jc w:val="left"/>
        <w:spacing w:line="360" w:lineRule="auto"/>
        <w:rPr>
          <w:rFonts w:ascii="宋体" w:hAnsi="宋体"/>
          <w:b/>
          <w:sz w:val="24"/>
        </w:rPr>
      </w:pPr>
      <w:r>
        <w:rPr>
          <w:rFonts w:ascii="宋体" w:hAnsi="宋体"/>
          <w:b/>
          <w:sz w:val="24"/>
        </w:rPr>
      </w:r>
      <w:r/>
    </w:p>
    <w:p>
      <w:pPr>
        <w:pStyle w:val="995"/>
        <w:jc w:val="left"/>
        <w:spacing w:line="360" w:lineRule="auto"/>
        <w:rPr>
          <w:rFonts w:ascii="宋体" w:hAnsi="宋体"/>
          <w:b/>
          <w:sz w:val="24"/>
        </w:rPr>
      </w:pPr>
      <w:r>
        <w:rPr>
          <w:rFonts w:hint="eastAsia" w:ascii="宋体" w:hAnsi="宋体"/>
          <w:b/>
          <w:sz w:val="24"/>
        </w:rPr>
        <w:t xml:space="preserve">第十条 违约责任</w:t>
      </w:r>
      <w:r>
        <w:rPr>
          <w:rFonts w:ascii="宋体" w:hAnsi="宋体"/>
          <w:b/>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1.乙方无正当理由，违反本合同的相关规定，未能达到服务要求的，按照相关条款的规定，根据考核结果扣除相应合同价款作为违约金。</w:t>
      </w:r>
      <w:r>
        <w:rPr>
          <w:rFonts w:ascii="宋体" w:hAnsi="宋体" w:cs="宋体"/>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2.乙方存在下列违约情形的</w:t>
      </w:r>
      <w:r>
        <w:rPr>
          <w:rFonts w:ascii="宋体" w:hAnsi="宋体" w:cs="宋体"/>
          <w:sz w:val="24"/>
        </w:rPr>
        <w:t xml:space="preserve">，</w:t>
      </w:r>
      <w:r>
        <w:rPr>
          <w:rFonts w:hint="eastAsia" w:ascii="宋体" w:hAnsi="宋体" w:cs="宋体"/>
          <w:sz w:val="24"/>
        </w:rPr>
        <w:t xml:space="preserve">应支付相应违约金</w:t>
      </w:r>
      <w:r>
        <w:rPr>
          <w:rFonts w:ascii="宋体" w:hAnsi="宋体" w:cs="宋体"/>
          <w:sz w:val="24"/>
        </w:rPr>
        <w:t xml:space="preserve">：</w:t>
      </w:r>
      <w:r>
        <w:rPr>
          <w:rFonts w:ascii="宋体" w:hAnsi="宋体" w:cs="宋体"/>
          <w:sz w:val="24"/>
        </w:rPr>
      </w:r>
      <w:r/>
    </w:p>
    <w:p>
      <w:pPr>
        <w:pStyle w:val="995"/>
        <w:ind w:firstLine="480"/>
        <w:jc w:val="left"/>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乙方服务不符合甲方要求并影响</w:t>
      </w:r>
      <w:r>
        <w:rPr>
          <w:rFonts w:ascii="宋体" w:hAnsi="宋体" w:cs="宋体"/>
          <w:sz w:val="24"/>
        </w:rPr>
        <w:t xml:space="preserve">甲方正常运行的，</w:t>
      </w:r>
      <w:r>
        <w:rPr>
          <w:rFonts w:hint="eastAsia" w:ascii="宋体" w:hAnsi="宋体" w:cs="宋体"/>
          <w:sz w:val="24"/>
        </w:rPr>
        <w:t xml:space="preserve">除扣除相应合同价款外</w:t>
      </w:r>
      <w:r>
        <w:rPr>
          <w:rFonts w:ascii="宋体" w:hAnsi="宋体" w:cs="宋体"/>
          <w:sz w:val="24"/>
        </w:rPr>
        <w:t xml:space="preserve">，</w:t>
      </w:r>
      <w:r>
        <w:rPr>
          <w:rFonts w:hint="eastAsia" w:ascii="宋体" w:hAnsi="宋体" w:cs="宋体"/>
          <w:sz w:val="24"/>
        </w:rPr>
        <w:t xml:space="preserve">应另行支付违约金</w:t>
      </w:r>
      <w:r>
        <w:rPr>
          <w:rFonts w:hint="eastAsia" w:ascii="宋体" w:hAnsi="宋体" w:cs="宋体"/>
          <w:sz w:val="24"/>
          <w:u w:val="single"/>
        </w:rPr>
        <w:t xml:space="preserve">1000元</w:t>
      </w:r>
      <w:r>
        <w:rPr>
          <w:rFonts w:ascii="宋体" w:hAnsi="宋体" w:cs="宋体"/>
          <w:sz w:val="24"/>
        </w:rPr>
        <w:t xml:space="preserve">/</w:t>
      </w:r>
      <w:r>
        <w:rPr>
          <w:rFonts w:hint="eastAsia" w:ascii="宋体" w:hAnsi="宋体" w:cs="宋体"/>
          <w:sz w:val="24"/>
        </w:rPr>
        <w:t xml:space="preserve">次</w:t>
      </w:r>
      <w:r>
        <w:rPr>
          <w:rFonts w:ascii="宋体" w:hAnsi="宋体" w:cs="宋体"/>
          <w:sz w:val="24"/>
        </w:rPr>
        <w:t xml:space="preserve">；</w:t>
      </w:r>
      <w:r>
        <w:rPr>
          <w:rFonts w:ascii="宋体" w:hAnsi="宋体" w:cs="宋体"/>
          <w:sz w:val="24"/>
        </w:rPr>
      </w:r>
      <w:r/>
    </w:p>
    <w:p>
      <w:pPr>
        <w:pStyle w:val="995"/>
        <w:ind w:firstLine="480"/>
        <w:jc w:val="left"/>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乙方擅自转包</w:t>
      </w:r>
      <w:r>
        <w:rPr>
          <w:rFonts w:ascii="宋体" w:hAnsi="宋体" w:cs="宋体"/>
          <w:sz w:val="24"/>
        </w:rPr>
        <w:t xml:space="preserve">、</w:t>
      </w:r>
      <w:r>
        <w:rPr>
          <w:rFonts w:hint="eastAsia" w:ascii="宋体" w:hAnsi="宋体" w:cs="宋体"/>
          <w:sz w:val="24"/>
        </w:rPr>
        <w:t xml:space="preserve">分包的</w:t>
      </w:r>
      <w:r>
        <w:rPr>
          <w:rFonts w:ascii="宋体" w:hAnsi="宋体" w:cs="宋体"/>
          <w:sz w:val="24"/>
        </w:rPr>
        <w:t xml:space="preserve">，</w:t>
      </w:r>
      <w:r>
        <w:rPr>
          <w:rFonts w:hint="eastAsia" w:ascii="宋体" w:hAnsi="宋体" w:cs="宋体"/>
          <w:sz w:val="24"/>
        </w:rPr>
        <w:t xml:space="preserve">应支付违约金</w:t>
      </w:r>
      <w:r>
        <w:rPr>
          <w:rFonts w:hint="eastAsia" w:ascii="宋体" w:hAnsi="宋体" w:cs="宋体"/>
          <w:sz w:val="24"/>
          <w:u w:val="single"/>
        </w:rPr>
        <w:t xml:space="preserve">3000元</w:t>
      </w:r>
      <w:r>
        <w:rPr>
          <w:rFonts w:ascii="宋体" w:hAnsi="宋体" w:cs="宋体"/>
          <w:sz w:val="24"/>
        </w:rPr>
        <w:t xml:space="preserve">/</w:t>
      </w:r>
      <w:r>
        <w:rPr>
          <w:rFonts w:hint="eastAsia" w:ascii="宋体" w:hAnsi="宋体" w:cs="宋体"/>
          <w:sz w:val="24"/>
        </w:rPr>
        <w:t xml:space="preserve">次</w:t>
      </w:r>
      <w:r>
        <w:rPr>
          <w:rFonts w:ascii="宋体" w:hAnsi="宋体" w:cs="宋体"/>
          <w:sz w:val="24"/>
        </w:rPr>
        <w:t xml:space="preserve">。</w:t>
      </w:r>
      <w:r>
        <w:rPr>
          <w:rFonts w:ascii="宋体" w:hAnsi="宋体" w:cs="宋体"/>
          <w:sz w:val="24"/>
        </w:rPr>
      </w:r>
      <w:r/>
    </w:p>
    <w:p>
      <w:pPr>
        <w:pStyle w:val="995"/>
        <w:ind w:right="31" w:firstLine="480"/>
        <w:spacing w:line="360" w:lineRule="auto"/>
        <w:rPr>
          <w:rFonts w:ascii="宋体" w:hAnsi="宋体"/>
          <w:sz w:val="24"/>
        </w:rPr>
      </w:pPr>
      <w:r>
        <w:rPr>
          <w:rFonts w:hint="eastAsia" w:ascii="宋体" w:hAnsi="宋体"/>
          <w:sz w:val="24"/>
        </w:rPr>
        <w:t xml:space="preserve">3.本合同违约金最高不超过合同总价的30%，但乙方违约造成甲方损失的除外。</w:t>
      </w:r>
      <w:r>
        <w:rPr>
          <w:rFonts w:ascii="宋体" w:hAnsi="宋体"/>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4.乙方在承担上述违约责任后，仍应继续履行合同规定的义务（双方解除合同的除外）。</w:t>
      </w:r>
      <w:r>
        <w:rPr>
          <w:rFonts w:ascii="宋体" w:hAnsi="宋体" w:cs="宋体"/>
          <w:sz w:val="24"/>
        </w:rPr>
      </w:r>
      <w:r/>
    </w:p>
    <w:p>
      <w:pPr>
        <w:pStyle w:val="995"/>
        <w:ind w:firstLine="480"/>
        <w:jc w:val="left"/>
        <w:spacing w:line="360" w:lineRule="auto"/>
        <w:rPr>
          <w:rFonts w:ascii="宋体" w:hAnsi="宋体" w:cs="宋体"/>
          <w:color w:val="000000"/>
          <w:sz w:val="24"/>
        </w:rPr>
      </w:pPr>
      <w:r>
        <w:rPr>
          <w:rFonts w:hint="eastAsia" w:ascii="宋体" w:hAnsi="宋体" w:cs="宋体"/>
          <w:sz w:val="24"/>
        </w:rPr>
        <w:t xml:space="preserve">5.因</w:t>
      </w:r>
      <w:r>
        <w:rPr>
          <w:rFonts w:hint="eastAsia" w:ascii="宋体" w:hAnsi="宋体" w:cs="宋体"/>
          <w:color w:val="000000"/>
          <w:sz w:val="24"/>
        </w:rPr>
        <w:t xml:space="preserve">乙方违约造成甲方损失的，除承担相应违约金外</w:t>
      </w:r>
      <w:r>
        <w:rPr>
          <w:rFonts w:ascii="宋体" w:hAnsi="宋体" w:cs="宋体"/>
          <w:color w:val="000000"/>
          <w:sz w:val="24"/>
        </w:rPr>
        <w:t xml:space="preserve">，</w:t>
      </w:r>
      <w:r>
        <w:rPr>
          <w:rFonts w:hint="eastAsia" w:ascii="宋体" w:hAnsi="宋体" w:cs="宋体"/>
          <w:color w:val="000000"/>
          <w:sz w:val="24"/>
        </w:rPr>
        <w:t xml:space="preserve">乙方还应赔偿甲方因此受到的直接和间接经济损失，包括但不限于甲方实际经济损失及预期的经济利益、甲方对第三方承担律师等中介机构费用、仲裁费用、调查取证费用、交通费用等。</w:t>
      </w:r>
      <w:r>
        <w:rPr>
          <w:rFonts w:ascii="宋体" w:hAnsi="宋体" w:cs="宋体"/>
          <w:color w:val="000000"/>
          <w:sz w:val="24"/>
        </w:rPr>
      </w:r>
      <w:r/>
    </w:p>
    <w:p>
      <w:pPr>
        <w:pStyle w:val="995"/>
        <w:ind w:firstLine="484"/>
        <w:spacing w:line="360" w:lineRule="auto"/>
        <w:rPr>
          <w:rFonts w:ascii="宋体" w:hAnsi="宋体" w:cs="宋体"/>
          <w:b/>
          <w:bCs/>
          <w:color w:val="000000"/>
          <w:sz w:val="24"/>
        </w:rPr>
      </w:pPr>
      <w:r>
        <w:rPr>
          <w:rFonts w:hint="eastAsia" w:ascii="宋体" w:hAnsi="宋体" w:cs="宋体"/>
          <w:color w:val="000000"/>
          <w:sz w:val="24"/>
        </w:rPr>
        <w:t xml:space="preserve">6.本合同规定的违约金、损失赔偿金、乙方应承担的费用甲方均有权在履约保证金或服务费中扣除，履约保证金金额及服务费不足时，甲方有权向乙方进行进一步的索赔。</w:t>
      </w:r>
      <w:r>
        <w:rPr>
          <w:rFonts w:ascii="宋体" w:hAnsi="宋体" w:cs="宋体"/>
          <w:b/>
          <w:bCs/>
          <w:color w:val="000000"/>
          <w:sz w:val="24"/>
        </w:rPr>
        <w:tab/>
      </w:r>
      <w:r>
        <w:rPr>
          <w:rFonts w:ascii="宋体" w:hAnsi="宋体" w:cs="宋体"/>
          <w:b/>
          <w:bCs/>
          <w:color w:val="000000"/>
          <w:sz w:val="24"/>
        </w:rPr>
      </w:r>
      <w:r/>
    </w:p>
    <w:p>
      <w:pPr>
        <w:pStyle w:val="995"/>
        <w:ind w:firstLine="484"/>
        <w:spacing w:line="360" w:lineRule="auto"/>
        <w:rPr>
          <w:rFonts w:ascii="宋体" w:hAnsi="宋体" w:cs="宋体"/>
          <w:sz w:val="24"/>
        </w:rPr>
      </w:pPr>
      <w:r>
        <w:rPr>
          <w:rFonts w:hint="eastAsia" w:ascii="宋体" w:hAnsi="宋体" w:cs="宋体"/>
          <w:bCs/>
          <w:color w:val="000000"/>
          <w:sz w:val="24"/>
        </w:rPr>
        <w:t xml:space="preserve">7.本合同规定的违约金均为惩罚性违约金，其目的不仅包括事先确定违约后的赔偿金额，更是为了督促对方守约而约定的违约金。</w:t>
      </w:r>
      <w:r>
        <w:rPr>
          <w:rFonts w:ascii="宋体" w:hAnsi="宋体" w:cs="宋体"/>
          <w:sz w:val="24"/>
        </w:rPr>
      </w:r>
      <w:r/>
    </w:p>
    <w:p>
      <w:pPr>
        <w:pStyle w:val="995"/>
        <w:jc w:val="left"/>
        <w:spacing w:line="360" w:lineRule="auto"/>
        <w:rPr>
          <w:rFonts w:ascii="宋体" w:hAnsi="宋体" w:cs="宋体"/>
          <w:sz w:val="24"/>
        </w:rPr>
      </w:pPr>
      <w:r>
        <w:rPr>
          <w:rFonts w:ascii="宋体" w:hAnsi="宋体" w:cs="宋体"/>
          <w:sz w:val="24"/>
        </w:rPr>
      </w:r>
      <w:r/>
    </w:p>
    <w:p>
      <w:pPr>
        <w:pStyle w:val="995"/>
        <w:jc w:val="left"/>
        <w:spacing w:line="360" w:lineRule="auto"/>
        <w:rPr>
          <w:rFonts w:ascii="宋体" w:hAnsi="宋体"/>
          <w:b/>
          <w:sz w:val="24"/>
        </w:rPr>
      </w:pPr>
      <w:r>
        <w:rPr>
          <w:rFonts w:hint="eastAsia" w:ascii="宋体" w:hAnsi="宋体"/>
          <w:b/>
          <w:sz w:val="24"/>
        </w:rPr>
        <w:t xml:space="preserve">第十一条 合同的变更和终止</w:t>
      </w:r>
      <w:r>
        <w:rPr>
          <w:rFonts w:ascii="宋体" w:hAnsi="宋体"/>
          <w:b/>
          <w:sz w:val="24"/>
        </w:rPr>
      </w:r>
      <w:r/>
    </w:p>
    <w:p>
      <w:pPr>
        <w:pStyle w:val="995"/>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Arial"/>
          <w:bCs/>
          <w:sz w:val="24"/>
        </w:rPr>
        <w:t xml:space="preserve">本合同内容如需变更或补充，应经甲乙双方协商后，共同签署书面补充协议</w:t>
      </w:r>
      <w:r>
        <w:rPr>
          <w:rFonts w:hint="eastAsia" w:ascii="宋体" w:hAnsi="宋体"/>
          <w:sz w:val="24"/>
        </w:rPr>
        <w:t xml:space="preserve">。</w:t>
      </w:r>
      <w:r>
        <w:rPr>
          <w:rFonts w:ascii="宋体" w:hAnsi="宋体" w:cs="宋体"/>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2.合同的解除</w:t>
      </w:r>
      <w:r>
        <w:rPr>
          <w:rFonts w:ascii="宋体" w:hAnsi="宋体" w:cs="宋体"/>
          <w:sz w:val="24"/>
        </w:rPr>
      </w:r>
      <w:r/>
    </w:p>
    <w:p>
      <w:pPr>
        <w:pStyle w:val="995"/>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如甲方和乙方协商一致，可以解除合同，并报政府采购监管部门审查备案。</w:t>
      </w:r>
      <w:r>
        <w:rPr>
          <w:rFonts w:ascii="宋体" w:hAnsi="宋体" w:cs="宋体"/>
          <w:sz w:val="24"/>
        </w:rPr>
      </w:r>
      <w:r/>
    </w:p>
    <w:p>
      <w:pPr>
        <w:pStyle w:val="995"/>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2</w:t>
      </w:r>
      <w:r>
        <w:rPr>
          <w:rFonts w:hint="eastAsia" w:ascii="宋体" w:hAnsi="宋体"/>
          <w:sz w:val="24"/>
        </w:rPr>
        <w:t xml:space="preserve">乙方在履约过程中，有下列情形之一的，除扣除相应违约金外，甲方有权在书面通知乙方后解除本合同，并扣除履约保证金：</w:t>
      </w:r>
      <w:r>
        <w:rPr>
          <w:rFonts w:ascii="宋体" w:hAnsi="宋体" w:cs="宋体"/>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（1）乙方在月度考核中的评分累计三次低于80分（不含）的；</w:t>
      </w:r>
      <w:r>
        <w:rPr>
          <w:rFonts w:ascii="宋体" w:hAnsi="宋体" w:cs="宋体"/>
          <w:sz w:val="24"/>
        </w:rPr>
      </w:r>
      <w:r/>
    </w:p>
    <w:p>
      <w:pPr>
        <w:pStyle w:val="995"/>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w:t>
      </w:r>
      <w:r>
        <w:rPr>
          <w:rFonts w:hint="eastAsia" w:ascii="宋体" w:hAnsi="宋体" w:cs="宋体"/>
          <w:sz w:val="24"/>
        </w:rPr>
        <w:t xml:space="preserve">乙方未能在合同签订后2个月内为参与本项目服务的人员购买不低于</w:t>
      </w:r>
      <w:r>
        <w:rPr>
          <w:rFonts w:hint="eastAsia" w:ascii="宋体" w:hAnsi="宋体" w:cs="宋体"/>
          <w:sz w:val="24"/>
          <w:u w:val="single"/>
        </w:rPr>
        <w:t xml:space="preserve">  100</w:t>
      </w:r>
      <w:r>
        <w:rPr>
          <w:rFonts w:hint="eastAsia" w:ascii="宋体" w:hAnsi="宋体" w:cs="宋体"/>
          <w:sz w:val="24"/>
        </w:rPr>
        <w:t xml:space="preserve">万元额度的雇主责任险或人身意外险的；</w:t>
      </w:r>
      <w:r>
        <w:rPr>
          <w:rFonts w:ascii="宋体" w:hAnsi="宋体"/>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）擅自对本项目</w:t>
      </w:r>
      <w:r>
        <w:rPr>
          <w:rFonts w:hint="eastAsia" w:ascii="宋体" w:hAnsi="宋体"/>
          <w:sz w:val="24"/>
        </w:rPr>
        <w:t xml:space="preserve">进行转包或分包的；</w:t>
      </w:r>
      <w:r>
        <w:rPr>
          <w:rFonts w:ascii="宋体" w:hAnsi="宋体" w:cs="宋体"/>
          <w:sz w:val="24"/>
        </w:rPr>
      </w:r>
      <w:r/>
    </w:p>
    <w:p>
      <w:pPr>
        <w:pStyle w:val="995"/>
        <w:ind w:firstLine="480"/>
        <w:spacing w:line="360" w:lineRule="auto"/>
        <w:rPr>
          <w:rFonts w:ascii="宋体" w:hAnsi="宋体"/>
          <w:sz w:val="24"/>
        </w:rPr>
      </w:pPr>
      <w:r>
        <w:rPr>
          <w:rFonts w:hint="eastAsia" w:ascii="宋体" w:hAnsi="宋体" w:cs="宋体"/>
          <w:sz w:val="24"/>
        </w:rPr>
        <w:t xml:space="preserve">（4）乙方服务不符合甲方要求并严重影响</w:t>
      </w:r>
      <w:r>
        <w:rPr>
          <w:rFonts w:ascii="宋体" w:hAnsi="宋体" w:cs="宋体"/>
          <w:sz w:val="24"/>
        </w:rPr>
        <w:t xml:space="preserve">甲方正常运行的</w:t>
      </w:r>
      <w:r>
        <w:rPr>
          <w:rFonts w:hint="eastAsia" w:ascii="宋体" w:hAnsi="宋体" w:cs="宋体"/>
          <w:sz w:val="24"/>
        </w:rPr>
        <w:t xml:space="preserve">；</w:t>
      </w:r>
      <w:r>
        <w:rPr>
          <w:rFonts w:ascii="宋体" w:hAnsi="宋体"/>
          <w:sz w:val="24"/>
        </w:rPr>
      </w:r>
      <w:r/>
    </w:p>
    <w:p>
      <w:pPr>
        <w:pStyle w:val="995"/>
        <w:ind w:firstLine="480"/>
        <w:jc w:val="left"/>
        <w:spacing w:line="360" w:lineRule="auto"/>
        <w:widowControl/>
        <w:rPr>
          <w:rFonts w:ascii="宋体" w:hAnsi="宋体"/>
          <w:sz w:val="24"/>
        </w:rPr>
      </w:pPr>
      <w:r>
        <w:rPr>
          <w:rFonts w:hint="eastAsia" w:ascii="宋体" w:hAnsi="宋体"/>
          <w:sz w:val="24"/>
        </w:rPr>
        <w:t xml:space="preserve">（5）乙方未能履行本合同约定的其他主要义务，经催告后在合理期限内仍未履行的，或者有其他违约行为致使不能实现合同目的的。</w:t>
      </w:r>
      <w:r>
        <w:rPr>
          <w:rFonts w:ascii="宋体" w:hAnsi="宋体"/>
          <w:sz w:val="24"/>
        </w:rPr>
      </w:r>
      <w:r/>
    </w:p>
    <w:p>
      <w:pPr>
        <w:pStyle w:val="995"/>
        <w:ind w:firstLine="480"/>
        <w:jc w:val="left"/>
        <w:spacing w:line="360" w:lineRule="auto"/>
        <w:tabs>
          <w:tab w:val="left" w:pos="426" w:leader="none"/>
        </w:tabs>
        <w:rPr>
          <w:rFonts w:ascii="宋体" w:hAnsi="宋体"/>
          <w:sz w:val="24"/>
        </w:rPr>
      </w:pPr>
      <w:r>
        <w:rPr>
          <w:rFonts w:ascii="宋体" w:hAnsi="宋体" w:cs="宋体"/>
          <w:sz w:val="24"/>
        </w:rPr>
        <w:t xml:space="preserve">2</w:t>
      </w:r>
      <w:r>
        <w:rPr>
          <w:rFonts w:hint="eastAsia" w:ascii="宋体" w:hAnsi="宋体" w:cs="宋体"/>
          <w:sz w:val="24"/>
        </w:rPr>
        <w:t xml:space="preserve">.3</w:t>
      </w:r>
      <w:r>
        <w:rPr>
          <w:rFonts w:hint="eastAsia" w:ascii="宋体" w:hAnsi="宋体"/>
          <w:bCs/>
          <w:sz w:val="24"/>
        </w:rPr>
        <w:t xml:space="preserve">因乙方违约、甲方选择解除合同的，应在合理期间内提前向乙方发出《合同解除通知书》。乙方对解除合同有争议的，应于15日内向常州仲裁委员会申请仲裁；乙方对解除合同没有争议的，应在《合同解除通知书》要求的时间内，按本合同规定做好交接和善后工作，合同解除的具体时间以《合同解除通知书》中载明的时间为准。</w:t>
      </w:r>
      <w:r>
        <w:rPr>
          <w:rFonts w:ascii="宋体" w:hAnsi="宋体"/>
          <w:sz w:val="24"/>
        </w:rPr>
      </w:r>
      <w:r/>
    </w:p>
    <w:p>
      <w:pPr>
        <w:pStyle w:val="995"/>
        <w:ind w:firstLine="480"/>
        <w:jc w:val="left"/>
        <w:spacing w:line="360" w:lineRule="auto"/>
        <w:tabs>
          <w:tab w:val="left" w:pos="426" w:leader="none"/>
        </w:tabs>
        <w:rPr>
          <w:rFonts w:ascii="宋体" w:hAnsi="宋体" w:cs="宋体"/>
          <w:color w:val="000000"/>
          <w:sz w:val="24"/>
        </w:rPr>
      </w:pPr>
      <w:r>
        <w:rPr>
          <w:rFonts w:hint="eastAsia" w:ascii="宋体" w:hAnsi="宋体"/>
          <w:sz w:val="24"/>
        </w:rPr>
        <w:t xml:space="preserve">3.合同终止</w:t>
      </w:r>
      <w:r>
        <w:rPr>
          <w:rFonts w:ascii="宋体" w:hAnsi="宋体" w:cs="宋体"/>
          <w:color w:val="000000"/>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3.1本合同服务期满后，除甲方要求乙方立即撤离的，乙方应提供过渡期服务，继续履行本合同，直至新的服务单位接管本项目。过渡期内，本合同继续有效，延续时间最长不超过1个月。</w:t>
      </w:r>
      <w:r>
        <w:rPr>
          <w:rFonts w:ascii="宋体" w:hAnsi="宋体" w:cs="宋体"/>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3.2过渡期内，乙方应协助甲方做好本合同规定的服务交接和善后工作。</w:t>
      </w:r>
      <w:r>
        <w:rPr>
          <w:rFonts w:ascii="宋体" w:hAnsi="宋体" w:cs="宋体"/>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3.3如乙方决定合同期满后不与甲方续签合同的，应至少提前60日书面通知甲方。</w:t>
      </w:r>
      <w:r>
        <w:rPr>
          <w:rFonts w:ascii="宋体" w:hAnsi="宋体" w:cs="宋体"/>
          <w:sz w:val="24"/>
        </w:rPr>
      </w:r>
      <w:r/>
    </w:p>
    <w:p>
      <w:pPr>
        <w:pStyle w:val="995"/>
        <w:ind w:firstLine="480"/>
        <w:jc w:val="left"/>
        <w:spacing w:line="360" w:lineRule="auto"/>
        <w:rPr>
          <w:rFonts w:ascii="宋体" w:hAnsi="宋体" w:cs="宋体"/>
          <w:sz w:val="24"/>
        </w:rPr>
      </w:pPr>
      <w:r>
        <w:rPr>
          <w:rFonts w:ascii="宋体" w:hAnsi="宋体" w:cs="宋体"/>
          <w:sz w:val="24"/>
        </w:rPr>
      </w:r>
      <w:r/>
    </w:p>
    <w:p>
      <w:pPr>
        <w:pStyle w:val="995"/>
        <w:ind w:firstLine="482"/>
        <w:jc w:val="left"/>
        <w:spacing w:line="360" w:lineRule="auto"/>
        <w:rPr>
          <w:rFonts w:ascii="宋体" w:hAnsi="宋体"/>
          <w:b/>
          <w:sz w:val="24"/>
        </w:rPr>
      </w:pPr>
      <w:r>
        <w:rPr>
          <w:rFonts w:hint="eastAsia" w:ascii="宋体" w:hAnsi="宋体"/>
          <w:b/>
          <w:sz w:val="24"/>
        </w:rPr>
        <w:t xml:space="preserve">第十二条 诚实信用</w:t>
      </w:r>
      <w:r>
        <w:rPr>
          <w:rFonts w:ascii="宋体" w:hAnsi="宋体"/>
          <w:b/>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乙方应诚实守信，不向甲方进行商业贿赂或者提供不正当利益。</w:t>
      </w:r>
      <w:r>
        <w:rPr>
          <w:rFonts w:ascii="宋体" w:hAnsi="宋体" w:cs="宋体"/>
          <w:sz w:val="24"/>
        </w:rPr>
      </w:r>
      <w:r/>
    </w:p>
    <w:p>
      <w:pPr>
        <w:pStyle w:val="995"/>
        <w:ind w:firstLine="480"/>
        <w:spacing w:line="360" w:lineRule="auto"/>
        <w:rPr>
          <w:rFonts w:ascii="宋体" w:hAnsi="宋体" w:cs="宋体"/>
          <w:sz w:val="24"/>
        </w:rPr>
      </w:pPr>
      <w:r>
        <w:rPr>
          <w:rFonts w:ascii="宋体" w:hAnsi="宋体" w:cs="宋体"/>
          <w:sz w:val="24"/>
        </w:rPr>
      </w:r>
      <w:r/>
    </w:p>
    <w:p>
      <w:pPr>
        <w:pStyle w:val="995"/>
        <w:ind w:firstLine="482"/>
        <w:spacing w:line="360" w:lineRule="auto"/>
        <w:rPr>
          <w:rFonts w:ascii="宋体" w:hAnsi="宋体" w:cs="宋体"/>
          <w:b/>
          <w:sz w:val="24"/>
        </w:rPr>
      </w:pPr>
      <w:r>
        <w:rPr>
          <w:rFonts w:hint="eastAsia" w:ascii="宋体" w:hAnsi="宋体" w:cs="宋体"/>
          <w:b/>
          <w:sz w:val="24"/>
        </w:rPr>
        <w:t xml:space="preserve">第十三条 保密</w:t>
      </w:r>
      <w:r>
        <w:rPr>
          <w:rFonts w:ascii="宋体" w:hAnsi="宋体" w:cs="宋体"/>
          <w:b/>
          <w:sz w:val="24"/>
        </w:rPr>
      </w:r>
      <w:r/>
    </w:p>
    <w:p>
      <w:pPr>
        <w:pStyle w:val="995"/>
        <w:ind w:firstLine="480"/>
        <w:spacing w:line="360" w:lineRule="auto"/>
        <w:rPr>
          <w:rFonts w:ascii="宋体" w:hAnsi="宋体" w:cs="宋体"/>
          <w:sz w:val="24"/>
        </w:rPr>
      </w:pPr>
      <w:r>
        <w:rPr>
          <w:rFonts w:hint="eastAsia" w:ascii="宋体" w:hAnsi="宋体" w:cs="宋体"/>
          <w:sz w:val="24"/>
        </w:rPr>
        <w:t xml:space="preserve">如未征得对方的书面同意，任何一方均不得向任何第三方提供或披露有关合同执行的相关信息和资料，包括但不限于技术资料、商业秘密和商业信息等。否则，由此产生的责任由披露方承担，造成对方损失的，由披露方予以赔偿。</w:t>
      </w:r>
      <w:r>
        <w:rPr>
          <w:rFonts w:ascii="宋体" w:hAnsi="宋体" w:cs="宋体"/>
          <w:sz w:val="24"/>
        </w:rPr>
      </w:r>
      <w:r/>
    </w:p>
    <w:p>
      <w:pPr>
        <w:pStyle w:val="995"/>
        <w:jc w:val="left"/>
        <w:spacing w:line="360" w:lineRule="auto"/>
        <w:rPr>
          <w:rFonts w:ascii="宋体" w:hAnsi="宋体" w:cs="宋体"/>
          <w:sz w:val="24"/>
        </w:rPr>
      </w:pPr>
      <w:r>
        <w:rPr>
          <w:rFonts w:ascii="宋体" w:hAnsi="宋体" w:cs="宋体"/>
          <w:sz w:val="24"/>
        </w:rPr>
      </w:r>
      <w:r/>
    </w:p>
    <w:p>
      <w:pPr>
        <w:pStyle w:val="995"/>
        <w:ind w:firstLine="480"/>
        <w:jc w:val="left"/>
        <w:spacing w:line="360" w:lineRule="auto"/>
        <w:rPr>
          <w:rFonts w:ascii="宋体" w:hAnsi="宋体" w:cs="宋体"/>
          <w:b/>
          <w:bCs/>
          <w:sz w:val="24"/>
        </w:rPr>
      </w:pPr>
      <w:r>
        <w:rPr>
          <w:rFonts w:hint="eastAsia" w:ascii="宋体" w:hAnsi="宋体" w:cs="宋体"/>
          <w:b/>
          <w:bCs/>
          <w:sz w:val="24"/>
        </w:rPr>
        <w:t xml:space="preserve">第十四条 通知和送达</w:t>
      </w:r>
      <w:r>
        <w:rPr>
          <w:rFonts w:ascii="宋体" w:hAnsi="宋体" w:cs="宋体"/>
          <w:b/>
          <w:bCs/>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1.合同履行过程中的联络及相关文件的签署，均应通过双方指定的联系人和联系方式进行。</w:t>
      </w:r>
      <w:r>
        <w:rPr>
          <w:rFonts w:ascii="宋体" w:hAnsi="宋体" w:cs="宋体"/>
          <w:sz w:val="24"/>
        </w:rPr>
      </w:r>
      <w:r/>
    </w:p>
    <w:p>
      <w:pPr>
        <w:pStyle w:val="995"/>
        <w:ind w:firstLine="480"/>
        <w:jc w:val="left"/>
        <w:spacing w:line="360" w:lineRule="auto"/>
        <w:rPr>
          <w:rFonts w:ascii="宋体" w:hAnsi="宋体" w:cs="宋体"/>
          <w:sz w:val="24"/>
        </w:rPr>
      </w:pPr>
      <w:r>
        <w:rPr>
          <w:rFonts w:hint="eastAsia" w:ascii="宋体" w:hAnsi="宋体"/>
          <w:sz w:val="24"/>
        </w:rPr>
        <w:t xml:space="preserve">甲方联系人：</w:t>
      </w:r>
      <w:r>
        <w:rPr>
          <w:rFonts w:hint="eastAsia" w:ascii="宋体" w:hAnsi="宋体"/>
          <w:sz w:val="24"/>
          <w:u w:val="single"/>
        </w:rPr>
        <w:t xml:space="preserve">         </w:t>
      </w: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，联系邮箱：</w:t>
      </w:r>
      <w:r>
        <w:rPr>
          <w:rFonts w:hint="eastAsia" w:ascii="宋体" w:hAnsi="宋体"/>
          <w:sz w:val="24"/>
          <w:u w:val="single"/>
        </w:rPr>
        <w:t xml:space="preserve">           </w:t>
      </w:r>
      <w:r>
        <w:rPr>
          <w:rFonts w:ascii="宋体" w:hAnsi="宋体" w:cs="宋体"/>
          <w:sz w:val="24"/>
        </w:rPr>
      </w:r>
      <w:r/>
    </w:p>
    <w:p>
      <w:pPr>
        <w:pStyle w:val="995"/>
        <w:ind w:firstLine="480"/>
        <w:jc w:val="left"/>
        <w:spacing w:line="360" w:lineRule="auto"/>
        <w:rPr>
          <w:rFonts w:ascii="宋体" w:hAnsi="宋体" w:cs="宋体"/>
          <w:sz w:val="24"/>
        </w:rPr>
      </w:pPr>
      <w:r>
        <w:rPr>
          <w:rFonts w:hint="eastAsia" w:ascii="宋体" w:hAnsi="宋体"/>
          <w:sz w:val="24"/>
        </w:rPr>
        <w:t xml:space="preserve">地址：</w:t>
      </w:r>
      <w:r>
        <w:rPr>
          <w:rFonts w:hint="eastAsia" w:ascii="宋体" w:hAnsi="宋体"/>
          <w:sz w:val="24"/>
          <w:u w:val="single"/>
        </w:rPr>
        <w:t xml:space="preserve"> 常州市飞龙东路116号 </w:t>
      </w:r>
      <w:r>
        <w:rPr>
          <w:rFonts w:ascii="宋体" w:hAnsi="宋体" w:cs="宋体"/>
          <w:sz w:val="24"/>
        </w:rPr>
      </w:r>
      <w:r/>
    </w:p>
    <w:p>
      <w:pPr>
        <w:pStyle w:val="995"/>
        <w:ind w:firstLine="480"/>
        <w:jc w:val="left"/>
        <w:spacing w:line="360" w:lineRule="auto"/>
        <w:rPr>
          <w:rFonts w:ascii="宋体" w:hAnsi="宋体" w:cs="宋体"/>
          <w:sz w:val="24"/>
        </w:rPr>
      </w:pPr>
      <w:r>
        <w:rPr>
          <w:rFonts w:hint="eastAsia" w:ascii="宋体" w:hAnsi="宋体"/>
          <w:sz w:val="24"/>
        </w:rPr>
        <w:t xml:space="preserve">甲方联系人：</w:t>
      </w:r>
      <w:r>
        <w:rPr>
          <w:rFonts w:hint="eastAsia" w:ascii="宋体" w:hAnsi="宋体"/>
          <w:sz w:val="24"/>
          <w:u w:val="single"/>
        </w:rPr>
        <w:t xml:space="preserve">         </w:t>
      </w: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，联系邮箱：</w:t>
      </w:r>
      <w:r>
        <w:rPr>
          <w:rFonts w:hint="eastAsia" w:ascii="宋体" w:hAnsi="宋体"/>
          <w:sz w:val="24"/>
          <w:u w:val="single"/>
        </w:rPr>
        <w:t xml:space="preserve">           </w:t>
      </w:r>
      <w:r>
        <w:rPr>
          <w:rFonts w:ascii="宋体" w:hAnsi="宋体" w:cs="宋体"/>
          <w:sz w:val="24"/>
        </w:rPr>
      </w:r>
      <w:r/>
    </w:p>
    <w:p>
      <w:pPr>
        <w:pStyle w:val="995"/>
        <w:ind w:firstLine="480"/>
        <w:jc w:val="left"/>
        <w:spacing w:line="360" w:lineRule="auto"/>
        <w:rPr>
          <w:rFonts w:ascii="宋体" w:hAnsi="宋体" w:cs="宋体"/>
          <w:sz w:val="24"/>
        </w:rPr>
      </w:pPr>
      <w:r>
        <w:rPr>
          <w:rFonts w:hint="eastAsia" w:ascii="宋体" w:hAnsi="宋体"/>
          <w:sz w:val="24"/>
        </w:rPr>
        <w:t xml:space="preserve">地址：</w:t>
      </w:r>
      <w:r>
        <w:rPr>
          <w:rFonts w:hint="eastAsia" w:ascii="宋体" w:hAnsi="宋体"/>
          <w:sz w:val="24"/>
          <w:u w:val="single"/>
        </w:rPr>
        <w:t xml:space="preserve">                      </w:t>
      </w:r>
      <w:r>
        <w:rPr>
          <w:rFonts w:ascii="宋体" w:hAnsi="宋体" w:cs="宋体"/>
          <w:sz w:val="24"/>
        </w:rPr>
      </w:r>
      <w:r/>
    </w:p>
    <w:p>
      <w:pPr>
        <w:pStyle w:val="995"/>
        <w:ind w:firstLine="480"/>
        <w:jc w:val="left"/>
        <w:spacing w:line="360" w:lineRule="auto"/>
        <w:rPr>
          <w:rFonts w:ascii="宋体" w:hAnsi="宋体" w:cs="宋体"/>
          <w:sz w:val="24"/>
        </w:rPr>
      </w:pPr>
      <w:r>
        <w:rPr>
          <w:rFonts w:hint="eastAsia" w:ascii="宋体" w:hAnsi="宋体" w:cs="宋体"/>
          <w:sz w:val="24"/>
        </w:rPr>
        <w:t xml:space="preserve">2.合同履行中的相关联络，送达到上述指定的联系人即视为送达。</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cs="宋体"/>
          <w:sz w:val="24"/>
        </w:rPr>
        <w:t xml:space="preserve">3.合同履行中若产生争议，当需要提交司法裁决时，上述地址及联系人均作为司法文书的接收地址和接收人。</w:t>
      </w:r>
      <w:r>
        <w:rPr>
          <w:rFonts w:ascii="宋体" w:hAnsi="宋体" w:cs="宋体"/>
          <w:sz w:val="24"/>
        </w:rPr>
      </w:r>
      <w:r/>
    </w:p>
    <w:p>
      <w:pPr>
        <w:pStyle w:val="995"/>
        <w:ind w:firstLine="480"/>
        <w:spacing w:line="360" w:lineRule="auto"/>
        <w:rPr>
          <w:rFonts w:ascii="宋体" w:hAnsi="宋体" w:cs="宋体"/>
          <w:sz w:val="24"/>
        </w:rPr>
      </w:pPr>
      <w:r>
        <w:rPr>
          <w:rFonts w:ascii="宋体" w:hAnsi="宋体" w:cs="宋体"/>
          <w:sz w:val="24"/>
        </w:rPr>
      </w:r>
      <w:r/>
    </w:p>
    <w:p>
      <w:pPr>
        <w:pStyle w:val="995"/>
        <w:ind w:firstLine="482"/>
        <w:spacing w:line="360" w:lineRule="auto"/>
        <w:rPr>
          <w:rFonts w:ascii="宋体" w:hAnsi="宋体" w:cs="宋体"/>
          <w:b/>
          <w:bCs/>
          <w:color w:val="000000"/>
          <w:sz w:val="24"/>
        </w:rPr>
      </w:pPr>
      <w:r>
        <w:rPr>
          <w:rFonts w:hint="eastAsia" w:ascii="宋体" w:hAnsi="宋体" w:cs="宋体"/>
          <w:b/>
          <w:bCs/>
          <w:color w:val="000000"/>
          <w:sz w:val="24"/>
        </w:rPr>
        <w:t xml:space="preserve">第十五条 不可抗力</w:t>
      </w:r>
      <w:r>
        <w:rPr>
          <w:rFonts w:ascii="宋体" w:hAnsi="宋体" w:cs="宋体"/>
          <w:b/>
          <w:bCs/>
          <w:color w:val="000000"/>
          <w:sz w:val="24"/>
        </w:rPr>
      </w:r>
      <w:r/>
    </w:p>
    <w:p>
      <w:pPr>
        <w:pStyle w:val="995"/>
        <w:ind w:firstLine="480"/>
        <w:spacing w:line="360" w:lineRule="auto"/>
        <w:rPr>
          <w:rFonts w:ascii="宋体" w:hAnsi="宋体" w:cs="宋体"/>
          <w:color w:val="000000"/>
          <w:sz w:val="24"/>
        </w:rPr>
      </w:pPr>
      <w:r>
        <w:rPr>
          <w:rFonts w:hint="eastAsia" w:ascii="宋体" w:hAnsi="宋体" w:cs="宋体"/>
          <w:color w:val="000000"/>
          <w:sz w:val="24"/>
        </w:rPr>
        <w:t xml:space="preserve">1.任何一方由于不可抗力事件而影响其履行合同时，可以</w:t>
      </w:r>
      <w:r>
        <w:rPr>
          <w:rFonts w:ascii="宋体" w:hAnsi="宋体" w:cs="宋体"/>
          <w:color w:val="000000"/>
          <w:sz w:val="24"/>
        </w:rPr>
        <w:t xml:space="preserve">免除</w:t>
      </w:r>
      <w:r>
        <w:rPr>
          <w:rFonts w:hint="eastAsia" w:ascii="宋体" w:hAnsi="宋体" w:cs="宋体"/>
          <w:color w:val="000000"/>
          <w:sz w:val="24"/>
        </w:rPr>
        <w:t xml:space="preserve">或部分免除</w:t>
      </w:r>
      <w:r>
        <w:rPr>
          <w:rFonts w:ascii="宋体" w:hAnsi="宋体" w:cs="宋体"/>
          <w:color w:val="000000"/>
          <w:sz w:val="24"/>
        </w:rPr>
        <w:t xml:space="preserve">由此造成</w:t>
      </w:r>
      <w:r>
        <w:rPr>
          <w:rFonts w:hint="eastAsia" w:ascii="宋体" w:hAnsi="宋体" w:cs="宋体"/>
          <w:color w:val="000000"/>
          <w:sz w:val="24"/>
        </w:rPr>
        <w:t xml:space="preserve">的逾期等违约</w:t>
      </w:r>
      <w:r>
        <w:rPr>
          <w:rFonts w:ascii="宋体" w:hAnsi="宋体" w:cs="宋体"/>
          <w:color w:val="000000"/>
          <w:sz w:val="24"/>
        </w:rPr>
        <w:t xml:space="preserve">责任。</w:t>
      </w:r>
      <w:r>
        <w:rPr>
          <w:rFonts w:ascii="宋体" w:hAnsi="宋体" w:cs="宋体"/>
          <w:color w:val="000000"/>
          <w:sz w:val="24"/>
        </w:rPr>
      </w:r>
      <w:r/>
    </w:p>
    <w:p>
      <w:pPr>
        <w:pStyle w:val="995"/>
        <w:ind w:firstLine="480"/>
        <w:spacing w:line="360" w:lineRule="auto"/>
        <w:rPr>
          <w:rFonts w:ascii="宋体" w:hAnsi="宋体" w:cs="宋体"/>
          <w:color w:val="000000"/>
          <w:sz w:val="24"/>
        </w:rPr>
      </w:pPr>
      <w:r>
        <w:rPr>
          <w:rFonts w:hint="eastAsia" w:ascii="宋体" w:hAnsi="宋体" w:cs="宋体"/>
          <w:color w:val="000000"/>
          <w:sz w:val="24"/>
        </w:rPr>
        <w:t xml:space="preserve">2.受不可抗力影响的一方在不可抗力事件发生后，应及时将不可抗力事件的具体情况书面通知另一方，以减轻可能给对方造成的损失，并在不可抗力事件发生后</w:t>
      </w:r>
      <w:r>
        <w:rPr>
          <w:rFonts w:ascii="宋体" w:hAnsi="宋体" w:cs="宋体"/>
          <w:color w:val="000000"/>
          <w:sz w:val="24"/>
        </w:rPr>
        <w:t xml:space="preserve">15</w:t>
      </w:r>
      <w:r>
        <w:rPr>
          <w:rFonts w:hint="eastAsia" w:ascii="宋体" w:hAnsi="宋体" w:cs="宋体"/>
          <w:color w:val="000000"/>
          <w:sz w:val="24"/>
        </w:rPr>
        <w:t xml:space="preserve">日内提供相关证明。一旦不可抗力的影响消除，应将此情况立即通知对方，并立即恢复履行受不可抗力事件影响的合同义务。</w:t>
      </w:r>
      <w:r>
        <w:rPr>
          <w:rFonts w:ascii="宋体" w:hAnsi="宋体" w:cs="宋体"/>
          <w:color w:val="000000"/>
          <w:sz w:val="24"/>
        </w:rPr>
      </w:r>
      <w:r/>
    </w:p>
    <w:p>
      <w:pPr>
        <w:pStyle w:val="995"/>
        <w:ind w:firstLine="480"/>
        <w:spacing w:line="360" w:lineRule="auto"/>
        <w:rPr>
          <w:rFonts w:ascii="宋体" w:hAnsi="宋体" w:cs="宋体"/>
          <w:color w:val="000000"/>
          <w:sz w:val="24"/>
        </w:rPr>
      </w:pPr>
      <w:r>
        <w:rPr>
          <w:rFonts w:ascii="宋体" w:hAnsi="宋体" w:cs="宋体"/>
          <w:color w:val="000000"/>
          <w:sz w:val="24"/>
        </w:rPr>
      </w:r>
      <w:r/>
    </w:p>
    <w:p>
      <w:pPr>
        <w:pStyle w:val="995"/>
        <w:ind w:firstLine="482"/>
        <w:jc w:val="left"/>
        <w:spacing w:line="360" w:lineRule="auto"/>
        <w:rPr>
          <w:rFonts w:ascii="宋体" w:hAnsi="宋体" w:cs="宋体"/>
          <w:b/>
          <w:bCs/>
          <w:sz w:val="24"/>
        </w:rPr>
      </w:pPr>
      <w:r>
        <w:rPr>
          <w:rFonts w:hint="eastAsia" w:ascii="宋体" w:hAnsi="宋体" w:cs="宋体"/>
          <w:b/>
          <w:bCs/>
          <w:sz w:val="24"/>
        </w:rPr>
        <w:t xml:space="preserve">第十六条 争议的解决</w:t>
      </w:r>
      <w:r>
        <w:rPr>
          <w:rFonts w:ascii="宋体" w:hAnsi="宋体" w:cs="宋体"/>
          <w:b/>
          <w:bCs/>
          <w:sz w:val="24"/>
        </w:rPr>
      </w:r>
      <w:r/>
    </w:p>
    <w:p>
      <w:pPr>
        <w:pStyle w:val="995"/>
        <w:ind w:firstLine="480"/>
        <w:jc w:val="left"/>
        <w:spacing w:line="360" w:lineRule="auto"/>
        <w:rPr>
          <w:rFonts w:ascii="宋体" w:hAnsi="宋体"/>
          <w:sz w:val="24"/>
        </w:rPr>
      </w:pPr>
      <w:r>
        <w:rPr>
          <w:rFonts w:hint="eastAsia" w:ascii="宋体" w:hAnsi="宋体"/>
          <w:sz w:val="24"/>
        </w:rPr>
        <w:t xml:space="preserve">1.因本合同引起的或与本合同有关的任何争议，双方友好协商解决，如双方不能协商解决的，任何一方均可向常州仲裁委员会申请仲裁。</w:t>
      </w:r>
      <w:r>
        <w:rPr>
          <w:rFonts w:hint="eastAsia" w:ascii="宋体" w:hAnsi="宋体" w:cs="宋体"/>
          <w:color w:val="000000"/>
          <w:sz w:val="24"/>
        </w:rPr>
        <w:t xml:space="preserve">该裁决是终局的，对双方均具有约束力。</w:t>
      </w:r>
      <w:r>
        <w:rPr>
          <w:rFonts w:ascii="宋体" w:hAnsi="宋体"/>
          <w:sz w:val="24"/>
        </w:rPr>
      </w:r>
      <w:r/>
    </w:p>
    <w:p>
      <w:pPr>
        <w:pStyle w:val="995"/>
        <w:ind w:firstLine="480"/>
        <w:spacing w:line="360" w:lineRule="auto"/>
        <w:rPr>
          <w:rFonts w:ascii="宋体" w:hAnsi="宋体" w:cs="宋体"/>
          <w:color w:val="000000"/>
          <w:sz w:val="24"/>
        </w:rPr>
      </w:pPr>
      <w:r>
        <w:rPr>
          <w:rFonts w:hint="eastAsia" w:ascii="宋体" w:hAnsi="宋体" w:cs="宋体"/>
          <w:sz w:val="24"/>
        </w:rPr>
        <w:t xml:space="preserve">2.在仲裁期间，除有争议条款外，其他条款继续有效，乙方不得以解决争议为由拒绝履行本协议中没有争议的其他条款。</w:t>
      </w:r>
      <w:r>
        <w:rPr>
          <w:rFonts w:ascii="宋体" w:hAnsi="宋体" w:cs="宋体"/>
          <w:color w:val="000000"/>
          <w:sz w:val="24"/>
        </w:rPr>
      </w:r>
      <w:r/>
    </w:p>
    <w:p>
      <w:pPr>
        <w:pStyle w:val="995"/>
        <w:jc w:val="left"/>
        <w:spacing w:line="360" w:lineRule="auto"/>
        <w:rPr>
          <w:rFonts w:ascii="宋体" w:hAnsi="宋体" w:cs="宋体"/>
          <w:sz w:val="24"/>
        </w:rPr>
      </w:pPr>
      <w:r>
        <w:rPr>
          <w:rFonts w:ascii="宋体" w:hAnsi="宋体" w:cs="宋体"/>
          <w:sz w:val="24"/>
        </w:rPr>
      </w:r>
      <w:r/>
    </w:p>
    <w:p>
      <w:pPr>
        <w:pStyle w:val="995"/>
        <w:ind w:firstLine="482"/>
        <w:jc w:val="left"/>
        <w:spacing w:line="360" w:lineRule="auto"/>
        <w:rPr>
          <w:rFonts w:ascii="宋体" w:hAnsi="宋体"/>
          <w:b/>
          <w:sz w:val="24"/>
        </w:rPr>
      </w:pPr>
      <w:r>
        <w:rPr>
          <w:rFonts w:hint="eastAsia" w:ascii="宋体" w:hAnsi="宋体"/>
          <w:b/>
          <w:sz w:val="24"/>
        </w:rPr>
        <w:t xml:space="preserve">第十七条 合同生效及其他</w:t>
      </w:r>
      <w:r>
        <w:rPr>
          <w:rFonts w:ascii="宋体" w:hAnsi="宋体"/>
          <w:b/>
          <w:sz w:val="24"/>
        </w:rPr>
      </w:r>
      <w:r/>
    </w:p>
    <w:p>
      <w:pPr>
        <w:pStyle w:val="995"/>
        <w:ind w:left="200" w:firstLine="240"/>
        <w:jc w:val="left"/>
        <w:spacing w:line="360" w:lineRule="auto"/>
        <w:rPr>
          <w:rFonts w:ascii="宋体" w:hAnsi="宋体"/>
          <w:sz w:val="24"/>
          <w:lang w:val="zh-CN"/>
        </w:rPr>
      </w:pPr>
      <w:r>
        <w:rPr>
          <w:rFonts w:hint="eastAsia" w:ascii="宋体" w:hAnsi="宋体" w:cs="宋体"/>
          <w:sz w:val="24"/>
        </w:rPr>
        <w:t xml:space="preserve">1.</w:t>
      </w:r>
      <w:r>
        <w:rPr>
          <w:rFonts w:hint="eastAsia" w:ascii="宋体" w:hAnsi="宋体"/>
          <w:sz w:val="24"/>
          <w:lang w:val="zh-CN"/>
        </w:rPr>
        <w:t xml:space="preserve">本合同经甲乙双方盖章、招标代理机构鉴证后生效。</w:t>
      </w:r>
      <w:r>
        <w:rPr>
          <w:rFonts w:ascii="宋体" w:hAnsi="宋体"/>
          <w:sz w:val="24"/>
          <w:lang w:val="zh-CN"/>
        </w:rPr>
      </w:r>
      <w:r/>
    </w:p>
    <w:p>
      <w:pPr>
        <w:pStyle w:val="995"/>
        <w:ind w:left="200" w:firstLine="240"/>
        <w:jc w:val="left"/>
        <w:spacing w:line="360" w:lineRule="auto"/>
        <w:rPr>
          <w:rFonts w:ascii="宋体" w:hAnsi="宋体" w:cs="宋体"/>
          <w:sz w:val="24"/>
        </w:rPr>
      </w:pPr>
      <w:r>
        <w:rPr>
          <w:rFonts w:hint="eastAsia" w:ascii="宋体" w:hAnsi="宋体"/>
          <w:sz w:val="24"/>
          <w:lang w:val="zh-CN"/>
        </w:rPr>
        <w:t xml:space="preserve">2.本合同一式柒份，甲方执肆份、乙方执贰份、采购代理机构执壹份</w:t>
      </w:r>
      <w:r>
        <w:rPr>
          <w:rFonts w:hint="eastAsia" w:ascii="宋体" w:hAnsi="宋体" w:cs="宋体"/>
          <w:sz w:val="24"/>
        </w:rPr>
        <w:t xml:space="preserve">。</w:t>
      </w:r>
      <w:r>
        <w:rPr>
          <w:rFonts w:ascii="宋体" w:hAnsi="宋体" w:cs="宋体"/>
          <w:sz w:val="24"/>
        </w:rPr>
      </w:r>
      <w:r/>
    </w:p>
    <w:p>
      <w:pPr>
        <w:pStyle w:val="995"/>
        <w:ind w:firstLine="480"/>
        <w:jc w:val="left"/>
        <w:spacing w:line="360" w:lineRule="auto"/>
        <w:rPr>
          <w:rFonts w:ascii="宋体" w:hAnsi="宋体"/>
          <w:sz w:val="24"/>
        </w:rPr>
      </w:pPr>
      <w:r>
        <w:rPr>
          <w:rFonts w:ascii="宋体" w:hAnsi="宋体"/>
          <w:sz w:val="24"/>
        </w:rPr>
      </w:r>
      <w:r/>
    </w:p>
    <w:p>
      <w:pPr>
        <w:pStyle w:val="995"/>
        <w:contextualSpacing/>
        <w:ind w:firstLine="480"/>
        <w:jc w:val="left"/>
        <w:spacing w:line="360" w:lineRule="auto"/>
        <w:rPr>
          <w:rFonts w:ascii="宋体" w:hAnsi="宋体"/>
          <w:b/>
          <w:sz w:val="24"/>
        </w:rPr>
      </w:pPr>
      <w:r>
        <w:rPr>
          <w:rFonts w:hint="eastAsia" w:ascii="宋体" w:hAnsi="宋体"/>
          <w:b/>
          <w:sz w:val="24"/>
        </w:rPr>
        <w:t xml:space="preserve">第十八条 合同附件</w:t>
      </w:r>
      <w:r>
        <w:rPr>
          <w:rFonts w:ascii="宋体" w:hAnsi="宋体"/>
          <w:b/>
          <w:sz w:val="24"/>
        </w:rPr>
      </w:r>
      <w:r/>
    </w:p>
    <w:p>
      <w:pPr>
        <w:pStyle w:val="995"/>
        <w:ind w:left="200" w:firstLine="240"/>
        <w:jc w:val="left"/>
        <w:spacing w:line="360" w:lineRule="auto"/>
        <w:rPr>
          <w:rFonts w:hint="eastAsia" w:ascii="宋体" w:hAnsi="宋体"/>
          <w:sz w:val="24"/>
          <w:lang w:val="zh-CN"/>
        </w:rPr>
      </w:pPr>
      <w:r>
        <w:rPr>
          <w:rFonts w:hint="eastAsia" w:ascii="宋体" w:hAnsi="宋体"/>
          <w:sz w:val="24"/>
          <w:lang w:val="zh-CN"/>
        </w:rPr>
        <w:t xml:space="preserve">1.本合同包括4个附件。</w:t>
      </w:r>
      <w:r>
        <w:rPr>
          <w:rFonts w:hint="eastAsia" w:ascii="宋体" w:hAnsi="宋体"/>
          <w:sz w:val="24"/>
          <w:lang w:val="zh-CN"/>
        </w:rPr>
      </w:r>
      <w:r/>
    </w:p>
    <w:p>
      <w:pPr>
        <w:pStyle w:val="995"/>
        <w:ind w:left="200" w:firstLine="240"/>
        <w:jc w:val="left"/>
        <w:spacing w:line="360" w:lineRule="auto"/>
        <w:rPr>
          <w:rFonts w:hint="eastAsia" w:ascii="宋体" w:hAnsi="宋体"/>
          <w:sz w:val="24"/>
          <w:lang w:val="zh-CN"/>
        </w:rPr>
      </w:pPr>
      <w:r>
        <w:rPr>
          <w:rFonts w:hint="eastAsia" w:ascii="宋体" w:hAnsi="宋体"/>
          <w:sz w:val="24"/>
          <w:lang w:val="zh-CN"/>
        </w:rPr>
        <w:t xml:space="preserve">附件1：变电所月度巡检内容及标准</w:t>
      </w:r>
      <w:r>
        <w:rPr>
          <w:rFonts w:hint="eastAsia" w:ascii="宋体" w:hAnsi="宋体"/>
          <w:sz w:val="24"/>
          <w:lang w:val="zh-CN"/>
        </w:rPr>
      </w:r>
      <w:r/>
    </w:p>
    <w:p>
      <w:pPr>
        <w:pStyle w:val="995"/>
        <w:ind w:left="200" w:firstLine="240"/>
        <w:jc w:val="left"/>
        <w:spacing w:line="360" w:lineRule="auto"/>
        <w:rPr>
          <w:rFonts w:hint="eastAsia" w:ascii="宋体" w:hAnsi="宋体"/>
          <w:sz w:val="24"/>
          <w:lang w:val="zh-CN"/>
        </w:rPr>
      </w:pPr>
      <w:r>
        <w:rPr>
          <w:rFonts w:hint="eastAsia" w:ascii="宋体" w:hAnsi="宋体"/>
          <w:sz w:val="24"/>
          <w:lang w:val="zh-CN"/>
        </w:rPr>
        <w:t xml:space="preserve">附件2：变电所年度停电保养内容及标准</w:t>
      </w:r>
      <w:r>
        <w:rPr>
          <w:rFonts w:hint="eastAsia" w:ascii="宋体" w:hAnsi="宋体"/>
          <w:sz w:val="24"/>
          <w:lang w:val="zh-CN"/>
        </w:rPr>
      </w:r>
      <w:r/>
    </w:p>
    <w:p>
      <w:pPr>
        <w:pStyle w:val="995"/>
        <w:ind w:left="200" w:firstLine="240"/>
        <w:jc w:val="left"/>
        <w:spacing w:line="360" w:lineRule="auto"/>
        <w:rPr>
          <w:rFonts w:hint="eastAsia" w:ascii="宋体" w:hAnsi="宋体"/>
          <w:sz w:val="24"/>
          <w:lang w:val="zh-CN"/>
        </w:rPr>
      </w:pPr>
      <w:r>
        <w:rPr>
          <w:rFonts w:hint="eastAsia" w:ascii="宋体" w:hAnsi="宋体"/>
          <w:sz w:val="24"/>
          <w:lang w:val="zh-CN"/>
        </w:rPr>
        <w:t xml:space="preserve">附件3：部分抢修维修基准单价表</w:t>
      </w:r>
      <w:r>
        <w:rPr>
          <w:rFonts w:hint="eastAsia" w:ascii="宋体" w:hAnsi="宋体"/>
          <w:sz w:val="24"/>
          <w:lang w:val="zh-CN"/>
        </w:rPr>
      </w:r>
      <w:r/>
    </w:p>
    <w:p>
      <w:pPr>
        <w:pStyle w:val="995"/>
        <w:ind w:left="200" w:firstLine="240"/>
        <w:jc w:val="left"/>
        <w:spacing w:line="360" w:lineRule="auto"/>
        <w:rPr>
          <w:rFonts w:hint="eastAsia" w:ascii="宋体" w:hAnsi="宋体"/>
          <w:sz w:val="24"/>
          <w:lang w:val="zh-CN"/>
        </w:rPr>
      </w:pPr>
      <w:r>
        <w:rPr>
          <w:rFonts w:hint="eastAsia" w:ascii="宋体" w:hAnsi="宋体"/>
          <w:sz w:val="24"/>
          <w:lang w:val="zh-CN"/>
        </w:rPr>
        <w:t xml:space="preserve">附件4：月度考核表</w:t>
      </w:r>
      <w:r>
        <w:rPr>
          <w:rFonts w:hint="eastAsia" w:ascii="宋体" w:hAnsi="宋体"/>
          <w:sz w:val="24"/>
          <w:lang w:val="zh-CN"/>
        </w:rPr>
      </w:r>
      <w:r/>
    </w:p>
    <w:p>
      <w:pPr>
        <w:pStyle w:val="995"/>
        <w:ind w:left="200" w:firstLine="240"/>
        <w:jc w:val="left"/>
        <w:spacing w:line="360" w:lineRule="auto"/>
        <w:rPr>
          <w:rFonts w:hint="eastAsia" w:ascii="宋体" w:hAnsi="宋体"/>
          <w:sz w:val="24"/>
          <w:lang w:val="zh-CN"/>
        </w:rPr>
      </w:pPr>
      <w:r>
        <w:rPr>
          <w:rFonts w:hint="eastAsia" w:ascii="宋体" w:hAnsi="宋体"/>
          <w:sz w:val="24"/>
          <w:lang w:val="zh-CN"/>
        </w:rPr>
        <w:t xml:space="preserve">2.上述附件是本合同的组成部分，与本合同具有同等法律效力。</w:t>
      </w:r>
      <w:r>
        <w:rPr>
          <w:rFonts w:hint="eastAsia" w:ascii="宋体" w:hAnsi="宋体"/>
          <w:sz w:val="24"/>
          <w:lang w:val="zh-CN"/>
        </w:rPr>
      </w:r>
      <w:r/>
    </w:p>
    <w:p>
      <w:pPr>
        <w:pStyle w:val="995"/>
        <w:contextualSpacing/>
        <w:spacing w:after="120" w:line="360" w:lineRule="auto"/>
        <w:rPr>
          <w:rFonts w:ascii="宋体" w:hAnsi="宋体"/>
          <w:sz w:val="24"/>
        </w:rPr>
      </w:pPr>
      <w:r>
        <w:rPr>
          <w:rFonts w:ascii="宋体" w:hAnsi="宋体"/>
          <w:sz w:val="24"/>
        </w:rPr>
      </w:r>
      <w:r/>
    </w:p>
    <w:p>
      <w:pPr>
        <w:pStyle w:val="995"/>
        <w:ind w:firstLine="480"/>
        <w:jc w:val="left"/>
        <w:spacing w:line="360" w:lineRule="auto"/>
        <w:widowControl/>
        <w:rPr>
          <w:rFonts w:ascii="宋体" w:hAnsi="宋体"/>
          <w:sz w:val="24"/>
        </w:rPr>
      </w:pPr>
      <w:r>
        <w:rPr>
          <w:rFonts w:hint="eastAsia" w:ascii="宋体" w:hAnsi="宋体"/>
          <w:sz w:val="24"/>
        </w:rPr>
        <w:t xml:space="preserve">（以下为签署页</w:t>
      </w:r>
      <w:r>
        <w:rPr>
          <w:rFonts w:ascii="宋体" w:hAnsi="宋体"/>
          <w:sz w:val="24"/>
        </w:rPr>
        <w:t xml:space="preserve">，</w:t>
      </w:r>
      <w:r>
        <w:rPr>
          <w:rFonts w:hint="eastAsia" w:ascii="宋体" w:hAnsi="宋体"/>
          <w:sz w:val="24"/>
        </w:rPr>
        <w:t xml:space="preserve">无正文）</w:t>
      </w:r>
      <w:r>
        <w:rPr>
          <w:rFonts w:ascii="宋体" w:hAnsi="宋体"/>
          <w:sz w:val="24"/>
        </w:rPr>
      </w:r>
      <w:r/>
    </w:p>
    <w:p>
      <w:pPr>
        <w:pStyle w:val="995"/>
        <w:jc w:val="left"/>
        <w:widowControl/>
        <w:rPr>
          <w:rFonts w:ascii="宋体" w:hAnsi="宋体"/>
          <w:sz w:val="24"/>
        </w:rPr>
      </w:pPr>
      <w:r>
        <w:rPr>
          <w:rFonts w:ascii="宋体" w:hAnsi="宋体"/>
          <w:sz w:val="24"/>
        </w:rPr>
        <w:br w:type="page" w:clear="all"/>
      </w:r>
      <w:r>
        <w:rPr>
          <w:rFonts w:ascii="宋体" w:hAnsi="宋体"/>
          <w:sz w:val="24"/>
        </w:rPr>
      </w:r>
      <w:r/>
    </w:p>
    <w:p>
      <w:pPr>
        <w:pStyle w:val="995"/>
        <w:spacing w:line="360" w:lineRule="auto"/>
        <w:rPr>
          <w:rFonts w:ascii="宋体" w:hAnsi="宋体"/>
          <w:b/>
          <w:sz w:val="24"/>
        </w:rPr>
      </w:pPr>
      <w:r>
        <w:rPr>
          <w:rFonts w:hint="eastAsia" w:ascii="宋体" w:hAnsi="宋体"/>
          <w:b/>
          <w:sz w:val="24"/>
        </w:rPr>
        <w:t xml:space="preserve">（签章页）</w:t>
      </w:r>
      <w:r>
        <w:rPr>
          <w:rFonts w:ascii="宋体" w:hAnsi="宋体"/>
          <w:b/>
          <w:sz w:val="24"/>
        </w:rPr>
      </w:r>
      <w:r/>
    </w:p>
    <w:p>
      <w:pPr>
        <w:pStyle w:val="995"/>
        <w:spacing w:line="360" w:lineRule="auto"/>
        <w:rPr>
          <w:rFonts w:ascii="宋体" w:hAnsi="宋体"/>
          <w:sz w:val="24"/>
        </w:rPr>
      </w:pPr>
      <w:r>
        <w:rPr>
          <w:rFonts w:hint="eastAsia" w:ascii="宋体" w:hAnsi="宋体"/>
          <w:sz w:val="24"/>
        </w:rPr>
        <w:t xml:space="preserve">甲    方：</w:t>
      </w:r>
      <w:r>
        <w:rPr>
          <w:rFonts w:ascii="宋体" w:hAnsi="宋体"/>
          <w:sz w:val="24"/>
        </w:rPr>
      </w:r>
      <w:r/>
    </w:p>
    <w:p>
      <w:pPr>
        <w:pStyle w:val="995"/>
        <w:spacing w:line="360" w:lineRule="auto"/>
        <w:rPr>
          <w:rFonts w:ascii="宋体" w:hAnsi="宋体"/>
          <w:sz w:val="24"/>
          <w:u w:val="single"/>
        </w:rPr>
      </w:pPr>
      <w:r>
        <w:rPr>
          <w:rFonts w:hint="eastAsia" w:ascii="宋体" w:hAnsi="宋体"/>
          <w:sz w:val="24"/>
        </w:rPr>
        <w:t xml:space="preserve">单位名称（章）：</w:t>
      </w:r>
      <w:r>
        <w:rPr>
          <w:rFonts w:hint="eastAsia" w:ascii="宋体" w:hAnsi="宋体"/>
          <w:sz w:val="24"/>
          <w:u w:val="single"/>
        </w:rPr>
        <w:t xml:space="preserve">常州市排水管理处</w:t>
      </w:r>
      <w:r>
        <w:rPr>
          <w:rFonts w:ascii="宋体" w:hAnsi="宋体"/>
          <w:sz w:val="24"/>
          <w:u w:val="single"/>
        </w:rPr>
      </w:r>
      <w:r/>
    </w:p>
    <w:p>
      <w:pPr>
        <w:pStyle w:val="995"/>
        <w:spacing w:line="360" w:lineRule="auto"/>
        <w:rPr>
          <w:rFonts w:ascii="宋体" w:hAnsi="宋体"/>
          <w:sz w:val="24"/>
          <w:u w:val="single"/>
        </w:rPr>
      </w:pPr>
      <w:r>
        <w:rPr>
          <w:rFonts w:hint="eastAsia" w:ascii="宋体" w:hAnsi="宋体"/>
          <w:sz w:val="24"/>
        </w:rPr>
        <w:t xml:space="preserve">单位地址：</w:t>
      </w:r>
      <w:r>
        <w:rPr>
          <w:rFonts w:hint="eastAsia" w:ascii="宋体" w:hAnsi="宋体"/>
          <w:sz w:val="24"/>
          <w:u w:val="single"/>
        </w:rPr>
        <w:t xml:space="preserve">常州市天宁区飞龙东路116号</w:t>
      </w:r>
      <w:r>
        <w:rPr>
          <w:rFonts w:ascii="宋体" w:hAnsi="宋体"/>
          <w:sz w:val="24"/>
          <w:u w:val="single"/>
        </w:rPr>
      </w:r>
      <w:r/>
    </w:p>
    <w:p>
      <w:pPr>
        <w:pStyle w:val="995"/>
        <w:spacing w:line="360" w:lineRule="auto"/>
        <w:rPr>
          <w:rFonts w:ascii="宋体" w:hAnsi="宋体"/>
          <w:sz w:val="24"/>
        </w:rPr>
      </w:pPr>
      <w:r>
        <w:rPr>
          <w:rFonts w:hint="eastAsia" w:ascii="宋体" w:hAnsi="宋体"/>
          <w:sz w:val="24"/>
        </w:rPr>
        <w:t xml:space="preserve">法定代表人：</w:t>
      </w:r>
      <w:r>
        <w:rPr>
          <w:rFonts w:ascii="宋体" w:hAnsi="宋体"/>
          <w:sz w:val="24"/>
        </w:rPr>
      </w:r>
      <w:r/>
    </w:p>
    <w:p>
      <w:pPr>
        <w:pStyle w:val="995"/>
        <w:spacing w:line="360" w:lineRule="auto"/>
        <w:rPr>
          <w:rFonts w:ascii="宋体" w:hAnsi="宋体"/>
          <w:sz w:val="24"/>
        </w:rPr>
      </w:pPr>
      <w:r>
        <w:rPr>
          <w:rFonts w:hint="eastAsia" w:ascii="宋体" w:hAnsi="宋体"/>
          <w:sz w:val="24"/>
        </w:rPr>
        <w:t xml:space="preserve">委托代理人：</w:t>
      </w:r>
      <w:r>
        <w:rPr>
          <w:rFonts w:ascii="宋体" w:hAnsi="宋体"/>
          <w:sz w:val="24"/>
        </w:rPr>
      </w:r>
      <w:r/>
    </w:p>
    <w:p>
      <w:pPr>
        <w:pStyle w:val="995"/>
        <w:spacing w:line="360" w:lineRule="auto"/>
        <w:rPr>
          <w:rFonts w:ascii="宋体" w:hAnsi="宋体"/>
          <w:sz w:val="24"/>
        </w:rPr>
      </w:pPr>
      <w:r>
        <w:rPr>
          <w:rFonts w:hint="eastAsia" w:ascii="宋体" w:hAnsi="宋体"/>
          <w:sz w:val="24"/>
        </w:rPr>
        <w:t xml:space="preserve">联系电话：0</w:t>
      </w:r>
      <w:r>
        <w:rPr>
          <w:rFonts w:ascii="宋体" w:hAnsi="宋体"/>
          <w:sz w:val="24"/>
        </w:rPr>
        <w:t xml:space="preserve">519-</w:t>
      </w:r>
      <w:r>
        <w:rPr>
          <w:rFonts w:hint="eastAsia" w:ascii="宋体" w:hAnsi="宋体"/>
          <w:sz w:val="24"/>
        </w:rPr>
        <w:t xml:space="preserve">85570873</w:t>
      </w:r>
      <w:r>
        <w:rPr>
          <w:rFonts w:ascii="宋体" w:hAnsi="宋体"/>
          <w:sz w:val="24"/>
        </w:rPr>
      </w:r>
      <w:r/>
    </w:p>
    <w:p>
      <w:pPr>
        <w:pStyle w:val="995"/>
        <w:spacing w:line="360" w:lineRule="auto"/>
        <w:rPr>
          <w:rFonts w:ascii="宋体" w:hAnsi="宋体"/>
          <w:sz w:val="24"/>
        </w:rPr>
      </w:pPr>
      <w:r>
        <w:rPr>
          <w:rFonts w:hint="eastAsia" w:ascii="宋体" w:hAnsi="宋体"/>
          <w:sz w:val="24"/>
        </w:rPr>
        <w:t xml:space="preserve">日  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rPr>
          <w:rFonts w:ascii="宋体" w:hAnsi="宋体"/>
          <w:sz w:val="24"/>
        </w:rPr>
      </w:r>
      <w:r/>
    </w:p>
    <w:p>
      <w:pPr>
        <w:pStyle w:val="995"/>
        <w:spacing w:line="360" w:lineRule="auto"/>
        <w:rPr>
          <w:rFonts w:ascii="宋体" w:hAnsi="宋体"/>
          <w:sz w:val="24"/>
        </w:rPr>
      </w:pPr>
      <w:r>
        <w:rPr>
          <w:rFonts w:ascii="宋体" w:hAnsi="宋体"/>
          <w:sz w:val="24"/>
        </w:rPr>
      </w:r>
      <w:r/>
    </w:p>
    <w:p>
      <w:pPr>
        <w:pStyle w:val="995"/>
        <w:spacing w:line="360" w:lineRule="auto"/>
        <w:rPr>
          <w:rFonts w:ascii="宋体" w:hAnsi="宋体"/>
          <w:sz w:val="24"/>
        </w:rPr>
      </w:pPr>
      <w:r>
        <w:rPr>
          <w:rFonts w:hint="eastAsia" w:ascii="宋体" w:hAnsi="宋体"/>
          <w:sz w:val="24"/>
        </w:rPr>
        <w:t xml:space="preserve">乙    方：</w:t>
      </w:r>
      <w:r>
        <w:rPr>
          <w:rFonts w:ascii="宋体" w:hAnsi="宋体"/>
          <w:sz w:val="24"/>
        </w:rPr>
      </w:r>
      <w:r/>
    </w:p>
    <w:p>
      <w:pPr>
        <w:pStyle w:val="995"/>
        <w:spacing w:line="360" w:lineRule="auto"/>
        <w:rPr>
          <w:rFonts w:ascii="宋体" w:hAnsi="宋体"/>
          <w:sz w:val="24"/>
          <w:u w:val="single"/>
        </w:rPr>
      </w:pPr>
      <w:r>
        <w:rPr>
          <w:rFonts w:hint="eastAsia" w:ascii="宋体" w:hAnsi="宋体"/>
          <w:sz w:val="24"/>
        </w:rPr>
        <w:t xml:space="preserve">单位名称（章）：</w:t>
      </w:r>
      <w:r>
        <w:rPr>
          <w:rFonts w:ascii="宋体" w:hAnsi="宋体"/>
          <w:sz w:val="24"/>
          <w:u w:val="single"/>
        </w:rPr>
      </w:r>
      <w:r/>
    </w:p>
    <w:p>
      <w:pPr>
        <w:pStyle w:val="995"/>
        <w:spacing w:line="360" w:lineRule="auto"/>
        <w:rPr>
          <w:rFonts w:ascii="宋体" w:hAnsi="宋体"/>
          <w:sz w:val="24"/>
          <w:u w:val="single"/>
        </w:rPr>
      </w:pPr>
      <w:r>
        <w:rPr>
          <w:rFonts w:hint="eastAsia" w:ascii="宋体" w:hAnsi="宋体"/>
          <w:sz w:val="24"/>
        </w:rPr>
        <w:t xml:space="preserve">单位地址：</w:t>
      </w:r>
      <w:r>
        <w:rPr>
          <w:rFonts w:ascii="宋体" w:hAnsi="宋体"/>
          <w:sz w:val="24"/>
          <w:u w:val="single"/>
        </w:rPr>
      </w:r>
      <w:r/>
    </w:p>
    <w:p>
      <w:pPr>
        <w:pStyle w:val="995"/>
        <w:spacing w:line="360" w:lineRule="auto"/>
        <w:rPr>
          <w:rFonts w:ascii="宋体" w:hAnsi="宋体"/>
          <w:sz w:val="24"/>
        </w:rPr>
      </w:pPr>
      <w:r>
        <w:rPr>
          <w:rFonts w:hint="eastAsia" w:ascii="宋体" w:hAnsi="宋体"/>
          <w:sz w:val="24"/>
        </w:rPr>
        <w:t xml:space="preserve">法定代表人：</w:t>
      </w:r>
      <w:r>
        <w:rPr>
          <w:rFonts w:ascii="宋体" w:hAnsi="宋体"/>
          <w:sz w:val="24"/>
        </w:rPr>
      </w:r>
      <w:r/>
    </w:p>
    <w:p>
      <w:pPr>
        <w:pStyle w:val="995"/>
        <w:spacing w:line="360" w:lineRule="auto"/>
        <w:rPr>
          <w:rFonts w:ascii="宋体" w:hAnsi="宋体"/>
          <w:sz w:val="24"/>
        </w:rPr>
      </w:pPr>
      <w:r>
        <w:rPr>
          <w:rFonts w:hint="eastAsia" w:ascii="宋体" w:hAnsi="宋体"/>
          <w:sz w:val="24"/>
        </w:rPr>
        <w:t xml:space="preserve">委托代理人：</w:t>
      </w:r>
      <w:r>
        <w:rPr>
          <w:rFonts w:ascii="宋体" w:hAnsi="宋体"/>
          <w:sz w:val="24"/>
        </w:rPr>
      </w:r>
      <w:r/>
    </w:p>
    <w:p>
      <w:pPr>
        <w:pStyle w:val="995"/>
        <w:spacing w:line="360" w:lineRule="auto"/>
        <w:rPr>
          <w:rFonts w:ascii="宋体" w:hAnsi="宋体"/>
          <w:sz w:val="24"/>
        </w:rPr>
      </w:pPr>
      <w:r>
        <w:rPr>
          <w:rFonts w:hint="eastAsia" w:ascii="宋体" w:hAnsi="宋体"/>
          <w:sz w:val="24"/>
        </w:rPr>
        <w:t xml:space="preserve">联系电话：</w:t>
      </w:r>
      <w:r>
        <w:rPr>
          <w:rFonts w:ascii="宋体" w:hAnsi="宋体"/>
          <w:sz w:val="24"/>
        </w:rPr>
      </w:r>
      <w:r/>
    </w:p>
    <w:p>
      <w:pPr>
        <w:pStyle w:val="995"/>
        <w:spacing w:line="360" w:lineRule="auto"/>
        <w:rPr>
          <w:rFonts w:ascii="宋体" w:hAnsi="宋体"/>
          <w:sz w:val="24"/>
        </w:rPr>
      </w:pPr>
      <w:r>
        <w:rPr>
          <w:rFonts w:hint="eastAsia" w:ascii="宋体" w:hAnsi="宋体"/>
          <w:sz w:val="24"/>
        </w:rPr>
        <w:t xml:space="preserve">日  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rPr>
          <w:rFonts w:ascii="宋体" w:hAnsi="宋体"/>
          <w:sz w:val="24"/>
        </w:rPr>
      </w:r>
      <w:r/>
    </w:p>
    <w:p>
      <w:pPr>
        <w:pStyle w:val="995"/>
        <w:spacing w:line="360" w:lineRule="auto"/>
        <w:rPr>
          <w:rFonts w:ascii="宋体" w:hAnsi="宋体"/>
          <w:sz w:val="24"/>
        </w:rPr>
      </w:pPr>
      <w:r>
        <w:rPr>
          <w:rFonts w:ascii="宋体" w:hAnsi="宋体"/>
          <w:sz w:val="24"/>
        </w:rPr>
      </w:r>
      <w:r/>
    </w:p>
    <w:p>
      <w:pPr>
        <w:pStyle w:val="995"/>
        <w:spacing w:line="360" w:lineRule="auto"/>
        <w:rPr>
          <w:rFonts w:ascii="宋体" w:hAnsi="宋体"/>
          <w:sz w:val="24"/>
          <w:u w:val="single"/>
        </w:rPr>
      </w:pPr>
      <w:r>
        <w:rPr>
          <w:rFonts w:hint="eastAsia" w:ascii="宋体" w:hAnsi="宋体"/>
          <w:sz w:val="24"/>
        </w:rPr>
        <w:t xml:space="preserve">见证方（采购代理机构）：</w:t>
      </w:r>
      <w:r>
        <w:rPr>
          <w:rFonts w:hint="eastAsia" w:ascii="宋体" w:hAnsi="宋体"/>
          <w:sz w:val="24"/>
          <w:u w:val="single"/>
        </w:rPr>
        <w:t xml:space="preserve">江苏中冠工程咨询有限公司</w:t>
      </w:r>
      <w:r>
        <w:rPr>
          <w:rFonts w:ascii="宋体" w:hAnsi="宋体"/>
          <w:sz w:val="24"/>
          <w:u w:val="single"/>
        </w:rPr>
      </w:r>
      <w:r/>
    </w:p>
    <w:p>
      <w:pPr>
        <w:pStyle w:val="995"/>
        <w:spacing w:line="360" w:lineRule="auto"/>
        <w:rPr>
          <w:rFonts w:ascii="宋体" w:hAnsi="宋体"/>
          <w:sz w:val="24"/>
          <w:u w:val="single"/>
        </w:rPr>
      </w:pPr>
      <w:r>
        <w:rPr>
          <w:rFonts w:hint="eastAsia" w:ascii="宋体" w:hAnsi="宋体"/>
          <w:sz w:val="24"/>
        </w:rPr>
        <w:t xml:space="preserve">单位地址：</w:t>
      </w:r>
      <w:r>
        <w:rPr>
          <w:rFonts w:hint="eastAsia" w:ascii="宋体" w:hAnsi="宋体"/>
          <w:sz w:val="24"/>
          <w:u w:val="single"/>
        </w:rPr>
        <w:t xml:space="preserve">常州市新北区龙锦路1259-2号</w:t>
      </w:r>
      <w:r>
        <w:rPr>
          <w:rFonts w:ascii="宋体" w:hAnsi="宋体"/>
          <w:sz w:val="24"/>
          <w:u w:val="single"/>
        </w:rPr>
      </w:r>
      <w:r/>
    </w:p>
    <w:p>
      <w:pPr>
        <w:pStyle w:val="995"/>
        <w:spacing w:line="360" w:lineRule="auto"/>
        <w:rPr>
          <w:rFonts w:ascii="宋体" w:hAnsi="宋体"/>
          <w:sz w:val="24"/>
        </w:rPr>
      </w:pPr>
      <w:r>
        <w:rPr>
          <w:rFonts w:hint="eastAsia" w:ascii="宋体" w:hAnsi="宋体"/>
          <w:sz w:val="24"/>
        </w:rPr>
        <w:t xml:space="preserve">法定代表人：</w:t>
      </w:r>
      <w:r>
        <w:rPr>
          <w:rFonts w:ascii="宋体" w:hAnsi="宋体"/>
          <w:sz w:val="24"/>
        </w:rPr>
      </w:r>
      <w:r/>
    </w:p>
    <w:p>
      <w:pPr>
        <w:pStyle w:val="995"/>
        <w:spacing w:line="360" w:lineRule="auto"/>
        <w:rPr>
          <w:rFonts w:ascii="宋体" w:hAnsi="宋体"/>
          <w:sz w:val="24"/>
        </w:rPr>
      </w:pPr>
      <w:r>
        <w:rPr>
          <w:rFonts w:hint="eastAsia" w:ascii="宋体" w:hAnsi="宋体"/>
          <w:sz w:val="24"/>
        </w:rPr>
        <w:t xml:space="preserve">委托代理人：</w:t>
      </w:r>
      <w:r>
        <w:rPr>
          <w:rFonts w:ascii="宋体" w:hAnsi="宋体"/>
          <w:sz w:val="24"/>
        </w:rPr>
      </w:r>
      <w:r/>
    </w:p>
    <w:p>
      <w:pPr>
        <w:pStyle w:val="995"/>
        <w:spacing w:line="360" w:lineRule="auto"/>
        <w:rPr>
          <w:rFonts w:ascii="宋体" w:hAnsi="宋体"/>
          <w:sz w:val="24"/>
        </w:rPr>
      </w:pPr>
      <w:r>
        <w:rPr>
          <w:rFonts w:hint="eastAsia" w:ascii="宋体" w:hAnsi="宋体"/>
          <w:sz w:val="24"/>
        </w:rPr>
        <w:t xml:space="preserve">联系电话： </w:t>
      </w:r>
      <w:r>
        <w:rPr>
          <w:rFonts w:ascii="宋体" w:hAnsi="宋体"/>
          <w:sz w:val="24"/>
        </w:rPr>
      </w:r>
      <w:r/>
    </w:p>
    <w:p>
      <w:pPr>
        <w:pStyle w:val="995"/>
        <w:jc w:val="left"/>
        <w:spacing w:line="360" w:lineRule="auto"/>
        <w:widowControl/>
        <w:rPr>
          <w:rFonts w:ascii="宋体" w:hAnsi="宋体"/>
          <w:sz w:val="24"/>
        </w:rPr>
      </w:pPr>
      <w:r>
        <w:rPr>
          <w:rFonts w:hint="eastAsia" w:ascii="宋体" w:hAnsi="宋体"/>
          <w:sz w:val="24"/>
        </w:rPr>
        <w:t xml:space="preserve">日  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rPr>
          <w:rFonts w:ascii="宋体" w:hAnsi="宋体"/>
          <w:sz w:val="24"/>
        </w:rPr>
      </w:r>
      <w:r/>
    </w:p>
    <w:p>
      <w:pPr>
        <w:pStyle w:val="995"/>
        <w:ind w:firstLine="480"/>
        <w:jc w:val="left"/>
        <w:spacing w:line="360" w:lineRule="auto"/>
        <w:rPr>
          <w:rFonts w:ascii="宋体" w:hAnsi="宋体" w:cs="宋体"/>
          <w:sz w:val="24"/>
        </w:rPr>
      </w:pPr>
      <w:r>
        <w:rPr>
          <w:rFonts w:ascii="宋体" w:hAnsi="宋体" w:cs="宋体"/>
          <w:sz w:val="24"/>
        </w:rPr>
      </w:r>
      <w:r/>
    </w:p>
    <w:p>
      <w:pPr>
        <w:pStyle w:val="995"/>
        <w:ind w:firstLine="480"/>
        <w:spacing w:after="120" w:line="360" w:lineRule="auto"/>
        <w:rPr>
          <w:rFonts w:ascii="宋体" w:hAnsi="宋体" w:cs="宋体"/>
          <w:sz w:val="24"/>
        </w:rPr>
      </w:pPr>
      <w:r>
        <w:rPr>
          <w:rFonts w:ascii="宋体" w:hAnsi="宋体" w:cs="宋体"/>
          <w:sz w:val="24"/>
        </w:rPr>
      </w:r>
      <w:r/>
    </w:p>
    <w:p>
      <w:pPr>
        <w:pStyle w:val="995"/>
        <w:jc w:val="center"/>
        <w:spacing w:line="360" w:lineRule="auto"/>
        <w:rPr>
          <w:rFonts w:hint="eastAsia" w:ascii="宋体" w:hAnsi="宋体"/>
          <w:sz w:val="24"/>
        </w:rPr>
      </w:pPr>
      <w:r>
        <w:rPr>
          <w:rFonts w:hint="eastAsia" w:ascii="宋体" w:hAnsi="宋体"/>
          <w:sz w:val="24"/>
        </w:rPr>
        <w:t xml:space="preserve">本合同由甲乙双方于本合同正文首页载明的时间于</w:t>
      </w:r>
      <w:r>
        <w:rPr>
          <w:rFonts w:hint="eastAsia" w:ascii="宋体" w:hAnsi="宋体"/>
          <w:sz w:val="24"/>
          <w:u w:val="single"/>
        </w:rPr>
        <w:t xml:space="preserve">常州市天宁区</w:t>
      </w:r>
      <w:r>
        <w:rPr>
          <w:rFonts w:hint="eastAsia" w:ascii="宋体" w:hAnsi="宋体"/>
          <w:sz w:val="24"/>
        </w:rPr>
        <w:t xml:space="preserve">签订。</w:t>
      </w:r>
      <w:r>
        <w:rPr>
          <w:rFonts w:hint="eastAsia" w:ascii="宋体" w:hAnsi="宋体"/>
          <w:sz w:val="24"/>
        </w:rPr>
      </w:r>
      <w:r/>
    </w:p>
    <w:p>
      <w:pPr>
        <w:pStyle w:val="995"/>
        <w:jc w:val="center"/>
        <w:spacing w:line="360" w:lineRule="auto"/>
        <w:rPr>
          <w:rFonts w:ascii="仿宋" w:hAnsi="仿宋" w:eastAsia="仿宋"/>
          <w:b/>
          <w:bCs/>
        </w:rPr>
        <w:outlineLvl w:val="1"/>
      </w:pPr>
      <w:r>
        <w:rPr>
          <w:rFonts w:ascii="仿宋" w:hAnsi="仿宋" w:eastAsia="仿宋"/>
          <w:b/>
          <w:bCs/>
          <w:sz w:val="24"/>
        </w:rPr>
        <w:br w:type="page" w:clear="all"/>
      </w:r>
      <w:r>
        <w:rPr>
          <w:rFonts w:hint="eastAsia" w:ascii="宋体" w:hAnsi="宋体" w:cs="宋体"/>
          <w:b/>
          <w:sz w:val="24"/>
        </w:rPr>
        <w:t xml:space="preserve">安全生产协议</w:t>
      </w:r>
      <w:r>
        <w:rPr>
          <w:rFonts w:ascii="仿宋" w:hAnsi="仿宋" w:eastAsia="仿宋"/>
          <w:b/>
          <w:bCs/>
        </w:rPr>
      </w:r>
      <w:r/>
    </w:p>
    <w:p>
      <w:pPr>
        <w:pStyle w:val="995"/>
        <w:spacing w:line="360" w:lineRule="auto"/>
        <w:rPr>
          <w:rFonts w:ascii="宋体" w:hAnsi="宋体"/>
          <w:sz w:val="24"/>
        </w:rPr>
      </w:pPr>
      <w:r>
        <w:rPr>
          <w:rFonts w:hint="eastAsia" w:ascii="宋体" w:hAnsi="宋体"/>
          <w:sz w:val="24"/>
        </w:rPr>
        <w:t xml:space="preserve">协议单位：</w:t>
      </w:r>
      <w:r>
        <w:rPr>
          <w:rFonts w:ascii="宋体" w:hAnsi="宋体"/>
          <w:sz w:val="24"/>
        </w:rPr>
      </w:r>
      <w:r/>
    </w:p>
    <w:p>
      <w:pPr>
        <w:pStyle w:val="995"/>
        <w:spacing w:line="440" w:lineRule="exact"/>
        <w:rPr>
          <w:rFonts w:ascii="宋体" w:hAnsi="宋体"/>
          <w:sz w:val="24"/>
        </w:rPr>
      </w:pPr>
      <w:r>
        <w:rPr>
          <w:rFonts w:hint="eastAsia" w:ascii="宋体" w:hAnsi="宋体"/>
          <w:sz w:val="24"/>
        </w:rPr>
        <w:t xml:space="preserve">甲方：</w:t>
      </w:r>
      <w:r>
        <w:rPr>
          <w:rFonts w:hint="eastAsia" w:ascii="宋体" w:hAnsi="宋体"/>
          <w:sz w:val="24"/>
          <w:u w:val="single"/>
        </w:rPr>
        <w:t xml:space="preserve">常州市排水管理处</w:t>
      </w:r>
      <w:r>
        <w:rPr>
          <w:rFonts w:ascii="宋体" w:hAnsi="宋体"/>
          <w:sz w:val="24"/>
        </w:rPr>
      </w:r>
      <w:r/>
    </w:p>
    <w:p>
      <w:pPr>
        <w:pStyle w:val="995"/>
        <w:spacing w:line="440" w:lineRule="exact"/>
        <w:rPr>
          <w:rFonts w:ascii="宋体" w:hAnsi="宋体"/>
          <w:sz w:val="24"/>
        </w:rPr>
      </w:pPr>
      <w:r>
        <w:rPr>
          <w:rFonts w:hint="eastAsia" w:ascii="宋体" w:hAnsi="宋体"/>
          <w:sz w:val="24"/>
        </w:rPr>
        <w:t xml:space="preserve">乙方：</w:t>
      </w:r>
      <w:r>
        <w:rPr>
          <w:rFonts w:ascii="宋体" w:hAnsi="宋体"/>
          <w:sz w:val="24"/>
        </w:rPr>
      </w:r>
      <w:r/>
    </w:p>
    <w:p>
      <w:pPr>
        <w:pStyle w:val="995"/>
        <w:spacing w:line="440" w:lineRule="exact"/>
        <w:rPr>
          <w:rFonts w:ascii="宋体" w:hAnsi="宋体"/>
          <w:sz w:val="24"/>
        </w:rPr>
      </w:pPr>
      <w:r>
        <w:rPr>
          <w:rFonts w:ascii="宋体" w:hAnsi="宋体"/>
          <w:sz w:val="24"/>
        </w:rPr>
      </w:r>
      <w:r/>
    </w:p>
    <w:p>
      <w:pPr>
        <w:pStyle w:val="995"/>
        <w:ind w:firstLine="480"/>
        <w:spacing w:line="440" w:lineRule="exact"/>
        <w:rPr>
          <w:rFonts w:ascii="宋体" w:hAnsi="宋体"/>
          <w:sz w:val="24"/>
        </w:rPr>
      </w:pPr>
      <w:r>
        <w:rPr>
          <w:rFonts w:hint="eastAsia" w:ascii="宋体" w:hAnsi="宋体"/>
          <w:sz w:val="24"/>
        </w:rPr>
        <w:t xml:space="preserve">为贯彻“安全第一、预防为主、综合治理”的方针，根据国家有关法律法规规定，明确双方的安全生产责任，确保操作安全，双方自愿签订本安全生产协议，以资共同遵守。</w:t>
      </w:r>
      <w:r>
        <w:rPr>
          <w:rFonts w:ascii="宋体" w:hAnsi="宋体"/>
          <w:sz w:val="24"/>
        </w:rPr>
      </w:r>
      <w:r/>
    </w:p>
    <w:p>
      <w:pPr>
        <w:pStyle w:val="995"/>
        <w:spacing w:line="440" w:lineRule="exact"/>
        <w:rPr>
          <w:rFonts w:ascii="宋体" w:hAnsi="宋体"/>
          <w:sz w:val="24"/>
        </w:rPr>
      </w:pPr>
      <w:r>
        <w:rPr>
          <w:rFonts w:hint="eastAsia" w:ascii="宋体" w:hAnsi="宋体"/>
          <w:sz w:val="24"/>
        </w:rPr>
        <w:t xml:space="preserve">一、承包工程项目</w:t>
      </w:r>
      <w:r>
        <w:rPr>
          <w:rFonts w:ascii="宋体" w:hAnsi="宋体"/>
          <w:sz w:val="24"/>
        </w:rPr>
      </w:r>
      <w:r/>
    </w:p>
    <w:p>
      <w:pPr>
        <w:pStyle w:val="995"/>
        <w:ind w:firstLine="480"/>
        <w:spacing w:line="440" w:lineRule="exact"/>
        <w:rPr>
          <w:rFonts w:hint="eastAsia" w:ascii="宋体" w:hAnsi="宋体" w:eastAsia="宋体"/>
          <w:sz w:val="24"/>
          <w:u w:val="single"/>
          <w:lang w:eastAsia="zh-CN"/>
        </w:rPr>
      </w:pPr>
      <w:r>
        <w:rPr>
          <w:rFonts w:hint="eastAsia" w:ascii="宋体" w:hAnsi="宋体"/>
          <w:sz w:val="24"/>
        </w:rPr>
        <w:t xml:space="preserve">1．项目名称：</w:t>
      </w:r>
      <w:r>
        <w:rPr>
          <w:rFonts w:hint="eastAsia" w:ascii="宋体" w:hAnsi="宋体"/>
          <w:bCs/>
          <w:sz w:val="24"/>
          <w:u w:val="single"/>
          <w:lang w:eastAsia="zh-CN"/>
        </w:rPr>
        <w:t xml:space="preserve">2026-2029年变电所运维及电气零星维修</w:t>
      </w:r>
      <w:r>
        <w:rPr>
          <w:rFonts w:hint="eastAsia" w:ascii="宋体" w:hAnsi="宋体" w:eastAsia="宋体"/>
          <w:sz w:val="24"/>
          <w:u w:val="single"/>
          <w:lang w:eastAsia="zh-CN"/>
        </w:rPr>
      </w:r>
      <w:r/>
    </w:p>
    <w:p>
      <w:pPr>
        <w:pStyle w:val="995"/>
        <w:ind w:firstLine="480"/>
        <w:spacing w:line="440" w:lineRule="exact"/>
        <w:rPr>
          <w:rFonts w:ascii="宋体" w:hAnsi="宋体"/>
          <w:sz w:val="24"/>
          <w:u w:val="single"/>
        </w:rPr>
      </w:pPr>
      <w:r>
        <w:rPr>
          <w:rFonts w:hint="eastAsia" w:ascii="宋体" w:hAnsi="宋体"/>
          <w:sz w:val="24"/>
        </w:rPr>
        <w:t xml:space="preserve">2．作业内容：</w:t>
      </w:r>
      <w:r>
        <w:rPr>
          <w:rFonts w:ascii="宋体" w:hAnsi="宋体"/>
          <w:sz w:val="24"/>
          <w:u w:val="single"/>
        </w:rPr>
      </w:r>
      <w:r/>
    </w:p>
    <w:p>
      <w:pPr>
        <w:pStyle w:val="995"/>
        <w:ind w:firstLine="480"/>
        <w:spacing w:line="440" w:lineRule="exact"/>
        <w:rPr>
          <w:rFonts w:ascii="宋体" w:hAnsi="宋体"/>
          <w:sz w:val="24"/>
          <w:u w:val="single"/>
        </w:rPr>
      </w:pPr>
      <w:r>
        <w:rPr>
          <w:rFonts w:hint="eastAsia" w:ascii="宋体" w:hAnsi="宋体"/>
          <w:sz w:val="24"/>
        </w:rPr>
        <w:t xml:space="preserve">3．项目期限：</w:t>
      </w:r>
      <w:r>
        <w:rPr>
          <w:rFonts w:hint="eastAsia" w:ascii="宋体" w:hAnsi="宋体"/>
          <w:sz w:val="24"/>
          <w:u w:val="single"/>
        </w:rPr>
        <w:t xml:space="preserve"> 见合同 </w:t>
      </w:r>
      <w:r>
        <w:rPr>
          <w:rFonts w:ascii="宋体" w:hAnsi="宋体"/>
          <w:sz w:val="24"/>
          <w:u w:val="single"/>
        </w:rPr>
      </w:r>
      <w:r/>
    </w:p>
    <w:p>
      <w:pPr>
        <w:pStyle w:val="995"/>
        <w:spacing w:line="440" w:lineRule="exact"/>
        <w:rPr>
          <w:rFonts w:ascii="宋体" w:hAnsi="宋体"/>
          <w:sz w:val="24"/>
        </w:rPr>
      </w:pPr>
      <w:r>
        <w:rPr>
          <w:rFonts w:hint="eastAsia" w:ascii="宋体" w:hAnsi="宋体"/>
          <w:sz w:val="24"/>
        </w:rPr>
        <w:t xml:space="preserve">二、双方权利义务</w:t>
      </w:r>
      <w:r>
        <w:rPr>
          <w:rFonts w:ascii="宋体" w:hAnsi="宋体"/>
          <w:sz w:val="24"/>
        </w:rPr>
      </w:r>
      <w:r/>
    </w:p>
    <w:p>
      <w:pPr>
        <w:pStyle w:val="995"/>
        <w:spacing w:line="440" w:lineRule="exact"/>
        <w:rPr>
          <w:rFonts w:ascii="宋体" w:hAnsi="宋体"/>
          <w:sz w:val="24"/>
        </w:rPr>
      </w:pPr>
      <w:r>
        <w:rPr>
          <w:rFonts w:hint="eastAsia" w:ascii="宋体" w:hAnsi="宋体"/>
          <w:sz w:val="24"/>
        </w:rPr>
        <w:t xml:space="preserve">    1. 甲乙双方必须认真贯彻国家和上级劳动保护、安全生产主管部门颁发的有关安全生产、文明施工、消防工作的方针、政策，严格执行有关劳动保护法规、条例、规定。乙方必须服从属地行政部门和单位的管理，并使操作项目达到主合同约定的安全、文明、环保等方面的要求。</w:t>
      </w:r>
      <w:r>
        <w:rPr>
          <w:rFonts w:ascii="宋体" w:hAnsi="宋体"/>
          <w:sz w:val="24"/>
        </w:rPr>
      </w:r>
      <w:r/>
    </w:p>
    <w:p>
      <w:pPr>
        <w:pStyle w:val="995"/>
        <w:ind w:firstLine="480"/>
        <w:spacing w:line="440" w:lineRule="exact"/>
        <w:rPr>
          <w:rFonts w:ascii="宋体" w:hAnsi="宋体"/>
          <w:sz w:val="24"/>
        </w:rPr>
      </w:pPr>
      <w:r>
        <w:rPr>
          <w:rFonts w:hint="eastAsia" w:ascii="宋体" w:hAnsi="宋体"/>
          <w:sz w:val="24"/>
        </w:rPr>
        <w:t xml:space="preserve">2．乙方应建立健全安全管理制度，加强本单位员工安全生产责任制度，督促员工自觉遵守安全生产法律法规和规章制度。</w:t>
      </w:r>
      <w:r>
        <w:rPr>
          <w:rFonts w:ascii="宋体" w:hAnsi="宋体"/>
          <w:sz w:val="24"/>
        </w:rPr>
      </w:r>
      <w:r/>
    </w:p>
    <w:p>
      <w:pPr>
        <w:pStyle w:val="995"/>
        <w:ind w:firstLine="480"/>
        <w:spacing w:line="440" w:lineRule="exact"/>
        <w:rPr>
          <w:rFonts w:ascii="宋体" w:hAnsi="宋体"/>
          <w:sz w:val="24"/>
        </w:rPr>
      </w:pPr>
      <w:r>
        <w:rPr>
          <w:rFonts w:hint="eastAsia" w:ascii="宋体" w:hAnsi="宋体"/>
          <w:sz w:val="24"/>
        </w:rPr>
        <w:t xml:space="preserve">3．乙方委派的项目操作人员必须熟知和遵守本工种的各项安全技术操作规程，对于从事电气、起重、焊接、</w:t>
      </w:r>
      <w:r>
        <w:rPr>
          <w:rFonts w:ascii="宋体" w:hAnsi="宋体"/>
          <w:sz w:val="24"/>
        </w:rPr>
        <w:t xml:space="preserve">安装</w:t>
      </w:r>
      <w:r>
        <w:rPr>
          <w:rFonts w:hint="eastAsia" w:ascii="宋体" w:hAnsi="宋体"/>
          <w:sz w:val="24"/>
        </w:rPr>
        <w:t xml:space="preserve">等特殊工种的人员，需经过专业培训后持证上岗。</w:t>
      </w:r>
      <w:r>
        <w:rPr>
          <w:rFonts w:ascii="宋体" w:hAnsi="宋体"/>
          <w:sz w:val="24"/>
        </w:rPr>
      </w:r>
      <w:r/>
    </w:p>
    <w:p>
      <w:pPr>
        <w:pStyle w:val="995"/>
        <w:ind w:firstLine="480"/>
        <w:spacing w:line="440" w:lineRule="exact"/>
        <w:rPr>
          <w:rFonts w:ascii="宋体" w:hAnsi="宋体"/>
          <w:sz w:val="24"/>
        </w:rPr>
      </w:pPr>
      <w:r>
        <w:rPr>
          <w:rFonts w:hint="eastAsia" w:ascii="宋体" w:hAnsi="宋体"/>
          <w:sz w:val="24"/>
        </w:rPr>
        <w:t xml:space="preserve">4．乙方作业应确保</w:t>
      </w:r>
      <w:r>
        <w:rPr>
          <w:rFonts w:ascii="宋体" w:hAnsi="宋体"/>
          <w:sz w:val="24"/>
        </w:rPr>
        <w:t xml:space="preserve">安全</w:t>
      </w:r>
      <w:r>
        <w:rPr>
          <w:rFonts w:hint="eastAsia" w:ascii="宋体" w:hAnsi="宋体"/>
          <w:sz w:val="24"/>
        </w:rPr>
        <w:t xml:space="preserve">，并落实</w:t>
      </w:r>
      <w:r>
        <w:rPr>
          <w:rFonts w:ascii="宋体" w:hAnsi="宋体"/>
          <w:sz w:val="24"/>
        </w:rPr>
        <w:t xml:space="preserve">安全责任</w:t>
      </w:r>
      <w:r>
        <w:rPr>
          <w:rFonts w:hint="eastAsia" w:ascii="宋体" w:hAnsi="宋体"/>
          <w:sz w:val="24"/>
        </w:rPr>
        <w:t xml:space="preserve">，作业</w:t>
      </w:r>
      <w:r>
        <w:rPr>
          <w:rFonts w:ascii="宋体" w:hAnsi="宋体"/>
          <w:sz w:val="24"/>
        </w:rPr>
        <w:t xml:space="preserve">安全</w:t>
      </w:r>
      <w:r>
        <w:rPr>
          <w:rFonts w:hint="eastAsia" w:ascii="宋体" w:hAnsi="宋体"/>
          <w:sz w:val="24"/>
        </w:rPr>
        <w:t xml:space="preserve">包括</w:t>
      </w:r>
      <w:r>
        <w:rPr>
          <w:rFonts w:ascii="宋体" w:hAnsi="宋体"/>
          <w:sz w:val="24"/>
        </w:rPr>
        <w:t xml:space="preserve">但不限于</w:t>
      </w:r>
      <w:r>
        <w:rPr>
          <w:rFonts w:hint="eastAsia" w:ascii="宋体" w:hAnsi="宋体"/>
          <w:sz w:val="24"/>
        </w:rPr>
        <w:t xml:space="preserve">作业</w:t>
      </w:r>
      <w:r>
        <w:rPr>
          <w:rFonts w:ascii="宋体" w:hAnsi="宋体"/>
          <w:sz w:val="24"/>
        </w:rPr>
        <w:t xml:space="preserve">环境、作业设施设备、作业活动、作业</w:t>
      </w:r>
      <w:r>
        <w:rPr>
          <w:rFonts w:hint="eastAsia" w:ascii="宋体" w:hAnsi="宋体"/>
          <w:sz w:val="24"/>
        </w:rPr>
        <w:t xml:space="preserve">流程</w:t>
      </w:r>
      <w:r>
        <w:rPr>
          <w:rFonts w:ascii="宋体" w:hAnsi="宋体"/>
          <w:sz w:val="24"/>
        </w:rPr>
        <w:t xml:space="preserve">合规、人员行为</w:t>
      </w:r>
      <w:r>
        <w:rPr>
          <w:rFonts w:hint="eastAsia" w:ascii="宋体" w:hAnsi="宋体"/>
          <w:sz w:val="24"/>
        </w:rPr>
        <w:t xml:space="preserve">等因素；</w:t>
      </w:r>
      <w:r>
        <w:rPr>
          <w:rFonts w:ascii="宋体" w:hAnsi="宋体"/>
          <w:sz w:val="24"/>
        </w:rPr>
        <w:t xml:space="preserve">如</w:t>
      </w:r>
      <w:r>
        <w:rPr>
          <w:rFonts w:hint="eastAsia" w:ascii="宋体" w:hAnsi="宋体"/>
          <w:sz w:val="24"/>
        </w:rPr>
        <w:t xml:space="preserve">作业</w:t>
      </w:r>
      <w:r>
        <w:rPr>
          <w:rFonts w:ascii="宋体" w:hAnsi="宋体"/>
          <w:sz w:val="24"/>
        </w:rPr>
        <w:t xml:space="preserve">现场因甲方</w:t>
      </w:r>
      <w:r>
        <w:rPr>
          <w:rFonts w:hint="eastAsia" w:ascii="宋体" w:hAnsi="宋体"/>
          <w:sz w:val="24"/>
        </w:rPr>
        <w:t xml:space="preserve">的</w:t>
      </w:r>
      <w:r>
        <w:rPr>
          <w:rFonts w:ascii="宋体" w:hAnsi="宋体"/>
          <w:sz w:val="24"/>
        </w:rPr>
        <w:t xml:space="preserve">原因</w:t>
      </w:r>
      <w:r>
        <w:rPr>
          <w:rFonts w:hint="eastAsia" w:ascii="宋体" w:hAnsi="宋体"/>
          <w:sz w:val="24"/>
        </w:rPr>
        <w:t xml:space="preserve">有</w:t>
      </w:r>
      <w:r>
        <w:rPr>
          <w:rFonts w:ascii="宋体" w:hAnsi="宋体"/>
          <w:sz w:val="24"/>
        </w:rPr>
        <w:t xml:space="preserve">不符合作业安全的事项</w:t>
      </w:r>
      <w:r>
        <w:rPr>
          <w:rFonts w:hint="eastAsia" w:ascii="宋体" w:hAnsi="宋体"/>
          <w:sz w:val="24"/>
        </w:rPr>
        <w:t xml:space="preserve">时应</w:t>
      </w:r>
      <w:r>
        <w:rPr>
          <w:rFonts w:ascii="宋体" w:hAnsi="宋体"/>
          <w:sz w:val="24"/>
        </w:rPr>
        <w:t xml:space="preserve">及时</w:t>
      </w:r>
      <w:r>
        <w:rPr>
          <w:rFonts w:hint="eastAsia" w:ascii="宋体" w:hAnsi="宋体"/>
          <w:sz w:val="24"/>
        </w:rPr>
        <w:t xml:space="preserve">告</w:t>
      </w:r>
      <w:r>
        <w:rPr>
          <w:rFonts w:ascii="宋体" w:hAnsi="宋体"/>
          <w:sz w:val="24"/>
        </w:rPr>
        <w:t xml:space="preserve">知甲方</w:t>
      </w:r>
      <w:r>
        <w:rPr>
          <w:rFonts w:hint="eastAsia" w:ascii="宋体" w:hAnsi="宋体"/>
          <w:sz w:val="24"/>
        </w:rPr>
        <w:t xml:space="preserve">，</w:t>
      </w:r>
      <w:r>
        <w:rPr>
          <w:rFonts w:ascii="宋体" w:hAnsi="宋体"/>
          <w:sz w:val="24"/>
        </w:rPr>
        <w:t xml:space="preserve">解决</w:t>
      </w:r>
      <w:r>
        <w:rPr>
          <w:rFonts w:hint="eastAsia" w:ascii="宋体" w:hAnsi="宋体"/>
          <w:sz w:val="24"/>
        </w:rPr>
        <w:t xml:space="preserve">后</w:t>
      </w:r>
      <w:r>
        <w:rPr>
          <w:rFonts w:ascii="宋体" w:hAnsi="宋体"/>
          <w:sz w:val="24"/>
        </w:rPr>
        <w:t xml:space="preserve">方可</w:t>
      </w:r>
      <w:r>
        <w:rPr>
          <w:rFonts w:hint="eastAsia" w:ascii="宋体" w:hAnsi="宋体"/>
          <w:sz w:val="24"/>
        </w:rPr>
        <w:t xml:space="preserve">进行</w:t>
      </w:r>
      <w:r>
        <w:rPr>
          <w:rFonts w:ascii="宋体" w:hAnsi="宋体"/>
          <w:sz w:val="24"/>
        </w:rPr>
        <w:t xml:space="preserve">作业。</w:t>
      </w:r>
      <w:r>
        <w:rPr>
          <w:rFonts w:ascii="宋体" w:hAnsi="宋体"/>
          <w:sz w:val="24"/>
        </w:rPr>
      </w:r>
      <w:r/>
    </w:p>
    <w:p>
      <w:pPr>
        <w:pStyle w:val="995"/>
        <w:ind w:firstLine="480"/>
        <w:spacing w:line="440" w:lineRule="exact"/>
        <w:rPr>
          <w:rFonts w:ascii="宋体" w:hAnsi="宋体"/>
          <w:sz w:val="24"/>
        </w:rPr>
      </w:pPr>
      <w:r>
        <w:rPr>
          <w:rFonts w:hint="eastAsia" w:ascii="宋体" w:hAnsi="宋体"/>
          <w:sz w:val="24"/>
        </w:rPr>
        <w:t xml:space="preserve">5.甲方或上级安全管理部门在检查中发现存在安全隐患或操作不符合相关要求时，甲方在要求乙方整改的同时，可视情节轻重，乙方向甲方支付1000---3000元/次的违约金；</w:t>
      </w:r>
      <w:r>
        <w:rPr>
          <w:rFonts w:hint="eastAsia" w:ascii="宋体" w:hAnsi="Calibri" w:cs="宋体"/>
          <w:color w:val="000000"/>
          <w:sz w:val="24"/>
          <w:lang w:val="zh-CN"/>
        </w:rPr>
        <w:t xml:space="preserve">发生一般安全生产责任事故但未造成人员伤亡的，或产生较大社会影响的事件，甲方有权要求乙方停工整改，乙方应向甲方支付5000元</w:t>
      </w:r>
      <w:r>
        <w:rPr>
          <w:rFonts w:ascii="宋体" w:hAnsi="Calibri" w:cs="宋体"/>
          <w:color w:val="000000"/>
          <w:sz w:val="24"/>
          <w:lang w:val="zh-CN"/>
        </w:rPr>
        <w:t xml:space="preserve">/</w:t>
      </w:r>
      <w:r>
        <w:rPr>
          <w:rFonts w:hint="eastAsia" w:ascii="宋体" w:hAnsi="Calibri" w:cs="宋体"/>
          <w:color w:val="000000"/>
          <w:sz w:val="24"/>
          <w:lang w:val="zh-CN"/>
        </w:rPr>
        <w:t xml:space="preserve">次的违约金。</w:t>
      </w:r>
      <w:r>
        <w:rPr>
          <w:rFonts w:ascii="宋体" w:hAnsi="宋体"/>
          <w:sz w:val="24"/>
        </w:rPr>
      </w:r>
      <w:r/>
    </w:p>
    <w:p>
      <w:pPr>
        <w:pStyle w:val="995"/>
        <w:ind w:firstLine="480"/>
        <w:spacing w:line="440" w:lineRule="exact"/>
        <w:rPr>
          <w:rFonts w:ascii="宋体" w:hAnsi="宋体"/>
          <w:sz w:val="24"/>
        </w:rPr>
      </w:pPr>
      <w:r>
        <w:rPr>
          <w:rFonts w:hint="eastAsia" w:ascii="宋体" w:hAnsi="宋体"/>
          <w:sz w:val="24"/>
        </w:rPr>
        <w:t xml:space="preserve">三、责任划分</w:t>
      </w:r>
      <w:r>
        <w:rPr>
          <w:rFonts w:ascii="宋体" w:hAnsi="宋体"/>
          <w:sz w:val="24"/>
        </w:rPr>
      </w:r>
      <w:r/>
    </w:p>
    <w:p>
      <w:pPr>
        <w:pStyle w:val="995"/>
        <w:ind w:firstLine="480"/>
        <w:spacing w:line="440" w:lineRule="exact"/>
        <w:rPr>
          <w:rFonts w:ascii="宋体" w:hAnsi="宋体"/>
          <w:sz w:val="24"/>
        </w:rPr>
      </w:pPr>
      <w:r>
        <w:rPr>
          <w:rFonts w:hint="eastAsia" w:ascii="宋体" w:hAnsi="宋体"/>
          <w:sz w:val="24"/>
        </w:rPr>
        <w:t xml:space="preserve">1.施工过程造成甲乙双方或第三者伤害或经济损失的，由乙方承担全部赔偿责任。如上级管理部门判定</w:t>
      </w:r>
      <w:r>
        <w:rPr>
          <w:rFonts w:ascii="宋体" w:hAnsi="宋体"/>
          <w:sz w:val="24"/>
        </w:rPr>
        <w:t xml:space="preserve">甲方</w:t>
      </w:r>
      <w:r>
        <w:rPr>
          <w:rFonts w:hint="eastAsia" w:ascii="宋体" w:hAnsi="宋体"/>
          <w:sz w:val="24"/>
        </w:rPr>
        <w:t xml:space="preserve">有管理责任，则按上级管理部门核定比例承担各自责任。</w:t>
      </w:r>
      <w:r>
        <w:rPr>
          <w:rFonts w:ascii="宋体" w:hAnsi="宋体"/>
          <w:sz w:val="24"/>
        </w:rPr>
      </w:r>
      <w:r/>
    </w:p>
    <w:p>
      <w:pPr>
        <w:pStyle w:val="995"/>
        <w:ind w:firstLine="480"/>
        <w:spacing w:line="440" w:lineRule="exact"/>
        <w:rPr>
          <w:rFonts w:ascii="宋体" w:hAnsi="宋体"/>
          <w:sz w:val="24"/>
        </w:rPr>
      </w:pPr>
      <w:r>
        <w:rPr>
          <w:rFonts w:hint="eastAsia" w:ascii="宋体" w:hAnsi="宋体"/>
          <w:sz w:val="24"/>
        </w:rPr>
        <w:t xml:space="preserve">2.施工过程如有因意外事件造成甲乙双方工作人员伤害，则各自承担本方人员医疗、赔偿等责任。</w:t>
      </w:r>
      <w:r>
        <w:rPr>
          <w:rFonts w:ascii="宋体" w:hAnsi="宋体"/>
          <w:sz w:val="24"/>
        </w:rPr>
      </w:r>
      <w:r/>
    </w:p>
    <w:p>
      <w:pPr>
        <w:pStyle w:val="995"/>
        <w:ind w:firstLine="480"/>
        <w:spacing w:line="440" w:lineRule="exact"/>
        <w:rPr>
          <w:rFonts w:ascii="宋体" w:hAnsi="宋体"/>
          <w:sz w:val="24"/>
        </w:rPr>
      </w:pPr>
      <w:r>
        <w:rPr>
          <w:rFonts w:hint="eastAsia" w:ascii="宋体" w:hAnsi="宋体"/>
          <w:sz w:val="24"/>
        </w:rPr>
        <w:t xml:space="preserve">四、争议解决</w:t>
      </w:r>
      <w:r>
        <w:rPr>
          <w:rFonts w:ascii="宋体" w:hAnsi="宋体"/>
          <w:sz w:val="24"/>
        </w:rPr>
      </w:r>
      <w:r/>
    </w:p>
    <w:p>
      <w:pPr>
        <w:pStyle w:val="995"/>
        <w:ind w:firstLine="480"/>
        <w:spacing w:line="440" w:lineRule="exact"/>
        <w:rPr>
          <w:rFonts w:ascii="宋体" w:hAnsi="宋体"/>
          <w:sz w:val="24"/>
        </w:rPr>
      </w:pPr>
      <w:r>
        <w:rPr>
          <w:rFonts w:hint="eastAsia" w:ascii="宋体" w:hAnsi="宋体"/>
          <w:sz w:val="24"/>
        </w:rPr>
        <w:t xml:space="preserve">1.因本协议引起或有关的任何争议，均应提交常州仲裁委员会按照其仲裁规则进行仲裁。仲裁裁决是终局的，对协议各方均有约束力。</w:t>
      </w:r>
      <w:r>
        <w:rPr>
          <w:rFonts w:ascii="宋体" w:hAnsi="宋体"/>
          <w:sz w:val="24"/>
        </w:rPr>
      </w:r>
      <w:r/>
    </w:p>
    <w:p>
      <w:pPr>
        <w:pStyle w:val="995"/>
        <w:ind w:left="480"/>
        <w:spacing w:line="440" w:lineRule="exact"/>
        <w:rPr>
          <w:rFonts w:ascii="宋体" w:hAnsi="宋体"/>
          <w:sz w:val="24"/>
        </w:rPr>
      </w:pPr>
      <w:r>
        <w:rPr>
          <w:rFonts w:hint="eastAsia" w:ascii="宋体" w:hAnsi="宋体"/>
          <w:sz w:val="24"/>
        </w:rPr>
        <w:t xml:space="preserve">五</w:t>
      </w:r>
      <w:r>
        <w:rPr>
          <w:rFonts w:ascii="宋体" w:hAnsi="宋体"/>
          <w:sz w:val="24"/>
        </w:rPr>
        <w:t xml:space="preserve">、</w:t>
      </w:r>
      <w:r>
        <w:rPr>
          <w:rFonts w:hint="eastAsia" w:ascii="宋体" w:hAnsi="宋体"/>
          <w:sz w:val="24"/>
        </w:rPr>
        <w:t xml:space="preserve">其他</w:t>
      </w:r>
      <w:r>
        <w:rPr>
          <w:rFonts w:ascii="宋体" w:hAnsi="宋体"/>
          <w:sz w:val="24"/>
        </w:rPr>
      </w:r>
      <w:r/>
    </w:p>
    <w:p>
      <w:pPr>
        <w:pStyle w:val="995"/>
        <w:ind w:firstLine="480"/>
        <w:spacing w:line="440" w:lineRule="exact"/>
        <w:rPr>
          <w:rFonts w:ascii="宋体" w:hAnsi="宋体"/>
          <w:sz w:val="24"/>
        </w:rPr>
      </w:pPr>
      <w:r>
        <w:rPr>
          <w:rFonts w:hint="eastAsia" w:ascii="宋体" w:hAnsi="宋体"/>
          <w:sz w:val="24"/>
        </w:rPr>
        <w:t xml:space="preserve">1.双方对上述条款有异议或有补充的可列于本款。</w:t>
      </w:r>
      <w:r>
        <w:rPr>
          <w:rFonts w:ascii="宋体" w:hAnsi="宋体"/>
          <w:sz w:val="24"/>
        </w:rPr>
      </w:r>
      <w:r/>
    </w:p>
    <w:p>
      <w:pPr>
        <w:pStyle w:val="995"/>
        <w:ind w:left="420"/>
        <w:spacing w:line="440" w:lineRule="exact"/>
        <w:rPr>
          <w:rFonts w:ascii="宋体" w:hAnsi="宋体"/>
          <w:sz w:val="24"/>
        </w:rPr>
      </w:pPr>
      <w:r>
        <w:rPr>
          <w:rFonts w:hint="eastAsia" w:ascii="宋体" w:hAnsi="宋体"/>
          <w:sz w:val="24"/>
        </w:rPr>
        <w:t xml:space="preserve">                                                                本协议为从合同，与主合同同日生效，甲乙双方各执壹份。</w:t>
      </w:r>
      <w:r>
        <w:rPr>
          <w:rFonts w:ascii="宋体" w:hAnsi="宋体"/>
          <w:sz w:val="24"/>
        </w:rPr>
      </w:r>
      <w:r/>
    </w:p>
    <w:p>
      <w:pPr>
        <w:pStyle w:val="995"/>
        <w:ind w:firstLine="480"/>
        <w:spacing w:line="360" w:lineRule="auto"/>
        <w:rPr>
          <w:rFonts w:ascii="宋体" w:hAnsi="宋体"/>
          <w:sz w:val="24"/>
        </w:rPr>
      </w:pP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甲方：                          乙方：</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（印章）                        （印章）</w:t>
      </w:r>
      <w:r>
        <w:rPr>
          <w:rFonts w:ascii="宋体" w:hAnsi="宋体"/>
          <w:sz w:val="24"/>
        </w:rPr>
      </w:r>
      <w:r/>
    </w:p>
    <w:p>
      <w:pPr>
        <w:pStyle w:val="995"/>
        <w:ind w:firstLine="480"/>
        <w:spacing w:line="360" w:lineRule="auto"/>
        <w:rPr>
          <w:rFonts w:ascii="宋体" w:hAnsi="宋体"/>
          <w:sz w:val="24"/>
        </w:rPr>
      </w:pPr>
      <w:r>
        <w:rPr>
          <w:rFonts w:ascii="宋体" w:hAnsi="宋体"/>
          <w:sz w:val="24"/>
        </w:rPr>
      </w:r>
      <w:r/>
    </w:p>
    <w:p>
      <w:pPr>
        <w:pStyle w:val="995"/>
        <w:ind w:firstLine="480"/>
        <w:spacing w:line="360" w:lineRule="auto"/>
        <w:rPr>
          <w:rFonts w:ascii="宋体" w:hAnsi="宋体"/>
          <w:sz w:val="24"/>
        </w:rPr>
      </w:pPr>
      <w:r>
        <w:rPr>
          <w:rFonts w:ascii="宋体" w:hAnsi="宋体"/>
          <w:sz w:val="24"/>
        </w:rPr>
      </w:r>
      <w:r/>
    </w:p>
    <w:p>
      <w:pPr>
        <w:pStyle w:val="995"/>
        <w:ind w:firstLine="480"/>
        <w:spacing w:line="360" w:lineRule="auto"/>
        <w:rPr>
          <w:rFonts w:ascii="宋体" w:hAnsi="宋体"/>
          <w:sz w:val="24"/>
        </w:rPr>
      </w:pPr>
      <w:r>
        <w:rPr>
          <w:rFonts w:ascii="宋体" w:hAnsi="宋体"/>
          <w:sz w:val="24"/>
        </w:rPr>
      </w:r>
      <w:r/>
    </w:p>
    <w:p>
      <w:pPr>
        <w:pStyle w:val="995"/>
        <w:ind w:firstLine="480"/>
        <w:spacing w:line="360" w:lineRule="auto"/>
        <w:rPr>
          <w:rFonts w:ascii="宋体" w:hAnsi="宋体"/>
          <w:sz w:val="24"/>
        </w:rPr>
      </w:pPr>
      <w:r>
        <w:rPr>
          <w:rFonts w:ascii="宋体" w:hAnsi="宋体"/>
          <w:sz w:val="24"/>
        </w:rPr>
      </w:r>
      <w:r/>
    </w:p>
    <w:p>
      <w:pPr>
        <w:pStyle w:val="995"/>
        <w:ind w:firstLine="480"/>
        <w:spacing w:line="360" w:lineRule="auto"/>
        <w:rPr>
          <w:rFonts w:ascii="宋体" w:hAnsi="宋体"/>
          <w:sz w:val="24"/>
        </w:rPr>
      </w:pP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法人代表或委托代理人            法人代表或委托代理人</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（签名或盖章）                  （签名或盖章）</w:t>
      </w:r>
      <w:r>
        <w:rPr>
          <w:rFonts w:ascii="宋体" w:hAnsi="宋体"/>
          <w:sz w:val="24"/>
        </w:rPr>
      </w:r>
      <w:r/>
    </w:p>
    <w:p>
      <w:pPr>
        <w:pStyle w:val="995"/>
        <w:ind w:firstLine="480"/>
        <w:spacing w:line="360" w:lineRule="auto"/>
        <w:rPr>
          <w:rFonts w:ascii="宋体" w:hAnsi="宋体"/>
          <w:sz w:val="24"/>
        </w:rPr>
      </w:pPr>
      <w:r>
        <w:rPr>
          <w:rFonts w:ascii="宋体" w:hAnsi="宋体"/>
          <w:sz w:val="24"/>
        </w:rPr>
      </w:r>
      <w:r/>
    </w:p>
    <w:p>
      <w:pPr>
        <w:pStyle w:val="995"/>
        <w:ind w:firstLine="480"/>
        <w:spacing w:line="360" w:lineRule="auto"/>
        <w:rPr>
          <w:rFonts w:ascii="宋体" w:hAnsi="宋体"/>
          <w:sz w:val="24"/>
        </w:rPr>
      </w:pPr>
      <w:r>
        <w:rPr>
          <w:rFonts w:ascii="宋体" w:hAnsi="宋体"/>
          <w:sz w:val="24"/>
        </w:rPr>
      </w:r>
      <w:r/>
    </w:p>
    <w:p>
      <w:pPr>
        <w:pStyle w:val="995"/>
        <w:ind w:firstLine="480"/>
        <w:jc w:val="right"/>
        <w:spacing w:line="360" w:lineRule="auto"/>
        <w:rPr>
          <w:rFonts w:ascii="宋体" w:hAnsi="宋体"/>
          <w:sz w:val="24"/>
        </w:rPr>
      </w:pPr>
      <w:r>
        <w:rPr>
          <w:rFonts w:hint="eastAsia" w:ascii="宋体" w:hAnsi="宋体"/>
          <w:sz w:val="24"/>
        </w:rPr>
        <w:t xml:space="preserve">签订日期：    年  月  日</w:t>
      </w:r>
      <w:r>
        <w:rPr>
          <w:rFonts w:ascii="宋体" w:hAnsi="宋体"/>
          <w:sz w:val="24"/>
        </w:rPr>
      </w:r>
      <w:r/>
    </w:p>
    <w:p>
      <w:pPr>
        <w:pStyle w:val="995"/>
      </w:pPr>
      <w:r/>
      <w:r/>
    </w:p>
    <w:p>
      <w:pPr>
        <w:pStyle w:val="995"/>
        <w:jc w:val="left"/>
        <w:spacing w:line="360" w:lineRule="auto"/>
        <w:rPr>
          <w:rFonts w:ascii="仿宋" w:hAnsi="仿宋" w:eastAsia="仿宋"/>
        </w:rPr>
      </w:pPr>
      <w:r>
        <w:rPr>
          <w:rFonts w:ascii="仿宋" w:hAnsi="仿宋" w:eastAsia="仿宋"/>
        </w:rPr>
      </w:r>
      <w:r/>
    </w:p>
    <w:p>
      <w:pPr>
        <w:pStyle w:val="995"/>
        <w:jc w:val="left"/>
        <w:spacing w:line="360" w:lineRule="auto"/>
        <w:rPr>
          <w:rFonts w:ascii="仿宋" w:hAnsi="仿宋" w:eastAsia="仿宋"/>
        </w:rPr>
      </w:pPr>
      <w:r>
        <w:rPr>
          <w:rFonts w:ascii="仿宋" w:hAnsi="仿宋" w:eastAsia="仿宋"/>
        </w:rPr>
      </w:r>
      <w:r/>
    </w:p>
    <w:p>
      <w:pPr>
        <w:pStyle w:val="995"/>
        <w:spacing w:after="120" w:line="360" w:lineRule="auto"/>
        <w:rPr>
          <w:rFonts w:ascii="仿宋" w:hAnsi="仿宋" w:eastAsia="仿宋" w:cs="宋体"/>
        </w:rPr>
      </w:pPr>
      <w:r>
        <w:rPr>
          <w:rFonts w:ascii="仿宋" w:hAnsi="仿宋" w:eastAsia="仿宋" w:cs="宋体"/>
        </w:rPr>
      </w:r>
      <w:r/>
    </w:p>
    <w:p>
      <w:pPr>
        <w:pStyle w:val="995"/>
        <w:spacing w:after="120" w:line="360" w:lineRule="auto"/>
        <w:rPr>
          <w:rFonts w:ascii="仿宋" w:hAnsi="仿宋" w:eastAsia="仿宋"/>
        </w:rPr>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rPr>
      </w:r>
      <w:r/>
    </w:p>
    <w:p>
      <w:pPr>
        <w:pStyle w:val="995"/>
        <w:jc w:val="left"/>
        <w:spacing w:line="360" w:lineRule="auto"/>
        <w:widowControl/>
        <w:rPr>
          <w:rFonts w:hint="eastAsia" w:ascii="宋体" w:hAnsi="宋体" w:cs="宋体"/>
          <w:b/>
          <w:sz w:val="24"/>
        </w:rPr>
        <w:outlineLvl w:val="1"/>
      </w:pPr>
      <w:r>
        <w:rPr>
          <w:rFonts w:hint="eastAsia" w:ascii="宋体" w:hAnsi="宋体" w:cs="宋体"/>
          <w:b/>
          <w:sz w:val="24"/>
        </w:rPr>
        <w:t xml:space="preserve">附件1：变电所月度巡检内容及标准</w:t>
      </w:r>
      <w:r>
        <w:rPr>
          <w:rFonts w:hint="eastAsia" w:ascii="宋体" w:hAnsi="宋体" w:cs="宋体"/>
          <w:b/>
          <w:sz w:val="24"/>
        </w:rPr>
      </w:r>
      <w:r/>
    </w:p>
    <w:p>
      <w:pPr>
        <w:pStyle w:val="995"/>
        <w:ind w:firstLine="480"/>
        <w:spacing w:line="360" w:lineRule="auto"/>
        <w:rPr>
          <w:rFonts w:ascii="宋体" w:hAnsi="宋体" w:cs="宋体"/>
          <w:sz w:val="24"/>
        </w:rPr>
      </w:pPr>
      <w:r>
        <w:rPr>
          <w:rFonts w:hint="eastAsia" w:ascii="宋体" w:hAnsi="宋体" w:cs="宋体"/>
          <w:sz w:val="24"/>
        </w:rPr>
        <w:t xml:space="preserve">1.1变电所月度巡检：变电所巡检时间为2026年9月至2027年8月，每月1次，共计12次。每月变电所巡检须在上半个月（即16号前）完成，否则将对其进行考核。</w:t>
      </w:r>
      <w:r>
        <w:rPr>
          <w:rFonts w:ascii="宋体" w:hAnsi="宋体" w:cs="宋体"/>
          <w:sz w:val="24"/>
        </w:rPr>
      </w:r>
      <w:r/>
    </w:p>
    <w:p>
      <w:pPr>
        <w:pStyle w:val="995"/>
        <w:ind w:firstLine="480"/>
        <w:spacing w:line="360" w:lineRule="auto"/>
        <w:rPr>
          <w:rFonts w:ascii="宋体" w:hAnsi="宋体" w:cs="宋体"/>
          <w:sz w:val="24"/>
        </w:rPr>
      </w:pPr>
      <w:r>
        <w:rPr>
          <w:rFonts w:hint="eastAsia" w:ascii="宋体" w:hAnsi="宋体"/>
          <w:sz w:val="24"/>
        </w:rPr>
        <w:t xml:space="preserve">（1）</w:t>
      </w:r>
      <w:r>
        <w:rPr>
          <w:rFonts w:hint="eastAsia" w:ascii="宋体" w:hAnsi="宋体" w:cs="宋体"/>
          <w:b/>
          <w:sz w:val="24"/>
        </w:rPr>
        <w:t xml:space="preserve">完成对各变电所规定项目的巡视，若发现重大隐患的，立即电话上报并与第二天发工作联系单给招标人，逾期将对其进行考核。</w:t>
      </w:r>
      <w:r>
        <w:rPr>
          <w:rFonts w:ascii="宋体" w:hAnsi="宋体" w:cs="宋体"/>
          <w:sz w:val="24"/>
        </w:rPr>
      </w:r>
      <w:r/>
    </w:p>
    <w:p>
      <w:pPr>
        <w:pStyle w:val="995"/>
        <w:ind w:firstLine="480"/>
        <w:spacing w:line="360" w:lineRule="auto"/>
        <w:rPr>
          <w:rFonts w:hint="eastAsia" w:ascii="宋体" w:hAnsi="宋体" w:cs="宋体"/>
          <w:b/>
          <w:sz w:val="24"/>
        </w:rPr>
      </w:pPr>
      <w:r>
        <w:rPr>
          <w:rFonts w:hint="eastAsia" w:ascii="宋体" w:hAnsi="宋体"/>
          <w:sz w:val="24"/>
        </w:rPr>
        <w:t xml:space="preserve">（2）</w:t>
      </w:r>
      <w:r>
        <w:rPr>
          <w:rFonts w:hint="eastAsia" w:ascii="宋体" w:hAnsi="宋体" w:cs="宋体"/>
          <w:b/>
          <w:sz w:val="24"/>
        </w:rPr>
        <w:t xml:space="preserve">各变电所巡视内容，须形成纸质和电子版文件，</w:t>
      </w:r>
      <w:r>
        <w:rPr>
          <w:rFonts w:hint="eastAsia" w:ascii="宋体" w:hAnsi="宋体"/>
          <w:b/>
          <w:sz w:val="24"/>
        </w:rPr>
        <w:t xml:space="preserve">每月20号前</w:t>
      </w:r>
      <w:r>
        <w:rPr>
          <w:rFonts w:hint="eastAsia" w:ascii="宋体" w:hAnsi="宋体" w:cs="宋体"/>
          <w:b/>
          <w:sz w:val="24"/>
        </w:rPr>
        <w:t xml:space="preserve">装订成册，以巡检报告的形式提交给招标人，</w:t>
      </w:r>
      <w:r>
        <w:rPr>
          <w:rFonts w:hint="eastAsia" w:ascii="宋体" w:hAnsi="宋体"/>
          <w:b/>
          <w:sz w:val="24"/>
        </w:rPr>
        <w:t xml:space="preserve">逾期将对其进行考核</w:t>
      </w:r>
      <w:r>
        <w:rPr>
          <w:rFonts w:hint="eastAsia" w:ascii="宋体" w:hAnsi="宋体" w:cs="宋体"/>
          <w:b/>
          <w:sz w:val="24"/>
        </w:rPr>
        <w:t xml:space="preserve">。</w:t>
      </w:r>
      <w:r>
        <w:rPr>
          <w:rFonts w:hint="eastAsia" w:ascii="宋体" w:hAnsi="宋体" w:cs="宋体"/>
          <w:b/>
          <w:sz w:val="24"/>
        </w:rPr>
      </w:r>
      <w:r/>
    </w:p>
    <w:p>
      <w:pPr>
        <w:pStyle w:val="995"/>
        <w:ind w:firstLine="480"/>
        <w:spacing w:line="360" w:lineRule="auto"/>
        <w:rPr>
          <w:rFonts w:ascii="宋体" w:hAnsi="宋体"/>
          <w:sz w:val="24"/>
        </w:rPr>
      </w:pPr>
      <w:r>
        <w:rPr>
          <w:rFonts w:hint="eastAsia" w:ascii="宋体" w:hAnsi="宋体"/>
          <w:sz w:val="24"/>
        </w:rPr>
        <w:t xml:space="preserve">（3）对于巡视或计划检修中发现的故障经招标人同意后及时进行消缺，费用根据供电抢修模式按合同相关条款进行结算。</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（4）功率因数低于0.9时，及时查明原因提供维修方案告知招标人进行处理。</w:t>
      </w:r>
      <w:r>
        <w:rPr>
          <w:rFonts w:ascii="宋体" w:hAnsi="宋体"/>
          <w:sz w:val="24"/>
        </w:rPr>
      </w:r>
      <w:r/>
    </w:p>
    <w:p>
      <w:pPr>
        <w:pStyle w:val="995"/>
        <w:jc w:val="left"/>
        <w:spacing w:line="360" w:lineRule="auto"/>
        <w:widowControl/>
        <w:rPr>
          <w:rFonts w:hint="eastAsia" w:ascii="宋体" w:hAnsi="宋体" w:cs="宋体"/>
          <w:b/>
          <w:sz w:val="24"/>
        </w:rPr>
      </w:pPr>
      <w:r>
        <w:rPr>
          <w:rFonts w:hint="eastAsia" w:ascii="宋体" w:hAnsi="宋体" w:cs="宋体"/>
          <w:bCs/>
          <w:sz w:val="24"/>
        </w:rPr>
        <w:t xml:space="preserve">    （5）变电所月度巡检主要内容如下（包括但不仅限于以下内容）</w:t>
      </w:r>
      <w:r>
        <w:rPr>
          <w:rFonts w:hint="eastAsia" w:ascii="宋体" w:hAnsi="宋体" w:cs="宋体"/>
          <w:b/>
          <w:sz w:val="24"/>
        </w:rPr>
      </w:r>
      <w:r/>
    </w:p>
    <w:tbl>
      <w:tblPr>
        <w:tblW w:w="85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7441"/>
      </w:tblGrid>
      <w:tr>
        <w:trPr>
          <w:trHeight w:val="454"/>
        </w:trPr>
        <w:tc>
          <w:tcPr>
            <w:tcW w:w="1092" w:type="dxa"/>
            <w:vAlign w:val="center"/>
            <w:textDirection w:val="lrTb"/>
            <w:noWrap/>
          </w:tcPr>
          <w:p>
            <w:pPr>
              <w:pStyle w:val="995"/>
              <w:jc w:val="center"/>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7441" w:type="dxa"/>
            <w:vAlign w:val="center"/>
            <w:textDirection w:val="lrTb"/>
            <w:noWrap/>
          </w:tcPr>
          <w:p>
            <w:pPr>
              <w:pStyle w:val="995"/>
              <w:jc w:val="center"/>
              <w:rPr>
                <w:rFonts w:ascii="宋体" w:hAnsi="宋体" w:cs="宋体"/>
                <w:b/>
                <w:sz w:val="24"/>
              </w:rPr>
            </w:pPr>
            <w:r>
              <w:rPr>
                <w:rFonts w:hint="eastAsia" w:ascii="宋体" w:hAnsi="宋体" w:cs="宋体"/>
                <w:b/>
                <w:sz w:val="24"/>
              </w:rPr>
              <w:t xml:space="preserve">巡 检 内 容（含外观检查）</w:t>
            </w:r>
            <w:r>
              <w:rPr>
                <w:rFonts w:ascii="宋体" w:hAnsi="宋体" w:cs="宋体"/>
                <w:b/>
                <w:sz w:val="24"/>
              </w:rPr>
            </w:r>
            <w:r/>
          </w:p>
        </w:tc>
      </w:tr>
      <w:tr>
        <w:trPr>
          <w:trHeight w:val="454"/>
        </w:trPr>
        <w:tc>
          <w:tcPr>
            <w:tcW w:w="1092" w:type="dxa"/>
            <w:vAlign w:val="center"/>
            <w:textDirection w:val="lrTb"/>
            <w:noWrap/>
          </w:tcPr>
          <w:p>
            <w:pPr>
              <w:pStyle w:val="995"/>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7441" w:type="dxa"/>
            <w:vAlign w:val="center"/>
            <w:textDirection w:val="lrTb"/>
            <w:noWrap/>
          </w:tcPr>
          <w:p>
            <w:pPr>
              <w:pStyle w:val="995"/>
              <w:rPr>
                <w:rFonts w:ascii="宋体" w:hAnsi="宋体" w:cs="宋体"/>
                <w:sz w:val="24"/>
              </w:rPr>
            </w:pPr>
            <w:r>
              <w:rPr>
                <w:rFonts w:hint="eastAsia" w:ascii="宋体" w:hAnsi="宋体" w:cs="宋体"/>
                <w:sz w:val="24"/>
              </w:rPr>
              <w:t xml:space="preserve">巡视高压线路及进线电缆井、进线周边树木、进线周边有无施工或存在安全隐患（令克、避雷器、高压电缆），对发现影响安全的树木进行修剪。</w:t>
            </w:r>
            <w:r>
              <w:rPr>
                <w:rFonts w:ascii="宋体" w:hAnsi="宋体" w:cs="宋体"/>
                <w:sz w:val="24"/>
              </w:rPr>
            </w:r>
            <w:r/>
          </w:p>
        </w:tc>
      </w:tr>
      <w:tr>
        <w:trPr>
          <w:trHeight w:val="454"/>
        </w:trPr>
        <w:tc>
          <w:tcPr>
            <w:tcW w:w="1092" w:type="dxa"/>
            <w:vAlign w:val="center"/>
            <w:textDirection w:val="lrTb"/>
            <w:noWrap/>
          </w:tcPr>
          <w:p>
            <w:pPr>
              <w:pStyle w:val="995"/>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441" w:type="dxa"/>
            <w:vAlign w:val="center"/>
            <w:textDirection w:val="lrTb"/>
            <w:noWrap/>
          </w:tcPr>
          <w:p>
            <w:pPr>
              <w:pStyle w:val="995"/>
              <w:rPr>
                <w:rFonts w:ascii="宋体" w:hAnsi="宋体" w:cs="宋体"/>
                <w:bCs/>
                <w:sz w:val="24"/>
              </w:rPr>
            </w:pPr>
            <w:r>
              <w:rPr>
                <w:rFonts w:hint="eastAsia" w:hAnsi="宋体" w:cs="宋体"/>
                <w:sz w:val="24"/>
              </w:rPr>
              <w:t xml:space="preserve">巡视高压开关柜各类仪表、装置以及指示灯的完好性</w:t>
            </w:r>
            <w:r>
              <w:rPr>
                <w:rFonts w:ascii="宋体" w:hAnsi="宋体" w:cs="宋体"/>
                <w:bCs/>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3</w:t>
            </w:r>
            <w:r>
              <w:rPr>
                <w:rFonts w:ascii="宋体" w:hAnsi="宋体" w:cs="宋体"/>
                <w:bCs/>
                <w:sz w:val="24"/>
              </w:rPr>
            </w:r>
            <w:r/>
          </w:p>
        </w:tc>
        <w:tc>
          <w:tcPr>
            <w:tcW w:w="7441" w:type="dxa"/>
            <w:vAlign w:val="center"/>
            <w:textDirection w:val="lrTb"/>
            <w:noWrap/>
          </w:tcPr>
          <w:p>
            <w:pPr>
              <w:pStyle w:val="995"/>
              <w:rPr>
                <w:rFonts w:hAnsi="宋体" w:cs="宋体"/>
                <w:sz w:val="24"/>
              </w:rPr>
            </w:pPr>
            <w:r>
              <w:rPr>
                <w:rFonts w:hint="eastAsia" w:hAnsi="宋体" w:cs="宋体"/>
                <w:sz w:val="24"/>
              </w:rPr>
              <w:t xml:space="preserve">巡视低压开关柜（含非标柜）各类仪表、装置以及指示灯的完好性</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4</w:t>
            </w:r>
            <w:r>
              <w:rPr>
                <w:rFonts w:ascii="宋体" w:hAnsi="宋体" w:cs="宋体"/>
                <w:bCs/>
                <w:sz w:val="24"/>
              </w:rPr>
            </w:r>
            <w:r/>
          </w:p>
        </w:tc>
        <w:tc>
          <w:tcPr>
            <w:tcW w:w="7441" w:type="dxa"/>
            <w:vAlign w:val="center"/>
            <w:textDirection w:val="lrTb"/>
            <w:noWrap/>
          </w:tcPr>
          <w:p>
            <w:pPr>
              <w:pStyle w:val="995"/>
              <w:rPr>
                <w:rFonts w:hAnsi="宋体" w:cs="宋体"/>
                <w:sz w:val="24"/>
              </w:rPr>
            </w:pPr>
            <w:r>
              <w:rPr>
                <w:rFonts w:hint="eastAsia" w:hAnsi="宋体" w:cs="宋体"/>
                <w:sz w:val="24"/>
              </w:rPr>
              <w:t xml:space="preserve">巡视变压器三相绕组温度、声音、风机、呼吸器等设施的完好性</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5</w:t>
            </w:r>
            <w:r>
              <w:rPr>
                <w:rFonts w:ascii="宋体" w:hAnsi="宋体" w:cs="宋体"/>
                <w:bCs/>
                <w:sz w:val="24"/>
              </w:rPr>
            </w:r>
            <w:r/>
          </w:p>
        </w:tc>
        <w:tc>
          <w:tcPr>
            <w:tcW w:w="7441" w:type="dxa"/>
            <w:vAlign w:val="center"/>
            <w:textDirection w:val="lrTb"/>
            <w:noWrap/>
          </w:tcPr>
          <w:p>
            <w:pPr>
              <w:pStyle w:val="995"/>
              <w:rPr>
                <w:rFonts w:hAnsi="宋体" w:cs="宋体"/>
                <w:sz w:val="24"/>
              </w:rPr>
            </w:pPr>
            <w:r>
              <w:rPr>
                <w:rFonts w:hint="eastAsia" w:hAnsi="宋体" w:cs="宋体"/>
                <w:sz w:val="24"/>
              </w:rPr>
              <w:t xml:space="preserve">巡视变电所内安全工器具的有效性并定期检测</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6</w:t>
            </w:r>
            <w:r>
              <w:rPr>
                <w:rFonts w:ascii="宋体" w:hAnsi="宋体" w:cs="宋体"/>
                <w:bCs/>
                <w:sz w:val="24"/>
              </w:rPr>
            </w:r>
            <w:r/>
          </w:p>
        </w:tc>
        <w:tc>
          <w:tcPr>
            <w:tcW w:w="7441" w:type="dxa"/>
            <w:vAlign w:val="center"/>
            <w:textDirection w:val="lrTb"/>
            <w:noWrap/>
          </w:tcPr>
          <w:p>
            <w:pPr>
              <w:pStyle w:val="995"/>
              <w:rPr>
                <w:rFonts w:hAnsi="宋体" w:cs="宋体"/>
                <w:sz w:val="24"/>
              </w:rPr>
            </w:pPr>
            <w:r>
              <w:rPr>
                <w:rFonts w:hint="eastAsia" w:hAnsi="宋体" w:cs="宋体"/>
                <w:sz w:val="24"/>
              </w:rPr>
              <w:t xml:space="preserve">巡视变电所内高低压开关柜内是否有异响</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7</w:t>
            </w:r>
            <w:r>
              <w:rPr>
                <w:rFonts w:ascii="宋体" w:hAnsi="宋体" w:cs="宋体"/>
                <w:bCs/>
                <w:sz w:val="24"/>
              </w:rPr>
            </w:r>
            <w:r/>
          </w:p>
        </w:tc>
        <w:tc>
          <w:tcPr>
            <w:tcW w:w="7441" w:type="dxa"/>
            <w:vAlign w:val="center"/>
            <w:textDirection w:val="lrTb"/>
            <w:noWrap/>
          </w:tcPr>
          <w:p>
            <w:pPr>
              <w:pStyle w:val="995"/>
              <w:rPr>
                <w:rFonts w:hAnsi="宋体" w:cs="宋体"/>
                <w:sz w:val="24"/>
              </w:rPr>
            </w:pPr>
            <w:r>
              <w:rPr>
                <w:rFonts w:hint="eastAsia" w:hAnsi="宋体" w:cs="宋体"/>
                <w:sz w:val="24"/>
              </w:rPr>
              <w:t xml:space="preserve">巡视直流屏、微机保护装置的完好性</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8</w:t>
            </w:r>
            <w:r>
              <w:rPr>
                <w:rFonts w:ascii="宋体" w:hAnsi="宋体" w:cs="宋体"/>
                <w:bCs/>
                <w:sz w:val="24"/>
              </w:rPr>
            </w:r>
            <w:r/>
          </w:p>
        </w:tc>
        <w:tc>
          <w:tcPr>
            <w:tcW w:w="7441" w:type="dxa"/>
            <w:vAlign w:val="center"/>
            <w:textDirection w:val="lrTb"/>
            <w:noWrap/>
          </w:tcPr>
          <w:p>
            <w:pPr>
              <w:pStyle w:val="995"/>
              <w:rPr>
                <w:rFonts w:hAnsi="宋体" w:cs="宋体"/>
                <w:sz w:val="24"/>
              </w:rPr>
            </w:pPr>
            <w:r>
              <w:rPr>
                <w:rFonts w:hint="eastAsia" w:hAnsi="宋体" w:cs="宋体"/>
                <w:sz w:val="24"/>
              </w:rPr>
              <w:t xml:space="preserve">采用电子测温仪对主接线端子温度测量并记录</w:t>
            </w:r>
            <w:r>
              <w:rPr>
                <w:rFonts w:hAnsi="宋体" w:cs="宋体"/>
                <w:sz w:val="24"/>
              </w:rPr>
            </w:r>
            <w:r/>
          </w:p>
        </w:tc>
      </w:tr>
      <w:tr>
        <w:trPr>
          <w:trHeight w:val="454"/>
        </w:trPr>
        <w:tc>
          <w:tcPr>
            <w:tcW w:w="1092"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9</w:t>
            </w:r>
            <w:r>
              <w:rPr>
                <w:rFonts w:ascii="宋体" w:hAnsi="宋体" w:cs="宋体"/>
                <w:bCs/>
                <w:sz w:val="24"/>
              </w:rPr>
            </w:r>
            <w:r/>
          </w:p>
        </w:tc>
        <w:tc>
          <w:tcPr>
            <w:tcW w:w="7441" w:type="dxa"/>
            <w:vAlign w:val="center"/>
            <w:textDirection w:val="lrTb"/>
            <w:noWrap/>
          </w:tcPr>
          <w:p>
            <w:pPr>
              <w:pStyle w:val="995"/>
              <w:rPr>
                <w:rFonts w:hAnsi="宋体" w:cs="宋体"/>
                <w:sz w:val="24"/>
              </w:rPr>
            </w:pPr>
            <w:r>
              <w:rPr>
                <w:rFonts w:hint="eastAsia" w:hAnsi="宋体" w:cs="宋体"/>
                <w:sz w:val="24"/>
              </w:rPr>
              <w:t xml:space="preserve">电容柜功率因素是否正常，并对运行状态进行测试</w:t>
            </w:r>
            <w:r>
              <w:rPr>
                <w:rFonts w:hAnsi="宋体" w:cs="宋体"/>
                <w:sz w:val="24"/>
              </w:rPr>
            </w:r>
            <w:r/>
          </w:p>
        </w:tc>
      </w:tr>
    </w:tbl>
    <w:p>
      <w:pPr>
        <w:pStyle w:val="995"/>
        <w:ind w:firstLine="480"/>
        <w:spacing w:line="360" w:lineRule="auto"/>
        <w:rPr>
          <w:rFonts w:hint="eastAsia" w:ascii="宋体" w:hAnsi="宋体" w:cs="宋体"/>
          <w:bCs/>
          <w:sz w:val="24"/>
        </w:rPr>
      </w:pPr>
      <w:r>
        <w:rPr>
          <w:rFonts w:hint="eastAsia" w:ascii="宋体" w:hAnsi="宋体" w:cs="宋体"/>
          <w:bCs/>
          <w:sz w:val="24"/>
        </w:rPr>
        <w:t xml:space="preserve">1.2变电所巡检标准</w:t>
      </w:r>
      <w:r>
        <w:rPr>
          <w:rFonts w:hint="eastAsia" w:ascii="宋体" w:hAnsi="宋体" w:cs="宋体"/>
          <w:bCs/>
          <w:sz w:val="24"/>
        </w:rPr>
      </w:r>
      <w:r/>
    </w:p>
    <w:tbl>
      <w:tblPr>
        <w:tblW w:w="9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275"/>
        <w:gridCol w:w="3741"/>
        <w:gridCol w:w="3735"/>
      </w:tblGrid>
      <w:tr>
        <w:trPr>
          <w:trHeight w:val="454"/>
        </w:trPr>
        <w:tc>
          <w:tcPr>
            <w:tcW w:w="984" w:type="dxa"/>
            <w:vAlign w:val="center"/>
            <w:textDirection w:val="lrTb"/>
            <w:noWrap/>
          </w:tcPr>
          <w:p>
            <w:pPr>
              <w:pStyle w:val="995"/>
              <w:jc w:val="center"/>
              <w:rPr>
                <w:rFonts w:ascii="宋体" w:hAnsi="宋体"/>
                <w:sz w:val="24"/>
              </w:rPr>
            </w:pPr>
            <w:r>
              <w:rPr>
                <w:rFonts w:hint="eastAsia" w:ascii="宋体" w:hAnsi="宋体"/>
                <w:sz w:val="24"/>
              </w:rPr>
              <w:t xml:space="preserve">序号</w:t>
            </w:r>
            <w:r>
              <w:rPr>
                <w:rFonts w:ascii="宋体" w:hAnsi="宋体"/>
                <w:sz w:val="24"/>
              </w:rPr>
            </w:r>
            <w:r/>
          </w:p>
        </w:tc>
        <w:tc>
          <w:tcPr>
            <w:tcW w:w="1275" w:type="dxa"/>
            <w:vAlign w:val="center"/>
            <w:textDirection w:val="lrTb"/>
            <w:noWrap/>
          </w:tcPr>
          <w:p>
            <w:pPr>
              <w:pStyle w:val="995"/>
              <w:jc w:val="center"/>
              <w:rPr>
                <w:rFonts w:ascii="宋体" w:hAnsi="宋体"/>
                <w:sz w:val="24"/>
              </w:rPr>
            </w:pPr>
            <w:r>
              <w:rPr>
                <w:rFonts w:hint="eastAsia" w:ascii="宋体" w:hAnsi="宋体"/>
                <w:sz w:val="24"/>
              </w:rPr>
              <w:t xml:space="preserve">巡检内容</w:t>
            </w:r>
            <w:r>
              <w:rPr>
                <w:rFonts w:ascii="宋体" w:hAnsi="宋体"/>
                <w:sz w:val="24"/>
              </w:rPr>
            </w:r>
            <w:r/>
          </w:p>
        </w:tc>
        <w:tc>
          <w:tcPr>
            <w:tcW w:w="3741" w:type="dxa"/>
            <w:vAlign w:val="center"/>
            <w:textDirection w:val="lrTb"/>
            <w:noWrap/>
          </w:tcPr>
          <w:p>
            <w:pPr>
              <w:pStyle w:val="995"/>
              <w:jc w:val="center"/>
              <w:rPr>
                <w:rFonts w:ascii="宋体" w:hAnsi="宋体"/>
                <w:sz w:val="24"/>
              </w:rPr>
            </w:pPr>
            <w:r>
              <w:rPr>
                <w:rFonts w:hint="eastAsia" w:ascii="宋体" w:hAnsi="宋体"/>
                <w:sz w:val="24"/>
              </w:rPr>
              <w:t xml:space="preserve">巡检内容</w:t>
            </w:r>
            <w:r>
              <w:rPr>
                <w:rFonts w:ascii="宋体" w:hAnsi="宋体"/>
                <w:sz w:val="24"/>
              </w:rPr>
            </w:r>
            <w:r/>
          </w:p>
        </w:tc>
        <w:tc>
          <w:tcPr>
            <w:tcW w:w="3735" w:type="dxa"/>
            <w:vAlign w:val="center"/>
            <w:textDirection w:val="lrTb"/>
            <w:noWrap/>
          </w:tcPr>
          <w:p>
            <w:pPr>
              <w:pStyle w:val="995"/>
              <w:jc w:val="center"/>
              <w:rPr>
                <w:rFonts w:ascii="宋体" w:hAnsi="宋体"/>
                <w:sz w:val="24"/>
              </w:rPr>
            </w:pPr>
            <w:r>
              <w:rPr>
                <w:rFonts w:hint="eastAsia" w:ascii="宋体" w:hAnsi="宋体"/>
                <w:sz w:val="24"/>
              </w:rPr>
              <w:t xml:space="preserve">巡检标准</w:t>
            </w:r>
            <w:r>
              <w:rPr>
                <w:rFonts w:ascii="宋体" w:hAnsi="宋体"/>
                <w:sz w:val="24"/>
              </w:rPr>
            </w:r>
            <w:r/>
          </w:p>
        </w:tc>
      </w:tr>
      <w:tr>
        <w:trPr>
          <w:trHeight w:val="454"/>
        </w:trPr>
        <w:tc>
          <w:tcPr>
            <w:tcW w:w="984" w:type="dxa"/>
            <w:vAlign w:val="center"/>
            <w:textDirection w:val="lrTb"/>
            <w:noWrap/>
          </w:tcPr>
          <w:p>
            <w:pPr>
              <w:pStyle w:val="995"/>
              <w:jc w:val="center"/>
              <w:rPr>
                <w:rFonts w:ascii="宋体" w:hAnsi="宋体"/>
                <w:sz w:val="24"/>
              </w:rPr>
            </w:pPr>
            <w:r>
              <w:rPr>
                <w:rFonts w:hint="eastAsia" w:ascii="宋体" w:hAnsi="宋体"/>
                <w:sz w:val="24"/>
              </w:rPr>
              <w:t xml:space="preserve">1</w:t>
            </w:r>
            <w:r>
              <w:rPr>
                <w:rFonts w:ascii="宋体" w:hAnsi="宋体"/>
                <w:sz w:val="24"/>
              </w:rPr>
            </w:r>
            <w:r/>
          </w:p>
        </w:tc>
        <w:tc>
          <w:tcPr>
            <w:tcW w:w="1275" w:type="dxa"/>
            <w:vAlign w:val="center"/>
            <w:textDirection w:val="lrTb"/>
            <w:noWrap/>
          </w:tcPr>
          <w:p>
            <w:pPr>
              <w:pStyle w:val="995"/>
              <w:jc w:val="center"/>
              <w:rPr>
                <w:rFonts w:ascii="宋体" w:hAnsi="宋体"/>
                <w:sz w:val="24"/>
              </w:rPr>
            </w:pPr>
            <w:r>
              <w:rPr>
                <w:rFonts w:hint="eastAsia" w:ascii="宋体" w:hAnsi="宋体"/>
                <w:sz w:val="24"/>
              </w:rPr>
              <w:t xml:space="preserve">高（低）压进线</w:t>
            </w:r>
            <w:r>
              <w:rPr>
                <w:rFonts w:ascii="宋体" w:hAnsi="宋体"/>
                <w:sz w:val="24"/>
              </w:rPr>
            </w:r>
            <w:r/>
          </w:p>
        </w:tc>
        <w:tc>
          <w:tcPr>
            <w:tcW w:w="3741" w:type="dxa"/>
            <w:vAlign w:val="center"/>
            <w:textDirection w:val="lrTb"/>
            <w:noWrap/>
          </w:tcPr>
          <w:p>
            <w:pPr>
              <w:pStyle w:val="995"/>
              <w:rPr>
                <w:rFonts w:ascii="宋体" w:hAnsi="宋体"/>
                <w:sz w:val="24"/>
              </w:rPr>
            </w:pPr>
            <w:r>
              <w:rPr>
                <w:rFonts w:hint="eastAsia" w:ascii="宋体" w:hAnsi="宋体"/>
                <w:sz w:val="24"/>
              </w:rPr>
              <w:t xml:space="preserve">电缆井、令克、避雷器、高（低）压电缆、周边树木、有无施工</w:t>
            </w:r>
            <w:r>
              <w:rPr>
                <w:rFonts w:ascii="宋体" w:hAnsi="宋体"/>
                <w:sz w:val="24"/>
              </w:rPr>
            </w:r>
            <w:r/>
          </w:p>
        </w:tc>
        <w:tc>
          <w:tcPr>
            <w:tcW w:w="3735" w:type="dxa"/>
            <w:vAlign w:val="center"/>
            <w:textDirection w:val="lrTb"/>
            <w:noWrap/>
          </w:tcPr>
          <w:p>
            <w:pPr>
              <w:pStyle w:val="995"/>
              <w:rPr>
                <w:rFonts w:ascii="宋体" w:hAnsi="宋体"/>
                <w:sz w:val="24"/>
              </w:rPr>
            </w:pPr>
            <w:r>
              <w:rPr>
                <w:rFonts w:hint="eastAsia" w:ascii="宋体" w:hAnsi="宋体"/>
                <w:sz w:val="24"/>
              </w:rPr>
              <w:t xml:space="preserve">是否有损坏、是否有施工。树木是否会触碰电缆，如有影响及时修剪。</w:t>
            </w:r>
            <w:r>
              <w:rPr>
                <w:rFonts w:ascii="宋体" w:hAnsi="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hint="eastAsia" w:ascii="宋体" w:hAnsi="宋体"/>
                <w:sz w:val="24"/>
              </w:rPr>
              <w:t xml:space="preserve">2</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变电所设备环境</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变电所内温度、湿度是否正常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变电所内温度在正常范围内（温度：15~35℃，湿度：20%RH~80%RH）</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防小动物设施：</w:t>
            </w:r>
            <w:r>
              <w:rPr>
                <w:rFonts w:ascii="宋体" w:hAnsi="宋体" w:cs="宋体"/>
                <w:sz w:val="24"/>
              </w:rPr>
              <w:t xml:space="preserve">进出变电所电缆洞封堵情况检查</w:t>
            </w:r>
            <w:r>
              <w:rPr>
                <w:rFonts w:ascii="宋体" w:hAnsi="宋体" w:cs="宋体"/>
                <w:sz w:val="24"/>
              </w:rPr>
            </w:r>
            <w:r/>
          </w:p>
        </w:tc>
        <w:tc>
          <w:tcPr>
            <w:tcW w:w="3735" w:type="dxa"/>
            <w:vAlign w:val="center"/>
            <w:textDirection w:val="lrTb"/>
            <w:noWrap/>
          </w:tcPr>
          <w:p>
            <w:pPr>
              <w:pStyle w:val="995"/>
              <w:rPr>
                <w:rFonts w:hint="eastAsia" w:ascii="宋体" w:hAnsi="宋体" w:cs="宋体"/>
                <w:sz w:val="24"/>
              </w:rPr>
            </w:pPr>
            <w:r>
              <w:rPr>
                <w:rFonts w:hint="eastAsia" w:ascii="宋体" w:hAnsi="宋体" w:cs="宋体"/>
                <w:sz w:val="24"/>
              </w:rPr>
              <w:t xml:space="preserve">检查并免费完成非新建变电所的</w:t>
            </w:r>
            <w:r>
              <w:rPr>
                <w:rFonts w:ascii="宋体" w:hAnsi="宋体" w:cs="宋体"/>
                <w:sz w:val="24"/>
              </w:rPr>
              <w:t xml:space="preserve">进出电缆洞封堵</w:t>
            </w:r>
            <w:r>
              <w:rPr>
                <w:rFonts w:hint="eastAsia" w:ascii="宋体" w:hAnsi="宋体" w:cs="宋体"/>
                <w:sz w:val="24"/>
              </w:rPr>
              <w:t xml:space="preserve">，确保无小动物</w:t>
            </w:r>
            <w:r>
              <w:rPr>
                <w:rFonts w:hint="eastAsia"/>
              </w:rPr>
              <w:t xml:space="preserve">出入</w:t>
            </w:r>
            <w:r>
              <w:rPr>
                <w:rFonts w:hint="eastAsia"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3</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变电所设施</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操作手柄及工具配备情况</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操作手柄齐全，完好</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安全用具</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安全用具齐全且都在有效期内</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4</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直流系统</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直流柜蓄电池供电是否正常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直流柜蓄电池供电正常（电池充放电一次需在工单上有体现）</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直流柜蓄电池是否有漏液、鼓包现象</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直流柜蓄电池无漏液、鼓包现象</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直流柜监控模块工作是否正常，有无告警信息</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直流柜监控模块工作正常，无告警信息</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指示灯、电压表显示是否正常，有无损坏</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指示灯、电压表显示正常无损坏</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设备标志是否齐全、正确</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设备标志齐全、正确</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5</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高压开关柜</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高压柜内部有无杂声及放电声音</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高压柜内部无杂声及放电声音</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高压柜内电缆头有无发热、变色及打火现象</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高压柜内电缆头无发热、变色及打火现象</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高压柜断路器各部分有无异常声音</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高压柜断路器各部分无异常声音</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开关位置指示与开关状态是否一致，储能机构状态是否正确</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开关位置指示与开关状态一致，储能机构状态正确</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开关在运行位时高压带电显示三相指示灯是否亮</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开关在运行位时高压带电显示三相指示灯亮</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二次控制柜标识牌是否齐全、正确</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二次控制柜标识牌齐全、正确</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母线电压表显示与额定电压是否一致</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母线电压表显示与额定电压一致</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高压柜内封堵是否严实</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高压柜内封堵严实</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6</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变压器（油浸式）</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储油柜外观是否完好</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储油柜外观完好</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法兰、管路有无渗漏</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法兰、管路无渗漏</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油位计、油位表是否完好，显示是否清晰，油位是否正常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油位计、油位表完好，显示清晰，油位在厂家规定范围内</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瓦斯继电器外观是否完好，本体、法兰有无渗漏</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瓦斯继电器外观完好，本体、法兰无渗漏</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法兰、蝶阀有无渗漏</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法兰、蝶阀无渗漏</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吸湿器玻璃筒是否完好，硅胶有无变色，油碗内的密封油位是否正常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吸湿器玻璃筒完好，硅胶无变色，油碗内的密封油位正常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变压器本体声音是否正常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变压器本体声音无异常，正常运行的变压器，发出的是均匀的“嗡嗡”声</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高低压桩头铜排电缆温度是否正常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红外测温查看高低压桩头铜排电缆温度正常（＜50℃）</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7</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变压器（干式变）</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变压器本体声音是否正常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变压器本体声音无异常，正常运行的变压器，发出的是均匀的“嗡嗡”声</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查看温控是否显示正常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温控显示正常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查看变压器三相绕组温度是否正常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变压器三相绕组温度正常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变压器散热风扇运行是否正常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手动测试散热风扇，确保正常</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8</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出线配电柜</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母线电压、电流表计是否显示正常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母线电压、电流表计显示正常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检查开关分、合闸位置指示是否正确，断路器控制器显示是否正常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检查开关分、合闸位置指示正确，断路器控制器显示正常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开关有无异音、异味</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开关无异音、异味</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合闸操作手柄是否完整，位置指示是否正确</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合闸操作手柄完整，位置指示正确</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开关桩头及电缆头有无发热，变色，打火现象</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开关桩头及电缆头、母排无发热，变色，打火现象。（开关桩头、电缆头红外测温并记录）</w:t>
            </w:r>
            <w:r>
              <w:rPr>
                <w:rFonts w:ascii="宋体" w:hAnsi="宋体" w:cs="宋体"/>
                <w:sz w:val="24"/>
              </w:rPr>
            </w:r>
            <w:r/>
          </w:p>
        </w:tc>
      </w:tr>
      <w:tr>
        <w:trPr>
          <w:trHeight w:val="454"/>
        </w:trPr>
        <w:tc>
          <w:tcPr>
            <w:tcW w:w="984" w:type="dxa"/>
            <w:vAlign w:val="center"/>
            <w:vMerge w:val="restart"/>
            <w:textDirection w:val="lrTb"/>
            <w:noWrap/>
          </w:tcPr>
          <w:p>
            <w:pPr>
              <w:pStyle w:val="995"/>
              <w:jc w:val="center"/>
              <w:rPr>
                <w:rFonts w:ascii="宋体" w:hAnsi="宋体"/>
                <w:sz w:val="24"/>
              </w:rPr>
            </w:pPr>
            <w:r>
              <w:rPr>
                <w:rFonts w:ascii="宋体" w:hAnsi="宋体"/>
                <w:sz w:val="24"/>
              </w:rPr>
              <w:t xml:space="preserve">9</w:t>
            </w:r>
            <w:r>
              <w:rPr>
                <w:rFonts w:ascii="宋体" w:hAnsi="宋体"/>
                <w:sz w:val="24"/>
              </w:rPr>
            </w:r>
            <w:r/>
          </w:p>
        </w:tc>
        <w:tc>
          <w:tcPr>
            <w:tcW w:w="1275" w:type="dxa"/>
            <w:vAlign w:val="center"/>
            <w:vMerge w:val="restart"/>
            <w:textDirection w:val="lrTb"/>
            <w:noWrap/>
          </w:tcPr>
          <w:p>
            <w:pPr>
              <w:pStyle w:val="995"/>
              <w:jc w:val="center"/>
              <w:rPr>
                <w:rFonts w:ascii="宋体" w:hAnsi="宋体"/>
                <w:sz w:val="24"/>
              </w:rPr>
            </w:pPr>
            <w:r>
              <w:rPr>
                <w:rFonts w:hint="eastAsia" w:ascii="宋体" w:hAnsi="宋体"/>
                <w:sz w:val="24"/>
              </w:rPr>
              <w:t xml:space="preserve">电容柜</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电容外壳有无变形及膨胀</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电容外壳无变形及膨胀</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刀熔开关熔芯是否完好，上下桩头有无变色和发热</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刀熔开关熔芯完好，上下桩头无变色和发热</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一次侧熔芯或3P开关有无异常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一次侧熔芯或3P开关无异常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接触器或复合开关有无异常</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接触器或复合开关无异常</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查看柜内无功补偿COS值，是否在考核标准内</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查看并记录柜内无功补偿COS值，需在考核标准内</w:t>
            </w:r>
            <w:r>
              <w:rPr>
                <w:rFonts w:ascii="宋体" w:hAnsi="宋体" w:cs="宋体"/>
                <w:sz w:val="24"/>
              </w:rPr>
            </w:r>
            <w:r/>
          </w:p>
        </w:tc>
      </w:tr>
      <w:tr>
        <w:trPr>
          <w:trHeight w:val="454"/>
        </w:trPr>
        <w:tc>
          <w:tcPr>
            <w:tcW w:w="984" w:type="dxa"/>
            <w:vAlign w:val="center"/>
            <w:vMerge w:val="continue"/>
            <w:textDirection w:val="lrTb"/>
            <w:noWrap/>
          </w:tcPr>
          <w:p>
            <w:pPr>
              <w:pStyle w:val="995"/>
              <w:jc w:val="center"/>
              <w:rPr>
                <w:rFonts w:ascii="宋体" w:hAnsi="宋体"/>
                <w:sz w:val="24"/>
              </w:rPr>
            </w:pPr>
            <w:r>
              <w:rPr>
                <w:rFonts w:ascii="宋体" w:hAnsi="宋体"/>
                <w:sz w:val="24"/>
              </w:rPr>
            </w:r>
            <w:r/>
          </w:p>
        </w:tc>
        <w:tc>
          <w:tcPr>
            <w:tcW w:w="1275" w:type="dxa"/>
            <w:vAlign w:val="center"/>
            <w:vMerge w:val="continue"/>
            <w:textDirection w:val="lrTb"/>
            <w:noWrap/>
          </w:tcPr>
          <w:p>
            <w:pPr>
              <w:pStyle w:val="995"/>
              <w:jc w:val="center"/>
              <w:rPr>
                <w:rFonts w:ascii="宋体" w:hAnsi="宋体"/>
                <w:sz w:val="24"/>
              </w:rPr>
            </w:pP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柜内散热风扇</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测试散热风扇是否运行正常</w:t>
            </w:r>
            <w:r>
              <w:rPr>
                <w:rFonts w:ascii="宋体" w:hAnsi="宋体" w:cs="宋体"/>
                <w:sz w:val="24"/>
              </w:rPr>
            </w:r>
            <w:r/>
          </w:p>
        </w:tc>
      </w:tr>
      <w:tr>
        <w:trPr>
          <w:trHeight w:val="454"/>
        </w:trPr>
        <w:tc>
          <w:tcPr>
            <w:tcW w:w="984" w:type="dxa"/>
            <w:vAlign w:val="center"/>
            <w:textDirection w:val="lrTb"/>
            <w:noWrap/>
          </w:tcPr>
          <w:p>
            <w:pPr>
              <w:pStyle w:val="995"/>
              <w:jc w:val="center"/>
              <w:rPr>
                <w:rFonts w:ascii="宋体" w:hAnsi="宋体"/>
                <w:sz w:val="24"/>
              </w:rPr>
            </w:pPr>
            <w:r>
              <w:rPr>
                <w:rFonts w:ascii="宋体" w:hAnsi="宋体"/>
                <w:sz w:val="24"/>
              </w:rPr>
              <w:t xml:space="preserve">10</w:t>
            </w:r>
            <w:r>
              <w:rPr>
                <w:rFonts w:ascii="宋体" w:hAnsi="宋体"/>
                <w:sz w:val="24"/>
              </w:rPr>
            </w:r>
            <w:r/>
          </w:p>
        </w:tc>
        <w:tc>
          <w:tcPr>
            <w:tcW w:w="1275" w:type="dxa"/>
            <w:vAlign w:val="center"/>
            <w:textDirection w:val="lrTb"/>
            <w:noWrap/>
          </w:tcPr>
          <w:p>
            <w:pPr>
              <w:pStyle w:val="995"/>
              <w:jc w:val="center"/>
              <w:rPr>
                <w:rFonts w:ascii="宋体" w:hAnsi="宋体"/>
                <w:sz w:val="24"/>
              </w:rPr>
            </w:pPr>
            <w:r>
              <w:rPr>
                <w:rFonts w:hint="eastAsia" w:ascii="宋体" w:hAnsi="宋体"/>
                <w:sz w:val="24"/>
              </w:rPr>
              <w:t xml:space="preserve">双回路切换操作</w:t>
            </w:r>
            <w:r>
              <w:rPr>
                <w:rFonts w:ascii="宋体" w:hAnsi="宋体"/>
                <w:sz w:val="24"/>
              </w:rPr>
            </w:r>
            <w:r/>
          </w:p>
        </w:tc>
        <w:tc>
          <w:tcPr>
            <w:tcW w:w="3741" w:type="dxa"/>
            <w:vAlign w:val="center"/>
            <w:textDirection w:val="lrTb"/>
            <w:noWrap/>
          </w:tcPr>
          <w:p>
            <w:pPr>
              <w:pStyle w:val="995"/>
              <w:rPr>
                <w:rFonts w:ascii="宋体" w:hAnsi="宋体" w:cs="宋体"/>
                <w:sz w:val="24"/>
              </w:rPr>
            </w:pPr>
            <w:r>
              <w:rPr>
                <w:rFonts w:hint="eastAsia" w:ascii="宋体" w:hAnsi="宋体" w:cs="宋体"/>
                <w:sz w:val="24"/>
              </w:rPr>
              <w:t xml:space="preserve">按招标人要求定期对双回路变电所进行双回路切换操作</w:t>
            </w:r>
            <w:r>
              <w:rPr>
                <w:rFonts w:ascii="宋体" w:hAnsi="宋体" w:cs="宋体"/>
                <w:sz w:val="24"/>
              </w:rPr>
            </w:r>
            <w:r/>
          </w:p>
        </w:tc>
        <w:tc>
          <w:tcPr>
            <w:tcW w:w="3735" w:type="dxa"/>
            <w:vAlign w:val="center"/>
            <w:textDirection w:val="lrTb"/>
            <w:noWrap/>
          </w:tcPr>
          <w:p>
            <w:pPr>
              <w:pStyle w:val="995"/>
              <w:rPr>
                <w:rFonts w:ascii="宋体" w:hAnsi="宋体" w:cs="宋体"/>
                <w:sz w:val="24"/>
              </w:rPr>
            </w:pPr>
            <w:r>
              <w:rPr>
                <w:rFonts w:hint="eastAsia" w:ascii="宋体" w:hAnsi="宋体" w:cs="宋体"/>
                <w:sz w:val="24"/>
              </w:rPr>
              <w:t xml:space="preserve">每季度切换一次</w:t>
            </w:r>
            <w:r>
              <w:rPr>
                <w:rFonts w:ascii="宋体" w:hAnsi="宋体" w:cs="宋体"/>
                <w:sz w:val="24"/>
              </w:rPr>
            </w:r>
            <w:r/>
          </w:p>
        </w:tc>
      </w:tr>
    </w:tbl>
    <w:p>
      <w:pPr>
        <w:pStyle w:val="995"/>
        <w:ind w:firstLine="480"/>
        <w:spacing w:line="360" w:lineRule="auto"/>
        <w:rPr>
          <w:rFonts w:hint="eastAsia" w:ascii="宋体" w:hAnsi="宋体" w:cs="宋体"/>
          <w:bCs/>
          <w:sz w:val="24"/>
        </w:rPr>
      </w:pPr>
      <w:r>
        <w:rPr>
          <w:rFonts w:hint="eastAsia" w:ascii="宋体" w:hAnsi="宋体" w:cs="宋体"/>
          <w:bCs/>
          <w:sz w:val="24"/>
        </w:rPr>
      </w:r>
      <w:r/>
    </w:p>
    <w:p>
      <w:pPr>
        <w:pStyle w:val="995"/>
        <w:jc w:val="left"/>
        <w:spacing w:line="360" w:lineRule="auto"/>
        <w:widowControl/>
        <w:rPr>
          <w:rFonts w:hint="eastAsia" w:ascii="宋体" w:hAnsi="宋体" w:cs="宋体"/>
          <w:b/>
          <w:sz w:val="24"/>
        </w:rPr>
        <w:sectPr>
          <w:footerReference w:type="default" r:id="rId20"/>
          <w:footnotePr/>
          <w:endnotePr/>
          <w:type w:val="nextPage"/>
          <w:pgSz w:w="11907" w:h="16840" w:orient="portrait"/>
          <w:pgMar w:top="1440" w:right="1803" w:bottom="1440" w:left="1803" w:header="851" w:footer="851" w:gutter="0"/>
          <w:cols w:num="1" w:sep="0" w:space="1701" w:equalWidth="1"/>
          <w:docGrid w:linePitch="360"/>
        </w:sectPr>
        <w:outlineLvl w:val="1"/>
      </w:pPr>
      <w:r>
        <w:rPr>
          <w:rFonts w:hint="eastAsia" w:ascii="宋体" w:hAnsi="宋体" w:cs="宋体"/>
          <w:b/>
          <w:sz w:val="24"/>
        </w:rPr>
      </w:r>
      <w:r/>
    </w:p>
    <w:p>
      <w:pPr>
        <w:pStyle w:val="995"/>
        <w:jc w:val="left"/>
        <w:spacing w:line="360" w:lineRule="auto"/>
        <w:widowControl/>
        <w:rPr>
          <w:rFonts w:hint="eastAsia" w:ascii="宋体" w:hAnsi="宋体" w:cs="宋体"/>
          <w:b/>
          <w:sz w:val="24"/>
        </w:rPr>
        <w:outlineLvl w:val="1"/>
      </w:pPr>
      <w:r>
        <w:rPr>
          <w:rFonts w:hint="eastAsia" w:ascii="宋体" w:hAnsi="宋体" w:cs="宋体"/>
          <w:b/>
          <w:sz w:val="24"/>
        </w:rPr>
        <w:t xml:space="preserve">附件2：变电所年度停电保养内容及标准</w:t>
      </w:r>
      <w:r>
        <w:rPr>
          <w:rFonts w:hint="eastAsia" w:ascii="宋体" w:hAnsi="宋体" w:cs="宋体"/>
          <w:b/>
          <w:sz w:val="24"/>
        </w:rPr>
      </w:r>
      <w:r/>
    </w:p>
    <w:p>
      <w:pPr>
        <w:pStyle w:val="995"/>
        <w:ind w:firstLine="480"/>
        <w:spacing w:line="360" w:lineRule="auto"/>
        <w:rPr>
          <w:rFonts w:hint="eastAsia" w:ascii="宋体" w:hAnsi="宋体" w:cs="宋体"/>
          <w:sz w:val="24"/>
        </w:rPr>
      </w:pPr>
      <w:r>
        <w:rPr>
          <w:rFonts w:hint="eastAsia" w:ascii="宋体" w:hAnsi="宋体" w:cs="宋体"/>
          <w:sz w:val="24"/>
        </w:rPr>
        <w:t xml:space="preserve">变电所年度停电保养：变电所保养时间为2026年12月至2027年3月，变电所年度停电保养内容包含从高压进线端至低压出线柜，整个用变电设备的保养，保养次数1次。</w:t>
      </w:r>
      <w:r>
        <w:rPr>
          <w:rFonts w:hint="eastAsia" w:ascii="宋体" w:hAnsi="宋体" w:cs="宋体"/>
          <w:sz w:val="24"/>
        </w:rPr>
      </w:r>
      <w:r/>
    </w:p>
    <w:p>
      <w:pPr>
        <w:pStyle w:val="995"/>
        <w:ind w:firstLine="482"/>
        <w:spacing w:line="360" w:lineRule="auto"/>
        <w:rPr>
          <w:rFonts w:hint="eastAsia" w:ascii="宋体" w:hAnsi="宋体" w:cs="宋体"/>
          <w:b/>
          <w:sz w:val="24"/>
        </w:rPr>
      </w:pPr>
      <w:r>
        <w:rPr>
          <w:rFonts w:hint="eastAsia" w:ascii="宋体" w:hAnsi="宋体" w:cs="宋体"/>
          <w:b/>
          <w:bCs/>
          <w:sz w:val="24"/>
        </w:rPr>
        <w:t xml:space="preserve">变电所保养结束后，须制作成保养报告，每月装订成册，与月度巡检报告一起提供给招标人，</w:t>
      </w:r>
      <w:r>
        <w:rPr>
          <w:rFonts w:hint="eastAsia" w:ascii="宋体" w:hAnsi="宋体" w:cs="宋体"/>
          <w:b/>
          <w:sz w:val="24"/>
        </w:rPr>
        <w:t xml:space="preserve">逾期将对其进行考核。</w:t>
      </w:r>
      <w:r>
        <w:rPr>
          <w:rFonts w:hint="eastAsia" w:ascii="宋体" w:hAnsi="宋体" w:cs="宋体"/>
          <w:b/>
          <w:sz w:val="24"/>
        </w:rPr>
      </w:r>
      <w:r/>
    </w:p>
    <w:p>
      <w:pPr>
        <w:pStyle w:val="995"/>
        <w:ind w:firstLine="480"/>
        <w:spacing w:line="360" w:lineRule="auto"/>
        <w:tabs>
          <w:tab w:val="left" w:pos="312" w:leader="none"/>
        </w:tabs>
        <w:rPr>
          <w:rFonts w:ascii="宋体" w:hAnsi="宋体" w:cs="宋体"/>
          <w:sz w:val="24"/>
        </w:rPr>
      </w:pPr>
      <w:r>
        <w:rPr>
          <w:rFonts w:hint="eastAsia" w:ascii="宋体" w:hAnsi="宋体" w:cs="宋体"/>
          <w:sz w:val="24"/>
        </w:rPr>
        <w:t xml:space="preserve">2.1变电所年度保养内容具体如下</w:t>
      </w:r>
      <w:r>
        <w:rPr>
          <w:rFonts w:hint="eastAsia" w:ascii="宋体" w:hAnsi="宋体" w:cs="宋体"/>
          <w:bCs/>
          <w:sz w:val="24"/>
        </w:rPr>
        <w:t xml:space="preserve">（包括但不仅限以下内容）</w:t>
      </w:r>
      <w:r>
        <w:rPr>
          <w:rFonts w:hint="eastAsia" w:ascii="宋体" w:hAnsi="宋体" w:cs="宋体"/>
          <w:sz w:val="24"/>
        </w:rPr>
        <w:t xml:space="preserve">：</w:t>
      </w:r>
      <w:r>
        <w:rPr>
          <w:rFonts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2084"/>
        <w:gridCol w:w="5045"/>
      </w:tblGrid>
      <w:tr>
        <w:trPr>
          <w:trHeight w:val="454"/>
        </w:trPr>
        <w:tc>
          <w:tcPr>
            <w:tcW w:w="1389" w:type="dxa"/>
            <w:vAlign w:val="center"/>
            <w:textDirection w:val="lrTb"/>
            <w:noWrap/>
          </w:tcPr>
          <w:p>
            <w:pPr>
              <w:pStyle w:val="995"/>
              <w:jc w:val="center"/>
              <w:rPr>
                <w:rFonts w:ascii="宋体" w:hAnsi="宋体" w:cs="宋体"/>
                <w:b/>
                <w:bCs/>
                <w:sz w:val="24"/>
              </w:rPr>
            </w:pPr>
            <w:r>
              <w:rPr>
                <w:rFonts w:hint="eastAsia" w:ascii="宋体" w:hAnsi="宋体" w:cs="宋体"/>
                <w:b/>
                <w:bCs/>
                <w:sz w:val="24"/>
              </w:rPr>
              <w:t xml:space="preserve">保养位置</w:t>
            </w:r>
            <w:r>
              <w:rPr>
                <w:rFonts w:ascii="宋体" w:hAnsi="宋体" w:cs="宋体"/>
                <w:b/>
                <w:bCs/>
                <w:sz w:val="24"/>
              </w:rPr>
            </w:r>
            <w:r/>
          </w:p>
        </w:tc>
        <w:tc>
          <w:tcPr>
            <w:tcW w:w="2085" w:type="dxa"/>
            <w:vAlign w:val="center"/>
            <w:textDirection w:val="lrTb"/>
            <w:noWrap/>
          </w:tcPr>
          <w:p>
            <w:pPr>
              <w:pStyle w:val="995"/>
              <w:jc w:val="center"/>
              <w:rPr>
                <w:rFonts w:ascii="宋体" w:hAnsi="宋体" w:cs="宋体"/>
                <w:b/>
                <w:bCs/>
                <w:sz w:val="24"/>
              </w:rPr>
            </w:pPr>
            <w:r>
              <w:rPr>
                <w:rFonts w:hint="eastAsia" w:ascii="宋体" w:hAnsi="宋体" w:cs="宋体"/>
                <w:b/>
                <w:bCs/>
                <w:sz w:val="24"/>
              </w:rPr>
              <w:t xml:space="preserve">保养元器件</w:t>
            </w:r>
            <w:r>
              <w:rPr>
                <w:rFonts w:ascii="宋体" w:hAnsi="宋体" w:cs="宋体"/>
                <w:b/>
                <w:bCs/>
                <w:sz w:val="24"/>
              </w:rPr>
            </w:r>
            <w:r/>
          </w:p>
        </w:tc>
        <w:tc>
          <w:tcPr>
            <w:tcW w:w="5048" w:type="dxa"/>
            <w:vAlign w:val="center"/>
            <w:textDirection w:val="lrTb"/>
            <w:noWrap/>
          </w:tcPr>
          <w:p>
            <w:pPr>
              <w:pStyle w:val="995"/>
              <w:jc w:val="center"/>
              <w:rPr>
                <w:rFonts w:ascii="宋体" w:hAnsi="宋体" w:cs="宋体"/>
                <w:b/>
                <w:bCs/>
                <w:sz w:val="24"/>
              </w:rPr>
            </w:pPr>
            <w:r>
              <w:rPr>
                <w:rFonts w:hint="eastAsia" w:ascii="宋体" w:hAnsi="宋体" w:cs="宋体"/>
                <w:b/>
                <w:bCs/>
                <w:sz w:val="24"/>
              </w:rPr>
              <w:t xml:space="preserve">具体保养内容</w:t>
            </w:r>
            <w:r>
              <w:rPr>
                <w:rFonts w:ascii="宋体" w:hAnsi="宋体" w:cs="宋体"/>
                <w:b/>
                <w:bCs/>
                <w:sz w:val="24"/>
              </w:rPr>
            </w:r>
            <w:r/>
          </w:p>
        </w:tc>
      </w:tr>
      <w:tr>
        <w:trPr>
          <w:trHeight w:val="454"/>
        </w:trPr>
        <w:tc>
          <w:tcPr>
            <w:tcW w:w="1389"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高（低）压进线、室外台变</w:t>
            </w:r>
            <w:r>
              <w:rPr>
                <w:rFonts w:ascii="宋体" w:hAnsi="宋体" w:cs="宋体"/>
                <w:bCs/>
                <w:sz w:val="24"/>
              </w:rPr>
            </w:r>
            <w:r/>
          </w:p>
        </w:tc>
        <w:tc>
          <w:tcPr>
            <w:tcW w:w="2085" w:type="dxa"/>
            <w:vAlign w:val="center"/>
            <w:textDirection w:val="lrTb"/>
            <w:noWrap/>
          </w:tcPr>
          <w:p>
            <w:pPr>
              <w:pStyle w:val="995"/>
              <w:jc w:val="center"/>
              <w:rPr>
                <w:rFonts w:ascii="宋体" w:hAnsi="宋体" w:cs="宋体"/>
                <w:bCs/>
                <w:sz w:val="24"/>
              </w:rPr>
            </w:pPr>
            <w:r>
              <w:rPr>
                <w:rFonts w:hint="eastAsia" w:ascii="宋体" w:hAnsi="宋体" w:cs="宋体"/>
                <w:bCs/>
                <w:sz w:val="24"/>
              </w:rPr>
              <w:t xml:space="preserve">令克、高（低）压电缆、室外台变及周边树木</w:t>
            </w:r>
            <w:r>
              <w:rPr>
                <w:rFonts w:ascii="宋体" w:hAnsi="宋体" w:cs="宋体"/>
                <w:bCs/>
                <w:sz w:val="24"/>
              </w:rPr>
            </w:r>
            <w:r/>
          </w:p>
        </w:tc>
        <w:tc>
          <w:tcPr>
            <w:tcW w:w="5048" w:type="dxa"/>
            <w:vAlign w:val="center"/>
            <w:textDirection w:val="lrTb"/>
            <w:noWrap/>
          </w:tcPr>
          <w:p>
            <w:pPr>
              <w:pStyle w:val="995"/>
              <w:rPr>
                <w:rFonts w:ascii="宋体" w:hAnsi="宋体" w:cs="宋体"/>
                <w:bCs/>
                <w:sz w:val="24"/>
              </w:rPr>
            </w:pPr>
            <w:r>
              <w:rPr>
                <w:rFonts w:hint="eastAsia" w:ascii="宋体" w:hAnsi="宋体" w:cs="宋体"/>
                <w:bCs/>
                <w:sz w:val="24"/>
              </w:rPr>
              <w:t xml:space="preserve">查看令克老化情况，高（低）压电缆头是否有</w:t>
            </w:r>
            <w:r>
              <w:rPr>
                <w:rFonts w:ascii="宋体" w:hAnsi="宋体" w:cs="宋体"/>
                <w:sz w:val="24"/>
              </w:rPr>
              <w:t xml:space="preserve">溢胶</w:t>
            </w:r>
            <w:r>
              <w:rPr>
                <w:rFonts w:hint="eastAsia" w:ascii="宋体" w:hAnsi="宋体" w:cs="宋体"/>
                <w:sz w:val="24"/>
              </w:rPr>
              <w:t xml:space="preserve">及松动现象，高（低）压进线周边树木进行修剪</w:t>
            </w:r>
            <w:r>
              <w:rPr>
                <w:rFonts w:ascii="宋体" w:hAnsi="宋体" w:cs="宋体"/>
                <w:bCs/>
                <w:sz w:val="24"/>
              </w:rPr>
            </w:r>
            <w:r/>
          </w:p>
        </w:tc>
      </w:tr>
      <w:tr>
        <w:trPr>
          <w:trHeight w:val="454"/>
        </w:trPr>
        <w:tc>
          <w:tcPr>
            <w:tcW w:w="1389" w:type="dxa"/>
            <w:vAlign w:val="center"/>
            <w:vMerge w:val="restart"/>
            <w:textDirection w:val="lrTb"/>
            <w:noWrap/>
          </w:tcPr>
          <w:p>
            <w:pPr>
              <w:pStyle w:val="995"/>
              <w:jc w:val="center"/>
              <w:rPr>
                <w:rFonts w:ascii="宋体" w:hAnsi="宋体" w:cs="宋体"/>
                <w:sz w:val="24"/>
              </w:rPr>
            </w:pPr>
            <w:r>
              <w:rPr>
                <w:rFonts w:hint="eastAsia" w:ascii="宋体" w:hAnsi="宋体" w:cs="宋体"/>
                <w:sz w:val="24"/>
              </w:rPr>
              <w:t xml:space="preserve">高压柜</w:t>
            </w: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柜体内</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整体除尘及电缆洞封堵</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电缆头</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紧固并观察是否有</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综保</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查看</w:t>
            </w:r>
            <w:r>
              <w:rPr>
                <w:rFonts w:ascii="宋体" w:hAnsi="宋体" w:cs="宋体"/>
                <w:sz w:val="24"/>
              </w:rPr>
              <w:t xml:space="preserve">保护定值是否正确，保护压板（软、硬）是否正确投入或者切除</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真空断路器</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触头上凡士林或硅脂油，有无放电现象，触臂清灰，电动分合闸动作测试，无控制回路断线，电动及手动储能动作测试</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除湿器</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工作是否正常，管子是否</w:t>
            </w:r>
            <w:r>
              <w:rPr>
                <w:rFonts w:hint="eastAsia" w:ascii="宋体" w:hAnsi="宋体" w:cs="宋体"/>
                <w:sz w:val="24"/>
              </w:rPr>
              <w:t xml:space="preserve">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指示灯</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储能是否显示正常</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转换开关</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分合闸、电压切换是否工作正常</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PT柜</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查看熔芯</w:t>
            </w:r>
            <w:r>
              <w:rPr>
                <w:rFonts w:hint="eastAsia" w:ascii="宋体" w:hAnsi="宋体" w:cs="宋体"/>
                <w:sz w:val="24"/>
              </w:rPr>
              <w:t xml:space="preserve">是否正常、电压显示是否正常</w:t>
            </w:r>
            <w:r>
              <w:rPr>
                <w:rFonts w:ascii="宋体" w:hAnsi="宋体" w:cs="宋体"/>
                <w:sz w:val="24"/>
              </w:rPr>
            </w:r>
            <w:r/>
          </w:p>
        </w:tc>
      </w:tr>
      <w:tr>
        <w:trPr>
          <w:trHeight w:val="454"/>
        </w:trPr>
        <w:tc>
          <w:tcPr>
            <w:tcW w:w="1389" w:type="dxa"/>
            <w:vAlign w:val="center"/>
            <w:vMerge w:val="restart"/>
            <w:textDirection w:val="lrTb"/>
            <w:noWrap/>
          </w:tcPr>
          <w:p>
            <w:pPr>
              <w:pStyle w:val="995"/>
              <w:jc w:val="center"/>
              <w:rPr>
                <w:rFonts w:ascii="宋体" w:hAnsi="宋体" w:cs="宋体"/>
                <w:sz w:val="24"/>
              </w:rPr>
            </w:pPr>
            <w:r>
              <w:rPr>
                <w:rFonts w:hint="eastAsia" w:ascii="宋体" w:hAnsi="宋体" w:cs="宋体"/>
                <w:sz w:val="24"/>
              </w:rPr>
              <w:t xml:space="preserve">变压器</w:t>
            </w: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柜体内</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除尘</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母线夹</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紧固螺丝</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电缆头</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铜排</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紧固螺丝</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温控</w:t>
            </w:r>
            <w:r>
              <w:rPr>
                <w:rFonts w:hint="eastAsia" w:ascii="宋体" w:hAnsi="宋体" w:cs="宋体"/>
                <w:sz w:val="24"/>
              </w:rPr>
              <w:t xml:space="preserve">、风机</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手动启动风机查看风机运行状况</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门锁</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门锁及联锁完好</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电缆</w:t>
            </w:r>
            <w:r>
              <w:rPr>
                <w:rFonts w:ascii="宋体" w:hAnsi="宋体" w:cs="宋体"/>
                <w:sz w:val="24"/>
              </w:rPr>
              <w:t xml:space="preserve">孔洞</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封堵</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分接开关</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档位螺丝紧固</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绝缘电阻</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绝缘电阻测定并记录在册</w:t>
            </w:r>
            <w:r>
              <w:rPr>
                <w:rFonts w:ascii="宋体" w:hAnsi="宋体" w:cs="宋体"/>
                <w:sz w:val="24"/>
              </w:rPr>
            </w:r>
            <w:r/>
          </w:p>
        </w:tc>
      </w:tr>
      <w:tr>
        <w:trPr>
          <w:trHeight w:val="454"/>
        </w:trPr>
        <w:tc>
          <w:tcPr>
            <w:tcW w:w="1389" w:type="dxa"/>
            <w:vAlign w:val="center"/>
            <w:textDirection w:val="lrTb"/>
            <w:noWrap/>
          </w:tcPr>
          <w:p>
            <w:pPr>
              <w:pStyle w:val="995"/>
              <w:jc w:val="center"/>
              <w:rPr>
                <w:rFonts w:ascii="宋体" w:hAnsi="宋体" w:cs="宋体"/>
                <w:sz w:val="24"/>
              </w:rPr>
            </w:pPr>
            <w:r>
              <w:rPr>
                <w:rFonts w:hint="eastAsia" w:ascii="宋体" w:hAnsi="宋体" w:cs="宋体"/>
                <w:sz w:val="24"/>
              </w:rPr>
              <w:t xml:space="preserve">电容柜</w:t>
            </w: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ascii="宋体" w:hAnsi="宋体" w:cs="宋体"/>
                <w:sz w:val="24"/>
              </w:rPr>
              <w:t xml:space="preserve">柜内各元器件</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除尘、接线端子紧固、功能性检查</w:t>
            </w:r>
            <w:r>
              <w:rPr>
                <w:rFonts w:ascii="宋体" w:hAnsi="宋体" w:cs="宋体"/>
                <w:sz w:val="24"/>
              </w:rPr>
            </w:r>
            <w:r/>
          </w:p>
        </w:tc>
      </w:tr>
      <w:tr>
        <w:trPr>
          <w:trHeight w:val="454"/>
        </w:trPr>
        <w:tc>
          <w:tcPr>
            <w:tcW w:w="1389" w:type="dxa"/>
            <w:vAlign w:val="center"/>
            <w:vMerge w:val="restart"/>
            <w:textDirection w:val="lrTb"/>
            <w:noWrap/>
          </w:tcPr>
          <w:p>
            <w:pPr>
              <w:pStyle w:val="995"/>
              <w:jc w:val="center"/>
              <w:rPr>
                <w:rFonts w:ascii="宋体" w:hAnsi="宋体" w:cs="宋体"/>
                <w:sz w:val="24"/>
              </w:rPr>
            </w:pPr>
            <w:r>
              <w:rPr>
                <w:rFonts w:hint="eastAsia" w:ascii="宋体" w:hAnsi="宋体"/>
                <w:sz w:val="24"/>
              </w:rPr>
              <w:t xml:space="preserve">出线配电柜</w:t>
            </w: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柜体内</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除尘、螺丝紧固</w:t>
            </w:r>
            <w:r>
              <w:rPr>
                <w:rFonts w:ascii="宋体" w:hAnsi="宋体" w:cs="宋体"/>
                <w:sz w:val="24"/>
              </w:rPr>
            </w:r>
            <w:r/>
          </w:p>
        </w:tc>
      </w:tr>
      <w:tr>
        <w:trPr>
          <w:trHeight w:val="454"/>
        </w:trPr>
        <w:tc>
          <w:tcPr>
            <w:tcW w:w="1389"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母线夹</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螺丝紧固</w:t>
            </w:r>
            <w:r>
              <w:rPr>
                <w:rFonts w:ascii="宋体" w:hAnsi="宋体" w:cs="宋体"/>
                <w:sz w:val="24"/>
              </w:rPr>
            </w:r>
            <w:r/>
          </w:p>
        </w:tc>
      </w:tr>
      <w:tr>
        <w:trPr>
          <w:trHeight w:val="454"/>
        </w:trPr>
        <w:tc>
          <w:tcPr>
            <w:tcW w:w="1389"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电缆头</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389"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铜排</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紧固螺丝</w:t>
            </w:r>
            <w:r>
              <w:rPr>
                <w:rFonts w:ascii="宋体" w:hAnsi="宋体" w:cs="宋体"/>
                <w:sz w:val="24"/>
              </w:rPr>
            </w:r>
            <w:r/>
          </w:p>
        </w:tc>
      </w:tr>
      <w:tr>
        <w:trPr>
          <w:trHeight w:val="454"/>
        </w:trPr>
        <w:tc>
          <w:tcPr>
            <w:tcW w:w="1389"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电缆孔洞</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封堵</w:t>
            </w:r>
            <w:r>
              <w:rPr>
                <w:rFonts w:ascii="宋体" w:hAnsi="宋体" w:cs="宋体"/>
                <w:sz w:val="24"/>
              </w:rPr>
            </w:r>
            <w:r/>
          </w:p>
        </w:tc>
      </w:tr>
      <w:tr>
        <w:trPr>
          <w:trHeight w:val="454"/>
        </w:trPr>
        <w:tc>
          <w:tcPr>
            <w:tcW w:w="1389"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二次线</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紧固接头</w:t>
            </w:r>
            <w:r>
              <w:rPr>
                <w:rFonts w:ascii="宋体" w:hAnsi="宋体" w:cs="宋体"/>
                <w:sz w:val="24"/>
              </w:rPr>
            </w:r>
            <w:r/>
          </w:p>
        </w:tc>
      </w:tr>
      <w:tr>
        <w:trPr>
          <w:trHeight w:val="454"/>
        </w:trPr>
        <w:tc>
          <w:tcPr>
            <w:tcW w:w="1389"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框架式断路器</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定值查看（Ir1、Ir2、Ir3、Ir4），测试分合闸动作</w:t>
            </w:r>
            <w:r>
              <w:rPr>
                <w:rFonts w:ascii="宋体" w:hAnsi="宋体" w:cs="宋体"/>
                <w:sz w:val="24"/>
              </w:rPr>
            </w:r>
            <w:r/>
          </w:p>
        </w:tc>
      </w:tr>
      <w:tr>
        <w:trPr>
          <w:trHeight w:val="454"/>
        </w:trPr>
        <w:tc>
          <w:tcPr>
            <w:tcW w:w="1389"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指示灯</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ascii="宋体" w:hAnsi="宋体" w:cs="宋体"/>
                <w:sz w:val="24"/>
              </w:rPr>
              <w:t xml:space="preserve">分合闸指示</w:t>
            </w:r>
            <w:r>
              <w:rPr>
                <w:rFonts w:hint="eastAsia" w:ascii="宋体" w:hAnsi="宋体" w:cs="宋体"/>
                <w:sz w:val="24"/>
              </w:rPr>
              <w:t xml:space="preserve">是否</w:t>
            </w:r>
            <w:r>
              <w:rPr>
                <w:rFonts w:ascii="宋体" w:hAnsi="宋体" w:cs="宋体"/>
                <w:sz w:val="24"/>
              </w:rPr>
              <w:t xml:space="preserve">正常</w:t>
            </w:r>
            <w:r>
              <w:rPr>
                <w:rFonts w:ascii="宋体" w:hAnsi="宋体" w:cs="宋体"/>
                <w:sz w:val="24"/>
              </w:rPr>
            </w:r>
            <w:r/>
          </w:p>
        </w:tc>
      </w:tr>
      <w:tr>
        <w:trPr>
          <w:trHeight w:val="454"/>
        </w:trPr>
        <w:tc>
          <w:tcPr>
            <w:tcW w:w="1389"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仪表</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电流表、电压表是否正常</w:t>
            </w:r>
            <w:r>
              <w:rPr>
                <w:rFonts w:ascii="宋体" w:hAnsi="宋体" w:cs="宋体"/>
                <w:sz w:val="24"/>
              </w:rPr>
            </w:r>
            <w:r/>
          </w:p>
        </w:tc>
      </w:tr>
      <w:tr>
        <w:trPr>
          <w:trHeight w:val="454"/>
        </w:trPr>
        <w:tc>
          <w:tcPr>
            <w:tcW w:w="1389"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抽屉出线柜</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抽拉是否到位测试，手柄机构动作测试</w:t>
            </w:r>
            <w:r>
              <w:rPr>
                <w:rFonts w:ascii="宋体" w:hAnsi="宋体" w:cs="宋体"/>
                <w:sz w:val="24"/>
              </w:rPr>
            </w:r>
            <w:r/>
          </w:p>
        </w:tc>
      </w:tr>
      <w:tr>
        <w:trPr>
          <w:trHeight w:val="454"/>
        </w:trPr>
        <w:tc>
          <w:tcPr>
            <w:tcW w:w="1389" w:type="dxa"/>
            <w:vAlign w:val="center"/>
            <w:vMerge w:val="continue"/>
            <w:textDirection w:val="lrTb"/>
            <w:noWrap/>
          </w:tcPr>
          <w:p>
            <w:pPr>
              <w:pStyle w:val="995"/>
              <w:rPr>
                <w:rFonts w:ascii="宋体" w:hAnsi="宋体" w:cs="宋体"/>
                <w:sz w:val="24"/>
              </w:rPr>
            </w:pPr>
            <w:r>
              <w:rPr>
                <w:rFonts w:ascii="宋体" w:hAnsi="宋体" w:cs="宋体"/>
                <w:sz w:val="24"/>
              </w:rPr>
            </w:r>
            <w:r/>
          </w:p>
        </w:tc>
        <w:tc>
          <w:tcPr>
            <w:tcW w:w="2085" w:type="dxa"/>
            <w:vAlign w:val="center"/>
            <w:textDirection w:val="lrTb"/>
            <w:noWrap/>
          </w:tcPr>
          <w:p>
            <w:pPr>
              <w:pStyle w:val="995"/>
              <w:jc w:val="center"/>
              <w:rPr>
                <w:rFonts w:ascii="宋体" w:hAnsi="宋体" w:cs="宋体"/>
                <w:sz w:val="24"/>
              </w:rPr>
            </w:pPr>
            <w:r>
              <w:rPr>
                <w:rFonts w:hint="eastAsia" w:ascii="宋体" w:hAnsi="宋体" w:cs="宋体"/>
                <w:sz w:val="24"/>
              </w:rPr>
              <w:t xml:space="preserve">散热风扇</w:t>
            </w:r>
            <w:r>
              <w:rPr>
                <w:rFonts w:ascii="宋体" w:hAnsi="宋体" w:cs="宋体"/>
                <w:sz w:val="24"/>
              </w:rPr>
            </w:r>
            <w:r/>
          </w:p>
        </w:tc>
        <w:tc>
          <w:tcPr>
            <w:tcW w:w="5048" w:type="dxa"/>
            <w:vAlign w:val="center"/>
            <w:textDirection w:val="lrTb"/>
            <w:noWrap/>
          </w:tcPr>
          <w:p>
            <w:pPr>
              <w:pStyle w:val="995"/>
              <w:rPr>
                <w:rFonts w:ascii="宋体" w:hAnsi="宋体" w:cs="宋体"/>
                <w:sz w:val="24"/>
              </w:rPr>
            </w:pPr>
            <w:r>
              <w:rPr>
                <w:rFonts w:hint="eastAsia" w:ascii="宋体" w:hAnsi="宋体" w:cs="宋体"/>
                <w:sz w:val="24"/>
              </w:rPr>
              <w:t xml:space="preserve">手动测试散热风扇</w:t>
            </w:r>
            <w:r>
              <w:rPr>
                <w:rFonts w:ascii="宋体" w:hAnsi="宋体" w:cs="宋体"/>
                <w:sz w:val="24"/>
              </w:rPr>
            </w:r>
            <w:r/>
          </w:p>
        </w:tc>
      </w:tr>
    </w:tbl>
    <w:p>
      <w:pPr>
        <w:pStyle w:val="995"/>
        <w:ind w:firstLine="480"/>
        <w:jc w:val="left"/>
        <w:spacing w:line="360" w:lineRule="auto"/>
        <w:rPr>
          <w:rFonts w:ascii="宋体" w:hAnsi="宋体" w:cs="宋体"/>
          <w:b/>
          <w:bCs/>
          <w:sz w:val="24"/>
        </w:rPr>
      </w:pPr>
      <w:r>
        <w:rPr>
          <w:rFonts w:hint="eastAsia" w:ascii="宋体" w:hAnsi="宋体" w:cs="宋体"/>
          <w:bCs/>
          <w:sz w:val="24"/>
        </w:rPr>
        <w:t xml:space="preserve">2.2保养标准：</w:t>
      </w:r>
      <w:r>
        <w:rPr>
          <w:rFonts w:ascii="宋体" w:hAnsi="宋体" w:cs="宋体"/>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235"/>
        <w:gridCol w:w="3433"/>
        <w:gridCol w:w="2851"/>
      </w:tblGrid>
      <w:tr>
        <w:trPr>
          <w:trHeight w:val="454"/>
        </w:trPr>
        <w:tc>
          <w:tcPr>
            <w:tcW w:w="999" w:type="dxa"/>
            <w:vAlign w:val="center"/>
            <w:textDirection w:val="lrTb"/>
            <w:noWrap/>
          </w:tcPr>
          <w:p>
            <w:pPr>
              <w:pStyle w:val="995"/>
              <w:jc w:val="center"/>
              <w:rPr>
                <w:rFonts w:ascii="宋体" w:hAnsi="宋体"/>
                <w:sz w:val="24"/>
              </w:rPr>
            </w:pPr>
            <w:r>
              <w:rPr>
                <w:rFonts w:hint="eastAsia" w:ascii="宋体" w:hAnsi="宋体"/>
                <w:sz w:val="24"/>
              </w:rPr>
              <w:t xml:space="preserve">序号</w:t>
            </w:r>
            <w:r>
              <w:rPr>
                <w:rFonts w:ascii="宋体" w:hAnsi="宋体"/>
                <w:sz w:val="24"/>
              </w:rPr>
            </w:r>
            <w:r/>
          </w:p>
        </w:tc>
        <w:tc>
          <w:tcPr>
            <w:tcW w:w="1236" w:type="dxa"/>
            <w:vAlign w:val="center"/>
            <w:textDirection w:val="lrTb"/>
            <w:noWrap/>
          </w:tcPr>
          <w:p>
            <w:pPr>
              <w:pStyle w:val="995"/>
              <w:jc w:val="center"/>
              <w:rPr>
                <w:rFonts w:ascii="宋体" w:hAnsi="宋体"/>
                <w:sz w:val="24"/>
              </w:rPr>
            </w:pPr>
            <w:r>
              <w:rPr>
                <w:rFonts w:hint="eastAsia" w:ascii="宋体" w:hAnsi="宋体"/>
                <w:sz w:val="24"/>
              </w:rPr>
              <w:t xml:space="preserve">保养设备</w:t>
            </w:r>
            <w:r>
              <w:rPr>
                <w:rFonts w:ascii="宋体" w:hAnsi="宋体"/>
                <w:sz w:val="24"/>
              </w:rPr>
            </w:r>
            <w:r/>
          </w:p>
        </w:tc>
        <w:tc>
          <w:tcPr>
            <w:tcW w:w="3435" w:type="dxa"/>
            <w:vAlign w:val="center"/>
            <w:textDirection w:val="lrTb"/>
            <w:noWrap/>
          </w:tcPr>
          <w:p>
            <w:pPr>
              <w:pStyle w:val="995"/>
              <w:jc w:val="center"/>
              <w:rPr>
                <w:rFonts w:ascii="宋体" w:hAnsi="宋体"/>
                <w:sz w:val="24"/>
              </w:rPr>
            </w:pPr>
            <w:r>
              <w:rPr>
                <w:rFonts w:hint="eastAsia" w:ascii="宋体" w:hAnsi="宋体"/>
                <w:sz w:val="24"/>
              </w:rPr>
              <w:t xml:space="preserve">保养内容</w:t>
            </w:r>
            <w:r>
              <w:rPr>
                <w:rFonts w:ascii="宋体" w:hAnsi="宋体"/>
                <w:sz w:val="24"/>
              </w:rPr>
            </w:r>
            <w:r/>
          </w:p>
        </w:tc>
        <w:tc>
          <w:tcPr>
            <w:tcW w:w="2852" w:type="dxa"/>
            <w:vAlign w:val="center"/>
            <w:textDirection w:val="lrTb"/>
            <w:noWrap/>
          </w:tcPr>
          <w:p>
            <w:pPr>
              <w:pStyle w:val="995"/>
              <w:jc w:val="center"/>
              <w:rPr>
                <w:rFonts w:ascii="宋体" w:hAnsi="宋体"/>
                <w:sz w:val="24"/>
              </w:rPr>
            </w:pPr>
            <w:r>
              <w:rPr>
                <w:rFonts w:hint="eastAsia" w:ascii="宋体" w:hAnsi="宋体"/>
                <w:sz w:val="24"/>
              </w:rPr>
              <w:t xml:space="preserve">保养标准</w:t>
            </w:r>
            <w:r>
              <w:rPr>
                <w:rFonts w:ascii="宋体" w:hAnsi="宋体"/>
                <w:sz w:val="24"/>
              </w:rPr>
            </w:r>
            <w:r/>
          </w:p>
        </w:tc>
      </w:tr>
      <w:tr>
        <w:trPr>
          <w:trHeight w:val="454"/>
        </w:trPr>
        <w:tc>
          <w:tcPr>
            <w:tcW w:w="999" w:type="dxa"/>
            <w:vAlign w:val="center"/>
            <w:vMerge w:val="restart"/>
            <w:textDirection w:val="lrTb"/>
            <w:noWrap/>
          </w:tcPr>
          <w:p>
            <w:pPr>
              <w:pStyle w:val="995"/>
              <w:jc w:val="center"/>
              <w:rPr>
                <w:rFonts w:ascii="宋体" w:hAnsi="宋体"/>
                <w:sz w:val="24"/>
              </w:rPr>
            </w:pPr>
            <w:r>
              <w:rPr>
                <w:rFonts w:hint="eastAsia" w:ascii="宋体" w:hAnsi="宋体"/>
                <w:sz w:val="24"/>
              </w:rPr>
              <w:t xml:space="preserve">1</w:t>
            </w:r>
            <w:r>
              <w:rPr>
                <w:rFonts w:ascii="宋体" w:hAnsi="宋体"/>
                <w:sz w:val="24"/>
              </w:rPr>
            </w:r>
            <w:r/>
          </w:p>
        </w:tc>
        <w:tc>
          <w:tcPr>
            <w:tcW w:w="1236" w:type="dxa"/>
            <w:vAlign w:val="center"/>
            <w:vMerge w:val="restart"/>
            <w:textDirection w:val="lrTb"/>
            <w:noWrap/>
          </w:tcPr>
          <w:p>
            <w:pPr>
              <w:pStyle w:val="995"/>
              <w:jc w:val="center"/>
              <w:rPr>
                <w:rFonts w:ascii="宋体" w:hAnsi="宋体" w:cs="宋体"/>
                <w:sz w:val="24"/>
              </w:rPr>
            </w:pPr>
            <w:r>
              <w:rPr>
                <w:rFonts w:hint="eastAsia" w:ascii="宋体" w:hAnsi="宋体" w:cs="宋体"/>
                <w:sz w:val="24"/>
              </w:rPr>
              <w:t xml:space="preserve">高（低）压进线</w:t>
            </w: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bCs/>
                <w:sz w:val="24"/>
              </w:rPr>
              <w:t xml:space="preserve">检查令克</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更换有隐患令克</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bCs/>
                <w:sz w:val="24"/>
              </w:rPr>
              <w:t xml:space="preserve">检查高（低）压电缆头</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整改有损电缆头</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检查高（低）压进线周边的树木</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修剪存在触碰进线可能的周边树木</w:t>
            </w:r>
            <w:r>
              <w:rPr>
                <w:rFonts w:ascii="宋体" w:hAnsi="宋体" w:cs="宋体"/>
                <w:sz w:val="24"/>
              </w:rPr>
            </w:r>
            <w:r/>
          </w:p>
        </w:tc>
      </w:tr>
      <w:tr>
        <w:trPr>
          <w:trHeight w:val="454"/>
        </w:trPr>
        <w:tc>
          <w:tcPr>
            <w:tcW w:w="999" w:type="dxa"/>
            <w:vAlign w:val="center"/>
            <w:vMerge w:val="restart"/>
            <w:textDirection w:val="lrTb"/>
            <w:noWrap/>
          </w:tcPr>
          <w:p>
            <w:pPr>
              <w:pStyle w:val="995"/>
              <w:jc w:val="center"/>
              <w:rPr>
                <w:rFonts w:ascii="宋体" w:hAnsi="宋体"/>
                <w:sz w:val="24"/>
              </w:rPr>
            </w:pPr>
            <w:r>
              <w:rPr>
                <w:rFonts w:hint="eastAsia" w:ascii="宋体" w:hAnsi="宋体"/>
                <w:sz w:val="24"/>
              </w:rPr>
              <w:t xml:space="preserve">2</w:t>
            </w:r>
            <w:r>
              <w:rPr>
                <w:rFonts w:ascii="宋体" w:hAnsi="宋体"/>
                <w:sz w:val="24"/>
              </w:rPr>
            </w:r>
            <w:r/>
          </w:p>
        </w:tc>
        <w:tc>
          <w:tcPr>
            <w:tcW w:w="1236" w:type="dxa"/>
            <w:vAlign w:val="center"/>
            <w:vMerge w:val="restart"/>
            <w:textDirection w:val="lrTb"/>
            <w:noWrap/>
          </w:tcPr>
          <w:p>
            <w:pPr>
              <w:pStyle w:val="995"/>
              <w:jc w:val="center"/>
              <w:rPr>
                <w:rFonts w:ascii="宋体" w:hAnsi="宋体" w:cs="宋体"/>
                <w:sz w:val="24"/>
              </w:rPr>
            </w:pPr>
            <w:r>
              <w:rPr>
                <w:rFonts w:hint="eastAsia" w:ascii="宋体" w:hAnsi="宋体" w:cs="宋体"/>
                <w:sz w:val="24"/>
              </w:rPr>
              <w:t xml:space="preserve">高压开关柜</w:t>
            </w: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电缆头电缆未出现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查看综保</w:t>
            </w:r>
            <w:r>
              <w:rPr>
                <w:rFonts w:ascii="宋体" w:hAnsi="宋体" w:cs="宋体"/>
                <w:sz w:val="24"/>
              </w:rPr>
              <w:t xml:space="preserve">保护定值是否正确，保护压板（软、硬）是否正确投入或者切除</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综保</w:t>
            </w:r>
            <w:r>
              <w:rPr>
                <w:rFonts w:ascii="宋体" w:hAnsi="宋体" w:cs="宋体"/>
                <w:sz w:val="24"/>
              </w:rPr>
              <w:t xml:space="preserve">保护定值正确，保护压板（软、硬）正确投入或者切除</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检查真空断路器：</w:t>
            </w:r>
            <w:r>
              <w:rPr>
                <w:rFonts w:ascii="宋体" w:hAnsi="宋体" w:cs="宋体"/>
                <w:sz w:val="24"/>
              </w:rPr>
              <w:t xml:space="preserve">触头上凡士林或硅脂油，有无放电现象，触臂清灰，电动分合闸是否正常，</w:t>
            </w:r>
            <w:r>
              <w:rPr>
                <w:rFonts w:hint="eastAsia" w:ascii="宋体" w:hAnsi="宋体" w:cs="宋体"/>
                <w:sz w:val="24"/>
              </w:rPr>
              <w:t xml:space="preserve">有</w:t>
            </w:r>
            <w:r>
              <w:rPr>
                <w:rFonts w:ascii="宋体" w:hAnsi="宋体" w:cs="宋体"/>
                <w:sz w:val="24"/>
              </w:rPr>
              <w:t xml:space="preserve">无控制回路断线，电动储能是否正常</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真空断路器：</w:t>
            </w:r>
            <w:r>
              <w:rPr>
                <w:rFonts w:ascii="宋体" w:hAnsi="宋体" w:cs="宋体"/>
                <w:sz w:val="24"/>
              </w:rPr>
              <w:t xml:space="preserve">触头上凡士林或硅脂油，无放电现象，触臂清灰</w:t>
            </w:r>
            <w:r>
              <w:rPr>
                <w:rFonts w:hint="eastAsia" w:ascii="宋体" w:hAnsi="宋体" w:cs="宋体"/>
                <w:sz w:val="24"/>
              </w:rPr>
              <w:t xml:space="preserve">完成</w:t>
            </w:r>
            <w:r>
              <w:rPr>
                <w:rFonts w:ascii="宋体" w:hAnsi="宋体" w:cs="宋体"/>
                <w:sz w:val="24"/>
              </w:rPr>
              <w:t xml:space="preserve">，电动分合闸试验正常，无控制回路断线，电动储能正常</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柜内除湿器</w:t>
            </w:r>
            <w:r>
              <w:rPr>
                <w:rFonts w:ascii="宋体" w:hAnsi="宋体" w:cs="宋体"/>
                <w:sz w:val="24"/>
              </w:rPr>
              <w:t xml:space="preserve">工作是否正常，管子是否</w:t>
            </w:r>
            <w:r>
              <w:rPr>
                <w:rFonts w:hint="eastAsia" w:ascii="宋体" w:hAnsi="宋体" w:cs="宋体"/>
                <w:sz w:val="24"/>
              </w:rPr>
              <w:t xml:space="preserve">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柜内除湿器</w:t>
            </w:r>
            <w:r>
              <w:rPr>
                <w:rFonts w:ascii="宋体" w:hAnsi="宋体" w:cs="宋体"/>
                <w:sz w:val="24"/>
              </w:rPr>
              <w:t xml:space="preserve">工作正常，管子</w:t>
            </w:r>
            <w:r>
              <w:rPr>
                <w:rFonts w:hint="eastAsia" w:ascii="宋体" w:hAnsi="宋体" w:cs="宋体"/>
                <w:sz w:val="24"/>
              </w:rPr>
              <w:t xml:space="preserve">未有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储能是否显示正常</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储能显示正常</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转换开关</w:t>
            </w:r>
            <w:r>
              <w:rPr>
                <w:rFonts w:ascii="宋体" w:hAnsi="宋体" w:cs="宋体"/>
                <w:sz w:val="24"/>
              </w:rPr>
              <w:t xml:space="preserve">分合闸，电压切换是否工作正常</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转换开关</w:t>
            </w:r>
            <w:r>
              <w:rPr>
                <w:rFonts w:ascii="宋体" w:hAnsi="宋体" w:cs="宋体"/>
                <w:sz w:val="24"/>
              </w:rPr>
              <w:t xml:space="preserve">分合闸</w:t>
            </w:r>
            <w:r>
              <w:rPr>
                <w:rFonts w:hint="eastAsia" w:ascii="宋体" w:hAnsi="宋体" w:cs="宋体"/>
                <w:sz w:val="24"/>
              </w:rPr>
              <w:t xml:space="preserve">、</w:t>
            </w:r>
            <w:r>
              <w:rPr>
                <w:rFonts w:ascii="宋体" w:hAnsi="宋体" w:cs="宋体"/>
                <w:sz w:val="24"/>
              </w:rPr>
              <w:t xml:space="preserve">电压切换工作正常</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PT柜内</w:t>
            </w:r>
            <w:r>
              <w:rPr>
                <w:rFonts w:ascii="宋体" w:hAnsi="宋体" w:cs="宋体"/>
                <w:sz w:val="24"/>
              </w:rPr>
              <w:t xml:space="preserve">查看熔芯</w:t>
            </w:r>
            <w:r>
              <w:rPr>
                <w:rFonts w:hint="eastAsia" w:ascii="宋体" w:hAnsi="宋体" w:cs="宋体"/>
                <w:sz w:val="24"/>
              </w:rPr>
              <w:t xml:space="preserve">是否正常、电压显示是否正常</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PT柜内</w:t>
            </w:r>
            <w:r>
              <w:rPr>
                <w:rFonts w:ascii="宋体" w:hAnsi="宋体" w:cs="宋体"/>
                <w:sz w:val="24"/>
              </w:rPr>
              <w:t xml:space="preserve">查看熔芯</w:t>
            </w:r>
            <w:r>
              <w:rPr>
                <w:rFonts w:hint="eastAsia" w:ascii="宋体" w:hAnsi="宋体" w:cs="宋体"/>
                <w:sz w:val="24"/>
              </w:rPr>
              <w:t xml:space="preserve">正常、电压显示正常</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999" w:type="dxa"/>
            <w:vAlign w:val="center"/>
            <w:vMerge w:val="restart"/>
            <w:textDirection w:val="lrTb"/>
            <w:noWrap/>
          </w:tcPr>
          <w:p>
            <w:pPr>
              <w:pStyle w:val="995"/>
              <w:jc w:val="center"/>
              <w:rPr>
                <w:rFonts w:ascii="宋体" w:hAnsi="宋体"/>
                <w:sz w:val="24"/>
              </w:rPr>
            </w:pPr>
            <w:r>
              <w:rPr>
                <w:rFonts w:hint="eastAsia" w:ascii="宋体" w:hAnsi="宋体"/>
                <w:sz w:val="24"/>
              </w:rPr>
              <w:t xml:space="preserve">3</w:t>
            </w:r>
            <w:r>
              <w:rPr>
                <w:rFonts w:ascii="宋体" w:hAnsi="宋体"/>
                <w:sz w:val="24"/>
              </w:rPr>
            </w:r>
            <w:r/>
          </w:p>
        </w:tc>
        <w:tc>
          <w:tcPr>
            <w:tcW w:w="1236" w:type="dxa"/>
            <w:vAlign w:val="center"/>
            <w:vMerge w:val="restart"/>
            <w:textDirection w:val="lrTb"/>
            <w:noWrap/>
          </w:tcPr>
          <w:p>
            <w:pPr>
              <w:pStyle w:val="995"/>
              <w:jc w:val="center"/>
              <w:rPr>
                <w:rFonts w:ascii="宋体" w:hAnsi="宋体" w:cs="宋体"/>
                <w:sz w:val="24"/>
              </w:rPr>
            </w:pPr>
            <w:r>
              <w:rPr>
                <w:rFonts w:hint="eastAsia" w:ascii="宋体" w:hAnsi="宋体" w:cs="宋体"/>
                <w:sz w:val="24"/>
              </w:rPr>
              <w:t xml:space="preserve">变压器</w:t>
            </w: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检查母线夹螺丝是否松动</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母线夹螺丝紧固无松动</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电缆头电缆无</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查看铜排螺丝是否松动，是否出现铜绿现象</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铜排螺丝紧固无松动，未出现铜绿现象</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查看温控、风机</w:t>
            </w:r>
            <w:r>
              <w:rPr>
                <w:rFonts w:ascii="宋体" w:hAnsi="宋体" w:cs="宋体"/>
                <w:sz w:val="24"/>
              </w:rPr>
              <w:t xml:space="preserve">是否正常工作</w:t>
            </w:r>
            <w:r>
              <w:rPr>
                <w:rFonts w:hint="eastAsia" w:ascii="宋体" w:hAnsi="宋体" w:cs="宋体"/>
                <w:sz w:val="24"/>
              </w:rPr>
              <w:t xml:space="preserve">，手动启动风机查看风机是否正常工作</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手动启动风机，风机正常工作</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查看门锁</w:t>
            </w:r>
            <w:r>
              <w:rPr>
                <w:rFonts w:ascii="宋体" w:hAnsi="宋体" w:cs="宋体"/>
                <w:sz w:val="24"/>
              </w:rPr>
              <w:t xml:space="preserve">是否正常</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门锁开关</w:t>
            </w:r>
            <w:r>
              <w:rPr>
                <w:rFonts w:ascii="宋体" w:hAnsi="宋体" w:cs="宋体"/>
                <w:sz w:val="24"/>
              </w:rPr>
              <w:t xml:space="preserve">正常</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分接开关</w:t>
            </w:r>
            <w:r>
              <w:rPr>
                <w:rFonts w:ascii="宋体" w:hAnsi="宋体" w:cs="宋体"/>
                <w:sz w:val="24"/>
              </w:rPr>
              <w:t xml:space="preserve">档位螺丝</w:t>
            </w:r>
            <w:r>
              <w:rPr>
                <w:rFonts w:hint="eastAsia" w:ascii="宋体" w:hAnsi="宋体" w:cs="宋体"/>
                <w:sz w:val="24"/>
              </w:rPr>
              <w:t xml:space="preserve">是否有松动</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分接开关</w:t>
            </w:r>
            <w:r>
              <w:rPr>
                <w:rFonts w:ascii="宋体" w:hAnsi="宋体" w:cs="宋体"/>
                <w:sz w:val="24"/>
              </w:rPr>
              <w:t xml:space="preserve">档位螺</w:t>
            </w:r>
            <w:r>
              <w:rPr>
                <w:rFonts w:hint="eastAsia" w:ascii="宋体" w:hAnsi="宋体" w:cs="宋体"/>
                <w:sz w:val="24"/>
              </w:rPr>
              <w:t xml:space="preserve">丝无松动</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储油柜、瓷瓶等表面清灰</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储油柜、瓷瓶等表面清除灰尘</w:t>
            </w:r>
            <w:r>
              <w:rPr>
                <w:rFonts w:ascii="宋体" w:hAnsi="宋体" w:cs="宋体"/>
                <w:sz w:val="24"/>
              </w:rPr>
            </w:r>
            <w:r/>
          </w:p>
        </w:tc>
      </w:tr>
      <w:tr>
        <w:trPr>
          <w:trHeight w:val="454"/>
        </w:trPr>
        <w:tc>
          <w:tcPr>
            <w:tcW w:w="999" w:type="dxa"/>
            <w:vAlign w:val="center"/>
            <w:textDirection w:val="lrTb"/>
            <w:noWrap/>
          </w:tcPr>
          <w:p>
            <w:pPr>
              <w:pStyle w:val="995"/>
              <w:jc w:val="center"/>
              <w:rPr>
                <w:rFonts w:ascii="宋体" w:hAnsi="宋体"/>
                <w:sz w:val="24"/>
              </w:rPr>
            </w:pPr>
            <w:r>
              <w:rPr>
                <w:rFonts w:hint="eastAsia" w:ascii="宋体" w:hAnsi="宋体"/>
                <w:sz w:val="24"/>
              </w:rPr>
              <w:t xml:space="preserve">4</w:t>
            </w:r>
            <w:r>
              <w:rPr>
                <w:rFonts w:ascii="宋体" w:hAnsi="宋体"/>
                <w:sz w:val="24"/>
              </w:rPr>
            </w:r>
            <w:r/>
          </w:p>
        </w:tc>
        <w:tc>
          <w:tcPr>
            <w:tcW w:w="1236" w:type="dxa"/>
            <w:vAlign w:val="center"/>
            <w:textDirection w:val="lrTb"/>
            <w:noWrap/>
          </w:tcPr>
          <w:p>
            <w:pPr>
              <w:pStyle w:val="995"/>
              <w:jc w:val="center"/>
              <w:rPr>
                <w:rFonts w:ascii="宋体" w:hAnsi="宋体" w:cs="宋体"/>
                <w:sz w:val="24"/>
              </w:rPr>
            </w:pPr>
            <w:r>
              <w:rPr>
                <w:rFonts w:hint="eastAsia" w:ascii="宋体" w:hAnsi="宋体" w:cs="宋体"/>
                <w:sz w:val="24"/>
              </w:rPr>
              <w:t xml:space="preserve">电容柜</w:t>
            </w: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查看电容器、电抗器、复合开关、接触器、熔芯、转换开关、控制器、RUDK电流端子及风扇有无异常</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电容器、电抗器、复合开关、接触器、熔芯、转换开关、控制器、RUDK电流端子等端子紧固、风扇无异常</w:t>
            </w:r>
            <w:r>
              <w:rPr>
                <w:rFonts w:ascii="宋体" w:hAnsi="宋体" w:cs="宋体"/>
                <w:sz w:val="24"/>
              </w:rPr>
            </w:r>
            <w:r/>
          </w:p>
        </w:tc>
      </w:tr>
      <w:tr>
        <w:trPr>
          <w:trHeight w:val="454"/>
        </w:trPr>
        <w:tc>
          <w:tcPr>
            <w:tcW w:w="999" w:type="dxa"/>
            <w:vAlign w:val="center"/>
            <w:vMerge w:val="restart"/>
            <w:textDirection w:val="lrTb"/>
            <w:noWrap/>
          </w:tcPr>
          <w:p>
            <w:pPr>
              <w:pStyle w:val="995"/>
              <w:jc w:val="center"/>
              <w:rPr>
                <w:rFonts w:ascii="宋体" w:hAnsi="宋体"/>
                <w:sz w:val="24"/>
              </w:rPr>
            </w:pPr>
            <w:r>
              <w:rPr>
                <w:rFonts w:hint="eastAsia" w:ascii="宋体" w:hAnsi="宋体"/>
                <w:sz w:val="24"/>
              </w:rPr>
              <w:t xml:space="preserve">5</w:t>
            </w:r>
            <w:r>
              <w:rPr>
                <w:rFonts w:ascii="宋体" w:hAnsi="宋体"/>
                <w:sz w:val="24"/>
              </w:rPr>
            </w:r>
            <w:r/>
          </w:p>
        </w:tc>
        <w:tc>
          <w:tcPr>
            <w:tcW w:w="1236" w:type="dxa"/>
            <w:vAlign w:val="center"/>
            <w:vMerge w:val="restart"/>
            <w:textDirection w:val="lrTb"/>
            <w:noWrap/>
          </w:tcPr>
          <w:p>
            <w:pPr>
              <w:pStyle w:val="995"/>
              <w:jc w:val="center"/>
              <w:rPr>
                <w:rFonts w:ascii="宋体" w:hAnsi="宋体" w:cs="宋体"/>
                <w:sz w:val="24"/>
              </w:rPr>
            </w:pPr>
            <w:r>
              <w:rPr>
                <w:rFonts w:hint="eastAsia" w:ascii="宋体" w:hAnsi="宋体"/>
                <w:sz w:val="24"/>
              </w:rPr>
              <w:t xml:space="preserve">出线配电柜</w:t>
            </w: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检查母线夹螺丝是否松动</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母线夹螺丝未有松动</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检查电缆头电缆是否出现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端子紧固，电缆头电缆无</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查看铜排螺丝是否松动，是否出现铜绿现象</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铜排螺丝无松动，未出现铜绿现象</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检查二次线是否松动，有无虚接现象</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二次线未松动，无虚接现象</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框架式断路器定值查看（Ir1、Ir2、Ir3、Ir4）是否正常</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框架式断路器定值查看（Ir1、Ir2、Ir3、Ir4）正常</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w:t>
            </w:r>
            <w:r>
              <w:rPr>
                <w:rFonts w:ascii="宋体" w:hAnsi="宋体" w:cs="宋体"/>
                <w:sz w:val="24"/>
              </w:rPr>
              <w:t xml:space="preserve">分合闸指示</w:t>
            </w:r>
            <w:r>
              <w:rPr>
                <w:rFonts w:hint="eastAsia" w:ascii="宋体" w:hAnsi="宋体" w:cs="宋体"/>
                <w:sz w:val="24"/>
              </w:rPr>
              <w:t xml:space="preserve">灯是否</w:t>
            </w:r>
            <w:r>
              <w:rPr>
                <w:rFonts w:ascii="宋体" w:hAnsi="宋体" w:cs="宋体"/>
                <w:sz w:val="24"/>
              </w:rPr>
              <w:t xml:space="preserve">正常</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ascii="宋体" w:hAnsi="宋体" w:cs="宋体"/>
                <w:sz w:val="24"/>
              </w:rPr>
              <w:t xml:space="preserve">分合闸指示正常</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查看电流表、电压表是否正常</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电流表、电压表正常</w:t>
            </w:r>
            <w:r>
              <w:rPr>
                <w:rFonts w:ascii="宋体" w:hAnsi="宋体" w:cs="宋体"/>
                <w:sz w:val="24"/>
              </w:rPr>
            </w:r>
            <w:r/>
          </w:p>
        </w:tc>
      </w:tr>
      <w:tr>
        <w:trPr>
          <w:trHeight w:val="454"/>
        </w:trPr>
        <w:tc>
          <w:tcPr>
            <w:tcW w:w="999" w:type="dxa"/>
            <w:vAlign w:val="center"/>
            <w:vMerge w:val="continue"/>
            <w:textDirection w:val="lrTb"/>
            <w:noWrap/>
          </w:tcPr>
          <w:p>
            <w:pPr>
              <w:pStyle w:val="995"/>
              <w:jc w:val="center"/>
              <w:rPr>
                <w:rFonts w:ascii="宋体" w:hAnsi="宋体"/>
                <w:sz w:val="24"/>
              </w:rPr>
            </w:pPr>
            <w:r>
              <w:rPr>
                <w:rFonts w:ascii="宋体" w:hAnsi="宋体"/>
                <w:sz w:val="24"/>
              </w:rPr>
            </w:r>
            <w:r/>
          </w:p>
        </w:tc>
        <w:tc>
          <w:tcPr>
            <w:tcW w:w="1236" w:type="dxa"/>
            <w:vAlign w:val="center"/>
            <w:vMerge w:val="continue"/>
            <w:textDirection w:val="lrTb"/>
            <w:noWrap/>
          </w:tcPr>
          <w:p>
            <w:pPr>
              <w:pStyle w:val="995"/>
              <w:jc w:val="center"/>
              <w:rPr>
                <w:rFonts w:ascii="宋体" w:hAnsi="宋体" w:cs="宋体"/>
                <w:sz w:val="24"/>
              </w:rPr>
            </w:pPr>
            <w:r>
              <w:rPr>
                <w:rFonts w:ascii="宋体" w:hAnsi="宋体" w:cs="宋体"/>
                <w:sz w:val="24"/>
              </w:rPr>
            </w:r>
            <w:r/>
          </w:p>
        </w:tc>
        <w:tc>
          <w:tcPr>
            <w:tcW w:w="3435" w:type="dxa"/>
            <w:vAlign w:val="center"/>
            <w:textDirection w:val="lrTb"/>
            <w:noWrap/>
          </w:tcPr>
          <w:p>
            <w:pPr>
              <w:pStyle w:val="995"/>
              <w:rPr>
                <w:rFonts w:ascii="宋体" w:hAnsi="宋体" w:cs="宋体"/>
                <w:sz w:val="24"/>
              </w:rPr>
            </w:pPr>
            <w:r>
              <w:rPr>
                <w:rFonts w:hint="eastAsia" w:ascii="宋体" w:hAnsi="宋体" w:cs="宋体"/>
                <w:sz w:val="24"/>
              </w:rPr>
              <w:t xml:space="preserve">检查抽屉出线柜内抽拉是否到位，手柄机构是否正常</w:t>
            </w:r>
            <w:r>
              <w:rPr>
                <w:rFonts w:ascii="宋体" w:hAnsi="宋体" w:cs="宋体"/>
                <w:sz w:val="24"/>
              </w:rPr>
            </w:r>
            <w:r/>
          </w:p>
        </w:tc>
        <w:tc>
          <w:tcPr>
            <w:tcW w:w="2852" w:type="dxa"/>
            <w:vAlign w:val="center"/>
            <w:textDirection w:val="lrTb"/>
            <w:noWrap/>
          </w:tcPr>
          <w:p>
            <w:pPr>
              <w:pStyle w:val="995"/>
              <w:rPr>
                <w:rFonts w:ascii="宋体" w:hAnsi="宋体" w:cs="宋体"/>
                <w:sz w:val="24"/>
              </w:rPr>
            </w:pPr>
            <w:r>
              <w:rPr>
                <w:rFonts w:hint="eastAsia" w:ascii="宋体" w:hAnsi="宋体" w:cs="宋体"/>
                <w:sz w:val="24"/>
              </w:rPr>
              <w:t xml:space="preserve">抽屉出线柜内抽拉到位，手柄机构正常</w:t>
            </w:r>
            <w:r>
              <w:rPr>
                <w:rFonts w:ascii="宋体" w:hAnsi="宋体" w:cs="宋体"/>
                <w:sz w:val="24"/>
              </w:rPr>
            </w:r>
            <w:r/>
          </w:p>
        </w:tc>
      </w:tr>
    </w:tbl>
    <w:p>
      <w:pPr>
        <w:pStyle w:val="995"/>
        <w:jc w:val="left"/>
        <w:spacing w:line="360" w:lineRule="auto"/>
        <w:widowControl/>
        <w:rPr>
          <w:rFonts w:hint="eastAsia" w:ascii="宋体" w:hAnsi="宋体" w:cs="宋体"/>
          <w:b/>
          <w:sz w:val="24"/>
        </w:rPr>
        <w:sectPr>
          <w:footnotePr/>
          <w:endnotePr/>
          <w:type w:val="nextPage"/>
          <w:pgSz w:w="11907" w:h="16840" w:orient="portrait"/>
          <w:pgMar w:top="1440" w:right="1803" w:bottom="1440" w:left="1803" w:header="851" w:footer="851" w:gutter="0"/>
          <w:cols w:num="1" w:sep="0" w:space="1701" w:equalWidth="1"/>
          <w:docGrid w:linePitch="360"/>
        </w:sectPr>
        <w:outlineLvl w:val="1"/>
      </w:pPr>
      <w:r>
        <w:rPr>
          <w:rFonts w:hint="eastAsia" w:ascii="宋体" w:hAnsi="宋体" w:cs="宋体"/>
          <w:b/>
          <w:sz w:val="24"/>
        </w:rPr>
      </w:r>
      <w:r/>
    </w:p>
    <w:p>
      <w:pPr>
        <w:pStyle w:val="995"/>
        <w:jc w:val="left"/>
        <w:spacing w:line="360" w:lineRule="auto"/>
        <w:widowControl/>
        <w:rPr>
          <w:rFonts w:hint="eastAsia" w:ascii="宋体" w:hAnsi="宋体" w:cs="宋体"/>
          <w:b/>
          <w:sz w:val="24"/>
        </w:rPr>
        <w:outlineLvl w:val="1"/>
      </w:pPr>
      <w:r>
        <w:rPr>
          <w:rFonts w:hint="eastAsia" w:ascii="宋体" w:hAnsi="宋体" w:cs="宋体"/>
          <w:b/>
          <w:sz w:val="24"/>
        </w:rPr>
        <w:t xml:space="preserve">附件3：部分抢修维修基准单价表</w:t>
      </w:r>
      <w:r>
        <w:rPr>
          <w:rFonts w:hint="eastAsia" w:ascii="宋体" w:hAnsi="宋体" w:cs="宋体"/>
          <w:b/>
          <w:sz w:val="24"/>
        </w:rPr>
      </w:r>
      <w:r/>
    </w:p>
    <w:tbl>
      <w:tblPr>
        <w:tblW w:w="97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2847"/>
        <w:gridCol w:w="3098"/>
        <w:gridCol w:w="765"/>
        <w:gridCol w:w="988"/>
        <w:gridCol w:w="1340"/>
      </w:tblGrid>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b/>
                <w:bCs/>
                <w:sz w:val="18"/>
                <w:szCs w:val="18"/>
              </w:rPr>
            </w:pPr>
            <w:r>
              <w:rPr>
                <w:rFonts w:hint="eastAsia" w:ascii="宋体" w:hAnsi="宋体" w:cs="宋体"/>
                <w:b/>
                <w:bCs/>
                <w:sz w:val="18"/>
                <w:szCs w:val="18"/>
              </w:rPr>
              <w:t xml:space="preserve">项目名称</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b/>
                <w:bCs/>
                <w:sz w:val="18"/>
                <w:szCs w:val="18"/>
              </w:rPr>
            </w:pPr>
            <w:r>
              <w:rPr>
                <w:rFonts w:ascii="宋体" w:hAnsi="宋体"/>
                <w:b/>
                <w:bCs/>
                <w:sz w:val="18"/>
                <w:szCs w:val="18"/>
              </w:rPr>
              <w:t xml:space="preserve">规格型号</w:t>
            </w:r>
            <w:r>
              <w:rPr>
                <w:rFonts w:ascii="宋体" w:hAnsi="宋体"/>
                <w:b/>
                <w:bCs/>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b/>
                <w:bCs/>
                <w:sz w:val="18"/>
                <w:szCs w:val="18"/>
              </w:rPr>
            </w:pPr>
            <w:r>
              <w:rPr>
                <w:rFonts w:hint="eastAsia" w:ascii="宋体" w:hAnsi="宋体" w:cs="宋体"/>
                <w:b/>
                <w:bCs/>
                <w:sz w:val="18"/>
                <w:szCs w:val="18"/>
              </w:rPr>
              <w:t xml:space="preserve">单位</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b/>
                <w:bCs/>
                <w:sz w:val="18"/>
                <w:szCs w:val="18"/>
              </w:rPr>
            </w:pPr>
            <w:r>
              <w:rPr>
                <w:rFonts w:ascii="宋体" w:hAnsi="宋体"/>
                <w:b/>
                <w:bCs/>
                <w:sz w:val="18"/>
                <w:szCs w:val="18"/>
              </w:rPr>
              <w:t xml:space="preserve">单价</w:t>
            </w:r>
            <w:r>
              <w:rPr>
                <w:rFonts w:ascii="宋体" w:hAnsi="宋体"/>
                <w:b/>
                <w:bCs/>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b/>
                <w:bCs/>
                <w:sz w:val="18"/>
                <w:szCs w:val="18"/>
              </w:rPr>
            </w:pPr>
            <w:r>
              <w:rPr>
                <w:rFonts w:hint="eastAsia" w:ascii="宋体" w:hAnsi="宋体" w:cs="宋体"/>
                <w:b/>
                <w:bCs/>
                <w:sz w:val="18"/>
                <w:szCs w:val="18"/>
              </w:rPr>
              <w:t xml:space="preserve">备注</w:t>
            </w:r>
            <w:r>
              <w:rPr>
                <w:rFonts w:ascii="宋体" w:hAnsi="宋体" w:cs="宋体"/>
                <w:b/>
                <w:bCs/>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bCs/>
                <w:sz w:val="18"/>
                <w:szCs w:val="18"/>
              </w:rPr>
            </w:pPr>
            <w:r>
              <w:rPr>
                <w:rFonts w:hint="eastAsia" w:ascii="宋体" w:hAnsi="宋体" w:cs="宋体"/>
                <w:color w:val="000000"/>
                <w:sz w:val="18"/>
                <w:szCs w:val="18"/>
              </w:rPr>
              <w:t xml:space="preserve">1</w:t>
            </w:r>
            <w:r>
              <w:rPr>
                <w:rFonts w:ascii="宋体" w:hAnsi="宋体" w:cs="宋体"/>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428</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b/>
                <w:bCs/>
                <w:sz w:val="18"/>
                <w:szCs w:val="18"/>
              </w:rPr>
            </w:pPr>
            <w:r>
              <w:rPr>
                <w:rFonts w:hint="eastAsia" w:ascii="宋体" w:hAnsi="宋体" w:cs="宋体"/>
                <w:color w:val="000000"/>
                <w:sz w:val="18"/>
                <w:szCs w:val="18"/>
              </w:rPr>
              <w:t xml:space="preserve">2</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户外</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868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防火封堵</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柜盘/管道</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悬式瓷瓶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XP70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可视化电缆盖板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600*600</w:t>
            </w:r>
            <w:r>
              <w:rPr>
                <w:rFonts w:hint="eastAsia" w:ascii="宋体" w:hAnsi="宋体"/>
                <w:sz w:val="18"/>
                <w:szCs w:val="18"/>
              </w:rPr>
              <w:t xml:space="preserve">；</w:t>
            </w:r>
            <w:r>
              <w:rPr>
                <w:rFonts w:ascii="宋体" w:hAnsi="宋体"/>
                <w:sz w:val="18"/>
                <w:szCs w:val="18"/>
              </w:rPr>
              <w:t xml:space="preserve">含安装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带电作业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车辆台班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8T及以下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叉车台班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吊车台班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吊车台班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跌落熔断器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RW12-15 100A以下 含熔管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跌落熔管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RW12-15 100A以下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高压PT熔管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XRNP1-10/12KV/0.5A 1A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环网柜熔管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XRNT-10kV-80A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sz w:val="18"/>
                <w:szCs w:val="18"/>
              </w:rPr>
            </w:pPr>
            <w:r>
              <w:rPr>
                <w:rFonts w:ascii="宋体" w:hAnsi="宋体"/>
                <w:sz w:val="18"/>
                <w:szCs w:val="18"/>
              </w:rPr>
              <w:t xml:space="preserve">480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微机综保</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PCS-9600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南瑞</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微机综保</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PSL641UX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南自</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HY5WZ-17/50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HY5WZ-17/45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避雷器计数器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JS-8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LZZBJ9-10 不区分变比</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10kV电压互感器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JDZ10-10 不区分变比</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带电显示器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DXN-T/Q 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高压接地开关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JN15-12/31.5-210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柜内除湿器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半导体冷凝</w:t>
            </w:r>
            <w:r>
              <w:rPr>
                <w:rFonts w:hint="eastAsia" w:ascii="宋体" w:hAnsi="宋体"/>
                <w:sz w:val="18"/>
                <w:szCs w:val="18"/>
              </w:rPr>
              <w:t xml:space="preserve">；</w:t>
            </w:r>
            <w:r>
              <w:rPr>
                <w:rFonts w:ascii="宋体" w:hAnsi="宋体"/>
                <w:sz w:val="18"/>
                <w:szCs w:val="18"/>
              </w:rPr>
              <w:t xml:space="preserve">AC220V 120W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穿墙套管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180*110/12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电加热器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DJR-500W AC220V 铝合金 带风扇</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10kV传感器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CG5-10Q</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10kV绝缘子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H140/12kV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静触头盒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CH3-10Q/150 630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静触头盒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CH3-10Q/180 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静触头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630/10kV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静触头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1250/10kV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动触头(梅花)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GC5 630A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动触头(梅花)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GC5 1250A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中置柜活门机构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800宽</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VS1分闸线圈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ZN63-12 DC</w:t>
            </w:r>
            <w:r>
              <w:rPr>
                <w:rFonts w:hint="eastAsia" w:ascii="宋体" w:hAnsi="宋体"/>
                <w:sz w:val="18"/>
                <w:szCs w:val="18"/>
              </w:rPr>
              <w:t xml:space="preserve">；</w:t>
            </w:r>
            <w:r>
              <w:rPr>
                <w:rFonts w:ascii="宋体" w:hAnsi="宋体"/>
                <w:sz w:val="18"/>
                <w:szCs w:val="18"/>
              </w:rPr>
              <w:t xml:space="preserve">110/220V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真空断路器分闸线圈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EV12S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真空断路器厂家测试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EV12S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安全工器具试验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绝缘手套、绝缘靴、验电笔、令克棒、绝缘垫</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付/块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安全工器具试验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接地棒</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温度控制器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BWDK-326D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配变电磁锁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适用各类箱变、高低压柜</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铰链/锁扣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适用各类箱变、高低压柜、配电柜</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配变冷却风机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适用各类干变</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配变密封圈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低压</w:t>
            </w:r>
            <w:r>
              <w:rPr>
                <w:rFonts w:hint="eastAsia" w:ascii="宋体" w:hAnsi="宋体"/>
                <w:sz w:val="18"/>
                <w:szCs w:val="18"/>
              </w:rPr>
              <w:t xml:space="preserve">，</w:t>
            </w:r>
            <w:r>
              <w:rPr>
                <w:rFonts w:ascii="宋体" w:hAnsi="宋体"/>
                <w:sz w:val="18"/>
                <w:szCs w:val="18"/>
              </w:rPr>
              <w:t xml:space="preserve">0.4kV，4只/套</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配变密封圈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高压</w:t>
            </w:r>
            <w:r>
              <w:rPr>
                <w:rFonts w:hint="eastAsia" w:ascii="宋体" w:hAnsi="宋体"/>
                <w:sz w:val="18"/>
                <w:szCs w:val="18"/>
              </w:rPr>
              <w:t xml:space="preserve">，</w:t>
            </w:r>
            <w:r>
              <w:rPr>
                <w:rFonts w:ascii="宋体" w:hAnsi="宋体"/>
                <w:sz w:val="18"/>
                <w:szCs w:val="18"/>
              </w:rPr>
              <w:t xml:space="preserve">10kV，3只/套</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变压器油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DB-25#</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kg</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变压器减震器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500kg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NSX100N/3P TMD 16~100A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1238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NSX160N/3P TMD 80~160A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1986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NSX250N/3P TMD 125~250A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2801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NSX400N/3P TMD 250~400A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3674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NSX630N/3P TMD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6607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CM3-100L/3300</w:t>
            </w:r>
            <w:r>
              <w:rPr>
                <w:rFonts w:hint="eastAsia" w:ascii="宋体" w:hAnsi="宋体"/>
                <w:sz w:val="18"/>
                <w:szCs w:val="18"/>
              </w:rPr>
              <w:t xml:space="preserve">；</w:t>
            </w:r>
            <w:r>
              <w:rPr>
                <w:rFonts w:ascii="宋体" w:hAnsi="宋体"/>
                <w:sz w:val="18"/>
                <w:szCs w:val="18"/>
              </w:rPr>
              <w:t xml:space="preserve">63~100A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574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CM3-250L/3300</w:t>
            </w:r>
            <w:r>
              <w:rPr>
                <w:rFonts w:hint="eastAsia" w:ascii="宋体" w:hAnsi="宋体"/>
                <w:sz w:val="18"/>
                <w:szCs w:val="18"/>
              </w:rPr>
              <w:t xml:space="preserve">；</w:t>
            </w:r>
            <w:r>
              <w:rPr>
                <w:rFonts w:ascii="宋体" w:hAnsi="宋体"/>
                <w:sz w:val="18"/>
                <w:szCs w:val="18"/>
              </w:rPr>
              <w:t xml:space="preserve">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1204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CM3-400L/3300</w:t>
            </w:r>
            <w:r>
              <w:rPr>
                <w:rFonts w:hint="eastAsia" w:ascii="宋体" w:hAnsi="宋体"/>
                <w:sz w:val="18"/>
                <w:szCs w:val="18"/>
              </w:rPr>
              <w:t xml:space="preserve">；</w:t>
            </w:r>
            <w:r>
              <w:rPr>
                <w:rFonts w:ascii="宋体" w:hAnsi="宋体"/>
                <w:sz w:val="18"/>
                <w:szCs w:val="18"/>
              </w:rPr>
              <w:t xml:space="preserve">225~400A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1506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CM3-100L/3340</w:t>
            </w:r>
            <w:r>
              <w:rPr>
                <w:rFonts w:hint="eastAsia" w:ascii="宋体" w:hAnsi="宋体"/>
                <w:sz w:val="18"/>
                <w:szCs w:val="18"/>
              </w:rPr>
              <w:t xml:space="preserve">；</w:t>
            </w:r>
            <w:r>
              <w:rPr>
                <w:rFonts w:ascii="宋体" w:hAnsi="宋体"/>
                <w:sz w:val="18"/>
                <w:szCs w:val="18"/>
              </w:rPr>
              <w:t xml:space="preserve">63~100A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701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CM3-250L/3340</w:t>
            </w:r>
            <w:r>
              <w:rPr>
                <w:rFonts w:hint="eastAsia" w:ascii="宋体" w:hAnsi="宋体"/>
                <w:sz w:val="18"/>
                <w:szCs w:val="18"/>
              </w:rPr>
              <w:t xml:space="preserve">；</w:t>
            </w:r>
            <w:r>
              <w:rPr>
                <w:rFonts w:ascii="宋体" w:hAnsi="宋体"/>
                <w:sz w:val="18"/>
                <w:szCs w:val="18"/>
              </w:rPr>
              <w:t xml:space="preserve">100~250A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1346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CM3-400L/3340</w:t>
            </w:r>
            <w:r>
              <w:rPr>
                <w:rFonts w:hint="eastAsia" w:ascii="宋体" w:hAnsi="宋体"/>
                <w:sz w:val="18"/>
                <w:szCs w:val="18"/>
              </w:rPr>
              <w:t xml:space="preserve">；</w:t>
            </w:r>
            <w:r>
              <w:rPr>
                <w:rFonts w:ascii="宋体" w:hAnsi="宋体"/>
                <w:sz w:val="18"/>
                <w:szCs w:val="18"/>
              </w:rPr>
              <w:t xml:space="preserve">225~400A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1506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1P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1P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182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2P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2P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3P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3P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288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4P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4P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384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3P D16~32A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266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3P D40~63A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63/1P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63/2P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63/3P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63/4P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OT160E-03K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1067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OT200E-03K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OT250E-03K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1699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OT400E-03K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OT630E-03K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4752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OT800E-03K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7135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WG160/3P</w:t>
            </w:r>
            <w:r>
              <w:rPr>
                <w:rFonts w:hint="eastAsia" w:ascii="宋体" w:hAnsi="宋体"/>
                <w:sz w:val="18"/>
                <w:szCs w:val="18"/>
              </w:rPr>
              <w:t xml:space="preserve">；</w:t>
            </w:r>
            <w:r>
              <w:rPr>
                <w:rFonts w:ascii="宋体" w:hAnsi="宋体"/>
                <w:sz w:val="18"/>
                <w:szCs w:val="18"/>
              </w:rPr>
              <w:t xml:space="preserve">100~160A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643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WG315/3P</w:t>
            </w:r>
            <w:r>
              <w:rPr>
                <w:rFonts w:hint="eastAsia" w:ascii="宋体" w:hAnsi="宋体"/>
                <w:sz w:val="18"/>
                <w:szCs w:val="18"/>
              </w:rPr>
              <w:t xml:space="preserve">；</w:t>
            </w:r>
            <w:r>
              <w:rPr>
                <w:rFonts w:ascii="宋体" w:hAnsi="宋体"/>
                <w:sz w:val="18"/>
                <w:szCs w:val="18"/>
              </w:rPr>
              <w:t xml:space="preserve">160~250A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WG315/3P</w:t>
            </w:r>
            <w:r>
              <w:rPr>
                <w:rFonts w:hint="eastAsia" w:ascii="宋体" w:hAnsi="宋体"/>
                <w:sz w:val="18"/>
                <w:szCs w:val="18"/>
              </w:rPr>
              <w:t xml:space="preserve">；</w:t>
            </w:r>
            <w:r>
              <w:rPr>
                <w:rFonts w:ascii="宋体" w:hAnsi="宋体"/>
                <w:sz w:val="18"/>
                <w:szCs w:val="18"/>
              </w:rPr>
              <w:t xml:space="preserve">315A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WG400/3P</w:t>
            </w:r>
            <w:r>
              <w:rPr>
                <w:rFonts w:hint="eastAsia" w:ascii="宋体" w:hAnsi="宋体"/>
                <w:sz w:val="18"/>
                <w:szCs w:val="18"/>
              </w:rPr>
              <w:t xml:space="preserve">；</w:t>
            </w:r>
            <w:r>
              <w:rPr>
                <w:rFonts w:ascii="宋体" w:hAnsi="宋体"/>
                <w:sz w:val="18"/>
                <w:szCs w:val="18"/>
              </w:rPr>
              <w:t xml:space="preserve">315~400A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1419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500A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1938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630A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800A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QA-125A/3P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QA-160A/3P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QA-200A/3P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QA-400A/3P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QA-630A/3P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1458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QA-1000A/3P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2959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HD13-200A/31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HD13-400A/31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466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HD13-630A/31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HD13-1000A/31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1295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HD13-1500A/31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160A及以下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160A及以下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250A及以下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250A及以下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400A及以下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400A及以下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630A及以下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630A及以下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800A及以下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RT16/NT 800A及以下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快速熔断器熔芯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RS71/NGT</w:t>
            </w:r>
            <w:r>
              <w:rPr>
                <w:rFonts w:hint="eastAsia" w:ascii="宋体" w:hAnsi="宋体"/>
                <w:sz w:val="18"/>
                <w:szCs w:val="18"/>
              </w:rPr>
              <w:t xml:space="preserve">；</w:t>
            </w:r>
            <w:r>
              <w:rPr>
                <w:rFonts w:ascii="宋体" w:hAnsi="宋体"/>
                <w:sz w:val="18"/>
                <w:szCs w:val="18"/>
              </w:rPr>
              <w:t xml:space="preserve">250~800A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母线框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不区分柜型、母线规格</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低压开关操作手柄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指示灯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AD11-22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旋钮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LA18-22X2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LA38-11B(T)</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2节 二档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3节 三档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4节 四档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限位开关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YBLX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BH-0.66 600/5A及以下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BH-0.66 800/5A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1000/5A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LQ96L LED 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ZEF96L LED 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电压表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6L2-V-0-250(450)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6L2-A-5~4000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电度表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DTZ63</w:t>
            </w:r>
            <w:r>
              <w:rPr>
                <w:rFonts w:hint="eastAsia" w:ascii="宋体" w:hAnsi="宋体"/>
                <w:sz w:val="18"/>
                <w:szCs w:val="18"/>
              </w:rPr>
              <w:t xml:space="preserve">；</w:t>
            </w:r>
            <w:r>
              <w:rPr>
                <w:rFonts w:ascii="宋体" w:hAnsi="宋体"/>
                <w:sz w:val="18"/>
                <w:szCs w:val="18"/>
              </w:rPr>
              <w:t xml:space="preserve">3*1.6（5）A</w:t>
            </w:r>
            <w:r>
              <w:rPr>
                <w:rFonts w:hint="eastAsia" w:ascii="宋体" w:hAnsi="宋体"/>
                <w:sz w:val="18"/>
                <w:szCs w:val="18"/>
              </w:rPr>
              <w:t xml:space="preserve">；</w:t>
            </w:r>
            <w:r>
              <w:rPr>
                <w:rFonts w:ascii="宋体" w:hAnsi="宋体"/>
                <w:sz w:val="18"/>
                <w:szCs w:val="18"/>
              </w:rPr>
              <w:t xml:space="preserve">0.5S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HH52P~54P</w:t>
            </w:r>
            <w:r>
              <w:rPr>
                <w:rFonts w:hint="eastAsia" w:ascii="宋体" w:hAnsi="宋体"/>
                <w:sz w:val="18"/>
                <w:szCs w:val="18"/>
              </w:rPr>
              <w:t xml:space="preserve">；</w:t>
            </w:r>
            <w:r>
              <w:rPr>
                <w:rFonts w:ascii="宋体" w:hAnsi="宋体"/>
                <w:sz w:val="18"/>
                <w:szCs w:val="18"/>
              </w:rPr>
              <w:t xml:space="preserve">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国优</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RXM2A~4A 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99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通风风机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TXA60S-200B2H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过滤网罩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TX9805-200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220" w:leader="none"/>
                <w:tab w:val="center" w:pos="407" w:leader="none"/>
              </w:tabs>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TD20A-10P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UK-2.5B/3N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UK-2.5N/3N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断路器智能控制器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断路器智能控制器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三锁两钥匙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三锁两钥匙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欠压线圈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欠压线圈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抽屉动静插件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MNS/GCK，C7C2，100~630A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柜门及柜板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2.0mm</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塑壳开关绝缘挡板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低压抽屉故障排查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框架断路器桩头清洗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框架断路器返厂拆检</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框架断路器定值整定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HH15(QSA)-160/3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HH15(QSA)-250/3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HH15(QSA)-400/3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993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HH15(QSA)-630/3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HH15(QSA)-800/3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HH15(QSA)-1000/3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4830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动态补偿控制器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JKW5-16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静态补偿控制器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JKL5-12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功率因素表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6L2-COS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MDDQFK-</w:t>
            </w:r>
            <w:r>
              <w:rPr>
                <w:rFonts w:ascii="宋体" w:hAnsi="宋体" w:cs="Cambria Math"/>
                <w:sz w:val="18"/>
                <w:szCs w:val="18"/>
              </w:rPr>
              <w:t xml:space="preserve">△</w:t>
            </w:r>
            <w:r>
              <w:rPr>
                <w:rFonts w:ascii="宋体" w:hAnsi="宋体"/>
                <w:sz w:val="18"/>
                <w:szCs w:val="18"/>
              </w:rPr>
              <w:t xml:space="preserve">380V-3kvar</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LBFK-32AY-250V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谐波抑制器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LXY0.45-3-3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投切器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LBT50/G 50kVar</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3281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MDDQT3C2-40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MDDQT3C2-25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CJ19-32/11 220V/380V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CJ19-43/11 220V/380V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CJ19-63/11 220V/380V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热继电器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JR36-20 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热继电器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JR36-63 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BSMJ0.45-10-3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BSMJ0.45-14-3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BSMJ0.45-16-3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BSMJ0.45-20-3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BSMJ0.45-30-3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BSMJ0.45-40-3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BSMJ0.25-10-3YN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BSMJ0.25-16-3YN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BSMJ0.25-20-3YN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BSMJ0.25-25-3YN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BSMJ0.25-30-3YN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BSMJ0.25-40-3YN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电抗器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CKSG-2.8/0.48/7%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JLFK-63A/</w:t>
            </w:r>
            <w:r>
              <w:rPr>
                <w:rFonts w:ascii="宋体" w:hAnsi="宋体" w:cs="Cambria Math"/>
                <w:sz w:val="18"/>
                <w:szCs w:val="18"/>
              </w:rPr>
              <w:t xml:space="preserve">△</w:t>
            </w:r>
            <w:r>
              <w:rPr>
                <w:rFonts w:ascii="宋体" w:hAnsi="宋体"/>
                <w:sz w:val="18"/>
                <w:szCs w:val="18"/>
              </w:rPr>
              <w:t xml:space="preserve">400V-CS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JLKCS3F0.25-15*3-1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JLMJ0.28-40-3YN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电抗器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JLCKDG0.28-0.933/7%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无功补偿组件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电容+电抗+可控硅 NL-SMT480-30-R7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199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无功补偿组件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电容+电抗+可控硅 NL-SMT480-20-R7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DN-MKPd0.25-8.33-1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DN-MKPd0.44-40-3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color w:val="000000"/>
                <w:sz w:val="18"/>
                <w:szCs w:val="18"/>
              </w:rPr>
            </w:pPr>
            <w:r>
              <w:rPr>
                <w:rFonts w:hint="eastAsia" w:ascii="宋体" w:hAnsi="宋体" w:cs="宋体"/>
                <w:color w:val="000000"/>
                <w:sz w:val="18"/>
                <w:szCs w:val="18"/>
              </w:rPr>
              <w:t xml:space="preserve">202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SVG柜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STD SVG-0.4-300k/4L</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82000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hint="eastAsia" w:ascii="宋体" w:hAnsi="宋体" w:cs="宋体"/>
                <w:sz w:val="18"/>
                <w:szCs w:val="18"/>
              </w:rPr>
            </w:pPr>
            <w:r>
              <w:rPr>
                <w:rFonts w:hint="eastAsia" w:ascii="宋体" w:hAnsi="宋体" w:cs="宋体"/>
                <w:sz w:val="18"/>
                <w:szCs w:val="18"/>
              </w:rPr>
              <w:t xml:space="preserve">国产优质</w:t>
            </w:r>
            <w:r>
              <w:rPr>
                <w:rFonts w:hint="eastAsia"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12V 20AH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12V 40AH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12V 65AH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12V 100AH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直流屏充电模块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综合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直流屏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DC110V 20Ah，含蓄电池</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PZ30-8S</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PZ30-15S</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200*300(H)*200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300*400(H)*200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400*600(H)*200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600*800(H)*200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配电柜体(壳)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400*800*1800(H)</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风机控制箱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1*1.5kW</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元器件常熟</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控制电缆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KVVP-4*1.5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通讯电缆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ATSP-RS485 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通讯电缆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RVVSP 3*1.5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防火封堵</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柜盘/管道</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砖砌电缆井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卷帘门按钮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304面板</w:t>
            </w:r>
            <w:r>
              <w:rPr>
                <w:rFonts w:hint="eastAsia" w:ascii="宋体" w:hAnsi="宋体"/>
                <w:sz w:val="18"/>
                <w:szCs w:val="18"/>
              </w:rPr>
              <w:t xml:space="preserve">；</w:t>
            </w:r>
            <w:r>
              <w:rPr>
                <w:rFonts w:ascii="宋体" w:hAnsi="宋体"/>
                <w:sz w:val="18"/>
                <w:szCs w:val="18"/>
              </w:rPr>
              <w:t xml:space="preserve">2钥匙</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混流风机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AUX-DF3.5B</w:t>
            </w:r>
            <w:r>
              <w:rPr>
                <w:rFonts w:hint="eastAsia" w:ascii="宋体" w:hAnsi="宋体"/>
                <w:sz w:val="18"/>
                <w:szCs w:val="18"/>
              </w:rPr>
              <w:t xml:space="preserve">；</w:t>
            </w:r>
            <w:r>
              <w:rPr>
                <w:rFonts w:ascii="宋体" w:hAnsi="宋体"/>
                <w:sz w:val="18"/>
                <w:szCs w:val="18"/>
              </w:rPr>
              <w:t xml:space="preserve">500W</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单层百叶风口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500*320</w:t>
            </w:r>
            <w:r>
              <w:rPr>
                <w:rFonts w:hint="eastAsia" w:ascii="宋体" w:hAnsi="宋体"/>
                <w:sz w:val="18"/>
                <w:szCs w:val="18"/>
              </w:rPr>
              <w:t xml:space="preserve">；</w:t>
            </w:r>
            <w:r>
              <w:rPr>
                <w:rFonts w:ascii="宋体" w:hAnsi="宋体"/>
                <w:sz w:val="18"/>
                <w:szCs w:val="18"/>
              </w:rPr>
              <w:t xml:space="preserve">铝合金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柜内清扫</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控制柜/控制箱</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柜内防锈处理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门板焊接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触摸屏组态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NSX100N/3P MIC 40~160A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3179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NSX250N/3P MIC 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7218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NSX400N/3P MIC 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NSX630N/3P MIC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13149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NSX100N/4P MIC 40~160A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7432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NSX250N/4P MIC 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9877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NSX400N/4P MIC 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NSX630N/4P MIC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13855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2P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2P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441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3P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529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3P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4P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iC65N Vigi 4P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DPNa Vigi 1P+N</w:t>
            </w:r>
            <w:r>
              <w:rPr>
                <w:rFonts w:hint="eastAsia" w:ascii="宋体" w:hAnsi="宋体"/>
                <w:sz w:val="18"/>
                <w:szCs w:val="18"/>
              </w:rPr>
              <w:t xml:space="preserve">；</w:t>
            </w:r>
            <w:r>
              <w:rPr>
                <w:rFonts w:ascii="宋体" w:hAnsi="宋体"/>
                <w:sz w:val="18"/>
                <w:szCs w:val="18"/>
              </w:rPr>
              <w:t xml:space="preserve">C16~40A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DPNa Vigi 1P+N</w:t>
            </w:r>
            <w:r>
              <w:rPr>
                <w:rFonts w:hint="eastAsia" w:ascii="宋体" w:hAnsi="宋体"/>
                <w:sz w:val="18"/>
                <w:szCs w:val="18"/>
              </w:rPr>
              <w:t xml:space="preserve">；</w:t>
            </w:r>
            <w:r>
              <w:rPr>
                <w:rFonts w:ascii="宋体" w:hAnsi="宋体"/>
                <w:sz w:val="18"/>
                <w:szCs w:val="18"/>
              </w:rPr>
              <w:t xml:space="preserve">D16~40A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NXBLE-63/2P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NXBLE-63/3P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NXBLE-63/4P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MRB65LE-50/2P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MRB65LE-50/3P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MRB65LE-50/4P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电动机热磁断路器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GV2ME06~16</w:t>
            </w:r>
            <w:r>
              <w:rPr>
                <w:rFonts w:hint="eastAsia" w:ascii="宋体" w:hAnsi="宋体"/>
                <w:sz w:val="18"/>
                <w:szCs w:val="18"/>
              </w:rPr>
              <w:t xml:space="preserve">；</w:t>
            </w:r>
            <w:r>
              <w:rPr>
                <w:rFonts w:ascii="宋体" w:hAnsi="宋体"/>
                <w:sz w:val="18"/>
                <w:szCs w:val="18"/>
              </w:rPr>
              <w:t xml:space="preserve">1~14A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LC1D09</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LC1D12</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LC1D18</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LC1D25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LC1D32</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LC1D40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LC1D50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LC1D65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LC1D80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LC1D95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LC1D115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1979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LC1D150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LC1D170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CDCH8S-20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CDCH8S-25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CDCH8S-40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CDCH8S-63</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热继电器(含底座)</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LRD07C~35C 1.6~38A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276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I级浪涌保护器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TK25-T1-385/4P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277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I级专用后备保护器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TK-SCB-T1-25/4P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1339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278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TK80-T2-385/4P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1326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TRONK</w:t>
            </w:r>
            <w:r>
              <w:rPr>
                <w:rFonts w:hint="eastAsia"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279</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TK-SCB-T2-80/4P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975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TRONK</w:t>
            </w:r>
            <w:r>
              <w:rPr>
                <w:rFonts w:hint="eastAsia"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TK40-T2-320/4P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962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281</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TK-SCB-T2-40/4P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282</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Ⅲ级浪涌保护器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TK20-T2-275/4P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871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283</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Ⅲ级专用后备保护器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TK-SCB-T2-40/4P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284</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Ⅱ级浪涌保护器(220V)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TK40-T2-320/2P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494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285</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Ⅱ级专用后备保护器(220V)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TK-SCB-T2-40/2P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286</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Ⅲ级浪涌保护器(220V)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TK20-T2-275/2P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442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Ⅲ级专用后备保护器(220V)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TK-SCB-T2-40/2P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364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百兆以太网SPD（安装于室内）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TKRJ45-100M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289</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百兆以太网SPD（安装于室外）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TKRJ45-100M-H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以太网PoE  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TKRJ45-PoE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291</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千兆以太网SPD（安装于室内）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TKRJ45-1000M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292</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千兆以太网SPD（安装于室外）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TKRJ45-1000M-H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293</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电源网络二合一（24V)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w:t>
            </w:r>
            <w:r>
              <w:rPr>
                <w:rFonts w:ascii="宋体" w:hAnsi="宋体"/>
                <w:sz w:val="18"/>
                <w:szCs w:val="18"/>
              </w:rPr>
              <w:t xml:space="preserve">-2/24V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294</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电源网络二合一（220V)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TKRJ45</w:t>
            </w:r>
            <w:r>
              <w:rPr>
                <w:rFonts w:ascii="宋体" w:hAnsi="宋体"/>
                <w:sz w:val="18"/>
                <w:szCs w:val="18"/>
              </w:rPr>
              <w:t xml:space="preserve">-2/220V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295</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24V电源SPD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TK20-24V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494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296</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4-20mA模拟量信号SPD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TKS-X-CG-1×2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数字量信号SPD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TKS-24-M-1×2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298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各类总线SPD（MODBUS、RS485等）</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5"/>
              <w:jc w:val="center"/>
              <w:rPr>
                <w:rFonts w:ascii="宋体" w:hAnsi="宋体"/>
                <w:sz w:val="18"/>
                <w:szCs w:val="18"/>
              </w:rPr>
            </w:pPr>
            <w:r>
              <w:rPr>
                <w:rFonts w:hint="eastAsia" w:ascii="宋体" w:hAnsi="宋体"/>
                <w:sz w:val="18"/>
                <w:szCs w:val="18"/>
              </w:rPr>
              <w:t xml:space="preserve">TKS-5-CG-1×4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color w:val="000000"/>
                <w:sz w:val="18"/>
                <w:szCs w:val="18"/>
              </w:rPr>
              <w:t xml:space="preserve">299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信号隔离器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TKB-111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468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5"/>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M10及以内综合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TB15A-4P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TB25A-4P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TB45A-4P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TC60A-4P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TC100A-4P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指示灯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AD11-22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旋钮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LA18-22X2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LA38-11B(T)</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2节 二档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3节 三档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LW5(12)-16 4节 四档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时控开关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KG316T</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限位开关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YBLX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BH-0.66 600/5A及以下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BH-0.66 800/5A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电流互感器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BH-0.66 1000/5A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多功能表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PD194Z-9CNX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多功能表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PD760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电压表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6L2-V-0-250(450)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电流表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6L2-A-5~4000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电度表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DTZ63</w:t>
            </w:r>
            <w:r>
              <w:rPr>
                <w:rFonts w:hint="eastAsia" w:ascii="宋体" w:hAnsi="宋体"/>
                <w:sz w:val="18"/>
                <w:szCs w:val="18"/>
              </w:rPr>
              <w:t xml:space="preserve">；</w:t>
            </w:r>
            <w:r>
              <w:rPr>
                <w:rFonts w:ascii="宋体" w:hAnsi="宋体"/>
                <w:sz w:val="18"/>
                <w:szCs w:val="18"/>
              </w:rPr>
              <w:t xml:space="preserve">3*1.6（5）A</w:t>
            </w:r>
            <w:r>
              <w:rPr>
                <w:rFonts w:hint="eastAsia" w:ascii="宋体" w:hAnsi="宋体"/>
                <w:sz w:val="18"/>
                <w:szCs w:val="18"/>
              </w:rPr>
              <w:t xml:space="preserve">；</w:t>
            </w:r>
            <w:r>
              <w:rPr>
                <w:rFonts w:ascii="宋体" w:hAnsi="宋体"/>
                <w:sz w:val="18"/>
                <w:szCs w:val="18"/>
              </w:rPr>
              <w:t xml:space="preserve">0.5S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电源模块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HDR-60-24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HH52P~54P</w:t>
            </w:r>
            <w:r>
              <w:rPr>
                <w:rFonts w:hint="eastAsia" w:ascii="宋体" w:hAnsi="宋体"/>
                <w:sz w:val="18"/>
                <w:szCs w:val="18"/>
              </w:rPr>
              <w:t xml:space="preserve">；</w:t>
            </w:r>
            <w:r>
              <w:rPr>
                <w:rFonts w:ascii="宋体" w:hAnsi="宋体"/>
                <w:sz w:val="18"/>
                <w:szCs w:val="18"/>
              </w:rPr>
              <w:t xml:space="preserve">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RXM2A~4A 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继电器模组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LC-16NG8C-D24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温控仪表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CHB-401</w:t>
            </w:r>
            <w:r>
              <w:rPr>
                <w:rFonts w:hint="eastAsia" w:ascii="宋体" w:hAnsi="宋体"/>
                <w:sz w:val="18"/>
                <w:szCs w:val="18"/>
              </w:rPr>
              <w:t xml:space="preserve">；</w:t>
            </w:r>
            <w:r>
              <w:rPr>
                <w:rFonts w:ascii="宋体" w:hAnsi="宋体"/>
                <w:sz w:val="18"/>
                <w:szCs w:val="18"/>
              </w:rPr>
              <w:t xml:space="preserve">数显</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通风风机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TXA60S-200B2H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过滤网罩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TX9805-200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TG/A C30-4/25A 400V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TG/A C30-3/16A 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TG/A C30-2/16A 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TD20A-10P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UK-2.5B/3N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UK-2.5N/3N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电气导轨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钢制</w:t>
            </w:r>
            <w:r>
              <w:rPr>
                <w:rFonts w:hint="eastAsia" w:ascii="宋体" w:hAnsi="宋体"/>
                <w:sz w:val="18"/>
                <w:szCs w:val="18"/>
              </w:rPr>
              <w:t xml:space="preserve">；</w:t>
            </w:r>
            <w:r>
              <w:rPr>
                <w:rFonts w:ascii="宋体" w:hAnsi="宋体"/>
                <w:sz w:val="18"/>
                <w:szCs w:val="18"/>
              </w:rPr>
              <w:t xml:space="preserve">C35</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电气导轨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铝制</w:t>
            </w:r>
            <w:r>
              <w:rPr>
                <w:rFonts w:hint="eastAsia" w:ascii="宋体" w:hAnsi="宋体"/>
                <w:sz w:val="18"/>
                <w:szCs w:val="18"/>
              </w:rPr>
              <w:t xml:space="preserve">；</w:t>
            </w:r>
            <w:r>
              <w:rPr>
                <w:rFonts w:ascii="宋体" w:hAnsi="宋体"/>
                <w:sz w:val="18"/>
                <w:szCs w:val="18"/>
              </w:rPr>
              <w:t xml:space="preserve">C35</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电气梁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环氧板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3mm厚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钢化玻璃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有机玻璃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6mm厚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柜门及柜板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2.0mm</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塑壳开关绝缘挡板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8553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8680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3kW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9932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10172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12483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11kW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14485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16667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21035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30kW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23232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33630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38828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48747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58891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110kW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68176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78721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9302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11646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30kW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13998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16604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17948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19159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22355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110kW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24504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29265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变频器控制板处理器单元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变频器控制板存储单元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变频器控制板存储单元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180kW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变频器控制板网口单元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变频器控制板网口单元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ACS/ATV/SINAMICS/MD</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施耐德/ABB/西门子/汇川</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变频器主控板容阻单元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变频器主控板容阻单元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395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变频器主控板接线桩单元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变频器主控板温度检测单元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180kW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变频器辅控板通风单元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软启动器控制板IC光耦单元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软启动器主控板容阻组件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软启动器主控板容阻组件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软启动器主控板IGBT单元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220V避雷器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220V，标称泄放电流：20KA，自配熔断器，防谐波，防浪涌</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24V避雷器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PAD-24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模拟量信号隔离器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SUM1211001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薄片继电器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PLC-RSC-24DC/21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菲尼克斯</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开关电源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S-350-24</w:t>
            </w:r>
            <w:r>
              <w:rPr>
                <w:rFonts w:hint="eastAsia" w:ascii="宋体" w:hAnsi="宋体"/>
                <w:sz w:val="18"/>
                <w:szCs w:val="18"/>
              </w:rPr>
              <w:t xml:space="preserve">；</w:t>
            </w:r>
            <w:r>
              <w:rPr>
                <w:rFonts w:ascii="宋体" w:hAnsi="宋体"/>
                <w:sz w:val="18"/>
                <w:szCs w:val="18"/>
              </w:rPr>
              <w:t xml:space="preserve">200-240VAC/4.0A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2080-LC50-48QWB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2080-IF4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2080-OF4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BMXP342020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8000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PLC电源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BMXCPS2000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PLC底板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BMXXBP0800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PLC数字量输入模块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BMXDDI3202K</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PLC数字量输出模块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BMXDDO1602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PLC模拟量输入模块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BMXAMI0410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PLC模拟量输出模块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BMXAMO0410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1769-L30ER-BB1B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PLC通讯模块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1769-SM2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PLC数字量输入模块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1769-IQ16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PLC数字量输出模块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1769-OB16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PLC模拟量输入模块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1769-IF8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PLC模拟量输出模块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1769-OF4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5500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LW5-16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PLC模块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2080-IF2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VS1 合闸线圈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VS1 分闸按钮组件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456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晶闸管投切开关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TSC480-3-50EP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控制电缆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KVVP2-22 0.75kV/4*4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变压器测控保护装置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PST-645UX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7850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国电南自</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智能无功补偿控制器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R1-24D EP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PD194Z-9DY</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CJX2-25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双电源转换开关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WATSGA-250/4A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10809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软启动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ATS48C110Q/45kW</w:t>
            </w:r>
            <w:r>
              <w:rPr>
                <w:rFonts w:hint="eastAsia" w:ascii="宋体" w:hAnsi="宋体"/>
                <w:sz w:val="18"/>
                <w:szCs w:val="18"/>
              </w:rPr>
              <w:t xml:space="preserve">；</w:t>
            </w:r>
            <w:r>
              <w:rPr>
                <w:rFonts w:ascii="宋体" w:hAnsi="宋体"/>
                <w:sz w:val="18"/>
                <w:szCs w:val="18"/>
              </w:rPr>
              <w:t xml:space="preserve">更换可控硅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软启动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ATS48C110Q/45kW</w:t>
            </w:r>
            <w:r>
              <w:rPr>
                <w:rFonts w:hint="eastAsia" w:ascii="宋体" w:hAnsi="宋体"/>
                <w:sz w:val="18"/>
                <w:szCs w:val="18"/>
              </w:rPr>
              <w:t xml:space="preserve">；</w:t>
            </w:r>
            <w:r>
              <w:rPr>
                <w:rFonts w:ascii="宋体" w:hAnsi="宋体"/>
                <w:sz w:val="18"/>
                <w:szCs w:val="18"/>
              </w:rPr>
              <w:t xml:space="preserve">更换盖板等配件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650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BZMJ0.45-12-3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ATV630D45N4/45kW</w:t>
            </w:r>
            <w:r>
              <w:rPr>
                <w:rFonts w:hint="eastAsia" w:ascii="宋体" w:hAnsi="宋体"/>
                <w:sz w:val="18"/>
                <w:szCs w:val="18"/>
              </w:rPr>
              <w:t xml:space="preserve">；</w:t>
            </w:r>
            <w:r>
              <w:rPr>
                <w:rFonts w:ascii="宋体" w:hAnsi="宋体"/>
                <w:sz w:val="18"/>
                <w:szCs w:val="18"/>
              </w:rPr>
              <w:t xml:space="preserve">更换IGBT模块、端子排、AJ330、A7/22R电阻</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1286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MD300T15B-XC/45kW</w:t>
            </w:r>
            <w:r>
              <w:rPr>
                <w:rFonts w:hint="eastAsia" w:ascii="宋体" w:hAnsi="宋体"/>
                <w:sz w:val="18"/>
                <w:szCs w:val="18"/>
              </w:rPr>
              <w:t xml:space="preserve">；</w:t>
            </w:r>
            <w:r>
              <w:rPr>
                <w:rFonts w:ascii="宋体" w:hAnsi="宋体"/>
                <w:sz w:val="18"/>
                <w:szCs w:val="18"/>
              </w:rPr>
              <w:t xml:space="preserve">更换驱动板A3120、FR107、Y6、A7840、36R等配件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接触式IC卡读写设备</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预付费电表管理系统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RDW300-USB5.0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1824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水泵中转柜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不锈钢</w:t>
            </w:r>
            <w:r>
              <w:rPr>
                <w:rFonts w:hint="eastAsia" w:ascii="宋体" w:hAnsi="宋体"/>
                <w:sz w:val="18"/>
                <w:szCs w:val="18"/>
              </w:rPr>
              <w:t xml:space="preserve">；</w:t>
            </w:r>
            <w:r>
              <w:rPr>
                <w:rFonts w:ascii="宋体" w:hAnsi="宋体"/>
                <w:sz w:val="18"/>
                <w:szCs w:val="18"/>
              </w:rPr>
              <w:t xml:space="preserve">950*500*250mm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1281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10mm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成组电缆液位浮球液位开关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SL-PG2-1.5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VS1</w:t>
            </w:r>
            <w:r>
              <w:rPr>
                <w:rFonts w:hint="eastAsia" w:ascii="宋体" w:hAnsi="宋体"/>
                <w:sz w:val="18"/>
                <w:szCs w:val="18"/>
              </w:rPr>
              <w:t xml:space="preserve">；</w:t>
            </w:r>
            <w:r>
              <w:rPr>
                <w:rFonts w:ascii="宋体" w:hAnsi="宋体"/>
                <w:sz w:val="18"/>
                <w:szCs w:val="18"/>
              </w:rPr>
              <w:t xml:space="preserve">底盘车</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1641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VS1</w:t>
            </w:r>
            <w:r>
              <w:rPr>
                <w:rFonts w:hint="eastAsia" w:ascii="宋体" w:hAnsi="宋体"/>
                <w:sz w:val="18"/>
                <w:szCs w:val="18"/>
              </w:rPr>
              <w:t xml:space="preserve">；</w:t>
            </w:r>
            <w:r>
              <w:rPr>
                <w:rFonts w:ascii="宋体" w:hAnsi="宋体"/>
                <w:sz w:val="18"/>
                <w:szCs w:val="18"/>
              </w:rPr>
              <w:t xml:space="preserve">操作机构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1468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10kV 环网柜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XGN15-12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13776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挡鼠板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400*2015*5mm</w:t>
            </w:r>
            <w:r>
              <w:rPr>
                <w:rFonts w:hint="eastAsia" w:ascii="宋体" w:hAnsi="宋体"/>
                <w:sz w:val="18"/>
                <w:szCs w:val="18"/>
              </w:rPr>
              <w:t xml:space="preserve">；</w:t>
            </w:r>
            <w:r>
              <w:rPr>
                <w:rFonts w:ascii="宋体" w:hAnsi="宋体"/>
                <w:sz w:val="18"/>
                <w:szCs w:val="18"/>
              </w:rPr>
              <w:t xml:space="preserve">环氧板</w:t>
            </w:r>
            <w:r>
              <w:rPr>
                <w:rFonts w:hint="eastAsia" w:ascii="宋体" w:hAnsi="宋体"/>
                <w:sz w:val="18"/>
                <w:szCs w:val="18"/>
              </w:rPr>
              <w:t xml:space="preserve">；</w:t>
            </w:r>
            <w:r>
              <w:rPr>
                <w:rFonts w:ascii="宋体" w:hAnsi="宋体"/>
                <w:sz w:val="18"/>
                <w:szCs w:val="18"/>
              </w:rPr>
              <w:t xml:space="preserve">新增</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挡鼠板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400*830*5mm</w:t>
            </w:r>
            <w:r>
              <w:rPr>
                <w:rFonts w:hint="eastAsia" w:ascii="宋体" w:hAnsi="宋体"/>
                <w:sz w:val="18"/>
                <w:szCs w:val="18"/>
              </w:rPr>
              <w:t xml:space="preserve">；</w:t>
            </w:r>
            <w:r>
              <w:rPr>
                <w:rFonts w:ascii="宋体" w:hAnsi="宋体"/>
                <w:sz w:val="18"/>
                <w:szCs w:val="18"/>
              </w:rPr>
              <w:t xml:space="preserve">环氧板</w:t>
            </w:r>
            <w:r>
              <w:rPr>
                <w:rFonts w:hint="eastAsia" w:ascii="宋体" w:hAnsi="宋体"/>
                <w:sz w:val="18"/>
                <w:szCs w:val="18"/>
              </w:rPr>
              <w:t xml:space="preserve">；</w:t>
            </w:r>
            <w:r>
              <w:rPr>
                <w:rFonts w:ascii="宋体" w:hAnsi="宋体"/>
                <w:sz w:val="18"/>
                <w:szCs w:val="18"/>
              </w:rPr>
              <w:t xml:space="preserve">新增</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阀控式密封铅酸蓄电池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DJW12-26</w:t>
            </w:r>
            <w:r>
              <w:rPr>
                <w:rFonts w:hint="eastAsia" w:ascii="宋体" w:hAnsi="宋体"/>
                <w:sz w:val="18"/>
                <w:szCs w:val="18"/>
              </w:rPr>
              <w:t xml:space="preserve">；</w:t>
            </w:r>
            <w:r>
              <w:rPr>
                <w:rFonts w:ascii="宋体" w:hAnsi="宋体"/>
                <w:sz w:val="18"/>
                <w:szCs w:val="18"/>
              </w:rPr>
              <w:t xml:space="preserve">12V 26Ah</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312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ATV630D45N4/45kW</w:t>
            </w:r>
            <w:r>
              <w:rPr>
                <w:rFonts w:hint="eastAsia" w:ascii="宋体" w:hAnsi="宋体"/>
                <w:sz w:val="18"/>
                <w:szCs w:val="18"/>
              </w:rPr>
              <w:t xml:space="preserve">；</w:t>
            </w:r>
            <w:r>
              <w:rPr>
                <w:rFonts w:ascii="宋体" w:hAnsi="宋体"/>
                <w:sz w:val="18"/>
                <w:szCs w:val="18"/>
              </w:rPr>
              <w:t xml:space="preserve">更换防雷板</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不锈钢保护罩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450*450*10mm</w:t>
            </w:r>
            <w:r>
              <w:rPr>
                <w:rFonts w:hint="eastAsia" w:ascii="宋体" w:hAnsi="宋体"/>
                <w:sz w:val="18"/>
                <w:szCs w:val="18"/>
              </w:rPr>
              <w:t xml:space="preserve">；</w:t>
            </w:r>
            <w:r>
              <w:rPr>
                <w:rFonts w:ascii="宋体" w:hAnsi="宋体"/>
                <w:sz w:val="18"/>
                <w:szCs w:val="18"/>
              </w:rPr>
              <w:t xml:space="preserve">厚度2mm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蓄电池组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t xml:space="preserve">12V 200Ah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ascii="宋体" w:hAnsi="宋体"/>
                <w:sz w:val="18"/>
                <w:szCs w:val="18"/>
              </w:rPr>
              <w:t xml:space="preserve">1620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柜内智能除湿器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MTS-8060GTS-52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柜内智能除湿器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MTS-8030GTS-52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柜内智能除湿器</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MTS-8020GTS-52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200万红外枪机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DH-IPC-HFW3268PM-I1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560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200万全彩枪机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DH-IPC-HFW3279PM-LED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630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400万红外枪机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DH-IPC-HFW3468PM-I1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400万全彩枪机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DH-IPC-HFW3479PM-LED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720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枪机/球机支架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200万红外球机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DH-SD-6C3258-HNY-DBG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200万全彩球机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DH-SD-6C3268-HNY-XBG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3700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400万红外球机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DH-SD-6C3486-HNY-GBPS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3700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400万全彩球机</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DH-SD-6C3497-HNY-GB-AD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台</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4300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不锈钢监控立杆</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根</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1000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硬盘录像机DH-NVR2208-I2-PG</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DH-NVR2208-I2-PG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hint="eastAsia" w:ascii="宋体" w:hAnsi="宋体" w:cs="Arial"/>
                <w:sz w:val="18"/>
                <w:szCs w:val="18"/>
              </w:rPr>
            </w:pPr>
            <w:r>
              <w:rPr>
                <w:rFonts w:hint="eastAsia" w:ascii="宋体" w:hAnsi="宋体" w:cs="Arial"/>
                <w:sz w:val="18"/>
                <w:szCs w:val="18"/>
              </w:rPr>
              <w:t xml:space="preserve">1200</w:t>
            </w: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硬盘录像机DH-NVR4416-4KS2/I-PF</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DH-NVR4416-4KS2/I-PF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hint="eastAsia" w:ascii="宋体" w:hAnsi="宋体" w:cs="Arial"/>
                <w:sz w:val="18"/>
                <w:szCs w:val="18"/>
              </w:rPr>
            </w:pPr>
            <w:r>
              <w:rPr>
                <w:rFonts w:hint="eastAsia" w:ascii="宋体" w:hAnsi="宋体" w:cs="Arial"/>
                <w:sz w:val="18"/>
                <w:szCs w:val="18"/>
              </w:rPr>
              <w:t xml:space="preserve">3000</w:t>
            </w: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硬盘录像机DH-NVR4832-4KS2/I-PF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DH-NVR4832-4KS2/I-PF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3900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机械硬盘</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希捷</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块</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890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机械硬盘</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希捷</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块</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1950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摄像机防雷器BSP M2 BE HF5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BSP M2 BE HF5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台</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800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门禁控制器DH-ASC1201C-D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DH-ASC1201C-D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门禁控制器DH-ASC1202C-D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DH-ASC1202C-D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1100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门禁控制器DH-ASC1204C-D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DH-ASC1204C-D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1500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门禁磁力锁及安装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DH-ASF280B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550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出门按钮</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DH-ASF900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25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读卡器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DH-ASR1100B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400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门禁钥匙箱</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只</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ascii="宋体" w:hAnsi="宋体" w:cs="Arial"/>
                <w:sz w:val="18"/>
                <w:szCs w:val="18"/>
              </w:rPr>
              <w:t xml:space="preserve">300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室外防水箱</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500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光纤收发器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光端机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600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电子围栏</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米</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线路更换修理费（单次）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综合人工安装修理费（单次）</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次</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700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摄像头保洁</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站次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100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5"/>
              <w:jc w:val="left"/>
              <w:rPr>
                <w:rFonts w:ascii="宋体" w:hAnsi="宋体"/>
                <w:sz w:val="18"/>
                <w:szCs w:val="18"/>
              </w:rPr>
            </w:pPr>
            <w:r>
              <w:rPr>
                <w:rFonts w:hint="eastAsia" w:ascii="宋体" w:hAnsi="宋体" w:cs="宋体"/>
                <w:b/>
                <w:bCs/>
                <w:color w:val="000000"/>
                <w:sz w:val="18"/>
                <w:szCs w:val="18"/>
              </w:rPr>
              <w:t xml:space="preserve">常州勤业桥分流井</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495</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西门子SM 1223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6ES7 223-1BL32-0XB0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5130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西门子触摸屏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KTP700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color w:val="000000"/>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color w:val="000000"/>
                <w:sz w:val="18"/>
                <w:szCs w:val="18"/>
              </w:rPr>
              <w:t xml:space="preserve">8800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西门子CPU</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1214C/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sz w:val="18"/>
                <w:szCs w:val="18"/>
              </w:rPr>
            </w:pPr>
            <w:r>
              <w:rPr>
                <w:rFonts w:hint="eastAsia" w:ascii="宋体" w:hAnsi="宋体"/>
                <w:sz w:val="18"/>
                <w:szCs w:val="18"/>
              </w:rPr>
              <w:t xml:space="preserve">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西门子模块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SM1234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sz w:val="18"/>
                <w:szCs w:val="18"/>
              </w:rPr>
            </w:pPr>
            <w:r>
              <w:rPr>
                <w:rFonts w:hint="eastAsia" w:ascii="宋体" w:hAnsi="宋体"/>
                <w:sz w:val="18"/>
                <w:szCs w:val="18"/>
              </w:rPr>
              <w:t xml:space="preserve">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闸门液压油管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10米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堰门液油管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8米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堰门液油管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10米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闸油管快速接头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G1/4″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堰油管快速接头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G1/2″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滤芯更换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0110R10BN/HC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PLC程序编写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ascii="宋体" w:hAnsi="宋体"/>
                <w:sz w:val="18"/>
                <w:szCs w:val="18"/>
              </w:rPr>
            </w:pPr>
            <w:r>
              <w:rPr>
                <w:rFonts w:hint="eastAsia" w:ascii="宋体" w:hAnsi="宋体"/>
                <w:sz w:val="18"/>
                <w:szCs w:val="18"/>
              </w:rPr>
              <w:t xml:space="preserve">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8000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触摸屏程序</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rPr>
                <w:rFonts w:hint="eastAsia" w:ascii="宋体" w:hAnsi="宋体"/>
                <w:sz w:val="18"/>
                <w:szCs w:val="18"/>
              </w:rPr>
            </w:pP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rPr>
                <w:rFonts w:hint="eastAsia" w:ascii="宋体" w:hAnsi="宋体"/>
                <w:sz w:val="18"/>
                <w:szCs w:val="18"/>
              </w:rPr>
            </w:pPr>
            <w:r>
              <w:rPr>
                <w:rFonts w:hint="eastAsia" w:ascii="宋体" w:hAnsi="宋体"/>
                <w:sz w:val="18"/>
                <w:szCs w:val="18"/>
              </w:rPr>
              <w:t xml:space="preserve">项</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5000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rPr>
                <w:rFonts w:ascii="宋体" w:hAnsi="宋体"/>
                <w:sz w:val="18"/>
                <w:szCs w:val="18"/>
              </w:rPr>
            </w:pPr>
            <w:r>
              <w:rPr>
                <w:rFonts w:ascii="宋体" w:hAnsi="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5"/>
              <w:jc w:val="left"/>
              <w:rPr>
                <w:rFonts w:ascii="宋体" w:hAnsi="宋体"/>
                <w:sz w:val="18"/>
                <w:szCs w:val="18"/>
              </w:rPr>
            </w:pPr>
            <w:r>
              <w:rPr>
                <w:rFonts w:hint="eastAsia" w:ascii="宋体" w:hAnsi="宋体" w:cs="宋体"/>
                <w:b/>
                <w:bCs/>
                <w:color w:val="000000"/>
                <w:sz w:val="18"/>
                <w:szCs w:val="18"/>
              </w:rPr>
              <w:t xml:space="preserve">水质水量仪器仪表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507</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508</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6500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509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7540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510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511</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512</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513</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科隆电磁流量计专用电缆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信号+励磁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科隆专用IP68封胶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OPTISIL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1300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科隆电磁流量计传感器本体接线盒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OPTIFLUX2000F</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4940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液晶屏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1274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键盘控制处理器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845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按键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525</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哈希溶解氧传感器荧光帽</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荧光帽</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526</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3848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51500317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527</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E+H变送器显示屏及程序板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3510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51503398</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528</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E+H变送器CPU模块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6760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51501225</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529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CM442-3PQ7/0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4290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71100611</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530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E+H变送器主板和输出板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CM442-3PQ7/0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71431301</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531</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FMU90-R11CA111AA3A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4680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78977667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532</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E+H变送器主板和输出板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FMU90-R11CA111AA3A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5980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75559878</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533</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E+H变送器电流/频率输出模块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9360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50096757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hint="eastAsia" w:ascii="宋体" w:hAnsi="宋体" w:cs="宋体"/>
                <w:sz w:val="18"/>
                <w:szCs w:val="18"/>
              </w:rPr>
            </w:pPr>
            <w:r>
              <w:rPr>
                <w:rFonts w:hint="eastAsia" w:ascii="宋体" w:hAnsi="宋体" w:cs="宋体"/>
                <w:sz w:val="18"/>
                <w:szCs w:val="18"/>
              </w:rPr>
              <w:t xml:space="preserve">534</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568877009</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E+H变送器放大板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8840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578875433</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XPD0040-WAALH2</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E+H变送器输入输出板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4940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XPD0040-WAALH3</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E+H变送器放大板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6240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XPD0040-WAALH4</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帕萨Pulsar超声波液位计变送器面板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Ultra 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4550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5"/>
              <w:jc w:val="left"/>
              <w:rPr>
                <w:rFonts w:ascii="宋体" w:hAnsi="宋体" w:cs="宋体"/>
                <w:sz w:val="18"/>
                <w:szCs w:val="18"/>
              </w:rPr>
            </w:pPr>
            <w:r>
              <w:rPr>
                <w:rFonts w:hint="eastAsia" w:ascii="宋体" w:hAnsi="宋体" w:cs="宋体"/>
                <w:b/>
                <w:bCs/>
                <w:color w:val="000000"/>
                <w:sz w:val="18"/>
                <w:szCs w:val="18"/>
              </w:rPr>
              <w:t xml:space="preserve">发电机维修</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柴油滤芯8193841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柴油滤芯38050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500KW上柴系列发电机组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柴油滤芯5052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康明斯系列500KW KTA19-G6A发电机组康明斯360KW KTA19-G3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康明斯系列250KW-NTA855-G1A发电机组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柴油滤芯38050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柴油滤芯S00005435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上柴系列150KW-SC7H250D2发电机组/上柴系列200KW-SC9D340D2发电机组/玉柴系列150KW-SC7H250D2发电机组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柴油滤芯S00009060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上柴系列200KW-SC9D340D2发电机组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柴油滤芯T7A00-1105140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玉柴500KW WDG-CC500发电机组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机油滤466634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机油滤D17-002-02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500KW上柴系列发电机组/200KW康明斯系列6LTAA8.9-G2发电机组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机油滤芯430-1012240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玉柴500KW WDG-CC500发电机组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机油滤芯670\777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康明斯系列500KW KTA19-G6A发电机组/康明斯360KWKTA19-G3发电机组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562.5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康明斯电机组</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机油滤芯9009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康明斯系列250KW-NTA855-G1A发电机组/360KW上柴系列SC25G610发电机组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机油滤芯D17-002-02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机油滤芯D17-002-2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上柴系列200KW-SC9D340D2发电机组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机油滤芯D638-002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上柴系列150KW-SC7H250D2发电机组/250KW-SC13G420D2发电机组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机油旁通虑477556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387.5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上柴系列150KW-SC7H250D2发电机组/上柴系列200KW-SC9D340D2发电机组/上柴系列250KW-SC13G420D2发电机组/玉柴系列150KW-SC7H250D2发电机组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500KW上柴系列发电机组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200KW康明斯系列6LTAA8.9-G2发电机组/康明斯系列250KW-NTA855-G1A发电机组/360KW上柴系列SC25G610发电机组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625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500KW康明斯KTA19-G6A发电机组/360KW康明斯KTA19-G3/上柴系列500KW-12V135BZLD-2发电机组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空气滤芯T9600-1109101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玉柴500KW WDG-CC500发电机组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空气滤芯21212204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2750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康明斯系列250KW-NTA855-G1A发电机组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500KW康明斯KTA19-G6A发电机组/360KW康明斯KTA19-G3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康明斯系列500KW发电机组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水滤21192875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492.5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油水分离器8159975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油水1280/水滤2071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243.75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专用机油CH级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VOLVO电源车-TAD1355GE 320KW电源车/VOLVO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专用机油CF15W-40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防冻液-25°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机油CF15W-40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底盘油箱清洗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水箱除锈清洗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583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200AH免维护蓄电池</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5"/>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5"/>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78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84.5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2860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650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589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260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130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3250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1105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电瓶线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156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78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84.5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1560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650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599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260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130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2080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975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835.9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1014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1067.3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26928.2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780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986.7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609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811.2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610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9880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611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5"/>
              <w:jc w:val="center"/>
              <w:widowControl/>
              <w:rPr>
                <w:rFonts w:ascii="宋体" w:hAnsi="宋体" w:cs="宋体"/>
                <w:sz w:val="18"/>
                <w:szCs w:val="18"/>
              </w:rPr>
            </w:pPr>
            <w:r>
              <w:rPr>
                <w:rFonts w:ascii="宋体" w:hAnsi="宋体" w:cs="宋体"/>
                <w:sz w:val="18"/>
                <w:szCs w:val="18"/>
              </w:rPr>
              <w:t xml:space="preserve">5590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5"/>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bl>
    <w:p>
      <w:pPr>
        <w:pStyle w:val="995"/>
        <w:jc w:val="left"/>
        <w:spacing w:line="360" w:lineRule="auto"/>
        <w:widowControl/>
        <w:rPr>
          <w:rFonts w:hint="eastAsia" w:ascii="宋体" w:hAnsi="宋体" w:cs="宋体"/>
          <w:b/>
          <w:sz w:val="24"/>
        </w:rPr>
        <w:sectPr>
          <w:footnotePr/>
          <w:endnotePr/>
          <w:type w:val="nextPage"/>
          <w:pgSz w:w="11907" w:h="16840" w:orient="portrait"/>
          <w:pgMar w:top="1440" w:right="1803" w:bottom="1440" w:left="1803" w:header="851" w:footer="851" w:gutter="0"/>
          <w:cols w:num="1" w:sep="0" w:space="1701" w:equalWidth="1"/>
          <w:docGrid w:linePitch="360"/>
        </w:sectPr>
        <w:outlineLvl w:val="1"/>
      </w:pPr>
      <w:r>
        <w:rPr>
          <w:rFonts w:hint="eastAsia" w:ascii="宋体" w:hAnsi="宋体" w:cs="宋体"/>
          <w:b/>
          <w:sz w:val="24"/>
        </w:rPr>
      </w:r>
      <w:r/>
    </w:p>
    <w:p>
      <w:pPr>
        <w:pStyle w:val="995"/>
        <w:jc w:val="left"/>
        <w:spacing w:line="360" w:lineRule="auto"/>
        <w:widowControl/>
        <w:rPr>
          <w:rFonts w:ascii="仿宋" w:hAnsi="仿宋" w:eastAsia="仿宋"/>
          <w:b/>
          <w:szCs w:val="21"/>
        </w:rPr>
        <w:outlineLvl w:val="1"/>
      </w:pPr>
      <w:r>
        <w:rPr>
          <w:rFonts w:hint="eastAsia" w:ascii="宋体" w:hAnsi="宋体" w:cs="宋体"/>
          <w:b/>
          <w:sz w:val="24"/>
        </w:rPr>
        <w:t xml:space="preserve">附件4：月度考核表</w:t>
      </w:r>
      <w:r>
        <w:rPr>
          <w:rFonts w:ascii="仿宋" w:hAnsi="仿宋" w:eastAsia="仿宋"/>
          <w:b/>
          <w:szCs w:val="21"/>
        </w:rPr>
      </w:r>
      <w:r/>
    </w:p>
    <w:p>
      <w:pPr>
        <w:pStyle w:val="995"/>
        <w:rPr>
          <w:rFonts w:ascii="宋体" w:hAnsi="宋体"/>
          <w:sz w:val="24"/>
        </w:rPr>
      </w:pPr>
      <w:r>
        <w:rPr>
          <w:rFonts w:hint="eastAsia" w:ascii="宋体" w:hAnsi="宋体" w:cs="宋体"/>
          <w:sz w:val="24"/>
        </w:rPr>
        <w:t xml:space="preserve">泵站变电所运维及电气零星维修考核表（含泵站视频（门禁）维修考核）</w:t>
      </w:r>
      <w:r>
        <w:rPr>
          <w:rFonts w:ascii="宋体" w:hAnsi="宋体"/>
          <w:sz w:val="24"/>
        </w:rPr>
        <w:t xml:space="preserve">日期：______年____月____日                              得分：</w:t>
      </w:r>
      <w:r>
        <w:rPr>
          <w:rFonts w:ascii="宋体" w:hAnsi="宋体"/>
          <w:sz w:val="24"/>
        </w:rPr>
      </w:r>
      <w:r/>
    </w:p>
    <w:tbl>
      <w:tblPr>
        <w:tblW w:w="4807" w:type="pct"/>
        <w:tblInd w:w="-108" w:type="dxa"/>
        <w:tblLayout w:type="fixed"/>
        <w:tblCellMar>
          <w:left w:w="108" w:type="dxa"/>
          <w:top w:w="0" w:type="dxa"/>
          <w:right w:w="108" w:type="dxa"/>
          <w:bottom w:w="0" w:type="dxa"/>
        </w:tblCellMar>
        <w:tblLook w:val="04A0" w:firstRow="1" w:lastRow="0" w:firstColumn="1" w:lastColumn="0" w:noHBand="0" w:noVBand="1"/>
      </w:tblPr>
      <w:tblGrid>
        <w:gridCol w:w="1115"/>
        <w:gridCol w:w="4949"/>
        <w:gridCol w:w="1002"/>
        <w:gridCol w:w="1122"/>
      </w:tblGrid>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t xml:space="preserve">考核内容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t xml:space="preserve">考核细则</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t xml:space="preserve">考核分数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5"/>
              <w:jc w:val="center"/>
              <w:widowControl/>
              <w:rPr>
                <w:rFonts w:hint="eastAsia" w:ascii="宋体" w:hAnsi="宋体" w:cs="宋体"/>
                <w:sz w:val="20"/>
                <w:szCs w:val="20"/>
              </w:rPr>
            </w:pPr>
            <w:r>
              <w:rPr>
                <w:rFonts w:hint="eastAsia" w:ascii="宋体" w:hAnsi="宋体" w:cs="宋体"/>
                <w:sz w:val="20"/>
                <w:szCs w:val="20"/>
              </w:rPr>
              <w:t xml:space="preserve">扣分原因</w:t>
            </w:r>
            <w:r>
              <w:rPr>
                <w:rFonts w:hint="eastAsia" w:ascii="宋体" w:hAnsi="宋体" w:cs="宋体"/>
                <w:sz w:val="20"/>
                <w:szCs w:val="20"/>
              </w:rPr>
            </w:r>
            <w:r/>
          </w:p>
        </w:tc>
      </w:tr>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t xml:space="preserve">维保响应及完成时间</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5"/>
              <w:jc w:val="left"/>
              <w:widowControl/>
              <w:rPr>
                <w:rFonts w:hint="eastAsia" w:ascii="宋体" w:hAnsi="宋体" w:cs="宋体"/>
                <w:sz w:val="20"/>
                <w:szCs w:val="20"/>
              </w:rPr>
            </w:pPr>
            <w:r>
              <w:rPr>
                <w:rFonts w:hint="eastAsia" w:ascii="宋体" w:hAnsi="宋体" w:cs="宋体"/>
                <w:sz w:val="20"/>
                <w:szCs w:val="20"/>
              </w:rPr>
              <w:t xml:space="preserve">1、泵站变电所运维及电气零星维修：抢修任务未按要求1小时内到达现场进行处理，每延误1次，扣5分。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2、泵站变电所运维及电气零星维修：接到维修、改造等任务，未按要求2个工作日内安排人员到现场查看，每延误1次，扣5分。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3、泵站变电所运维及电气零星维修：当月未按要求时间完成变电所巡检、维修及保养的，延迟1-7个日历日扣10分；延迟8-14个日历日扣15分；延迟15个日历日以上扣20分。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4、泵站变电所运维及电气零星维修：任务完成后，应将相关资料反馈招标人。若没有在规定时间内反馈的，出现1次扣2分；若资料存在弄虚作假的，每发现1次扣5分。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5、泵站视频门禁维修：在规定时限内（一般问题24小时、紧急问题4小时）对发现问题进行响应。每出现1次延误，扣除2分。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6、泵站视频门禁维修：在规定时限内（一般维修5个工作日，复杂维修10个工作日，等待甲供设备等特殊情况除外）妥善解决问题。每出现1次延误，扣除2分。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5"/>
              <w:jc w:val="center"/>
              <w:widowControl/>
              <w:rPr>
                <w:rFonts w:hint="eastAsia" w:ascii="宋体" w:hAnsi="宋体" w:cs="宋体"/>
                <w:sz w:val="20"/>
                <w:szCs w:val="20"/>
              </w:rPr>
            </w:pPr>
            <w:r>
              <w:rPr>
                <w:rFonts w:hint="eastAsia" w:ascii="宋体" w:hAnsi="宋体" w:cs="宋体"/>
                <w:sz w:val="20"/>
                <w:szCs w:val="20"/>
              </w:rPr>
            </w:r>
            <w:r/>
          </w:p>
        </w:tc>
      </w:tr>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t xml:space="preserve">维保质量</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5"/>
              <w:jc w:val="left"/>
              <w:widowControl/>
              <w:rPr>
                <w:rFonts w:hint="eastAsia" w:ascii="宋体" w:hAnsi="宋体" w:cs="宋体"/>
                <w:sz w:val="20"/>
                <w:szCs w:val="20"/>
              </w:rPr>
            </w:pPr>
            <w:r>
              <w:rPr>
                <w:rFonts w:hint="eastAsia" w:ascii="宋体" w:hAnsi="宋体" w:cs="宋体"/>
                <w:sz w:val="20"/>
                <w:szCs w:val="20"/>
              </w:rPr>
              <w:t xml:space="preserve">1、泵站变电所运维及电气零星维修：每月未按要求进行变电所巡检的，发现1项扣2分。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2、泵站变电所运维及电气零星维修：未按要求进行维修及保养任务。每一项扣5分；运管科和泵站所采用不定期抽查和旁站的检查方式。若维修及保养内容未执行到位的，发生1次，扣5 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3、泵站变电所运维及电气零星维修：维修后15天内再次发生同样问题进行维修的，发生1 次，扣5分。 </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4、泵站变电所运维及电气零星维修：因维保不当导致其他设备故障（但不影响泵站运行）的，单次扣除20分。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5、泵站视频门禁维修：若维修工单完成15日内，设备再次出现问题，视为验收不合格，进入返修流程，返修不重复计算人工费用等已发生的费用，以返修结束时间更新工单完成时间。单个工单出现超过2次返修（含2次），扣除2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6、泵站视频门禁维修：对维修过程中维修（更换）的部件、线路等各类耗材及维修（更换）的摄像头、钥匙箱、录像机、门禁主机等各类设备提供1年的质保（绿植修剪3个月）。质保期内若因维保质量致使设备或相关设备出现故障，需进行无偿返修（无偿返修同样参照维修进行考核，质保期按无偿返修结束时间重新计算）。单月内出现质保期内需无偿返修次数超过1次（不含1次），每再出现1次，扣2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7、泵站视频门禁维修：工单涉及重新放线时，应及时提交线路敷设图纸，未能及时提交，单次扣1分。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8、泵站视频门禁维修：因维修造成泵站内其他设备故障、停转等，单次扣除15分。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5"/>
              <w:jc w:val="center"/>
              <w:widowControl/>
              <w:rPr>
                <w:rFonts w:hint="eastAsia" w:ascii="宋体" w:hAnsi="宋体" w:cs="宋体"/>
                <w:sz w:val="20"/>
                <w:szCs w:val="20"/>
              </w:rPr>
            </w:pPr>
            <w:r>
              <w:rPr>
                <w:rFonts w:hint="eastAsia" w:ascii="宋体" w:hAnsi="宋体" w:cs="宋体"/>
                <w:sz w:val="20"/>
                <w:szCs w:val="20"/>
              </w:rPr>
            </w:r>
            <w:r/>
          </w:p>
        </w:tc>
      </w:tr>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t xml:space="preserve">环境卫生</w:t>
            </w:r>
            <w:r>
              <w:rPr>
                <w:rFonts w:hint="eastAsia" w:ascii="宋体" w:hAnsi="宋体" w:cs="宋体"/>
                <w:sz w:val="20"/>
                <w:szCs w:val="20"/>
              </w:rPr>
            </w:r>
            <w:r/>
          </w:p>
          <w:p>
            <w:pPr>
              <w:pStyle w:val="995"/>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5"/>
              <w:jc w:val="left"/>
              <w:widowControl/>
              <w:rPr>
                <w:rFonts w:hint="eastAsia" w:ascii="宋体" w:hAnsi="宋体" w:cs="宋体"/>
                <w:sz w:val="20"/>
                <w:szCs w:val="20"/>
              </w:rPr>
            </w:pPr>
            <w:r>
              <w:rPr>
                <w:rFonts w:hint="eastAsia" w:ascii="宋体" w:hAnsi="宋体" w:cs="宋体"/>
                <w:sz w:val="20"/>
                <w:szCs w:val="20"/>
              </w:rPr>
              <w:t xml:space="preserve">1、泵站变电所运维及电气零星维修：变电所巡检后未及时提交巡检工作联系单的，扣5分。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2、泵站变电所运维及电气零星维修：维保作业结束后，应确保工作现场干净整洁、无遗留杂物。每发现1次卫生问题，扣3分。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3、泵站视频门禁维修：施工作业结束后应确保工作场地卫生。参考提交照片，每发现1次卫生问题，扣除1分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5"/>
              <w:jc w:val="center"/>
              <w:widowControl/>
              <w:rPr>
                <w:rFonts w:hint="eastAsia" w:ascii="宋体" w:hAnsi="宋体" w:cs="宋体"/>
                <w:sz w:val="20"/>
                <w:szCs w:val="20"/>
              </w:rPr>
            </w:pPr>
            <w:r>
              <w:rPr>
                <w:rFonts w:hint="eastAsia" w:ascii="宋体" w:hAnsi="宋体" w:cs="宋体"/>
                <w:sz w:val="20"/>
                <w:szCs w:val="20"/>
              </w:rPr>
            </w:r>
            <w:r/>
          </w:p>
        </w:tc>
      </w:tr>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t xml:space="preserve">台账资料</w:t>
            </w:r>
            <w:r>
              <w:rPr>
                <w:rFonts w:hint="eastAsia" w:ascii="宋体" w:hAnsi="宋体" w:cs="宋体"/>
                <w:sz w:val="20"/>
                <w:szCs w:val="20"/>
              </w:rPr>
            </w:r>
            <w:r/>
          </w:p>
          <w:p>
            <w:pPr>
              <w:pStyle w:val="995"/>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5"/>
              <w:jc w:val="left"/>
              <w:widowControl/>
              <w:rPr>
                <w:rFonts w:hint="eastAsia" w:ascii="宋体" w:hAnsi="宋体" w:cs="宋体"/>
                <w:sz w:val="20"/>
                <w:szCs w:val="20"/>
              </w:rPr>
            </w:pPr>
            <w:r>
              <w:rPr>
                <w:rFonts w:hint="eastAsia" w:ascii="宋体" w:hAnsi="宋体" w:cs="宋体"/>
                <w:sz w:val="20"/>
                <w:szCs w:val="20"/>
              </w:rPr>
              <w:t xml:space="preserve">1、泵站变电所运维及电气零星维修：按要求做好变电所现场巡检记录，字迹清晰、数据准确，未达要求，发现１处扣１分。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2、泵站变电所运维及电气零星维修：按要求提供完善、准确的巡检、维保签证及结算等材料。材料存在瑕疵的，每发现1项扣3分。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3、泵站变电所运维及电气零星维修：未能按时提交结算资料，按延迟时间处理：延迟1-7个日历日扣10分；延迟8-14个日历日扣15分；延迟15个日历日以上扣20分。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4、泵站视频门禁维修：因材料存在瑕疵，被要求修订超过2次，每再出现1次扣除2分。若未能在规定时间报送完备的纸质结算材料（含发票，材料无需再次修订），扣除2分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5"/>
              <w:jc w:val="center"/>
              <w:widowControl/>
              <w:rPr>
                <w:rFonts w:hint="eastAsia" w:ascii="宋体" w:hAnsi="宋体" w:cs="宋体"/>
                <w:sz w:val="20"/>
                <w:szCs w:val="20"/>
              </w:rPr>
            </w:pPr>
            <w:r>
              <w:rPr>
                <w:rFonts w:hint="eastAsia" w:ascii="宋体" w:hAnsi="宋体" w:cs="宋体"/>
                <w:sz w:val="20"/>
                <w:szCs w:val="20"/>
              </w:rPr>
            </w:r>
            <w:r/>
          </w:p>
        </w:tc>
      </w:tr>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t xml:space="preserve">安全管理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5"/>
              <w:jc w:val="left"/>
              <w:widowControl/>
              <w:rPr>
                <w:rFonts w:hint="eastAsia" w:ascii="宋体" w:hAnsi="宋体" w:cs="宋体"/>
                <w:sz w:val="20"/>
                <w:szCs w:val="20"/>
              </w:rPr>
            </w:pPr>
            <w:r>
              <w:rPr>
                <w:rFonts w:hint="eastAsia" w:ascii="宋体" w:hAnsi="宋体" w:cs="宋体"/>
                <w:sz w:val="20"/>
                <w:szCs w:val="20"/>
              </w:rPr>
              <w:t xml:space="preserve">1、泵站变电所运维及电气零星维修：未按相关安全规范操作（如操作中未佩戴个人防护设备，使用安全用具、放置警示标牌等），每发现一项扣3分。</w:t>
            </w:r>
            <w:r>
              <w:rPr>
                <w:rFonts w:hint="eastAsia" w:ascii="宋体" w:hAnsi="宋体" w:cs="宋体"/>
                <w:sz w:val="20"/>
                <w:szCs w:val="20"/>
              </w:rPr>
            </w:r>
            <w:r/>
          </w:p>
          <w:p>
            <w:pPr>
              <w:pStyle w:val="995"/>
              <w:jc w:val="left"/>
              <w:widowControl/>
              <w:rPr>
                <w:rFonts w:hint="eastAsia" w:ascii="宋体" w:hAnsi="宋体" w:cs="宋体"/>
                <w:sz w:val="20"/>
                <w:szCs w:val="20"/>
              </w:rPr>
            </w:pPr>
            <w:r>
              <w:rPr>
                <w:rFonts w:hint="eastAsia" w:ascii="宋体" w:hAnsi="宋体" w:cs="宋体"/>
                <w:sz w:val="20"/>
                <w:szCs w:val="20"/>
              </w:rPr>
              <w:t xml:space="preserve">2、因施工作业时安全措施不到位导致人员受伤的，每出现1次扣除15分。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5"/>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5"/>
              <w:jc w:val="center"/>
              <w:widowControl/>
              <w:rPr>
                <w:rFonts w:hint="eastAsia" w:ascii="宋体" w:hAnsi="宋体" w:cs="宋体"/>
                <w:sz w:val="20"/>
                <w:szCs w:val="20"/>
              </w:rPr>
            </w:pPr>
            <w:r>
              <w:rPr>
                <w:rFonts w:hint="eastAsia" w:ascii="宋体" w:hAnsi="宋体" w:cs="宋体"/>
                <w:sz w:val="20"/>
                <w:szCs w:val="20"/>
              </w:rPr>
            </w:r>
            <w:r/>
          </w:p>
        </w:tc>
      </w:tr>
    </w:tbl>
    <w:p>
      <w:pPr>
        <w:pStyle w:val="995"/>
        <w:ind w:firstLine="420"/>
        <w:spacing w:line="360" w:lineRule="auto"/>
        <w:rPr>
          <w:rFonts w:hint="eastAsia" w:ascii="宋体" w:hAnsi="宋体" w:cs="宋体"/>
          <w:sz w:val="24"/>
        </w:rPr>
      </w:pPr>
      <w:r>
        <w:rPr>
          <w:rFonts w:hint="eastAsia" w:ascii="宋体" w:hAnsi="宋体" w:cs="宋体"/>
          <w:sz w:val="24"/>
        </w:rPr>
        <w:t xml:space="preserve">备注：考核评分</w:t>
      </w:r>
      <w:r>
        <w:rPr>
          <w:rFonts w:hint="eastAsia" w:ascii="宋体" w:hAnsi="宋体"/>
          <w:sz w:val="24"/>
        </w:rPr>
        <w:t xml:space="preserve">以优良90分计算，月度考核分≤90分的，</w:t>
      </w:r>
      <w:r>
        <w:rPr>
          <w:rFonts w:hint="eastAsia" w:ascii="宋体" w:hAnsi="宋体" w:cs="宋体"/>
          <w:sz w:val="24"/>
        </w:rPr>
        <w:t xml:space="preserve">扣除当月该项服务费用，</w:t>
      </w:r>
      <w:r>
        <w:rPr>
          <w:rFonts w:hint="eastAsia" w:ascii="宋体" w:hAnsi="宋体"/>
          <w:sz w:val="24"/>
        </w:rPr>
        <w:t xml:space="preserve">扣款=（90-月度考核分）*当月该项服务费*1%，</w:t>
      </w:r>
      <w:r>
        <w:rPr>
          <w:rFonts w:ascii="宋体" w:hAnsi="宋体"/>
          <w:sz w:val="24"/>
        </w:rPr>
        <w:t xml:space="preserve">相应扣款将在维保费用中直接予以扣除。</w:t>
      </w:r>
      <w:r>
        <w:rPr>
          <w:rFonts w:hint="eastAsia" w:ascii="宋体" w:hAnsi="宋体" w:cs="宋体"/>
          <w:sz w:val="24"/>
        </w:rPr>
      </w:r>
      <w:r/>
    </w:p>
    <w:p>
      <w:pPr>
        <w:pStyle w:val="995"/>
        <w:spacing w:line="360" w:lineRule="auto"/>
        <w:rPr>
          <w:rFonts w:ascii="楷体" w:hAnsi="楷体" w:eastAsia="楷体"/>
          <w:szCs w:val="21"/>
        </w:rPr>
      </w:pPr>
      <w:r>
        <w:rPr>
          <w:rFonts w:ascii="楷体" w:hAnsi="楷体" w:eastAsia="楷体"/>
          <w:szCs w:val="21"/>
        </w:rPr>
      </w:r>
      <w:r/>
    </w:p>
    <w:p>
      <w:pPr>
        <w:pStyle w:val="995"/>
        <w:jc w:val="center"/>
        <w:spacing w:line="360" w:lineRule="auto"/>
        <w:rPr>
          <w:b/>
          <w:sz w:val="36"/>
          <w:szCs w:val="36"/>
        </w:rPr>
        <w:sectPr>
          <w:footnotePr/>
          <w:endnotePr/>
          <w:type w:val="nextPage"/>
          <w:pgSz w:w="11907" w:h="16840" w:orient="portrait"/>
          <w:pgMar w:top="1440" w:right="1803" w:bottom="1440" w:left="1803" w:header="851" w:footer="851" w:gutter="0"/>
          <w:cols w:num="1" w:sep="0" w:space="1701" w:equalWidth="1"/>
          <w:docGrid w:linePitch="360"/>
        </w:sectPr>
        <w:outlineLvl w:val="0"/>
      </w:pPr>
      <w:r>
        <w:rPr>
          <w:b/>
          <w:sz w:val="36"/>
          <w:szCs w:val="36"/>
        </w:rPr>
      </w:r>
      <w:r/>
    </w:p>
    <w:p>
      <w:pPr>
        <w:pStyle w:val="995"/>
        <w:jc w:val="center"/>
        <w:spacing w:line="360" w:lineRule="auto"/>
        <w:rPr>
          <w:b/>
          <w:sz w:val="36"/>
          <w:szCs w:val="36"/>
        </w:rPr>
        <w:outlineLvl w:val="0"/>
      </w:pPr>
      <w:r/>
      <w:bookmarkStart w:id="825" w:name="_Toc11047"/>
      <w:r>
        <w:rPr>
          <w:b/>
          <w:sz w:val="36"/>
          <w:szCs w:val="36"/>
        </w:rPr>
        <w:t xml:space="preserve">第七章   投标文件格式</w:t>
      </w:r>
      <w:bookmarkEnd w:id="825"/>
      <w:r>
        <w:rPr>
          <w:b/>
          <w:sz w:val="36"/>
          <w:szCs w:val="36"/>
        </w:rPr>
      </w:r>
      <w:r/>
    </w:p>
    <w:p>
      <w:pPr>
        <w:pStyle w:val="995"/>
        <w:ind w:left="142"/>
        <w:spacing w:line="360" w:lineRule="auto"/>
        <w:tabs>
          <w:tab w:val="left" w:pos="900" w:leader="none"/>
          <w:tab w:val="left" w:pos="1980" w:leader="none"/>
        </w:tabs>
        <w:rPr>
          <w:b/>
          <w:sz w:val="24"/>
        </w:rPr>
      </w:pPr>
      <w:r>
        <w:rPr>
          <w:b/>
          <w:sz w:val="24"/>
        </w:rPr>
      </w:r>
      <w:r/>
    </w:p>
    <w:p>
      <w:pPr>
        <w:pStyle w:val="995"/>
        <w:ind w:left="142"/>
        <w:spacing w:line="360" w:lineRule="auto"/>
        <w:tabs>
          <w:tab w:val="left" w:pos="900" w:leader="none"/>
          <w:tab w:val="left" w:pos="1980" w:leader="none"/>
        </w:tabs>
        <w:rPr>
          <w:b/>
          <w:sz w:val="24"/>
        </w:rPr>
      </w:pPr>
      <w:r>
        <w:rPr>
          <w:b/>
          <w:sz w:val="24"/>
        </w:rPr>
      </w:r>
      <w:r/>
    </w:p>
    <w:p>
      <w:pPr>
        <w:pStyle w:val="995"/>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95"/>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95"/>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rPr>
          <w:sz w:val="24"/>
        </w:rPr>
      </w:r>
      <w:r/>
    </w:p>
    <w:p>
      <w:pPr>
        <w:pStyle w:val="995"/>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9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95"/>
        <w:jc w:val="left"/>
        <w:widowControl/>
        <w:rPr>
          <w:sz w:val="24"/>
        </w:rPr>
      </w:pPr>
      <w:r>
        <w:rPr>
          <w:sz w:val="24"/>
        </w:rPr>
        <w:br w:type="page" w:clear="all"/>
      </w:r>
      <w:r>
        <w:rPr>
          <w:sz w:val="24"/>
        </w:rPr>
      </w:r>
      <w:r/>
    </w:p>
    <w:p>
      <w:pPr>
        <w:pStyle w:val="995"/>
        <w:jc w:val="left"/>
        <w:keepLines/>
        <w:keepNext/>
        <w:spacing w:before="120" w:line="300" w:lineRule="auto"/>
        <w:rPr>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rPr>
        <w:t xml:space="preserve">一、资格证明文件格式</w:t>
      </w:r>
      <w:r>
        <w:rPr>
          <w:b/>
          <w:sz w:val="30"/>
          <w:szCs w:val="20"/>
        </w:rPr>
      </w:r>
      <w:r/>
    </w:p>
    <w:p>
      <w:pPr>
        <w:pStyle w:val="995"/>
        <w:rPr>
          <w:b/>
          <w:spacing w:val="20"/>
          <w:szCs w:val="21"/>
        </w:rPr>
      </w:pPr>
      <w:r>
        <w:rPr>
          <w:b/>
          <w:spacing w:val="20"/>
          <w:szCs w:val="21"/>
        </w:rPr>
      </w:r>
      <w:r/>
    </w:p>
    <w:p>
      <w:pPr>
        <w:pStyle w:val="995"/>
        <w:rPr>
          <w:b/>
          <w:sz w:val="24"/>
        </w:rPr>
      </w:pPr>
      <w:r>
        <w:rPr>
          <w:b/>
          <w:spacing w:val="20"/>
          <w:sz w:val="24"/>
        </w:rPr>
        <w:t xml:space="preserve">投标文件</w:t>
      </w:r>
      <w:r>
        <w:rPr>
          <w:b/>
          <w:sz w:val="24"/>
        </w:rPr>
        <w:t xml:space="preserve">封面（非实质性格式）</w:t>
      </w:r>
      <w:r>
        <w:rPr>
          <w:b/>
          <w:sz w:val="24"/>
        </w:rPr>
      </w:r>
      <w:r/>
    </w:p>
    <w:p>
      <w:pPr>
        <w:pStyle w:val="995"/>
        <w:jc w:val="center"/>
        <w:rPr>
          <w:szCs w:val="21"/>
        </w:rPr>
      </w:pPr>
      <w:r>
        <w:rPr>
          <w:szCs w:val="21"/>
        </w:rPr>
      </w:r>
      <w:r/>
    </w:p>
    <w:p>
      <w:pPr>
        <w:pStyle w:val="995"/>
        <w:jc w:val="center"/>
        <w:rPr>
          <w:b/>
          <w:spacing w:val="60"/>
          <w:sz w:val="84"/>
          <w:szCs w:val="84"/>
        </w:rPr>
      </w:pPr>
      <w:r>
        <w:rPr>
          <w:b/>
          <w:spacing w:val="60"/>
          <w:sz w:val="84"/>
          <w:szCs w:val="84"/>
        </w:rPr>
      </w:r>
      <w:r/>
    </w:p>
    <w:p>
      <w:pPr>
        <w:pStyle w:val="995"/>
        <w:jc w:val="center"/>
        <w:rPr>
          <w:b/>
          <w:spacing w:val="60"/>
          <w:sz w:val="84"/>
          <w:szCs w:val="84"/>
        </w:rPr>
      </w:pPr>
      <w:r>
        <w:rPr>
          <w:b/>
          <w:spacing w:val="60"/>
          <w:sz w:val="84"/>
          <w:szCs w:val="84"/>
        </w:rPr>
      </w:r>
      <w:r/>
    </w:p>
    <w:p>
      <w:pPr>
        <w:pStyle w:val="995"/>
        <w:jc w:val="center"/>
        <w:rPr>
          <w:b/>
          <w:spacing w:val="60"/>
          <w:sz w:val="84"/>
          <w:szCs w:val="84"/>
        </w:rPr>
      </w:pPr>
      <w:r>
        <w:rPr>
          <w:b/>
          <w:spacing w:val="60"/>
          <w:sz w:val="84"/>
          <w:szCs w:val="84"/>
        </w:rPr>
        <w:t xml:space="preserve">投 标 文 件</w:t>
      </w:r>
      <w:r>
        <w:rPr>
          <w:b/>
          <w:spacing w:val="60"/>
          <w:sz w:val="84"/>
          <w:szCs w:val="84"/>
        </w:rPr>
      </w:r>
      <w:r/>
    </w:p>
    <w:p>
      <w:pPr>
        <w:pStyle w:val="995"/>
        <w:ind w:firstLine="963"/>
        <w:rPr>
          <w:rFonts w:hint="eastAsia"/>
          <w:b/>
          <w:spacing w:val="60"/>
          <w:sz w:val="52"/>
          <w:szCs w:val="52"/>
        </w:rPr>
      </w:pPr>
      <w:r>
        <w:rPr>
          <w:rFonts w:hint="eastAsia"/>
          <w:b/>
          <w:spacing w:val="60"/>
          <w:sz w:val="52"/>
          <w:szCs w:val="52"/>
        </w:rPr>
      </w:r>
      <w:r/>
    </w:p>
    <w:p>
      <w:pPr>
        <w:pStyle w:val="995"/>
        <w:ind w:firstLine="963"/>
        <w:rPr>
          <w:rFonts w:hint="eastAsia"/>
          <w:b/>
          <w:spacing w:val="60"/>
          <w:sz w:val="52"/>
          <w:szCs w:val="52"/>
        </w:rPr>
      </w:pPr>
      <w:r>
        <w:rPr>
          <w:rFonts w:hint="eastAsia"/>
          <w:b/>
          <w:spacing w:val="60"/>
          <w:sz w:val="52"/>
          <w:szCs w:val="52"/>
        </w:rPr>
      </w:r>
      <w:r/>
    </w:p>
    <w:p>
      <w:pPr>
        <w:pStyle w:val="995"/>
        <w:ind w:firstLine="542"/>
        <w:rPr>
          <w:b/>
          <w:spacing w:val="20"/>
          <w:sz w:val="32"/>
          <w:szCs w:val="32"/>
        </w:rPr>
      </w:pPr>
      <w:r>
        <w:rPr>
          <w:b/>
          <w:spacing w:val="20"/>
          <w:sz w:val="32"/>
          <w:szCs w:val="32"/>
        </w:rPr>
      </w:r>
      <w:r/>
    </w:p>
    <w:p>
      <w:pPr>
        <w:pStyle w:val="995"/>
        <w:ind w:firstLine="542"/>
        <w:rPr>
          <w:b/>
          <w:spacing w:val="20"/>
          <w:sz w:val="32"/>
          <w:szCs w:val="32"/>
        </w:rPr>
      </w:pPr>
      <w:r>
        <w:rPr>
          <w:b/>
          <w:spacing w:val="20"/>
          <w:sz w:val="32"/>
          <w:szCs w:val="32"/>
        </w:rPr>
      </w:r>
      <w:r/>
    </w:p>
    <w:p>
      <w:pPr>
        <w:pStyle w:val="99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9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9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9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95"/>
        <w:jc w:val="center"/>
        <w:rPr>
          <w:b/>
          <w:sz w:val="32"/>
          <w:szCs w:val="32"/>
        </w:rPr>
      </w:pPr>
      <w:r>
        <w:rPr>
          <w:b/>
          <w:sz w:val="32"/>
          <w:szCs w:val="32"/>
        </w:rPr>
      </w:r>
      <w:r/>
    </w:p>
    <w:p>
      <w:pPr>
        <w:pStyle w:val="995"/>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95"/>
        <w:rPr>
          <w:b/>
        </w:rPr>
      </w:pPr>
      <w:r>
        <w:rPr>
          <w:b/>
        </w:rPr>
      </w:r>
      <w:r/>
    </w:p>
    <w:p>
      <w:pPr>
        <w:pStyle w:val="995"/>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9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u w:val="none"/>
        </w:rPr>
        <w:t xml:space="preserve">（实质性格式）</w:t>
      </w:r>
      <w:r>
        <w:rPr>
          <w:rFonts w:ascii="Times New Roman"/>
          <w:b w:val="0"/>
          <w:bCs/>
          <w:u w:val="none"/>
        </w:rPr>
      </w:r>
      <w:r/>
    </w:p>
    <w:p>
      <w:pPr>
        <w:pStyle w:val="99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95"/>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10"/>
        <w:ind w:firstLine="480"/>
        <w:spacing w:line="460" w:lineRule="exact"/>
      </w:pPr>
      <w:r/>
      <w:r/>
    </w:p>
    <w:p>
      <w:pPr>
        <w:pStyle w:val="1010"/>
        <w:ind w:firstLine="480"/>
        <w:spacing w:line="460" w:lineRule="exact"/>
      </w:pPr>
      <w:r>
        <w:rPr>
          <w:rFonts w:hint="eastAsia"/>
        </w:rPr>
        <w:t xml:space="preserve">致：江苏中冠工程咨询有限公司</w:t>
      </w:r>
      <w:r/>
    </w:p>
    <w:p>
      <w:pPr>
        <w:pStyle w:val="1010"/>
        <w:ind w:firstLine="960"/>
        <w:spacing w:line="460" w:lineRule="exact"/>
        <w:rPr>
          <w:u w:val="single"/>
        </w:rPr>
      </w:pPr>
      <w:r>
        <w:rPr>
          <w:rFonts w:hint="eastAsia"/>
          <w:u w:val="single"/>
        </w:rPr>
        <w:t xml:space="preserve">（招标人名称）</w:t>
      </w:r>
      <w:r>
        <w:rPr>
          <w:u w:val="single"/>
        </w:rPr>
      </w:r>
      <w:r/>
    </w:p>
    <w:p>
      <w:pPr>
        <w:pStyle w:val="1010"/>
        <w:ind w:firstLine="480"/>
        <w:spacing w:line="460" w:lineRule="exact"/>
      </w:pPr>
      <w:r/>
      <w:r/>
    </w:p>
    <w:p>
      <w:pPr>
        <w:pStyle w:val="1010"/>
        <w:ind w:firstLine="480"/>
        <w:spacing w:line="460" w:lineRule="exact"/>
      </w:pPr>
      <w:r>
        <w:rPr>
          <w:rFonts w:hint="eastAsia"/>
        </w:rPr>
        <w:t xml:space="preserve">按照《中华人民共和国政府采购法》第二十二条和招标文件的规定，我单位郑重声明如下：</w:t>
      </w:r>
      <w:r/>
    </w:p>
    <w:p>
      <w:pPr>
        <w:pStyle w:val="101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10"/>
        <w:ind w:firstLine="480"/>
        <w:spacing w:line="460" w:lineRule="exact"/>
      </w:pPr>
      <w:r>
        <w:rPr>
          <w:rFonts w:hint="eastAsia"/>
        </w:rPr>
        <w:t xml:space="preserve">二、我单位具有良好的商业信誉（指投标人经营状况良好，无本资格声明第十条情形）和健全的财务会计制度。</w:t>
      </w:r>
      <w:r/>
    </w:p>
    <w:p>
      <w:pPr>
        <w:pStyle w:val="1010"/>
        <w:ind w:firstLine="480"/>
        <w:spacing w:line="460" w:lineRule="exact"/>
      </w:pPr>
      <w:r>
        <w:rPr>
          <w:rFonts w:hint="eastAsia"/>
        </w:rPr>
        <w:t xml:space="preserve">三、我单位依法进行纳税和社会保险申报并实际履行了义务。</w:t>
      </w:r>
      <w:r/>
    </w:p>
    <w:p>
      <w:pPr>
        <w:pStyle w:val="1010"/>
        <w:ind w:firstLine="480"/>
        <w:spacing w:line="460" w:lineRule="exact"/>
        <w:rPr>
          <w:rFonts w:hint="eastAsia"/>
        </w:rPr>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r>
      <w:r/>
    </w:p>
    <w:p>
      <w:pPr>
        <w:pStyle w:val="1010"/>
        <w:ind w:firstLine="480"/>
        <w:spacing w:line="460" w:lineRule="exact"/>
      </w:pPr>
      <w:r>
        <w:rPr>
          <w:rFonts w:hint="eastAsia"/>
        </w:rPr>
        <w:t xml:space="preserve">主要设备有：</w:t>
      </w:r>
      <w:r>
        <w:rPr>
          <w:u w:val="single"/>
        </w:rPr>
        <w:t xml:space="preserve">            </w:t>
      </w:r>
      <w:r/>
    </w:p>
    <w:p>
      <w:pPr>
        <w:pStyle w:val="1010"/>
        <w:ind w:firstLine="480"/>
        <w:spacing w:line="460" w:lineRule="exact"/>
      </w:pPr>
      <w:r>
        <w:rPr>
          <w:rFonts w:hint="eastAsia"/>
        </w:rPr>
        <w:t xml:space="preserve">主要专业技术能力有</w:t>
      </w:r>
      <w:r>
        <w:rPr>
          <w:rFonts w:hint="eastAsia"/>
          <w:u w:val="single"/>
        </w:rPr>
        <w:t xml:space="preserve">                 </w:t>
      </w:r>
      <w:r/>
    </w:p>
    <w:p>
      <w:pPr>
        <w:pStyle w:val="101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10"/>
        <w:ind w:firstLine="480"/>
        <w:spacing w:line="460" w:lineRule="exact"/>
      </w:pPr>
      <w:r>
        <w:rPr>
          <w:rFonts w:hint="eastAsia"/>
        </w:rPr>
        <w:t xml:space="preserve">六、我单位具备法律、行政法规规定的其他条件。</w:t>
      </w:r>
      <w:r/>
    </w:p>
    <w:p>
      <w:pPr>
        <w:pStyle w:val="101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1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u w:val="single"/>
        </w:rPr>
        <w:t xml:space="preserve"> </w:t>
      </w:r>
      <w:r/>
    </w:p>
    <w:p>
      <w:pPr>
        <w:pStyle w:val="1010"/>
        <w:ind w:firstLine="480"/>
        <w:spacing w:line="460" w:lineRule="exact"/>
      </w:pPr>
      <w:r>
        <w:rPr>
          <w:rFonts w:hint="eastAsia"/>
        </w:rPr>
        <w:t xml:space="preserve">2、我单位直接控股的其他单位如下：</w:t>
      </w:r>
      <w:r>
        <w:rPr>
          <w:rFonts w:hint="eastAsia"/>
          <w:u w:val="single"/>
        </w:rPr>
        <w:t xml:space="preserve">                    </w:t>
      </w:r>
      <w:r/>
    </w:p>
    <w:p>
      <w:pPr>
        <w:pStyle w:val="1010"/>
        <w:ind w:firstLine="480"/>
        <w:spacing w:line="460" w:lineRule="exact"/>
      </w:pPr>
      <w:r>
        <w:rPr>
          <w:rFonts w:hint="eastAsia"/>
        </w:rPr>
        <w:t xml:space="preserve">3、与我单位存在管理关系的其他单位如下：</w:t>
      </w:r>
      <w:r>
        <w:rPr>
          <w:rFonts w:hint="eastAsia"/>
          <w:u w:val="single"/>
        </w:rPr>
        <w:t xml:space="preserve">              </w:t>
      </w:r>
      <w:r/>
    </w:p>
    <w:p>
      <w:pPr>
        <w:pStyle w:val="101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10"/>
        <w:ind w:firstLine="480"/>
        <w:spacing w:line="460" w:lineRule="exact"/>
      </w:pPr>
      <w:r>
        <w:rPr>
          <w:rFonts w:hint="eastAsia"/>
        </w:rPr>
        <w:t xml:space="preserve">九、</w:t>
      </w:r>
      <w:r>
        <w:t xml:space="preserve">我单位无以下不良信用记录情形：</w:t>
      </w:r>
      <w:r/>
    </w:p>
    <w:p>
      <w:pPr>
        <w:pStyle w:val="1010"/>
        <w:ind w:firstLine="480"/>
        <w:spacing w:line="460" w:lineRule="exact"/>
      </w:pPr>
      <w:r>
        <w:t xml:space="preserve">1</w:t>
      </w:r>
      <w:r>
        <w:rPr>
          <w:rFonts w:hint="eastAsia"/>
        </w:rPr>
        <w:t xml:space="preserve">、在“信用中国”网站被列入失信被执行人和重大税收违法案件当事人名单；</w:t>
      </w:r>
      <w:r/>
    </w:p>
    <w:p>
      <w:pPr>
        <w:pStyle w:val="1010"/>
        <w:ind w:firstLine="480"/>
        <w:spacing w:line="460" w:lineRule="exact"/>
      </w:pPr>
      <w:r>
        <w:t xml:space="preserve">2</w:t>
      </w:r>
      <w:r>
        <w:rPr>
          <w:rFonts w:hint="eastAsia"/>
        </w:rPr>
        <w:t xml:space="preserve">、在“中国政府采购网”网站被列入政府采购严重违法失信行为记录名单；</w:t>
      </w:r>
      <w:r/>
    </w:p>
    <w:p>
      <w:pPr>
        <w:pStyle w:val="1010"/>
        <w:ind w:firstLine="480"/>
        <w:spacing w:line="460" w:lineRule="exact"/>
      </w:pPr>
      <w:r>
        <w:t xml:space="preserve">3</w:t>
      </w:r>
      <w:r>
        <w:rPr>
          <w:rFonts w:hint="eastAsia"/>
        </w:rPr>
        <w:t xml:space="preserve">、</w:t>
      </w:r>
      <w:r>
        <w:t xml:space="preserve">不符合《政府采购法》第二十二条规定的条件。</w:t>
      </w:r>
      <w:r/>
    </w:p>
    <w:p>
      <w:pPr>
        <w:pStyle w:val="1010"/>
        <w:ind w:firstLine="480"/>
        <w:spacing w:line="460" w:lineRule="exact"/>
      </w:pPr>
      <w:r/>
      <w:r/>
    </w:p>
    <w:p>
      <w:pPr>
        <w:pStyle w:val="101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10"/>
        <w:ind w:firstLine="480"/>
        <w:spacing w:line="460" w:lineRule="exact"/>
      </w:pPr>
      <w:r/>
      <w:r/>
    </w:p>
    <w:p>
      <w:pPr>
        <w:pStyle w:val="1010"/>
        <w:ind w:firstLine="480"/>
        <w:spacing w:line="460" w:lineRule="exact"/>
      </w:pPr>
      <w:r/>
      <w:r/>
    </w:p>
    <w:p>
      <w:pPr>
        <w:pStyle w:val="1010"/>
        <w:ind w:firstLine="480"/>
        <w:spacing w:line="460" w:lineRule="exact"/>
      </w:pPr>
      <w:r>
        <w:rPr>
          <w:rFonts w:hint="eastAsia"/>
        </w:rPr>
        <w:t xml:space="preserve">                                    投标人：（加盖公章）</w:t>
      </w:r>
      <w:r/>
    </w:p>
    <w:p>
      <w:pPr>
        <w:pStyle w:val="1010"/>
        <w:ind w:firstLine="480"/>
        <w:spacing w:line="460" w:lineRule="exact"/>
      </w:pPr>
      <w:r>
        <w:rPr>
          <w:rFonts w:hint="eastAsia"/>
        </w:rPr>
        <w:t xml:space="preserve">                                   </w:t>
      </w:r>
      <w:r>
        <w:t xml:space="preserve"> </w:t>
      </w:r>
      <w:r>
        <w:rPr>
          <w:rFonts w:hint="eastAsia"/>
        </w:rPr>
        <w:t xml:space="preserve">法定代表人（或单位负责人）签字或盖章：</w:t>
      </w:r>
      <w:r/>
    </w:p>
    <w:p>
      <w:pPr>
        <w:pStyle w:val="1010"/>
        <w:ind w:firstLine="4920"/>
        <w:spacing w:line="460" w:lineRule="exact"/>
        <w:rPr>
          <w:rFonts w:hint="eastAsia"/>
        </w:rPr>
      </w:pPr>
      <w:r>
        <w:rPr>
          <w:rFonts w:hint="eastAsia"/>
        </w:rPr>
        <w:t xml:space="preserve">日期：    年    月    日</w:t>
      </w:r>
      <w:r>
        <w:rPr>
          <w:rFonts w:hint="eastAsia"/>
        </w:rPr>
      </w:r>
      <w:r/>
    </w:p>
    <w:p>
      <w:pPr>
        <w:pStyle w:val="995"/>
        <w:spacing w:line="360" w:lineRule="auto"/>
        <w:rPr>
          <w:rFonts w:hint="eastAsia"/>
          <w:sz w:val="24"/>
        </w:rPr>
      </w:pPr>
      <w:r>
        <w:rPr>
          <w:rFonts w:hint="eastAsia"/>
          <w:sz w:val="24"/>
        </w:rPr>
      </w:r>
      <w:r/>
    </w:p>
    <w:p>
      <w:pPr>
        <w:pStyle w:val="995"/>
        <w:spacing w:line="360" w:lineRule="auto"/>
        <w:rPr>
          <w:rFonts w:hint="eastAsia"/>
          <w:sz w:val="24"/>
        </w:rPr>
      </w:pPr>
      <w:r>
        <w:rPr>
          <w:rFonts w:hint="eastAsia"/>
          <w:sz w:val="24"/>
        </w:rPr>
      </w:r>
      <w:r/>
    </w:p>
    <w:p>
      <w:pPr>
        <w:pStyle w:val="995"/>
        <w:spacing w:line="360" w:lineRule="auto"/>
        <w:rPr>
          <w:rFonts w:hint="eastAsia"/>
          <w:sz w:val="24"/>
        </w:rPr>
      </w:pPr>
      <w:r>
        <w:rPr>
          <w:rFonts w:hint="eastAsia"/>
          <w:sz w:val="24"/>
        </w:rPr>
      </w:r>
      <w:r/>
    </w:p>
    <w:p>
      <w:pPr>
        <w:pStyle w:val="995"/>
        <w:spacing w:line="360" w:lineRule="auto"/>
        <w:rPr>
          <w:sz w:val="24"/>
        </w:rPr>
      </w:pPr>
      <w:r>
        <w:rPr>
          <w:sz w:val="24"/>
        </w:rPr>
        <w:t xml:space="preserve">说明：</w:t>
      </w:r>
      <w:r>
        <w:rPr>
          <w:rFonts w:hint="eastAsia"/>
          <w:sz w:val="24"/>
        </w:rPr>
        <w:t xml:space="preserve">投标人承诺不实的，依据《政府采购法》第七十七条“提供虚假材料谋取中标的”有关规定予以处理</w:t>
      </w:r>
      <w:r>
        <w:rPr>
          <w:sz w:val="24"/>
        </w:rPr>
        <w:t xml:space="preserve">。</w:t>
      </w:r>
      <w:r>
        <w:rPr>
          <w:sz w:val="24"/>
        </w:rPr>
      </w:r>
      <w:r/>
    </w:p>
    <w:p>
      <w:pPr>
        <w:pStyle w:val="995"/>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pStyle w:val="995"/>
        <w:spacing w:line="360" w:lineRule="auto"/>
        <w:rPr>
          <w:sz w:val="24"/>
          <w:szCs w:val="20"/>
        </w:rPr>
        <w:outlineLvl w:val="2"/>
      </w:pPr>
      <w:r>
        <w:rPr>
          <w:sz w:val="24"/>
          <w:szCs w:val="20"/>
        </w:rPr>
        <w:t xml:space="preserve">2 落实政府采购政策需满足的资格要求（如有）</w:t>
      </w:r>
      <w:r>
        <w:rPr>
          <w:sz w:val="24"/>
          <w:szCs w:val="20"/>
        </w:rPr>
      </w:r>
      <w:r/>
    </w:p>
    <w:p>
      <w:pPr>
        <w:pStyle w:val="995"/>
        <w:spacing w:line="360" w:lineRule="auto"/>
        <w:rPr>
          <w:sz w:val="24"/>
          <w:szCs w:val="20"/>
        </w:rPr>
        <w:outlineLvl w:val="2"/>
      </w:pPr>
      <w:r>
        <w:rPr>
          <w:sz w:val="24"/>
          <w:szCs w:val="20"/>
        </w:rPr>
        <w:t xml:space="preserve">2-1中小企业声明函</w:t>
      </w:r>
      <w:r>
        <w:rPr>
          <w:sz w:val="24"/>
          <w:szCs w:val="20"/>
        </w:rPr>
      </w:r>
      <w:r/>
    </w:p>
    <w:p>
      <w:pPr>
        <w:pStyle w:val="995"/>
        <w:spacing w:line="360" w:lineRule="auto"/>
        <w:tabs>
          <w:tab w:val="left" w:pos="5580" w:leader="none"/>
        </w:tabs>
        <w:rPr>
          <w:sz w:val="24"/>
        </w:rPr>
      </w:pPr>
      <w:r>
        <w:rPr>
          <w:sz w:val="24"/>
        </w:rPr>
      </w:r>
      <w:r/>
    </w:p>
    <w:p>
      <w:pPr>
        <w:pStyle w:val="995"/>
        <w:spacing w:line="360" w:lineRule="auto"/>
        <w:tabs>
          <w:tab w:val="left" w:pos="5580" w:leader="none"/>
        </w:tabs>
        <w:rPr>
          <w:sz w:val="24"/>
        </w:rPr>
      </w:pPr>
      <w:r>
        <w:rPr>
          <w:sz w:val="24"/>
        </w:rPr>
        <w:t xml:space="preserve">说明：</w:t>
      </w:r>
      <w:r>
        <w:rPr>
          <w:sz w:val="24"/>
        </w:rPr>
      </w:r>
      <w:r/>
    </w:p>
    <w:p>
      <w:pPr>
        <w:pStyle w:val="99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995"/>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9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95"/>
        <w:spacing w:line="360" w:lineRule="auto"/>
        <w:tabs>
          <w:tab w:val="left" w:pos="5580" w:leader="none"/>
        </w:tabs>
        <w:rPr>
          <w:sz w:val="24"/>
        </w:rPr>
      </w:pPr>
      <w:r>
        <w:rPr>
          <w:rFonts w:hint="eastAsia"/>
          <w:sz w:val="24"/>
        </w:rPr>
        <w:t xml:space="preserve">（4）其他</w:t>
      </w:r>
      <w:r>
        <w:rPr>
          <w:sz w:val="24"/>
        </w:rPr>
      </w:r>
      <w:r/>
    </w:p>
    <w:p>
      <w:pPr>
        <w:pStyle w:val="995"/>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995"/>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95"/>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995"/>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995"/>
        <w:jc w:val="left"/>
        <w:widowControl/>
        <w:rPr>
          <w:sz w:val="24"/>
        </w:rPr>
      </w:pPr>
      <w:r>
        <w:rPr>
          <w:sz w:val="24"/>
        </w:rPr>
        <w:br w:type="page" w:clear="all"/>
      </w:r>
      <w:r>
        <w:rPr>
          <w:sz w:val="24"/>
        </w:rPr>
      </w:r>
      <w:r/>
    </w:p>
    <w:p>
      <w:pPr>
        <w:pStyle w:val="995"/>
        <w:jc w:val="center"/>
        <w:spacing w:before="240" w:after="240" w:line="360" w:lineRule="auto"/>
        <w:rPr>
          <w:b/>
          <w:sz w:val="36"/>
          <w:szCs w:val="36"/>
        </w:rPr>
      </w:pPr>
      <w:r>
        <w:rPr>
          <w:rFonts w:hint="eastAsia"/>
          <w:b/>
          <w:bCs/>
          <w:sz w:val="36"/>
          <w:szCs w:val="36"/>
        </w:rPr>
        <w:t xml:space="preserve">中小企业声明函（服务）格式</w:t>
      </w:r>
      <w:r>
        <w:rPr>
          <w:b/>
          <w:sz w:val="36"/>
          <w:szCs w:val="36"/>
        </w:rPr>
      </w:r>
      <w:r/>
    </w:p>
    <w:p>
      <w:pPr>
        <w:pStyle w:val="995"/>
        <w:ind w:firstLine="504"/>
        <w:spacing w:line="360" w:lineRule="auto"/>
        <w:rPr>
          <w:spacing w:val="6"/>
          <w:sz w:val="24"/>
        </w:rPr>
      </w:pPr>
      <w:r>
        <w:rPr>
          <w:spacing w:val="6"/>
          <w:sz w:val="24"/>
        </w:rPr>
        <w:t xml:space="preserve">本公司郑重声明，根据《政府采购促进中小企业发展管理办法》（财库﹝2020﹞46 号）的规定，本公司参加</w:t>
      </w:r>
      <w:r>
        <w:rPr>
          <w:rFonts w:hint="eastAsia"/>
          <w:spacing w:val="6"/>
          <w:sz w:val="24"/>
        </w:rPr>
        <w:t xml:space="preserve">_</w:t>
      </w:r>
      <w:r>
        <w:rPr>
          <w:spacing w:val="6"/>
          <w:sz w:val="24"/>
        </w:rPr>
        <w:t xml:space="preserve">________________（单位名称）的</w:t>
      </w:r>
      <w:r>
        <w:rPr>
          <w:rFonts w:hint="eastAsia"/>
          <w:spacing w:val="6"/>
          <w:sz w:val="24"/>
        </w:rPr>
        <w:t xml:space="preserve">_</w:t>
      </w:r>
      <w:r>
        <w:rPr>
          <w:spacing w:val="6"/>
          <w:sz w:val="24"/>
        </w:rPr>
        <w:t xml:space="preserve">_________________（项目名称）采购活动，服务全部由符合政策要求的中小企业承接。相关企业的具体情况如下：</w:t>
      </w:r>
      <w:r>
        <w:rPr>
          <w:spacing w:val="6"/>
          <w:sz w:val="24"/>
        </w:rPr>
      </w:r>
      <w:r/>
    </w:p>
    <w:p>
      <w:pPr>
        <w:pStyle w:val="995"/>
        <w:ind w:firstLine="504"/>
        <w:spacing w:line="360" w:lineRule="auto"/>
        <w:rPr>
          <w:spacing w:val="6"/>
          <w:sz w:val="24"/>
        </w:rPr>
      </w:pPr>
      <w:r>
        <w:rPr>
          <w:rFonts w:hint="eastAsia"/>
          <w:spacing w:val="6"/>
          <w:sz w:val="24"/>
          <w:u w:val="single"/>
          <w:lang w:eastAsia="zh-CN"/>
        </w:rPr>
        <w:t xml:space="preserve">2026-2029年变电所运维及电气零星维修</w:t>
      </w:r>
      <w:r>
        <w:rPr>
          <w:spacing w:val="6"/>
          <w:sz w:val="24"/>
        </w:rPr>
        <w:t xml:space="preserve">，属于</w:t>
      </w:r>
      <w:r>
        <w:rPr>
          <w:rFonts w:hint="eastAsia"/>
          <w:spacing w:val="6"/>
          <w:sz w:val="24"/>
          <w:u w:val="single"/>
        </w:rPr>
        <w:t xml:space="preserve">其他未列明行业</w:t>
      </w:r>
      <w:r>
        <w:rPr>
          <w:spacing w:val="6"/>
          <w:sz w:val="24"/>
        </w:rPr>
        <w:t xml:space="preserve">行业；承接企业为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rPr>
        <w:t xml:space="preserve">（中型企业、小型企业、微型企业）；</w:t>
      </w:r>
      <w:r>
        <w:rPr>
          <w:spacing w:val="6"/>
          <w:sz w:val="24"/>
        </w:rPr>
      </w:r>
      <w:r/>
    </w:p>
    <w:p>
      <w:pPr>
        <w:pStyle w:val="995"/>
        <w:ind w:firstLine="504"/>
        <w:spacing w:line="360" w:lineRule="auto"/>
        <w:rPr>
          <w:spacing w:val="6"/>
          <w:sz w:val="24"/>
        </w:rPr>
      </w:pPr>
      <w:r>
        <w:rPr>
          <w:spacing w:val="6"/>
          <w:sz w:val="24"/>
        </w:rPr>
      </w:r>
      <w:r/>
    </w:p>
    <w:p>
      <w:pPr>
        <w:pStyle w:val="995"/>
        <w:ind w:firstLine="504"/>
        <w:spacing w:line="360" w:lineRule="auto"/>
        <w:rPr>
          <w:rFonts w:ascii="宋体" w:hAnsi="宋体"/>
          <w:spacing w:val="6"/>
          <w:sz w:val="24"/>
        </w:rPr>
      </w:pPr>
      <w:r>
        <w:rPr>
          <w:rFonts w:ascii="宋体" w:hAnsi="宋体"/>
          <w:spacing w:val="6"/>
          <w:sz w:val="24"/>
        </w:rPr>
        <w:t xml:space="preserve">……</w:t>
      </w:r>
      <w:r>
        <w:rPr>
          <w:rFonts w:ascii="宋体" w:hAnsi="宋体"/>
          <w:spacing w:val="6"/>
          <w:sz w:val="24"/>
        </w:rPr>
      </w:r>
      <w:r/>
    </w:p>
    <w:p>
      <w:pPr>
        <w:pStyle w:val="99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9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95"/>
        <w:ind w:right="360" w:firstLine="480"/>
        <w:jc w:val="right"/>
        <w:spacing w:line="360" w:lineRule="auto"/>
        <w:rPr>
          <w:sz w:val="24"/>
        </w:rPr>
      </w:pPr>
      <w:r>
        <w:rPr>
          <w:sz w:val="24"/>
        </w:rPr>
      </w:r>
      <w:r/>
    </w:p>
    <w:p>
      <w:pPr>
        <w:pStyle w:val="995"/>
        <w:ind w:right="360" w:firstLine="480"/>
        <w:jc w:val="right"/>
        <w:spacing w:line="360" w:lineRule="auto"/>
        <w:rPr>
          <w:sz w:val="24"/>
        </w:rPr>
      </w:pPr>
      <w:r>
        <w:rPr>
          <w:sz w:val="24"/>
        </w:rPr>
        <w:t xml:space="preserve">企业名称（加盖公章）：________</w:t>
      </w:r>
      <w:r>
        <w:rPr>
          <w:sz w:val="24"/>
        </w:rPr>
      </w:r>
      <w:r/>
    </w:p>
    <w:p>
      <w:pPr>
        <w:pStyle w:val="995"/>
        <w:ind w:right="360" w:firstLine="480"/>
        <w:jc w:val="right"/>
        <w:spacing w:line="360" w:lineRule="auto"/>
        <w:rPr>
          <w:sz w:val="24"/>
        </w:rPr>
      </w:pPr>
      <w:r>
        <w:rPr>
          <w:sz w:val="24"/>
        </w:rPr>
        <w:t xml:space="preserve">日 期：________</w:t>
      </w:r>
      <w:r>
        <w:rPr>
          <w:sz w:val="24"/>
        </w:rPr>
      </w:r>
      <w:r/>
    </w:p>
    <w:p>
      <w:pPr>
        <w:pStyle w:val="995"/>
        <w:ind w:right="360" w:firstLine="480"/>
        <w:jc w:val="right"/>
        <w:spacing w:line="360" w:lineRule="auto"/>
        <w:rPr>
          <w:sz w:val="24"/>
        </w:rPr>
      </w:pPr>
      <w:r>
        <w:rPr>
          <w:sz w:val="24"/>
        </w:rPr>
      </w:r>
      <w:r/>
    </w:p>
    <w:p>
      <w:pPr>
        <w:pStyle w:val="995"/>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5"/>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95"/>
        <w:jc w:val="center"/>
        <w:spacing w:before="240" w:after="240" w:line="360" w:lineRule="auto"/>
        <w:rPr>
          <w:b/>
          <w:sz w:val="36"/>
          <w:szCs w:val="36"/>
        </w:rPr>
      </w:pPr>
      <w:r>
        <w:rPr>
          <w:b/>
          <w:bCs/>
          <w:sz w:val="36"/>
          <w:szCs w:val="36"/>
        </w:rPr>
        <w:br w:type="column"/>
      </w:r>
      <w:r>
        <w:rPr>
          <w:rFonts w:hint="eastAsia"/>
          <w:b/>
          <w:bCs/>
          <w:sz w:val="36"/>
          <w:szCs w:val="36"/>
        </w:rPr>
        <w:t xml:space="preserve">残疾人福利性单位声明函格式</w:t>
      </w:r>
      <w:r>
        <w:rPr>
          <w:b/>
          <w:sz w:val="36"/>
          <w:szCs w:val="36"/>
        </w:rPr>
      </w:r>
      <w:r/>
    </w:p>
    <w:p>
      <w:pPr>
        <w:pStyle w:val="99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9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9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9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95"/>
        <w:ind w:firstLine="504"/>
        <w:spacing w:line="588" w:lineRule="exact"/>
        <w:rPr>
          <w:spacing w:val="6"/>
          <w:sz w:val="24"/>
        </w:rPr>
      </w:pPr>
      <w:r>
        <w:rPr>
          <w:spacing w:val="6"/>
          <w:sz w:val="24"/>
        </w:rPr>
      </w:r>
      <w:r/>
    </w:p>
    <w:p>
      <w:pPr>
        <w:pStyle w:val="995"/>
        <w:ind w:firstLine="504"/>
        <w:spacing w:line="588" w:lineRule="exact"/>
        <w:rPr>
          <w:spacing w:val="6"/>
          <w:sz w:val="24"/>
        </w:rPr>
      </w:pPr>
      <w:r>
        <w:rPr>
          <w:spacing w:val="6"/>
          <w:sz w:val="24"/>
        </w:rPr>
      </w:r>
      <w:r/>
    </w:p>
    <w:p>
      <w:pPr>
        <w:pStyle w:val="995"/>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9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95"/>
        <w:spacing w:line="360" w:lineRule="auto"/>
        <w:rPr>
          <w:sz w:val="24"/>
          <w:szCs w:val="20"/>
        </w:rPr>
      </w:pPr>
      <w:r>
        <w:rPr>
          <w:sz w:val="24"/>
          <w:szCs w:val="20"/>
        </w:rPr>
        <w:br w:type="column"/>
      </w:r>
      <w:r>
        <w:rPr>
          <w:sz w:val="24"/>
          <w:szCs w:val="20"/>
        </w:rPr>
      </w:r>
      <w:r/>
    </w:p>
    <w:p>
      <w:pPr>
        <w:pStyle w:val="995"/>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95"/>
        <w:jc w:val="left"/>
        <w:rPr>
          <w:rFonts w:hint="eastAsia"/>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b/>
          <w:bCs/>
          <w:sz w:val="24"/>
          <w:highlight w:val="none"/>
        </w:rPr>
        <w:t xml:space="preserve">须具有有效的国家能源局颁发的五级（含）以上承装（修、试）电力设施许可证或2025年7月1日后国家能源局颁发的三级（含）以上承装（修、试）电力设施许可证。</w:t>
      </w:r>
      <w:r>
        <w:rPr>
          <w:rFonts w:hint="eastAsia"/>
          <w:sz w:val="24"/>
          <w:highlight w:val="none"/>
        </w:rPr>
      </w:r>
      <w:r/>
    </w:p>
    <w:p>
      <w:pPr>
        <w:pStyle w:val="995"/>
        <w:jc w:val="left"/>
        <w:rPr>
          <w:rFonts w:hint="eastAsia" w:ascii="宋体" w:hAnsi="宋体"/>
          <w:b/>
          <w:sz w:val="32"/>
          <w:szCs w:val="32"/>
        </w:rPr>
        <w:outlineLvl w:val="1"/>
      </w:pPr>
      <w:r>
        <w:rPr>
          <w:rFonts w:ascii="宋体" w:hAnsi="宋体"/>
          <w:b/>
          <w:sz w:val="32"/>
          <w:szCs w:val="32"/>
        </w:rPr>
        <w:t xml:space="preserve">二、商务技术文件格式</w:t>
      </w:r>
      <w:bookmarkStart w:id="826" w:name="_Toc520356217"/>
      <w:r/>
      <w:bookmarkStart w:id="827" w:name="_Toc127151556"/>
      <w:r/>
      <w:bookmarkStart w:id="828" w:name="_Toc150774761"/>
      <w:r/>
      <w:bookmarkStart w:id="829" w:name="_Ref467988698"/>
      <w:r/>
      <w:bookmarkStart w:id="830" w:name="_Toc226965746"/>
      <w:r/>
      <w:bookmarkStart w:id="831" w:name="_Toc226309800"/>
      <w:r/>
      <w:bookmarkStart w:id="832" w:name="_Toc150480794"/>
      <w:r/>
      <w:bookmarkStart w:id="833" w:name="_Toc142311058"/>
      <w:r/>
      <w:bookmarkStart w:id="834" w:name="_Toc226337252"/>
      <w:r/>
      <w:bookmarkStart w:id="835" w:name="_Toc480942349"/>
      <w:r/>
      <w:bookmarkStart w:id="836" w:name="_Toc226965829"/>
      <w:r/>
      <w:bookmarkStart w:id="837" w:name="_Toc195842921"/>
      <w:r>
        <w:rPr>
          <w:rFonts w:hint="eastAsia" w:ascii="宋体" w:hAnsi="宋体"/>
          <w:b/>
          <w:sz w:val="32"/>
          <w:szCs w:val="32"/>
        </w:rPr>
      </w:r>
      <w:r/>
    </w:p>
    <w:p>
      <w:pPr>
        <w:pStyle w:val="995"/>
        <w:jc w:val="center"/>
        <w:widowControl/>
        <w:rPr>
          <w:rFonts w:hint="eastAsia" w:ascii="宋体" w:hAnsi="宋体"/>
          <w:b/>
          <w:sz w:val="32"/>
          <w:szCs w:val="32"/>
        </w:rPr>
      </w:pPr>
      <w:r>
        <w:rPr>
          <w:rFonts w:hint="eastAsia" w:ascii="宋体" w:hAnsi="宋体"/>
          <w:b/>
          <w:sz w:val="32"/>
          <w:szCs w:val="32"/>
        </w:rPr>
      </w:r>
      <w:r/>
    </w:p>
    <w:p>
      <w:pPr>
        <w:pStyle w:val="995"/>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sz w:val="24"/>
        </w:rPr>
        <w:t xml:space="preserve">函</w:t>
      </w:r>
      <w:r>
        <w:rPr>
          <w:b/>
          <w:sz w:val="24"/>
          <w:szCs w:val="20"/>
        </w:rPr>
        <w:t xml:space="preserve">（实质性格式）</w:t>
      </w:r>
      <w:r>
        <w:rPr>
          <w:sz w:val="24"/>
          <w:szCs w:val="20"/>
        </w:rPr>
      </w:r>
      <w:r/>
    </w:p>
    <w:p>
      <w:pPr>
        <w:pStyle w:val="995"/>
        <w:spacing w:line="360" w:lineRule="auto"/>
        <w:tabs>
          <w:tab w:val="left" w:pos="5580" w:leader="none"/>
        </w:tabs>
        <w:rPr>
          <w:sz w:val="24"/>
        </w:rPr>
      </w:pPr>
      <w:r>
        <w:rPr>
          <w:sz w:val="24"/>
        </w:rPr>
      </w:r>
      <w:r/>
    </w:p>
    <w:p>
      <w:pPr>
        <w:pStyle w:val="995"/>
        <w:jc w:val="center"/>
        <w:spacing w:line="360" w:lineRule="auto"/>
        <w:rPr>
          <w:b/>
          <w:sz w:val="36"/>
          <w:szCs w:val="36"/>
        </w:rPr>
      </w:pPr>
      <w:r>
        <w:rPr>
          <w:rFonts w:hint="eastAsia"/>
          <w:b/>
          <w:sz w:val="36"/>
          <w:szCs w:val="36"/>
        </w:rPr>
        <w:t xml:space="preserve">投标函</w:t>
      </w:r>
      <w:r>
        <w:rPr>
          <w:b/>
          <w:sz w:val="36"/>
          <w:szCs w:val="36"/>
        </w:rPr>
      </w:r>
      <w:r/>
    </w:p>
    <w:p>
      <w:pPr>
        <w:pStyle w:val="995"/>
        <w:spacing w:line="360" w:lineRule="auto"/>
        <w:tabs>
          <w:tab w:val="left" w:pos="5580" w:leader="none"/>
        </w:tabs>
        <w:rPr>
          <w:sz w:val="24"/>
        </w:rPr>
      </w:pPr>
      <w:r>
        <w:rPr>
          <w:sz w:val="24"/>
        </w:rPr>
        <w:t xml:space="preserve">致：</w:t>
      </w:r>
      <w:r>
        <w:rPr>
          <w:sz w:val="24"/>
          <w:u w:val="single"/>
        </w:rPr>
        <w:t xml:space="preserve">（招标人或招标代理机构）</w:t>
      </w:r>
      <w:r>
        <w:rPr>
          <w:sz w:val="24"/>
        </w:rPr>
      </w:r>
      <w:r/>
    </w:p>
    <w:p>
      <w:pPr>
        <w:pStyle w:val="995"/>
        <w:spacing w:line="360" w:lineRule="auto"/>
        <w:tabs>
          <w:tab w:val="left" w:pos="5580" w:leader="none"/>
        </w:tabs>
        <w:rPr>
          <w:sz w:val="24"/>
          <w:szCs w:val="20"/>
        </w:rPr>
      </w:pPr>
      <w:r>
        <w:rPr>
          <w:sz w:val="24"/>
          <w:szCs w:val="20"/>
        </w:rPr>
      </w:r>
      <w:r/>
    </w:p>
    <w:p>
      <w:pPr>
        <w:pStyle w:val="995"/>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rPr>
          <w:sz w:val="24"/>
          <w:szCs w:val="20"/>
        </w:rPr>
      </w:r>
      <w:r/>
    </w:p>
    <w:p>
      <w:pPr>
        <w:pStyle w:val="995"/>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995"/>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sz w:val="24"/>
        </w:rPr>
        <w:t xml:space="preserve">120</w:t>
      </w:r>
      <w:r>
        <w:rPr>
          <w:sz w:val="24"/>
          <w:szCs w:val="20"/>
        </w:rPr>
        <w:t xml:space="preserve">个日历日。</w:t>
      </w:r>
      <w:r>
        <w:rPr>
          <w:sz w:val="24"/>
          <w:szCs w:val="20"/>
        </w:rPr>
      </w:r>
      <w:r/>
    </w:p>
    <w:p>
      <w:pPr>
        <w:pStyle w:val="995"/>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995"/>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95"/>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995"/>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95"/>
        <w:ind w:firstLine="480"/>
        <w:spacing w:line="360" w:lineRule="auto"/>
        <w:rPr>
          <w:sz w:val="24"/>
        </w:rPr>
      </w:pPr>
      <w:r>
        <w:rPr>
          <w:color w:val="000000"/>
          <w:sz w:val="24"/>
        </w:rPr>
        <w:t xml:space="preserve">与本投标有关的一切正式往来信函请寄</w:t>
      </w:r>
      <w:r>
        <w:rPr>
          <w:sz w:val="24"/>
        </w:rPr>
        <w:t xml:space="preserve">：</w:t>
      </w:r>
      <w:r>
        <w:rPr>
          <w:sz w:val="24"/>
        </w:rPr>
      </w:r>
      <w:r/>
    </w:p>
    <w:p>
      <w:pPr>
        <w:pStyle w:val="995"/>
        <w:ind w:left="420"/>
        <w:spacing w:line="360" w:lineRule="auto"/>
        <w:tabs>
          <w:tab w:val="left" w:pos="5580" w:leader="none"/>
        </w:tabs>
        <w:rPr>
          <w:sz w:val="24"/>
          <w:szCs w:val="20"/>
        </w:rPr>
      </w:pPr>
      <w:r>
        <w:rPr>
          <w:sz w:val="24"/>
          <w:szCs w:val="20"/>
        </w:rPr>
      </w:r>
      <w:r/>
    </w:p>
    <w:p>
      <w:pPr>
        <w:pStyle w:val="995"/>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95"/>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95"/>
        <w:ind w:left="420"/>
        <w:spacing w:line="360" w:lineRule="auto"/>
        <w:tabs>
          <w:tab w:val="left" w:pos="5580" w:leader="none"/>
        </w:tabs>
        <w:rPr>
          <w:sz w:val="24"/>
          <w:szCs w:val="20"/>
        </w:rPr>
      </w:pPr>
      <w:r>
        <w:rPr>
          <w:sz w:val="24"/>
          <w:szCs w:val="20"/>
        </w:rPr>
      </w:r>
      <w:r/>
    </w:p>
    <w:p>
      <w:pPr>
        <w:pStyle w:val="995"/>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995"/>
        <w:ind w:left="420"/>
        <w:spacing w:line="360" w:lineRule="auto"/>
        <w:tabs>
          <w:tab w:val="left" w:pos="5580" w:leader="none"/>
        </w:tabs>
        <w:rPr>
          <w:sz w:val="24"/>
          <w:szCs w:val="20"/>
        </w:rPr>
      </w:pPr>
      <w:r>
        <w:rPr>
          <w:sz w:val="24"/>
          <w:szCs w:val="20"/>
        </w:rPr>
        <w:t xml:space="preserve">日期：_____年______月______日</w:t>
      </w:r>
      <w:r>
        <w:rPr>
          <w:sz w:val="24"/>
          <w:szCs w:val="20"/>
        </w:rPr>
      </w:r>
      <w:r/>
    </w:p>
    <w:p>
      <w:pPr>
        <w:pStyle w:val="995"/>
        <w:keepLines w:val="0"/>
        <w:keepNext w:val="0"/>
        <w:pageBreakBefore w:val="0"/>
        <w:spacing w:line="360" w:lineRule="auto"/>
        <w:widowControl w:val="off"/>
        <w:rPr>
          <w:rFonts w:hint="eastAsia"/>
          <w:sz w:val="24"/>
        </w:rPr>
        <w:outlineLvl w:val="2"/>
      </w:pPr>
      <w:r/>
      <w:bookmarkStart w:id="838" w:name="_Hlt520356243"/>
      <w:r/>
      <w:bookmarkEnd w:id="838"/>
      <w:r/>
      <w:bookmarkStart w:id="839" w:name="_Hlt520355938"/>
      <w:r/>
      <w:bookmarkEnd w:id="839"/>
      <w:r>
        <w:rPr>
          <w:sz w:val="24"/>
        </w:rPr>
        <w:br w:type="page" w:clear="all"/>
      </w:r>
      <w:r>
        <w:rPr>
          <w:rFonts w:hint="eastAsia"/>
          <w:sz w:val="24"/>
        </w:rPr>
        <w:t xml:space="preserve">2</w:t>
      </w:r>
      <w:r>
        <w:rPr>
          <w:sz w:val="24"/>
        </w:rPr>
        <w:t xml:space="preserve">  </w:t>
      </w:r>
      <w:r>
        <w:rPr>
          <w:rFonts w:hint="eastAsia"/>
          <w:sz w:val="24"/>
        </w:rPr>
        <w:t xml:space="preserve">法定代表人资格证明书</w:t>
      </w:r>
      <w:r>
        <w:rPr>
          <w:b/>
          <w:sz w:val="24"/>
          <w:szCs w:val="20"/>
        </w:rPr>
        <w:t xml:space="preserve">（实质性格式）</w:t>
      </w:r>
      <w:r>
        <w:rPr>
          <w:rFonts w:hint="eastAsia"/>
          <w:sz w:val="24"/>
        </w:rPr>
      </w:r>
      <w:r/>
    </w:p>
    <w:p>
      <w:pPr>
        <w:pStyle w:val="995"/>
        <w:jc w:val="center"/>
        <w:spacing w:line="360" w:lineRule="auto"/>
        <w:rPr>
          <w:rFonts w:hint="eastAsia" w:ascii="宋体" w:hAnsi="宋体"/>
          <w:b/>
          <w:sz w:val="32"/>
          <w:szCs w:val="32"/>
        </w:rPr>
      </w:pPr>
      <w:r>
        <w:rPr>
          <w:rFonts w:hint="eastAsia" w:ascii="宋体" w:hAnsi="宋体"/>
          <w:b/>
          <w:sz w:val="32"/>
          <w:szCs w:val="32"/>
        </w:rPr>
      </w:r>
      <w:r/>
    </w:p>
    <w:p>
      <w:pPr>
        <w:pStyle w:val="99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95"/>
        <w:spacing w:line="560" w:lineRule="exact"/>
        <w:rPr>
          <w:rFonts w:hint="eastAsia" w:ascii="宋体" w:hAnsi="宋体"/>
          <w:sz w:val="24"/>
        </w:rPr>
      </w:pPr>
      <w:r>
        <w:rPr>
          <w:rFonts w:hint="eastAsia" w:ascii="宋体" w:hAnsi="宋体"/>
          <w:sz w:val="24"/>
        </w:rPr>
        <w:t xml:space="preserve">单位名称：</w:t>
      </w:r>
      <w:r>
        <w:rPr>
          <w:rFonts w:hint="eastAsia" w:ascii="宋体" w:hAnsi="宋体"/>
          <w:sz w:val="24"/>
        </w:rPr>
      </w:r>
      <w:r/>
    </w:p>
    <w:p>
      <w:pPr>
        <w:pStyle w:val="995"/>
        <w:spacing w:line="560" w:lineRule="exact"/>
        <w:rPr>
          <w:rFonts w:hint="eastAsia" w:ascii="宋体" w:hAnsi="宋体"/>
          <w:sz w:val="24"/>
        </w:rPr>
      </w:pPr>
      <w:r>
        <w:rPr>
          <w:rFonts w:hint="eastAsia" w:ascii="宋体" w:hAnsi="宋体"/>
          <w:sz w:val="24"/>
        </w:rPr>
        <w:t xml:space="preserve">地址：</w:t>
      </w:r>
      <w:r>
        <w:rPr>
          <w:rFonts w:hint="eastAsia" w:ascii="宋体" w:hAnsi="宋体"/>
          <w:sz w:val="24"/>
        </w:rPr>
      </w:r>
      <w:r/>
    </w:p>
    <w:p>
      <w:pPr>
        <w:pStyle w:val="995"/>
        <w:spacing w:line="560" w:lineRule="exact"/>
        <w:rPr>
          <w:rFonts w:hint="eastAsia" w:ascii="宋体" w:hAnsi="宋体"/>
          <w:sz w:val="24"/>
        </w:rPr>
      </w:pPr>
      <w:r>
        <w:rPr>
          <w:rFonts w:hint="eastAsia" w:ascii="宋体" w:hAnsi="宋体"/>
          <w:sz w:val="24"/>
        </w:rPr>
        <w:t xml:space="preserve">姓名：     性别：       年龄：      职务：</w:t>
      </w:r>
      <w:r>
        <w:rPr>
          <w:rFonts w:hint="eastAsia" w:ascii="宋体" w:hAnsi="宋体"/>
          <w:sz w:val="24"/>
        </w:rPr>
      </w:r>
      <w:r/>
    </w:p>
    <w:p>
      <w:pPr>
        <w:pStyle w:val="99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9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95"/>
        <w:spacing w:line="560" w:lineRule="exact"/>
        <w:rPr>
          <w:rFonts w:ascii="宋体" w:hAnsi="宋体"/>
          <w:sz w:val="24"/>
        </w:rPr>
      </w:pPr>
      <w:r>
        <w:rPr>
          <w:rFonts w:ascii="宋体" w:hAnsi="宋体"/>
          <w:sz w:val="24"/>
        </w:rPr>
      </w:r>
      <w:r/>
    </w:p>
    <w:p>
      <w:pPr>
        <w:pStyle w:val="1027"/>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5"/>
              <w:jc w:val="left"/>
              <w:spacing w:line="360" w:lineRule="auto"/>
              <w:tabs>
                <w:tab w:val="left" w:pos="5580" w:leader="none"/>
              </w:tabs>
              <w:rPr>
                <w:rFonts w:ascii="宋体" w:hAnsi="宋体"/>
                <w:sz w:val="24"/>
                <w:szCs w:val="20"/>
              </w:rPr>
            </w:pPr>
            <w:r>
              <w:rPr>
                <w:rFonts w:ascii="宋体" w:hAnsi="宋体"/>
                <w:sz w:val="24"/>
                <w:szCs w:val="20"/>
              </w:rPr>
            </w:r>
            <w:r/>
          </w:p>
          <w:p>
            <w:pPr>
              <w:pStyle w:val="995"/>
              <w:jc w:val="left"/>
              <w:spacing w:line="360" w:lineRule="auto"/>
              <w:tabs>
                <w:tab w:val="left" w:pos="5580" w:leader="none"/>
              </w:tabs>
              <w:rPr>
                <w:rFonts w:ascii="宋体" w:hAnsi="宋体"/>
                <w:sz w:val="24"/>
                <w:szCs w:val="20"/>
              </w:rPr>
            </w:pPr>
            <w:r>
              <w:rPr>
                <w:rFonts w:ascii="宋体" w:hAnsi="宋体"/>
                <w:sz w:val="24"/>
                <w:szCs w:val="20"/>
              </w:rPr>
            </w:r>
            <w:r/>
          </w:p>
          <w:p>
            <w:pPr>
              <w:pStyle w:val="995"/>
              <w:jc w:val="left"/>
              <w:spacing w:line="360" w:lineRule="auto"/>
              <w:tabs>
                <w:tab w:val="left" w:pos="5580" w:leader="none"/>
              </w:tabs>
              <w:rPr>
                <w:rFonts w:ascii="宋体" w:hAnsi="宋体"/>
                <w:sz w:val="24"/>
                <w:szCs w:val="20"/>
              </w:rPr>
            </w:pPr>
            <w:r>
              <w:rPr>
                <w:rFonts w:ascii="宋体" w:hAnsi="宋体"/>
                <w:sz w:val="24"/>
                <w:szCs w:val="20"/>
              </w:rPr>
            </w:r>
            <w:r/>
          </w:p>
          <w:p>
            <w:pPr>
              <w:pStyle w:val="995"/>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99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95"/>
              <w:jc w:val="left"/>
              <w:spacing w:line="360" w:lineRule="auto"/>
              <w:tabs>
                <w:tab w:val="left" w:pos="5580" w:leader="none"/>
              </w:tabs>
              <w:rPr>
                <w:rFonts w:ascii="宋体" w:hAnsi="宋体"/>
                <w:sz w:val="24"/>
                <w:szCs w:val="20"/>
              </w:rPr>
            </w:pPr>
            <w:r>
              <w:rPr>
                <w:rFonts w:ascii="宋体" w:hAnsi="宋体"/>
                <w:sz w:val="24"/>
                <w:szCs w:val="20"/>
              </w:rPr>
            </w:r>
            <w:r/>
          </w:p>
          <w:p>
            <w:pPr>
              <w:pStyle w:val="995"/>
              <w:jc w:val="left"/>
              <w:spacing w:line="360" w:lineRule="auto"/>
              <w:tabs>
                <w:tab w:val="left" w:pos="5580" w:leader="none"/>
              </w:tabs>
              <w:rPr>
                <w:rFonts w:ascii="宋体" w:hAnsi="宋体"/>
                <w:sz w:val="24"/>
                <w:szCs w:val="20"/>
              </w:rPr>
            </w:pPr>
            <w:r>
              <w:rPr>
                <w:rFonts w:ascii="宋体" w:hAnsi="宋体"/>
                <w:sz w:val="24"/>
                <w:szCs w:val="20"/>
              </w:rPr>
            </w:r>
            <w:r/>
          </w:p>
          <w:p>
            <w:pPr>
              <w:pStyle w:val="995"/>
              <w:jc w:val="left"/>
              <w:spacing w:line="360" w:lineRule="auto"/>
              <w:tabs>
                <w:tab w:val="left" w:pos="5580" w:leader="none"/>
              </w:tabs>
              <w:rPr>
                <w:rFonts w:ascii="宋体" w:hAnsi="宋体"/>
                <w:sz w:val="24"/>
                <w:szCs w:val="20"/>
              </w:rPr>
            </w:pPr>
            <w:r>
              <w:rPr>
                <w:rFonts w:ascii="宋体" w:hAnsi="宋体"/>
                <w:sz w:val="24"/>
                <w:szCs w:val="20"/>
              </w:rPr>
            </w:r>
            <w:r/>
          </w:p>
          <w:p>
            <w:pPr>
              <w:pStyle w:val="995"/>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99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9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9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9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95"/>
        <w:jc w:val="left"/>
        <w:widowControl/>
        <w:rPr>
          <w:rFonts w:hint="eastAsia"/>
          <w:sz w:val="24"/>
        </w:rPr>
      </w:pPr>
      <w:r>
        <w:rPr>
          <w:rFonts w:hint="eastAsia"/>
          <w:sz w:val="24"/>
        </w:rPr>
      </w:r>
      <w:r/>
    </w:p>
    <w:p>
      <w:pPr>
        <w:pStyle w:val="99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95"/>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供应商</w:t>
      </w:r>
      <w:r>
        <w:rPr>
          <w:rFonts w:ascii="宋体" w:hAnsi="宋体"/>
          <w:sz w:val="24"/>
          <w:szCs w:val="20"/>
        </w:rPr>
        <w:t xml:space="preserve">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95"/>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95"/>
        <w:keepLines w:val="0"/>
        <w:keepNext w:val="0"/>
        <w:pageBreakBefore w:val="0"/>
        <w:spacing w:line="360" w:lineRule="auto"/>
        <w:widowControl w:val="off"/>
        <w:rPr>
          <w:rFonts w:hint="eastAsia"/>
          <w:sz w:val="24"/>
        </w:rPr>
        <w:outlineLvl w:val="2"/>
      </w:pPr>
      <w:r>
        <w:rPr>
          <w:sz w:val="24"/>
        </w:rPr>
        <w:br w:type="page" w:clear="all"/>
      </w:r>
      <w:r>
        <w:rPr>
          <w:rFonts w:hint="eastAsia"/>
          <w:sz w:val="24"/>
        </w:rPr>
        <w:t xml:space="preserve">3  政府采购供应商信用承诺书</w:t>
      </w:r>
      <w:r>
        <w:rPr>
          <w:b/>
          <w:sz w:val="24"/>
          <w:szCs w:val="20"/>
        </w:rPr>
        <w:t xml:space="preserve">（实质性格式）</w:t>
      </w:r>
      <w:r>
        <w:rPr>
          <w:rFonts w:hint="eastAsia"/>
          <w:sz w:val="24"/>
        </w:rPr>
      </w:r>
      <w:r/>
    </w:p>
    <w:p>
      <w:pPr>
        <w:pStyle w:val="99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95"/>
        <w:ind w:firstLine="640"/>
      </w:pPr>
      <w:r/>
      <w:r/>
    </w:p>
    <w:p>
      <w:pPr>
        <w:pStyle w:val="99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9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9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9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9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9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99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sz w:val="24"/>
        </w:rPr>
      </w:r>
      <w:r/>
    </w:p>
    <w:p>
      <w:pPr>
        <w:pStyle w:val="99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99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95"/>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99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9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90"/>
        <w:ind w:right="1050" w:firstLine="199"/>
        <w:jc w:val="both"/>
        <w:spacing w:line="276" w:lineRule="auto"/>
        <w:rPr>
          <w:rFonts w:ascii="宋体" w:hAnsi="宋体" w:eastAsia="宋体"/>
          <w:sz w:val="24"/>
          <w:szCs w:val="22"/>
        </w:rPr>
      </w:pPr>
      <w:r>
        <w:rPr>
          <w:rFonts w:ascii="宋体" w:hAnsi="宋体" w:eastAsia="宋体"/>
          <w:sz w:val="24"/>
          <w:szCs w:val="22"/>
        </w:rPr>
      </w:r>
      <w:r/>
    </w:p>
    <w:p>
      <w:pPr>
        <w:pStyle w:val="995"/>
        <w:spacing w:before="25" w:after="25" w:line="360" w:lineRule="auto"/>
        <w:rPr>
          <w:sz w:val="24"/>
          <w:lang w:val="zh-CN"/>
        </w:rPr>
      </w:pPr>
      <w:r>
        <w:rPr>
          <w:sz w:val="24"/>
        </w:rPr>
        <w:t xml:space="preserve">投标人名称（加盖公章）</w:t>
      </w:r>
      <w:r>
        <w:rPr>
          <w:sz w:val="24"/>
          <w:lang w:val="zh-CN"/>
        </w:rPr>
        <w:t xml:space="preserve">：________</w:t>
      </w:r>
      <w:r>
        <w:rPr>
          <w:rFonts w:hint="eastAsia"/>
          <w:sz w:val="24"/>
        </w:rPr>
        <w:t xml:space="preserve">________</w:t>
      </w:r>
      <w:r>
        <w:rPr>
          <w:sz w:val="24"/>
          <w:lang w:val="zh-CN"/>
        </w:rPr>
        <w:t xml:space="preserve">____</w:t>
      </w:r>
      <w:r>
        <w:rPr>
          <w:sz w:val="24"/>
          <w:lang w:val="zh-CN"/>
        </w:rPr>
      </w:r>
      <w:r/>
    </w:p>
    <w:p>
      <w:pPr>
        <w:pStyle w:val="995"/>
        <w:spacing w:before="25" w:after="25" w:line="360" w:lineRule="auto"/>
        <w:rPr>
          <w:sz w:val="24"/>
          <w:lang w:val="zh-CN"/>
        </w:rPr>
      </w:pPr>
      <w:r>
        <w:rPr>
          <w:sz w:val="24"/>
          <w:szCs w:val="20"/>
        </w:rPr>
        <w:t xml:space="preserve">日期：_____年_____月_____日</w:t>
      </w:r>
      <w:r>
        <w:rPr>
          <w:sz w:val="24"/>
          <w:lang w:val="zh-CN"/>
        </w:rPr>
      </w:r>
      <w:r/>
    </w:p>
    <w:p>
      <w:pPr>
        <w:pStyle w:val="995"/>
        <w:jc w:val="left"/>
        <w:keepLines w:val="0"/>
        <w:keepNext w:val="0"/>
        <w:pageBreakBefore w:val="0"/>
        <w:widowControl/>
        <w:rPr>
          <w:b/>
          <w:sz w:val="24"/>
          <w:szCs w:val="20"/>
        </w:rPr>
        <w:outlineLvl w:val="2"/>
      </w:pPr>
      <w:r/>
      <w:bookmarkStart w:id="840" w:name="_Hlt520355504"/>
      <w:r/>
      <w:bookmarkEnd w:id="840"/>
      <w:r/>
      <w:bookmarkStart w:id="841" w:name="_Hlt520350918"/>
      <w:r/>
      <w:bookmarkEnd w:id="841"/>
      <w:r/>
      <w:bookmarkStart w:id="842" w:name="_Hlt520274393"/>
      <w:r/>
      <w:bookmarkEnd w:id="842"/>
      <w:r/>
      <w:bookmarkStart w:id="843" w:name="_Hlt520274065"/>
      <w:r/>
      <w:bookmarkEnd w:id="843"/>
      <w:r/>
      <w:bookmarkStart w:id="844" w:name="_Hlt520343000"/>
      <w:r/>
      <w:bookmarkEnd w:id="844"/>
      <w:r/>
      <w:bookmarkStart w:id="845" w:name="_Hlt520273711"/>
      <w:r/>
      <w:bookmarkEnd w:id="845"/>
      <w:r/>
      <w:bookmarkStart w:id="846" w:name="_Hlt520343392"/>
      <w:r/>
      <w:bookmarkEnd w:id="846"/>
      <w:r/>
      <w:bookmarkStart w:id="847" w:name="_Hlt520271212"/>
      <w:r/>
      <w:bookmarkEnd w:id="847"/>
      <w:r/>
      <w:bookmarkStart w:id="848" w:name="_Hlt520274407"/>
      <w:r/>
      <w:bookmarkEnd w:id="848"/>
      <w:r/>
      <w:bookmarkStart w:id="849" w:name="_Hlt520274121"/>
      <w:r/>
      <w:bookmarkEnd w:id="849"/>
      <w:r/>
      <w:bookmarkStart w:id="850" w:name="_Toc142311059"/>
      <w:r/>
      <w:bookmarkStart w:id="851" w:name="_Toc305158899"/>
      <w:r/>
      <w:bookmarkStart w:id="852" w:name="_Toc150774762"/>
      <w:r/>
      <w:bookmarkStart w:id="853" w:name="_Toc480942350"/>
      <w:r/>
      <w:bookmarkStart w:id="854" w:name="_Toc520356218"/>
      <w:r/>
      <w:bookmarkStart w:id="855" w:name="_Toc226309801"/>
      <w:r/>
      <w:bookmarkStart w:id="856" w:name="_Toc265228395"/>
      <w:r/>
      <w:bookmarkStart w:id="857" w:name="_Toc195842922"/>
      <w:r/>
      <w:bookmarkStart w:id="858" w:name="_Toc226965830"/>
      <w:r/>
      <w:bookmarkStart w:id="859" w:name="_Toc150480795"/>
      <w:r/>
      <w:bookmarkStart w:id="860" w:name="_Toc226337253"/>
      <w:r/>
      <w:bookmarkStart w:id="861" w:name="_Ref467988705"/>
      <w:r/>
      <w:bookmarkStart w:id="862" w:name="_Toc305158825"/>
      <w:r/>
      <w:bookmarkStart w:id="863" w:name="_Toc226965747"/>
      <w:r/>
      <w:bookmarkStart w:id="864" w:name="_Toc127151557"/>
      <w:r/>
      <w:bookmarkStart w:id="865" w:name="_Toc264969247"/>
      <w:r>
        <w:rPr>
          <w:sz w:val="24"/>
          <w:szCs w:val="20"/>
        </w:rPr>
        <w:br w:type="page" w:clear="all"/>
      </w:r>
      <w:r>
        <w:rPr>
          <w:rFonts w:hint="eastAsia"/>
          <w:sz w:val="24"/>
          <w:szCs w:val="20"/>
        </w:rPr>
        <w:t xml:space="preserve">4</w:t>
      </w:r>
      <w:r>
        <w:rPr>
          <w:sz w:val="24"/>
          <w:szCs w:val="20"/>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b/>
          <w:sz w:val="24"/>
          <w:szCs w:val="20"/>
        </w:rPr>
        <w:t xml:space="preserve">（实质性格式）</w:t>
      </w:r>
      <w:r>
        <w:rPr>
          <w:b/>
          <w:sz w:val="24"/>
          <w:szCs w:val="20"/>
        </w:rPr>
      </w:r>
      <w:r/>
    </w:p>
    <w:p>
      <w:pPr>
        <w:pStyle w:val="995"/>
        <w:jc w:val="center"/>
        <w:spacing w:line="360" w:lineRule="exact"/>
        <w:rPr>
          <w:rFonts w:hint="eastAsia"/>
          <w:b/>
          <w:sz w:val="36"/>
          <w:szCs w:val="36"/>
        </w:rPr>
      </w:pPr>
      <w:r/>
      <w:bookmarkStart w:id="866" w:name="_Toc264969248"/>
      <w:r/>
      <w:bookmarkStart w:id="867" w:name="_Toc164608827"/>
      <w:r/>
      <w:bookmarkStart w:id="868" w:name="_Toc226965831"/>
      <w:r/>
      <w:bookmarkStart w:id="869" w:name="_Toc226337254"/>
      <w:r/>
      <w:bookmarkStart w:id="870" w:name="_Toc226309802"/>
      <w:r/>
      <w:bookmarkStart w:id="871" w:name="_Toc195842923"/>
      <w:r/>
      <w:bookmarkStart w:id="872" w:name="_Toc305158826"/>
      <w:r/>
      <w:bookmarkStart w:id="873" w:name="_Toc305158900"/>
      <w:r/>
      <w:bookmarkStart w:id="874" w:name="_Toc164608672"/>
      <w:r/>
      <w:bookmarkStart w:id="875" w:name="_Toc226965748"/>
      <w:r/>
      <w:bookmarkStart w:id="876" w:name="_Toc265228396"/>
      <w:r>
        <w:rPr>
          <w:rFonts w:hint="eastAsia"/>
          <w:b/>
          <w:sz w:val="36"/>
          <w:szCs w:val="36"/>
        </w:rPr>
      </w:r>
      <w:r/>
    </w:p>
    <w:p>
      <w:pPr>
        <w:pStyle w:val="995"/>
        <w:jc w:val="center"/>
        <w:spacing w:line="360" w:lineRule="exact"/>
        <w:rPr>
          <w:rFonts w:hint="eastAsia"/>
          <w:b/>
          <w:sz w:val="36"/>
          <w:szCs w:val="36"/>
        </w:rPr>
      </w:pPr>
      <w:r>
        <w:rPr>
          <w:rFonts w:hint="eastAsia"/>
          <w:b/>
          <w:sz w:val="36"/>
          <w:szCs w:val="36"/>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b/>
          <w:sz w:val="36"/>
          <w:szCs w:val="36"/>
        </w:rPr>
      </w:r>
      <w:r/>
    </w:p>
    <w:p>
      <w:pPr>
        <w:pStyle w:val="995"/>
        <w:jc w:val="left"/>
        <w:spacing w:line="360" w:lineRule="auto"/>
        <w:tabs>
          <w:tab w:val="left" w:pos="1800" w:leader="none"/>
          <w:tab w:val="left" w:pos="5580" w:leader="none"/>
        </w:tabs>
        <w:rPr>
          <w:i/>
          <w:sz w:val="24"/>
        </w:rPr>
      </w:pPr>
      <w:r>
        <w:rPr>
          <w:i/>
          <w:sz w:val="24"/>
        </w:rPr>
      </w:r>
      <w:r/>
    </w:p>
    <w:p>
      <w:pPr>
        <w:pStyle w:val="995"/>
        <w:ind w:firstLine="24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JSZC-320400-JSZG-G2026-0044</w:t>
      </w:r>
      <w:r>
        <w:rPr>
          <w:rFonts w:hint="eastAsia" w:ascii="宋体" w:hAnsi="宋体" w:eastAsia="宋体"/>
          <w:sz w:val="24"/>
          <w:lang w:eastAsia="zh-CN"/>
        </w:rPr>
      </w:r>
      <w:r/>
    </w:p>
    <w:p>
      <w:pPr>
        <w:pStyle w:val="995"/>
        <w:ind w:firstLine="240"/>
        <w:jc w:val="left"/>
        <w:spacing w:line="360" w:lineRule="auto"/>
        <w:tabs>
          <w:tab w:val="left" w:pos="1800" w:leader="none"/>
          <w:tab w:val="left" w:pos="5580" w:leader="none"/>
        </w:tabs>
        <w:rPr>
          <w:rFonts w:hint="eastAsia" w:eastAsia="宋体"/>
          <w:color w:val="000000"/>
          <w:sz w:val="24"/>
          <w:highlight w:val="none"/>
          <w:u w:val="single"/>
          <w:lang w:eastAsia="zh-CN"/>
        </w:rPr>
      </w:pPr>
      <w:r>
        <w:rPr>
          <w:sz w:val="24"/>
        </w:rPr>
        <w:t xml:space="preserve">项目名称：</w:t>
      </w:r>
      <w:r>
        <w:rPr>
          <w:rFonts w:hint="eastAsia"/>
          <w:color w:val="000000"/>
          <w:sz w:val="24"/>
          <w:highlight w:val="none"/>
          <w:lang w:eastAsia="zh-CN"/>
        </w:rPr>
        <w:t xml:space="preserve">2026-2029年变电所运维及电气零星维修</w:t>
      </w:r>
      <w:r>
        <w:rPr>
          <w:rFonts w:hint="eastAsia" w:eastAsia="宋体"/>
          <w:color w:val="000000"/>
          <w:sz w:val="24"/>
          <w:highlight w:val="none"/>
          <w:u w:val="single"/>
          <w:lang w:eastAsia="zh-CN"/>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995"/>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995"/>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995"/>
              <w:jc w:val="center"/>
              <w:tabs>
                <w:tab w:val="left" w:pos="5580" w:leader="none"/>
              </w:tabs>
              <w:rPr>
                <w:rFonts w:hint="eastAsia" w:eastAsia="宋体"/>
                <w:b/>
                <w:color w:val="000000"/>
                <w:sz w:val="24"/>
                <w:highlight w:val="none"/>
                <w:lang w:eastAsia="zh-CN"/>
              </w:rPr>
            </w:pPr>
            <w:r>
              <w:rPr>
                <w:b/>
                <w:color w:val="000000"/>
                <w:sz w:val="24"/>
                <w:highlight w:val="none"/>
              </w:rPr>
              <w:t xml:space="preserve">报价</w:t>
            </w:r>
            <w:r>
              <w:rPr>
                <w:rFonts w:hint="eastAsia"/>
                <w:b/>
                <w:color w:val="000000"/>
                <w:sz w:val="24"/>
                <w:highlight w:val="none"/>
                <w:lang w:eastAsia="zh-CN"/>
              </w:rPr>
              <w:t xml:space="preserve">（</w:t>
            </w:r>
            <w:r>
              <w:rPr>
                <w:rFonts w:hint="eastAsia"/>
                <w:b/>
                <w:color w:val="000000"/>
                <w:sz w:val="24"/>
                <w:highlight w:val="none"/>
                <w:lang w:val="en-US" w:eastAsia="zh-CN"/>
              </w:rPr>
              <w:t xml:space="preserve">三年总价</w:t>
            </w:r>
            <w:r>
              <w:rPr>
                <w:rFonts w:hint="eastAsia"/>
                <w:b/>
                <w:color w:val="000000"/>
                <w:sz w:val="24"/>
                <w:highlight w:val="none"/>
                <w:lang w:eastAsia="zh-CN"/>
              </w:rPr>
              <w:t xml:space="preserve">）</w:t>
            </w:r>
            <w:r>
              <w:rPr>
                <w:rFonts w:hint="eastAsia" w:eastAsia="宋体"/>
                <w:b/>
                <w:color w:val="000000"/>
                <w:sz w:val="24"/>
                <w:highlight w:val="none"/>
                <w:lang w:eastAsia="zh-CN"/>
              </w:rPr>
            </w:r>
            <w:r/>
          </w:p>
        </w:tc>
      </w:tr>
      <w:tr>
        <w:trPr>
          <w:trHeight w:val="444"/>
        </w:trPr>
        <w:tc>
          <w:tcPr>
            <w:tcW w:w="690" w:type="dxa"/>
            <w:vAlign w:val="center"/>
            <w:vMerge w:val="continue"/>
            <w:textDirection w:val="lrTb"/>
            <w:noWrap w:val="false"/>
          </w:tcPr>
          <w:p>
            <w:pPr>
              <w:pStyle w:val="995"/>
              <w:jc w:val="center"/>
              <w:tabs>
                <w:tab w:val="left" w:pos="5580" w:leader="none"/>
              </w:tabs>
              <w:rPr>
                <w:color w:val="000000"/>
                <w:sz w:val="24"/>
                <w:highlight w:val="none"/>
              </w:rPr>
            </w:pPr>
            <w:r>
              <w:rPr>
                <w:color w:val="000000"/>
                <w:sz w:val="24"/>
                <w:highlight w:val="none"/>
              </w:rPr>
            </w:r>
            <w:r/>
          </w:p>
        </w:tc>
        <w:tc>
          <w:tcPr>
            <w:tcW w:w="3709" w:type="dxa"/>
            <w:vAlign w:val="center"/>
            <w:vMerge w:val="continue"/>
            <w:textDirection w:val="lrTb"/>
            <w:noWrap w:val="false"/>
          </w:tcPr>
          <w:p>
            <w:pPr>
              <w:pStyle w:val="995"/>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95"/>
              <w:jc w:val="center"/>
              <w:tabs>
                <w:tab w:val="left" w:pos="5580" w:leader="none"/>
              </w:tabs>
              <w:rPr>
                <w:b/>
                <w:color w:val="000000"/>
                <w:sz w:val="24"/>
                <w:highlight w:val="none"/>
              </w:rPr>
            </w:pPr>
            <w:r>
              <w:rPr>
                <w:b/>
                <w:color w:val="000000"/>
                <w:sz w:val="24"/>
                <w:highlight w:val="none"/>
              </w:rPr>
              <w:t xml:space="preserve">大写</w:t>
            </w:r>
            <w:r>
              <w:rPr>
                <w:rFonts w:hint="eastAsia"/>
                <w:b/>
                <w:color w:val="000000"/>
                <w:sz w:val="24"/>
                <w:highlight w:val="none"/>
              </w:rPr>
              <w:t xml:space="preserve">（元）</w:t>
            </w:r>
            <w:r>
              <w:rPr>
                <w:b/>
                <w:color w:val="000000"/>
                <w:sz w:val="24"/>
                <w:highlight w:val="none"/>
              </w:rPr>
            </w:r>
            <w:r/>
          </w:p>
        </w:tc>
        <w:tc>
          <w:tcPr>
            <w:tcW w:w="1984" w:type="dxa"/>
            <w:vAlign w:val="center"/>
            <w:textDirection w:val="lrTb"/>
            <w:noWrap w:val="false"/>
          </w:tcPr>
          <w:p>
            <w:pPr>
              <w:pStyle w:val="995"/>
              <w:jc w:val="center"/>
              <w:tabs>
                <w:tab w:val="left" w:pos="5580" w:leader="none"/>
              </w:tabs>
              <w:rPr>
                <w:b/>
                <w:color w:val="000000"/>
                <w:sz w:val="24"/>
                <w:highlight w:val="none"/>
              </w:rPr>
            </w:pPr>
            <w:r>
              <w:rPr>
                <w:b/>
                <w:color w:val="000000"/>
                <w:sz w:val="24"/>
                <w:highlight w:val="none"/>
              </w:rPr>
              <w:t xml:space="preserve">小写</w:t>
            </w:r>
            <w:r>
              <w:rPr>
                <w:rFonts w:hint="eastAsia"/>
                <w:b/>
                <w:color w:val="000000"/>
                <w:sz w:val="24"/>
                <w:highlight w:val="none"/>
              </w:rPr>
              <w:t xml:space="preserve">（元）</w:t>
            </w:r>
            <w:r>
              <w:rPr>
                <w:b/>
                <w:color w:val="000000"/>
                <w:sz w:val="24"/>
                <w:highlight w:val="none"/>
              </w:rPr>
            </w:r>
            <w:r/>
          </w:p>
        </w:tc>
      </w:tr>
      <w:tr>
        <w:trPr>
          <w:trHeight w:val="976"/>
        </w:trPr>
        <w:tc>
          <w:tcPr>
            <w:tcW w:w="690" w:type="dxa"/>
            <w:vAlign w:val="center"/>
            <w:textDirection w:val="lrTb"/>
            <w:noWrap w:val="false"/>
          </w:tcPr>
          <w:p>
            <w:pPr>
              <w:pStyle w:val="995"/>
              <w:jc w:val="center"/>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995"/>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95"/>
              <w:jc w:val="center"/>
              <w:tabs>
                <w:tab w:val="left" w:pos="5580" w:leader="none"/>
              </w:tabs>
              <w:rPr>
                <w:color w:val="000000"/>
                <w:sz w:val="24"/>
                <w:highlight w:val="none"/>
              </w:rPr>
            </w:pPr>
            <w:r>
              <w:rPr>
                <w:color w:val="000000"/>
                <w:sz w:val="24"/>
                <w:highlight w:val="none"/>
              </w:rPr>
            </w:r>
            <w:r/>
          </w:p>
        </w:tc>
        <w:tc>
          <w:tcPr>
            <w:tcW w:w="1984" w:type="dxa"/>
            <w:vAlign w:val="center"/>
            <w:textDirection w:val="lrTb"/>
            <w:noWrap w:val="false"/>
          </w:tcPr>
          <w:p>
            <w:pPr>
              <w:pStyle w:val="995"/>
              <w:jc w:val="center"/>
              <w:tabs>
                <w:tab w:val="left" w:pos="5580" w:leader="none"/>
              </w:tabs>
              <w:rPr>
                <w:color w:val="000000"/>
                <w:sz w:val="24"/>
                <w:highlight w:val="none"/>
              </w:rPr>
            </w:pPr>
            <w:r>
              <w:rPr>
                <w:color w:val="000000"/>
                <w:sz w:val="24"/>
                <w:highlight w:val="none"/>
              </w:rPr>
            </w:r>
            <w:r/>
          </w:p>
        </w:tc>
      </w:tr>
    </w:tbl>
    <w:p>
      <w:pPr>
        <w:pStyle w:val="995"/>
        <w:jc w:val="left"/>
        <w:rPr>
          <w:color w:val="000000"/>
          <w:sz w:val="24"/>
          <w:highlight w:val="none"/>
        </w:rPr>
      </w:pPr>
      <w:r>
        <w:rPr>
          <w:color w:val="000000"/>
          <w:sz w:val="24"/>
          <w:highlight w:val="none"/>
        </w:rPr>
      </w:r>
      <w:r/>
    </w:p>
    <w:p>
      <w:pPr>
        <w:pStyle w:val="995"/>
        <w:jc w:val="left"/>
        <w:rPr>
          <w:color w:val="000000"/>
          <w:sz w:val="24"/>
          <w:highlight w:val="none"/>
        </w:rPr>
      </w:pPr>
      <w:r/>
      <w:bookmarkStart w:id="877" w:name="_Toc226965749"/>
      <w:r/>
      <w:bookmarkStart w:id="878" w:name="_Toc265228397"/>
      <w:r/>
      <w:bookmarkStart w:id="879" w:name="_Toc305158827"/>
      <w:r/>
      <w:bookmarkStart w:id="880" w:name="_Toc150480796"/>
      <w:r/>
      <w:bookmarkStart w:id="881" w:name="_Toc226309803"/>
      <w:r/>
      <w:bookmarkStart w:id="882" w:name="_Toc142311060"/>
      <w:r/>
      <w:bookmarkStart w:id="883" w:name="_Toc264969249"/>
      <w:r/>
      <w:bookmarkStart w:id="884" w:name="_Toc226965832"/>
      <w:r/>
      <w:bookmarkStart w:id="885" w:name="_Toc226337255"/>
      <w:r/>
      <w:bookmarkStart w:id="886" w:name="_Toc195842924"/>
      <w:r/>
      <w:bookmarkStart w:id="887" w:name="_Toc305158901"/>
      <w:r/>
      <w:bookmarkStart w:id="888" w:name="_Toc127151558"/>
      <w:r/>
      <w:bookmarkStart w:id="889" w:name="_Toc150774763"/>
      <w:r>
        <w:rPr>
          <w:color w:val="000000"/>
          <w:sz w:val="24"/>
          <w:highlight w:val="none"/>
        </w:rPr>
      </w:r>
      <w:r/>
    </w:p>
    <w:p>
      <w:pPr>
        <w:pStyle w:val="995"/>
        <w:jc w:val="left"/>
        <w:rPr>
          <w:rFonts w:hint="eastAsia"/>
          <w:color w:val="000000"/>
          <w:sz w:val="24"/>
          <w:highlight w:val="none"/>
        </w:rPr>
      </w:pPr>
      <w:r>
        <w:rPr>
          <w:color w:val="000000"/>
          <w:sz w:val="24"/>
          <w:highlight w:val="none"/>
        </w:rPr>
        <w:t xml:space="preserve">注：</w:t>
      </w:r>
      <w:r>
        <w:rPr>
          <w:rFonts w:hint="eastAsia"/>
          <w:color w:val="000000"/>
          <w:sz w:val="24"/>
          <w:highlight w:val="none"/>
        </w:rPr>
        <w:t xml:space="preserve">本项目参照财政部《关于推动解决政府采购异常低价问题的通知》（财库〔2026〕2号）文件规定，</w:t>
      </w:r>
      <w:r>
        <w:rPr>
          <w:rFonts w:hint="eastAsia"/>
          <w:color w:val="000000"/>
          <w:sz w:val="24"/>
          <w:highlight w:val="none"/>
        </w:rPr>
        <w:t xml:space="preserve">评审中出现下列情形之一的，评标委员会（评审小组）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w:t>
      </w:r>
      <w:r>
        <w:rPr>
          <w:rFonts w:hint="eastAsia"/>
          <w:color w:val="000000"/>
          <w:sz w:val="24"/>
          <w:highlight w:val="none"/>
        </w:rPr>
        <w:t xml:space="preserve">会基于专业判断，认为供应商报价过低，有可能影响产品质量或者不能诚信履约的其他情形。启动异常低价投标（响应）审查后，评标委员会（评审小组）应当要求相关投标人在评标现场合理的时间内，提供项目具体成本测算等与报价合理性相关的书面说明及相关证明材料，对投标（响应）价格作出解释，由评标委员会（评审小组）对投标人报价合理性进行判断。投标（响应）投标人不提供书面说明、证明材料，或者提供的书面说明、证明材料不能证明其报价合理性的，评标委员会（评审小组）应当将其作为无效投标（响应）处理。审查相关情况应当在评审报告中进行记录。</w:t>
      </w:r>
      <w:r>
        <w:rPr>
          <w:rFonts w:hint="eastAsia"/>
          <w:color w:val="000000"/>
          <w:sz w:val="24"/>
          <w:highlight w:val="none"/>
        </w:rPr>
      </w:r>
      <w:r/>
    </w:p>
    <w:p>
      <w:pPr>
        <w:pStyle w:val="995"/>
        <w:ind w:firstLine="480"/>
        <w:tabs>
          <w:tab w:val="left" w:pos="5580" w:leader="none"/>
        </w:tabs>
        <w:rPr>
          <w:sz w:val="24"/>
          <w:szCs w:val="20"/>
        </w:rPr>
      </w:pPr>
      <w:r>
        <w:rPr>
          <w:sz w:val="24"/>
          <w:szCs w:val="20"/>
        </w:rPr>
      </w:r>
      <w:r/>
    </w:p>
    <w:p>
      <w:pPr>
        <w:pStyle w:val="995"/>
        <w:spacing w:before="25" w:after="25" w:line="360" w:lineRule="auto"/>
        <w:rPr>
          <w:sz w:val="24"/>
          <w:lang w:val="zh-CN"/>
        </w:rPr>
      </w:pPr>
      <w:r>
        <w:rPr>
          <w:sz w:val="24"/>
          <w:lang w:val="zh-CN"/>
        </w:rPr>
      </w:r>
      <w:r/>
    </w:p>
    <w:p>
      <w:pPr>
        <w:pStyle w:val="995"/>
        <w:spacing w:before="25" w:after="25" w:line="360" w:lineRule="auto"/>
        <w:rPr>
          <w:sz w:val="24"/>
          <w:lang w:val="zh-CN"/>
        </w:rPr>
      </w:pPr>
      <w:r>
        <w:rPr>
          <w:sz w:val="24"/>
          <w:lang w:val="zh-CN"/>
        </w:rPr>
      </w:r>
      <w:r/>
    </w:p>
    <w:p>
      <w:pPr>
        <w:pStyle w:val="995"/>
        <w:spacing w:before="25" w:after="25" w:line="360" w:lineRule="auto"/>
        <w:rPr>
          <w:sz w:val="24"/>
          <w:lang w:val="zh-CN"/>
        </w:rPr>
      </w:pPr>
      <w:r>
        <w:rPr>
          <w:sz w:val="24"/>
        </w:rPr>
        <w:t xml:space="preserve">投标人名称（加盖公章）</w:t>
      </w:r>
      <w:r>
        <w:rPr>
          <w:sz w:val="24"/>
          <w:lang w:val="zh-CN"/>
        </w:rPr>
        <w:t xml:space="preserve">：______</w:t>
      </w:r>
      <w:r>
        <w:rPr>
          <w:rFonts w:hint="eastAsia"/>
          <w:sz w:val="24"/>
        </w:rPr>
        <w:t xml:space="preserve">_________</w:t>
      </w:r>
      <w:r>
        <w:rPr>
          <w:sz w:val="24"/>
          <w:lang w:val="zh-CN"/>
        </w:rPr>
        <w:t xml:space="preserve">______</w:t>
      </w:r>
      <w:r>
        <w:rPr>
          <w:sz w:val="24"/>
          <w:lang w:val="zh-CN"/>
        </w:rPr>
      </w:r>
      <w:r/>
    </w:p>
    <w:p>
      <w:pPr>
        <w:pStyle w:val="995"/>
        <w:spacing w:before="25" w:after="25" w:line="360" w:lineRule="auto"/>
        <w:rPr>
          <w:sz w:val="24"/>
          <w:lang w:val="zh-CN"/>
        </w:rPr>
      </w:pPr>
      <w:r>
        <w:rPr>
          <w:sz w:val="24"/>
          <w:szCs w:val="20"/>
        </w:rPr>
        <w:t xml:space="preserve">日期：_____年______月______日</w:t>
      </w:r>
      <w:r>
        <w:rPr>
          <w:sz w:val="24"/>
          <w:lang w:val="zh-CN"/>
        </w:rPr>
      </w:r>
      <w:r/>
    </w:p>
    <w:p>
      <w:pPr>
        <w:pStyle w:val="995"/>
        <w:contextualSpacing w:val="0"/>
        <w:jc w:val="both"/>
        <w:spacing w:line="360" w:lineRule="auto"/>
        <w:rPr>
          <w:rFonts w:hint="eastAsia"/>
          <w:color w:val="000000"/>
          <w:sz w:val="24"/>
          <w:szCs w:val="20"/>
        </w:rPr>
        <w:sectPr>
          <w:footnotePr/>
          <w:endnotePr/>
          <w:type w:val="nextPage"/>
          <w:pgSz w:w="11907" w:h="16840" w:orient="portrait"/>
          <w:pgMar w:top="1418" w:right="1134" w:bottom="1418" w:left="1701" w:header="851" w:footer="851" w:gutter="0"/>
          <w:cols w:num="1" w:sep="0" w:space="1701" w:equalWidth="1"/>
          <w:docGrid w:linePitch="360"/>
        </w:sectPr>
        <w:suppressLineNumbers w:val="0"/>
      </w:pPr>
      <w:r>
        <w:rPr>
          <w:rFonts w:hint="eastAsia"/>
          <w:color w:val="000000"/>
          <w:sz w:val="24"/>
          <w:szCs w:val="20"/>
        </w:rPr>
      </w:r>
      <w:r>
        <w:rPr>
          <w:rFonts w:hint="eastAsia"/>
          <w:color w:val="000000"/>
          <w:sz w:val="24"/>
          <w:szCs w:val="20"/>
        </w:rPr>
      </w:r>
      <w:r/>
    </w:p>
    <w:p>
      <w:pPr>
        <w:pStyle w:val="995"/>
        <w:spacing w:line="360" w:lineRule="auto"/>
        <w:rPr>
          <w:color w:val="000000"/>
          <w:sz w:val="24"/>
          <w:szCs w:val="20"/>
        </w:rPr>
        <w:outlineLvl w:val="2"/>
      </w:pPr>
      <w:r>
        <w:rPr>
          <w:rFonts w:hint="eastAsia"/>
          <w:color w:val="000000"/>
          <w:sz w:val="24"/>
          <w:szCs w:val="20"/>
        </w:rPr>
        <w:t xml:space="preserve">5</w:t>
      </w:r>
      <w:r>
        <w:rPr>
          <w:color w:val="000000"/>
          <w:sz w:val="24"/>
          <w:szCs w:val="20"/>
        </w:rPr>
        <w:t xml:space="preserve">  投标分项报价表</w:t>
      </w:r>
      <w:r>
        <w:rPr>
          <w:b/>
          <w:color w:val="000000"/>
          <w:sz w:val="24"/>
          <w:szCs w:val="20"/>
        </w:rPr>
        <w:t xml:space="preserve">（实质性格式）</w:t>
      </w:r>
      <w:r>
        <w:rPr>
          <w:color w:val="000000"/>
          <w:sz w:val="24"/>
          <w:szCs w:val="20"/>
        </w:rPr>
      </w:r>
      <w:r/>
    </w:p>
    <w:p>
      <w:pPr>
        <w:pStyle w:val="995"/>
        <w:jc w:val="center"/>
        <w:keepLines w:val="0"/>
        <w:keepNext w:val="0"/>
        <w:pageBreakBefore w:val="0"/>
        <w:spacing w:line="360" w:lineRule="auto"/>
        <w:widowControl w:val="off"/>
        <w:rPr>
          <w:rFonts w:hint="eastAsia"/>
          <w:b/>
          <w:color w:val="000000"/>
          <w:sz w:val="36"/>
          <w:szCs w:val="36"/>
        </w:rPr>
      </w:pPr>
      <w:r>
        <w:rPr>
          <w:rFonts w:hint="eastAsia"/>
          <w:b/>
          <w:color w:val="000000"/>
          <w:sz w:val="36"/>
          <w:szCs w:val="36"/>
        </w:rPr>
        <w:t xml:space="preserve">投标分项报价表</w:t>
      </w:r>
      <w:r>
        <w:rPr>
          <w:rFonts w:hint="eastAsia"/>
          <w:b/>
          <w:color w:val="000000"/>
          <w:sz w:val="36"/>
          <w:szCs w:val="36"/>
        </w:rPr>
      </w:r>
      <w:r/>
    </w:p>
    <w:p>
      <w:pPr>
        <w:pStyle w:val="995"/>
        <w:tabs>
          <w:tab w:val="left" w:pos="1800" w:leader="none"/>
          <w:tab w:val="left" w:pos="5580" w:leader="none"/>
        </w:tabs>
        <w:rPr>
          <w:rFonts w:hint="eastAsia" w:eastAsia="宋体"/>
          <w:color w:val="000000"/>
          <w:sz w:val="24"/>
          <w:lang w:eastAsia="zh-CN"/>
        </w:rPr>
      </w:pPr>
      <w:r>
        <w:rPr>
          <w:rFonts w:hint="eastAsia"/>
          <w:color w:val="000000"/>
          <w:sz w:val="24"/>
        </w:rPr>
        <w:t xml:space="preserve">项目编号：</w:t>
      </w:r>
      <w:r>
        <w:rPr>
          <w:rFonts w:hint="eastAsia"/>
          <w:color w:val="000000"/>
          <w:sz w:val="24"/>
          <w:lang w:eastAsia="zh-CN"/>
        </w:rPr>
        <w:t xml:space="preserve">JSZC-320400-JSZG-G2026-0044</w:t>
      </w:r>
      <w:r>
        <w:rPr>
          <w:rFonts w:hint="eastAsia" w:eastAsia="宋体"/>
          <w:color w:val="000000"/>
          <w:sz w:val="24"/>
          <w:lang w:eastAsia="zh-CN"/>
        </w:rPr>
      </w:r>
      <w:r/>
    </w:p>
    <w:p>
      <w:pPr>
        <w:pStyle w:val="995"/>
        <w:tabs>
          <w:tab w:val="left" w:pos="1800" w:leader="none"/>
          <w:tab w:val="left" w:pos="5580" w:leader="none"/>
        </w:tabs>
        <w:rPr>
          <w:rFonts w:hint="eastAsia" w:eastAsia="宋体"/>
          <w:color w:val="000000"/>
          <w:sz w:val="24"/>
          <w:lang w:eastAsia="zh-CN"/>
        </w:rPr>
      </w:pPr>
      <w:r>
        <w:rPr>
          <w:rFonts w:hint="eastAsia"/>
          <w:color w:val="000000"/>
          <w:sz w:val="24"/>
        </w:rPr>
        <w:t xml:space="preserve">项目名称：</w:t>
      </w:r>
      <w:r>
        <w:rPr>
          <w:rFonts w:hint="eastAsia"/>
          <w:color w:val="000000"/>
          <w:sz w:val="24"/>
          <w:lang w:eastAsia="zh-CN"/>
        </w:rPr>
        <w:t xml:space="preserve">2026-2029年变电所运维及电气零星维修</w:t>
      </w:r>
      <w:r>
        <w:rPr>
          <w:rFonts w:hint="eastAsia" w:eastAsia="宋体"/>
          <w:color w:val="000000"/>
          <w:sz w:val="24"/>
          <w:lang w:eastAsia="zh-CN"/>
        </w:rPr>
      </w:r>
      <w:r/>
    </w:p>
    <w:p>
      <w:pPr>
        <w:pStyle w:val="995"/>
        <w:tabs>
          <w:tab w:val="left" w:pos="1800" w:leader="none"/>
          <w:tab w:val="left" w:pos="5580" w:leader="none"/>
        </w:tabs>
        <w:rPr>
          <w:color w:val="000000"/>
          <w:sz w:val="24"/>
        </w:rPr>
      </w:pPr>
      <w:r>
        <w:rPr>
          <w:color w:val="000000"/>
          <w:sz w:val="24"/>
        </w:rPr>
        <w:t xml:space="preserve">报价单位：人民币元</w:t>
      </w:r>
      <w:r>
        <w:rPr>
          <w:color w:val="000000"/>
          <w:sz w:val="24"/>
        </w:rPr>
      </w:r>
      <w:r/>
    </w:p>
    <w:tbl>
      <w:tblPr>
        <w:tblW w:w="103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20"/>
        <w:gridCol w:w="660"/>
        <w:gridCol w:w="718"/>
        <w:gridCol w:w="1466"/>
        <w:gridCol w:w="1785"/>
        <w:gridCol w:w="1110"/>
        <w:gridCol w:w="17"/>
        <w:gridCol w:w="1128"/>
        <w:gridCol w:w="1395"/>
      </w:tblGrid>
      <w:tr>
        <w:trPr>
          <w:trHeight w:val="454"/>
          <w:tblHeader/>
        </w:trPr>
        <w:tc>
          <w:tcPr>
            <w:tcW w:w="707" w:type="dxa"/>
            <w:vAlign w:val="center"/>
            <w:textDirection w:val="lrTb"/>
            <w:noWrap/>
          </w:tcPr>
          <w:p>
            <w:pPr>
              <w:pStyle w:val="1027"/>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序号</w:t>
            </w:r>
            <w:r>
              <w:rPr>
                <w:rFonts w:cs="宋体"/>
                <w:b/>
                <w:bCs/>
                <w:sz w:val="22"/>
                <w:szCs w:val="22"/>
                <w:lang w:val="en-US" w:eastAsia="zh-CN"/>
              </w:rPr>
            </w:r>
            <w:r/>
          </w:p>
        </w:tc>
        <w:tc>
          <w:tcPr>
            <w:tcW w:w="1320" w:type="dxa"/>
            <w:vAlign w:val="center"/>
            <w:textDirection w:val="lrTb"/>
            <w:noWrap/>
          </w:tcPr>
          <w:p>
            <w:pPr>
              <w:pStyle w:val="1027"/>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项目</w:t>
            </w:r>
            <w:r>
              <w:rPr>
                <w:rFonts w:cs="宋体"/>
                <w:b/>
                <w:bCs/>
                <w:sz w:val="22"/>
                <w:szCs w:val="22"/>
                <w:lang w:val="en-US" w:eastAsia="zh-CN"/>
              </w:rPr>
            </w:r>
            <w:r/>
          </w:p>
        </w:tc>
        <w:tc>
          <w:tcPr>
            <w:tcW w:w="660" w:type="dxa"/>
            <w:vAlign w:val="center"/>
            <w:textDirection w:val="lrTb"/>
            <w:noWrap/>
          </w:tcPr>
          <w:p>
            <w:pPr>
              <w:pStyle w:val="1027"/>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单位</w:t>
            </w:r>
            <w:r>
              <w:rPr>
                <w:rFonts w:cs="宋体"/>
                <w:b/>
                <w:bCs/>
                <w:sz w:val="22"/>
                <w:szCs w:val="22"/>
                <w:lang w:val="en-US" w:eastAsia="zh-CN"/>
              </w:rPr>
            </w:r>
            <w:r/>
          </w:p>
        </w:tc>
        <w:tc>
          <w:tcPr>
            <w:tcW w:w="718" w:type="dxa"/>
            <w:vAlign w:val="center"/>
            <w:textDirection w:val="lrTb"/>
            <w:noWrap/>
          </w:tcPr>
          <w:p>
            <w:pPr>
              <w:pStyle w:val="1027"/>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数量</w:t>
            </w:r>
            <w:r>
              <w:rPr>
                <w:rFonts w:cs="宋体"/>
                <w:b/>
                <w:bCs/>
                <w:sz w:val="22"/>
                <w:szCs w:val="22"/>
                <w:lang w:val="en-US" w:eastAsia="zh-CN"/>
              </w:rPr>
            </w:r>
            <w:r/>
          </w:p>
        </w:tc>
        <w:tc>
          <w:tcPr>
            <w:tcW w:w="1466" w:type="dxa"/>
            <w:vAlign w:val="center"/>
            <w:textDirection w:val="lrTb"/>
            <w:noWrap/>
          </w:tcPr>
          <w:p>
            <w:pPr>
              <w:pStyle w:val="1027"/>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投标单价（元/座/月）</w:t>
            </w:r>
            <w:r>
              <w:rPr>
                <w:rFonts w:cs="宋体"/>
                <w:b/>
                <w:bCs/>
                <w:sz w:val="22"/>
                <w:szCs w:val="22"/>
                <w:lang w:val="en-US" w:eastAsia="zh-CN"/>
              </w:rPr>
            </w:r>
            <w:r/>
          </w:p>
        </w:tc>
        <w:tc>
          <w:tcPr>
            <w:tcW w:w="1785" w:type="dxa"/>
            <w:vAlign w:val="center"/>
            <w:textDirection w:val="lrTb"/>
            <w:noWrap/>
          </w:tcPr>
          <w:p>
            <w:pPr>
              <w:pStyle w:val="1027"/>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基准单价最高限价（元/座/月）</w:t>
            </w:r>
            <w:r>
              <w:rPr>
                <w:rFonts w:cs="宋体"/>
                <w:b/>
                <w:bCs/>
                <w:sz w:val="22"/>
                <w:szCs w:val="22"/>
                <w:lang w:val="en-US" w:eastAsia="zh-CN"/>
              </w:rPr>
            </w:r>
            <w:r/>
          </w:p>
        </w:tc>
        <w:tc>
          <w:tcPr>
            <w:tcW w:w="1110" w:type="dxa"/>
            <w:vAlign w:val="center"/>
            <w:textDirection w:val="lrTb"/>
            <w:noWrap w:val="false"/>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合计价格（元/月）</w:t>
            </w:r>
            <w:r>
              <w:rPr>
                <w:rFonts w:hint="eastAsia" w:cs="宋体"/>
                <w:b/>
                <w:bCs/>
                <w:sz w:val="22"/>
                <w:szCs w:val="22"/>
                <w:lang w:val="en-US" w:eastAsia="zh-CN"/>
              </w:rPr>
            </w:r>
            <w:r/>
          </w:p>
        </w:tc>
        <w:tc>
          <w:tcPr>
            <w:gridSpan w:val="2"/>
            <w:tcW w:w="1145" w:type="dxa"/>
            <w:vAlign w:val="center"/>
            <w:textDirection w:val="lrTb"/>
            <w:noWrap w:val="false"/>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合计价格（元/年）</w:t>
            </w:r>
            <w:r>
              <w:rPr>
                <w:rFonts w:hint="eastAsia" w:cs="宋体"/>
                <w:b/>
                <w:bCs/>
                <w:sz w:val="22"/>
                <w:szCs w:val="22"/>
                <w:lang w:val="en-US" w:eastAsia="zh-CN"/>
              </w:rPr>
            </w:r>
            <w:r/>
          </w:p>
        </w:tc>
        <w:tc>
          <w:tcPr>
            <w:tcW w:w="1395" w:type="dxa"/>
            <w:vAlign w:val="center"/>
            <w:textDirection w:val="lrTb"/>
            <w:noWrap/>
          </w:tcPr>
          <w:p>
            <w:pPr>
              <w:pStyle w:val="1027"/>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备注</w:t>
            </w:r>
            <w:r>
              <w:rPr>
                <w:rFonts w:cs="宋体"/>
                <w:b/>
                <w:bCs/>
                <w:sz w:val="22"/>
                <w:szCs w:val="22"/>
                <w:lang w:val="en-US" w:eastAsia="zh-CN"/>
              </w:rPr>
            </w:r>
            <w:r/>
          </w:p>
        </w:tc>
      </w:tr>
      <w:tr>
        <w:trPr>
          <w:trHeight w:val="454"/>
          <w:tblHeader/>
        </w:trPr>
        <w:tc>
          <w:tcPr>
            <w:tcW w:w="707"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1</w:t>
            </w:r>
            <w:r>
              <w:rPr>
                <w:rFonts w:hint="eastAsia" w:cs="宋体"/>
                <w:sz w:val="22"/>
                <w:szCs w:val="22"/>
                <w:lang w:val="en-US" w:eastAsia="zh-CN"/>
              </w:rPr>
            </w:r>
            <w:r/>
          </w:p>
        </w:tc>
        <w:tc>
          <w:tcPr>
            <w:tcW w:w="1320" w:type="dxa"/>
            <w:vAlign w:val="center"/>
            <w:textDirection w:val="lrTb"/>
            <w:noWrap/>
          </w:tcPr>
          <w:p>
            <w:pPr>
              <w:pStyle w:val="995"/>
              <w:jc w:val="center"/>
              <w:widowControl/>
              <w:rPr>
                <w:rFonts w:ascii="宋体" w:hAnsi="宋体" w:cs="宋体"/>
                <w:sz w:val="22"/>
                <w:szCs w:val="22"/>
              </w:rPr>
            </w:pPr>
            <w:r>
              <w:rPr>
                <w:rFonts w:hint="eastAsia" w:ascii="宋体" w:hAnsi="宋体" w:cs="宋体"/>
                <w:sz w:val="22"/>
                <w:szCs w:val="22"/>
              </w:rPr>
              <w:t xml:space="preserve">变电所月度巡检</w:t>
            </w:r>
            <w:r>
              <w:rPr>
                <w:rFonts w:ascii="宋体" w:hAnsi="宋体" w:cs="宋体"/>
                <w:sz w:val="22"/>
                <w:szCs w:val="22"/>
              </w:rPr>
            </w:r>
            <w:r/>
          </w:p>
        </w:tc>
        <w:tc>
          <w:tcPr>
            <w:tcW w:w="660" w:type="dxa"/>
            <w:vAlign w:val="center"/>
            <w:textDirection w:val="lrTb"/>
            <w:noWrap/>
          </w:tcPr>
          <w:p>
            <w:pPr>
              <w:pStyle w:val="995"/>
              <w:jc w:val="center"/>
              <w:widowControl/>
              <w:rPr>
                <w:rFonts w:ascii="宋体" w:hAnsi="宋体" w:cs="宋体"/>
                <w:sz w:val="22"/>
                <w:szCs w:val="22"/>
              </w:rPr>
            </w:pPr>
            <w:r>
              <w:rPr>
                <w:rFonts w:hint="eastAsia" w:ascii="宋体" w:hAnsi="宋体" w:cs="宋体"/>
                <w:sz w:val="22"/>
                <w:szCs w:val="22"/>
              </w:rPr>
              <w:t xml:space="preserve">座</w:t>
            </w:r>
            <w:r>
              <w:rPr>
                <w:rFonts w:ascii="宋体" w:hAnsi="宋体" w:cs="宋体"/>
                <w:sz w:val="22"/>
                <w:szCs w:val="22"/>
              </w:rPr>
            </w:r>
            <w:r/>
          </w:p>
        </w:tc>
        <w:tc>
          <w:tcPr>
            <w:tcW w:w="718" w:type="dxa"/>
            <w:vAlign w:val="center"/>
            <w:textDirection w:val="lrTb"/>
            <w:noWrap/>
          </w:tcPr>
          <w:p>
            <w:pPr>
              <w:pStyle w:val="995"/>
              <w:jc w:val="center"/>
              <w:widowControl/>
              <w:rPr>
                <w:rFonts w:ascii="宋体" w:hAnsi="宋体" w:cs="宋体"/>
                <w:sz w:val="22"/>
                <w:szCs w:val="22"/>
              </w:rPr>
            </w:pPr>
            <w:r>
              <w:rPr>
                <w:rFonts w:hint="eastAsia" w:ascii="宋体" w:hAnsi="宋体" w:cs="宋体"/>
                <w:sz w:val="22"/>
                <w:szCs w:val="22"/>
              </w:rPr>
              <w:t xml:space="preserve">69</w:t>
            </w:r>
            <w:r>
              <w:rPr>
                <w:rFonts w:ascii="宋体" w:hAnsi="宋体" w:cs="宋体"/>
                <w:sz w:val="22"/>
                <w:szCs w:val="22"/>
              </w:rPr>
            </w:r>
            <w:r/>
          </w:p>
        </w:tc>
        <w:tc>
          <w:tcPr>
            <w:tcW w:w="1466"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785"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209</w:t>
            </w:r>
            <w:r>
              <w:rPr>
                <w:rFonts w:hint="eastAsia" w:ascii="宋体" w:hAnsi="宋体" w:cs="宋体"/>
                <w:color w:val="000000"/>
                <w:sz w:val="22"/>
                <w:szCs w:val="22"/>
              </w:rPr>
            </w:r>
            <w:r/>
          </w:p>
        </w:tc>
        <w:tc>
          <w:tcPr>
            <w:tcW w:w="1110" w:type="dxa"/>
            <w:vAlign w:val="center"/>
            <w:textDirection w:val="lrTb"/>
            <w:noWrap w:val="false"/>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gridSpan w:val="2"/>
            <w:tcW w:w="1145" w:type="dxa"/>
            <w:vAlign w:val="center"/>
            <w:textDirection w:val="lrTb"/>
            <w:noWrap w:val="false"/>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每座变电所每月巡检1次</w:t>
            </w:r>
            <w:r>
              <w:rPr>
                <w:rFonts w:hint="eastAsia" w:cs="宋体"/>
                <w:sz w:val="22"/>
                <w:szCs w:val="22"/>
                <w:lang w:val="en-US" w:eastAsia="zh-CN"/>
              </w:rPr>
            </w:r>
            <w:r/>
          </w:p>
        </w:tc>
      </w:tr>
      <w:tr>
        <w:trPr>
          <w:trHeight w:val="454"/>
          <w:tblHeader/>
        </w:trPr>
        <w:tc>
          <w:tcPr>
            <w:tcW w:w="707" w:type="dxa"/>
            <w:vAlign w:val="center"/>
            <w:textDirection w:val="lrTb"/>
            <w:noWrap/>
          </w:tcPr>
          <w:p>
            <w:pPr>
              <w:pStyle w:val="1027"/>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序号</w:t>
            </w:r>
            <w:r>
              <w:rPr>
                <w:rFonts w:cs="宋体"/>
                <w:b/>
                <w:bCs/>
                <w:sz w:val="22"/>
                <w:szCs w:val="22"/>
                <w:lang w:val="en-US" w:eastAsia="zh-CN"/>
              </w:rPr>
            </w:r>
            <w:r/>
          </w:p>
        </w:tc>
        <w:tc>
          <w:tcPr>
            <w:tcW w:w="1320" w:type="dxa"/>
            <w:vAlign w:val="center"/>
            <w:textDirection w:val="lrTb"/>
            <w:noWrap/>
          </w:tcPr>
          <w:p>
            <w:pPr>
              <w:pStyle w:val="1027"/>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项目</w:t>
            </w:r>
            <w:r>
              <w:rPr>
                <w:rFonts w:cs="宋体"/>
                <w:b/>
                <w:bCs/>
                <w:sz w:val="22"/>
                <w:szCs w:val="22"/>
                <w:lang w:val="en-US" w:eastAsia="zh-CN"/>
              </w:rPr>
            </w:r>
            <w:r/>
          </w:p>
        </w:tc>
        <w:tc>
          <w:tcPr>
            <w:tcW w:w="660" w:type="dxa"/>
            <w:vAlign w:val="center"/>
            <w:textDirection w:val="lrTb"/>
            <w:noWrap/>
          </w:tcPr>
          <w:p>
            <w:pPr>
              <w:pStyle w:val="1027"/>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单位</w:t>
            </w:r>
            <w:r>
              <w:rPr>
                <w:rFonts w:cs="宋体"/>
                <w:b/>
                <w:bCs/>
                <w:color w:val="000000"/>
                <w:sz w:val="22"/>
                <w:szCs w:val="22"/>
                <w:highlight w:val="none"/>
                <w:lang w:val="en-US" w:eastAsia="zh-CN"/>
              </w:rPr>
            </w:r>
            <w:r/>
          </w:p>
        </w:tc>
        <w:tc>
          <w:tcPr>
            <w:tcW w:w="718" w:type="dxa"/>
            <w:vAlign w:val="center"/>
            <w:textDirection w:val="lrTb"/>
            <w:noWrap/>
          </w:tcPr>
          <w:p>
            <w:pPr>
              <w:pStyle w:val="1027"/>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数量</w:t>
            </w:r>
            <w:r>
              <w:rPr>
                <w:rFonts w:cs="宋体"/>
                <w:b/>
                <w:bCs/>
                <w:color w:val="000000"/>
                <w:sz w:val="22"/>
                <w:szCs w:val="22"/>
                <w:highlight w:val="none"/>
                <w:lang w:val="en-US" w:eastAsia="zh-CN"/>
              </w:rPr>
            </w:r>
            <w:r/>
          </w:p>
        </w:tc>
        <w:tc>
          <w:tcPr>
            <w:tcW w:w="1466" w:type="dxa"/>
            <w:vAlign w:val="center"/>
            <w:textDirection w:val="lrTb"/>
            <w:noWrap/>
          </w:tcPr>
          <w:p>
            <w:pPr>
              <w:pStyle w:val="1027"/>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投标单价（元/座/年）</w:t>
            </w:r>
            <w:r>
              <w:rPr>
                <w:rFonts w:cs="宋体"/>
                <w:b/>
                <w:bCs/>
                <w:color w:val="000000"/>
                <w:sz w:val="22"/>
                <w:szCs w:val="22"/>
                <w:highlight w:val="none"/>
                <w:lang w:val="en-US" w:eastAsia="zh-CN"/>
              </w:rPr>
            </w:r>
            <w:r/>
          </w:p>
        </w:tc>
        <w:tc>
          <w:tcPr>
            <w:tcW w:w="1785" w:type="dxa"/>
            <w:vAlign w:val="center"/>
            <w:textDirection w:val="lrTb"/>
            <w:noWrap/>
          </w:tcPr>
          <w:p>
            <w:pPr>
              <w:pStyle w:val="1027"/>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基准单价最高限价（元/座/年）</w:t>
            </w:r>
            <w:r>
              <w:rPr>
                <w:rFonts w:cs="宋体"/>
                <w:b/>
                <w:bCs/>
                <w:color w:val="000000"/>
                <w:sz w:val="22"/>
                <w:szCs w:val="22"/>
                <w:highlight w:val="none"/>
                <w:lang w:val="en-US" w:eastAsia="zh-CN"/>
              </w:rPr>
            </w:r>
            <w:r/>
          </w:p>
        </w:tc>
        <w:tc>
          <w:tcPr>
            <w:gridSpan w:val="3"/>
            <w:tcW w:w="2255" w:type="dxa"/>
            <w:vAlign w:val="center"/>
            <w:textDirection w:val="lrTb"/>
            <w:noWrap w:val="false"/>
          </w:tcPr>
          <w:p>
            <w:pPr>
              <w:pStyle w:val="1027"/>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合计价格（元/年）</w:t>
            </w:r>
            <w:r>
              <w:rPr>
                <w:rFonts w:hint="eastAsia" w:cs="宋体"/>
                <w:b/>
                <w:bCs/>
                <w:color w:val="000000"/>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备注</w:t>
            </w:r>
            <w:r>
              <w:rPr>
                <w:rFonts w:cs="宋体"/>
                <w:b/>
                <w:bCs/>
                <w:color w:val="000000"/>
                <w:sz w:val="22"/>
                <w:szCs w:val="22"/>
                <w:highlight w:val="none"/>
                <w:lang w:val="en-US" w:eastAsia="zh-CN"/>
              </w:rPr>
            </w:r>
            <w:r/>
          </w:p>
        </w:tc>
      </w:tr>
      <w:tr>
        <w:trPr>
          <w:trHeight w:val="454"/>
          <w:tblHeader/>
        </w:trPr>
        <w:tc>
          <w:tcPr>
            <w:tcW w:w="707"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2</w:t>
            </w:r>
            <w:r>
              <w:rPr>
                <w:rFonts w:hint="eastAsia" w:cs="宋体"/>
                <w:sz w:val="22"/>
                <w:szCs w:val="22"/>
                <w:lang w:val="en-US" w:eastAsia="zh-CN"/>
              </w:rPr>
            </w:r>
            <w:r/>
          </w:p>
        </w:tc>
        <w:tc>
          <w:tcPr>
            <w:tcW w:w="1320" w:type="dxa"/>
            <w:vAlign w:val="center"/>
            <w:textDirection w:val="lrTb"/>
            <w:noWrap/>
          </w:tcPr>
          <w:p>
            <w:pPr>
              <w:pStyle w:val="995"/>
              <w:jc w:val="center"/>
              <w:widowControl/>
              <w:rPr>
                <w:rFonts w:ascii="宋体" w:hAnsi="宋体" w:cs="宋体"/>
                <w:sz w:val="22"/>
                <w:szCs w:val="22"/>
              </w:rPr>
            </w:pPr>
            <w:r>
              <w:rPr>
                <w:rFonts w:hint="eastAsia" w:ascii="宋体" w:hAnsi="宋体" w:cs="宋体"/>
                <w:sz w:val="22"/>
                <w:szCs w:val="22"/>
              </w:rPr>
              <w:t xml:space="preserve">变电所年度停电保养</w:t>
            </w:r>
            <w:r>
              <w:rPr>
                <w:rFonts w:ascii="宋体" w:hAnsi="宋体" w:cs="宋体"/>
                <w:sz w:val="22"/>
                <w:szCs w:val="22"/>
              </w:rPr>
            </w:r>
            <w:r/>
          </w:p>
        </w:tc>
        <w:tc>
          <w:tcPr>
            <w:tcW w:w="660" w:type="dxa"/>
            <w:vAlign w:val="center"/>
            <w:textDirection w:val="lrTb"/>
            <w:noWrap/>
          </w:tcPr>
          <w:p>
            <w:pPr>
              <w:pStyle w:val="995"/>
              <w:jc w:val="center"/>
              <w:widowControl/>
              <w:rPr>
                <w:rFonts w:ascii="宋体" w:hAnsi="宋体" w:cs="宋体"/>
                <w:color w:val="000000"/>
                <w:sz w:val="22"/>
                <w:szCs w:val="22"/>
              </w:rPr>
            </w:pPr>
            <w:r>
              <w:rPr>
                <w:rFonts w:hint="eastAsia" w:ascii="宋体" w:hAnsi="宋体" w:cs="宋体"/>
                <w:color w:val="000000"/>
                <w:sz w:val="22"/>
                <w:szCs w:val="22"/>
              </w:rPr>
              <w:t xml:space="preserve">座</w:t>
            </w:r>
            <w:r>
              <w:rPr>
                <w:rFonts w:ascii="宋体" w:hAnsi="宋体" w:cs="宋体"/>
                <w:color w:val="000000"/>
                <w:sz w:val="22"/>
                <w:szCs w:val="22"/>
              </w:rPr>
            </w:r>
            <w:r/>
          </w:p>
        </w:tc>
        <w:tc>
          <w:tcPr>
            <w:tcW w:w="718" w:type="dxa"/>
            <w:vAlign w:val="center"/>
            <w:textDirection w:val="lrTb"/>
            <w:noWrap/>
          </w:tcPr>
          <w:p>
            <w:pPr>
              <w:pStyle w:val="995"/>
              <w:jc w:val="center"/>
              <w:widowControl/>
              <w:rPr>
                <w:rFonts w:ascii="宋体" w:hAnsi="宋体" w:cs="宋体"/>
                <w:color w:val="000000"/>
                <w:sz w:val="22"/>
                <w:szCs w:val="22"/>
              </w:rPr>
            </w:pPr>
            <w:r>
              <w:rPr>
                <w:rFonts w:hint="eastAsia" w:ascii="宋体" w:hAnsi="宋体" w:cs="宋体"/>
                <w:color w:val="000000"/>
                <w:sz w:val="22"/>
                <w:szCs w:val="22"/>
              </w:rPr>
              <w:t xml:space="preserve">69</w:t>
            </w:r>
            <w:r>
              <w:rPr>
                <w:rFonts w:ascii="宋体" w:hAnsi="宋体" w:cs="宋体"/>
                <w:color w:val="000000"/>
                <w:sz w:val="22"/>
                <w:szCs w:val="22"/>
              </w:rPr>
            </w:r>
            <w:r/>
          </w:p>
        </w:tc>
        <w:tc>
          <w:tcPr>
            <w:tcW w:w="1466"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785"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3500</w:t>
            </w:r>
            <w:r>
              <w:rPr>
                <w:rFonts w:hint="eastAsia" w:cs="宋体"/>
                <w:color w:val="000000"/>
                <w:sz w:val="22"/>
                <w:szCs w:val="22"/>
                <w:lang w:val="en-US" w:eastAsia="zh-CN"/>
              </w:rPr>
            </w:r>
            <w:r/>
          </w:p>
        </w:tc>
        <w:tc>
          <w:tcPr>
            <w:gridSpan w:val="3"/>
            <w:tcW w:w="2255"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不以月计，1次/年</w:t>
            </w:r>
            <w:r>
              <w:rPr>
                <w:rFonts w:hint="eastAsia" w:cs="宋体"/>
                <w:color w:val="000000"/>
                <w:sz w:val="22"/>
                <w:szCs w:val="22"/>
                <w:lang w:val="en-US" w:eastAsia="zh-CN"/>
              </w:rPr>
            </w:r>
            <w:r/>
          </w:p>
        </w:tc>
      </w:tr>
      <w:tr>
        <w:trPr>
          <w:trHeight w:val="454"/>
          <w:tblHeader/>
        </w:trPr>
        <w:tc>
          <w:tcPr>
            <w:tcW w:w="707"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3</w:t>
            </w:r>
            <w:r>
              <w:rPr>
                <w:rFonts w:hint="eastAsia" w:cs="宋体"/>
                <w:sz w:val="22"/>
                <w:szCs w:val="22"/>
                <w:lang w:val="en-US" w:eastAsia="zh-CN"/>
              </w:rPr>
            </w:r>
            <w:r/>
          </w:p>
        </w:tc>
        <w:tc>
          <w:tcPr>
            <w:tcW w:w="1320"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变电所电气试验</w:t>
            </w:r>
            <w:r>
              <w:rPr>
                <w:rFonts w:hint="eastAsia" w:ascii="宋体" w:hAnsi="宋体" w:cs="宋体"/>
                <w:color w:val="000000"/>
                <w:sz w:val="22"/>
                <w:szCs w:val="22"/>
              </w:rPr>
            </w:r>
            <w:r/>
          </w:p>
        </w:tc>
        <w:tc>
          <w:tcPr>
            <w:tcW w:w="660"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座</w:t>
            </w:r>
            <w:r>
              <w:rPr>
                <w:rFonts w:hint="eastAsia" w:ascii="宋体" w:hAnsi="宋体" w:cs="宋体"/>
                <w:color w:val="000000"/>
                <w:sz w:val="22"/>
                <w:szCs w:val="22"/>
              </w:rPr>
            </w:r>
            <w:r/>
          </w:p>
        </w:tc>
        <w:tc>
          <w:tcPr>
            <w:tcW w:w="718"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24</w:t>
            </w:r>
            <w:r>
              <w:rPr>
                <w:rFonts w:hint="eastAsia" w:ascii="宋体" w:hAnsi="宋体" w:cs="宋体"/>
                <w:color w:val="000000"/>
                <w:sz w:val="22"/>
                <w:szCs w:val="22"/>
              </w:rPr>
            </w:r>
            <w:r/>
          </w:p>
        </w:tc>
        <w:tc>
          <w:tcPr>
            <w:tcW w:w="1466"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785"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4375</w:t>
            </w:r>
            <w:r>
              <w:rPr>
                <w:rFonts w:hint="eastAsia" w:cs="宋体"/>
                <w:color w:val="000000"/>
                <w:sz w:val="22"/>
                <w:szCs w:val="22"/>
                <w:lang w:val="en-US" w:eastAsia="zh-CN"/>
              </w:rPr>
            </w:r>
            <w:r/>
          </w:p>
        </w:tc>
        <w:tc>
          <w:tcPr>
            <w:gridSpan w:val="3"/>
            <w:tcW w:w="2255"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不以月计，按次结算</w:t>
            </w:r>
            <w:r>
              <w:rPr>
                <w:rFonts w:hint="eastAsia" w:cs="宋体"/>
                <w:color w:val="000000"/>
                <w:sz w:val="22"/>
                <w:szCs w:val="22"/>
                <w:lang w:val="en-US" w:eastAsia="zh-CN"/>
              </w:rPr>
            </w:r>
            <w:r/>
          </w:p>
        </w:tc>
      </w:tr>
      <w:tr>
        <w:trPr>
          <w:trHeight w:val="454"/>
          <w:tblHeader/>
        </w:trPr>
        <w:tc>
          <w:tcPr>
            <w:tcW w:w="707"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序号</w:t>
            </w:r>
            <w:r>
              <w:rPr>
                <w:rFonts w:hint="eastAsia" w:cs="宋体"/>
                <w:b/>
                <w:bCs/>
                <w:sz w:val="22"/>
                <w:szCs w:val="22"/>
                <w:lang w:val="en-US" w:eastAsia="zh-CN"/>
              </w:rPr>
            </w:r>
            <w:r/>
          </w:p>
        </w:tc>
        <w:tc>
          <w:tcPr>
            <w:tcW w:w="1320" w:type="dxa"/>
            <w:vAlign w:val="center"/>
            <w:textDirection w:val="lrTb"/>
            <w:noWrap/>
          </w:tcPr>
          <w:p>
            <w:pPr>
              <w:pStyle w:val="1027"/>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项目</w:t>
            </w:r>
            <w:r>
              <w:rPr>
                <w:rFonts w:hint="eastAsia" w:cs="宋体"/>
                <w:b/>
                <w:bCs/>
                <w:sz w:val="22"/>
                <w:szCs w:val="22"/>
                <w:lang w:val="en-US" w:eastAsia="zh-CN"/>
              </w:rPr>
            </w:r>
            <w:r/>
          </w:p>
        </w:tc>
        <w:tc>
          <w:tcPr>
            <w:tcW w:w="660" w:type="dxa"/>
            <w:vAlign w:val="center"/>
            <w:textDirection w:val="lrTb"/>
            <w:noWrap/>
          </w:tcPr>
          <w:p>
            <w:pPr>
              <w:pStyle w:val="1027"/>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单位</w:t>
            </w:r>
            <w:r>
              <w:rPr>
                <w:rFonts w:hint="eastAsia" w:cs="宋体"/>
                <w:b/>
                <w:bCs/>
                <w:color w:val="000000"/>
                <w:sz w:val="22"/>
                <w:szCs w:val="22"/>
                <w:highlight w:val="none"/>
                <w:lang w:val="en-US" w:eastAsia="zh-CN"/>
              </w:rPr>
            </w:r>
            <w:r/>
          </w:p>
        </w:tc>
        <w:tc>
          <w:tcPr>
            <w:tcW w:w="718" w:type="dxa"/>
            <w:vAlign w:val="center"/>
            <w:textDirection w:val="lrTb"/>
            <w:noWrap/>
          </w:tcPr>
          <w:p>
            <w:pPr>
              <w:pStyle w:val="1027"/>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数量</w:t>
            </w:r>
            <w:r>
              <w:rPr>
                <w:rFonts w:hint="eastAsia" w:cs="宋体"/>
                <w:b/>
                <w:bCs/>
                <w:color w:val="000000"/>
                <w:sz w:val="22"/>
                <w:szCs w:val="22"/>
                <w:highlight w:val="none"/>
                <w:lang w:val="en-US" w:eastAsia="zh-CN"/>
              </w:rPr>
            </w:r>
            <w:r/>
          </w:p>
        </w:tc>
        <w:tc>
          <w:tcPr>
            <w:gridSpan w:val="2"/>
            <w:tcW w:w="3251" w:type="dxa"/>
            <w:vAlign w:val="center"/>
            <w:textDirection w:val="lrTb"/>
            <w:noWrap/>
          </w:tcPr>
          <w:p>
            <w:pPr>
              <w:pStyle w:val="1027"/>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预估价，最高限价（元/年）</w:t>
            </w:r>
            <w:r>
              <w:rPr>
                <w:rFonts w:hint="eastAsia" w:cs="宋体"/>
                <w:b/>
                <w:bCs/>
                <w:color w:val="000000"/>
                <w:sz w:val="22"/>
                <w:szCs w:val="22"/>
                <w:highlight w:val="none"/>
                <w:lang w:val="en-US" w:eastAsia="zh-CN"/>
              </w:rPr>
            </w:r>
            <w:r/>
          </w:p>
        </w:tc>
        <w:tc>
          <w:tcPr>
            <w:gridSpan w:val="3"/>
            <w:tcW w:w="2255" w:type="dxa"/>
            <w:vAlign w:val="center"/>
            <w:textDirection w:val="lrTb"/>
            <w:noWrap/>
          </w:tcPr>
          <w:p>
            <w:pPr>
              <w:pStyle w:val="1027"/>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投标报价（元/年）</w:t>
            </w:r>
            <w:r>
              <w:rPr>
                <w:rFonts w:hint="eastAsia" w:cs="宋体"/>
                <w:b/>
                <w:bCs/>
                <w:color w:val="000000"/>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备注</w:t>
            </w:r>
            <w:r>
              <w:rPr>
                <w:rFonts w:hint="eastAsia" w:cs="宋体"/>
                <w:b/>
                <w:bCs/>
                <w:color w:val="000000"/>
                <w:sz w:val="22"/>
                <w:szCs w:val="22"/>
                <w:highlight w:val="none"/>
                <w:lang w:val="en-US" w:eastAsia="zh-CN"/>
              </w:rPr>
            </w:r>
            <w:r/>
          </w:p>
        </w:tc>
      </w:tr>
      <w:tr>
        <w:trPr>
          <w:trHeight w:val="454"/>
          <w:tblHeader/>
        </w:trPr>
        <w:tc>
          <w:tcPr>
            <w:tcW w:w="707"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4</w:t>
            </w:r>
            <w:r>
              <w:rPr>
                <w:rFonts w:hint="eastAsia" w:cs="宋体"/>
                <w:sz w:val="22"/>
                <w:szCs w:val="22"/>
                <w:lang w:val="en-US" w:eastAsia="zh-CN"/>
              </w:rPr>
            </w:r>
            <w:r/>
          </w:p>
        </w:tc>
        <w:tc>
          <w:tcPr>
            <w:tcW w:w="1320"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sz w:val="22"/>
                <w:szCs w:val="22"/>
              </w:rPr>
              <w:t xml:space="preserve">变电所供配电设施设备抢修维修、低压电气零星维修、视频门禁维修</w:t>
            </w:r>
            <w:r>
              <w:rPr>
                <w:rFonts w:hint="eastAsia" w:ascii="宋体" w:hAnsi="宋体" w:cs="宋体"/>
                <w:color w:val="000000"/>
                <w:sz w:val="22"/>
                <w:szCs w:val="22"/>
              </w:rPr>
            </w:r>
            <w:r/>
          </w:p>
        </w:tc>
        <w:tc>
          <w:tcPr>
            <w:tcW w:w="660"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718"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c>
          <w:tcPr>
            <w:gridSpan w:val="2"/>
            <w:tcW w:w="3251"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1197100</w:t>
            </w:r>
            <w:r>
              <w:rPr>
                <w:rFonts w:hint="eastAsia" w:cs="宋体"/>
                <w:color w:val="000000"/>
                <w:sz w:val="22"/>
                <w:szCs w:val="22"/>
                <w:lang w:val="en-US" w:eastAsia="zh-CN"/>
              </w:rPr>
            </w:r>
            <w:r/>
          </w:p>
        </w:tc>
        <w:tc>
          <w:tcPr>
            <w:gridSpan w:val="3"/>
            <w:tcW w:w="2255"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各项估计费用：变电所供配电设施设备抢维修费预估40万，低压电气、视频门禁等零星维修预估79.71万 </w:t>
            </w:r>
            <w:r>
              <w:rPr>
                <w:rFonts w:hint="eastAsia" w:cs="宋体"/>
                <w:color w:val="000000"/>
                <w:sz w:val="22"/>
                <w:szCs w:val="22"/>
                <w:lang w:val="en-US" w:eastAsia="zh-CN"/>
              </w:rPr>
            </w:r>
            <w:r/>
          </w:p>
        </w:tc>
      </w:tr>
      <w:tr>
        <w:trPr>
          <w:trHeight w:val="454"/>
          <w:tblHeader/>
        </w:trPr>
        <w:tc>
          <w:tcPr>
            <w:tcW w:w="707" w:type="dxa"/>
            <w:vAlign w:val="center"/>
            <w:textDirection w:val="lrTb"/>
            <w:noWrap/>
          </w:tcPr>
          <w:p>
            <w:pPr>
              <w:pStyle w:val="1027"/>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序号</w:t>
            </w:r>
            <w:r>
              <w:rPr>
                <w:rFonts w:cs="宋体"/>
                <w:b/>
                <w:bCs/>
                <w:sz w:val="22"/>
                <w:szCs w:val="22"/>
                <w:lang w:val="en-US" w:eastAsia="zh-CN"/>
              </w:rPr>
            </w:r>
            <w:r/>
          </w:p>
        </w:tc>
        <w:tc>
          <w:tcPr>
            <w:tcW w:w="1320" w:type="dxa"/>
            <w:vAlign w:val="center"/>
            <w:textDirection w:val="lrTb"/>
            <w:noWrap/>
          </w:tcPr>
          <w:p>
            <w:pPr>
              <w:pStyle w:val="1027"/>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项目</w:t>
            </w:r>
            <w:r>
              <w:rPr>
                <w:rFonts w:cs="宋体"/>
                <w:b/>
                <w:bCs/>
                <w:sz w:val="22"/>
                <w:szCs w:val="22"/>
                <w:lang w:val="en-US" w:eastAsia="zh-CN"/>
              </w:rPr>
            </w:r>
            <w:r/>
          </w:p>
        </w:tc>
        <w:tc>
          <w:tcPr>
            <w:tcW w:w="660" w:type="dxa"/>
            <w:vAlign w:val="center"/>
            <w:textDirection w:val="lrTb"/>
            <w:noWrap/>
          </w:tcPr>
          <w:p>
            <w:pPr>
              <w:pStyle w:val="1027"/>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单位</w:t>
            </w:r>
            <w:r>
              <w:rPr>
                <w:rFonts w:cs="宋体"/>
                <w:b/>
                <w:bCs/>
                <w:color w:val="000000"/>
                <w:sz w:val="22"/>
                <w:szCs w:val="22"/>
                <w:highlight w:val="none"/>
                <w:lang w:val="en-US" w:eastAsia="zh-CN"/>
              </w:rPr>
            </w:r>
            <w:r/>
          </w:p>
        </w:tc>
        <w:tc>
          <w:tcPr>
            <w:tcW w:w="718" w:type="dxa"/>
            <w:vAlign w:val="center"/>
            <w:textDirection w:val="lrTb"/>
            <w:noWrap/>
          </w:tcPr>
          <w:p>
            <w:pPr>
              <w:pStyle w:val="1027"/>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数量</w:t>
            </w:r>
            <w:r>
              <w:rPr>
                <w:rFonts w:cs="宋体"/>
                <w:b/>
                <w:bCs/>
                <w:color w:val="000000"/>
                <w:sz w:val="22"/>
                <w:szCs w:val="22"/>
                <w:highlight w:val="none"/>
                <w:lang w:val="en-US" w:eastAsia="zh-CN"/>
              </w:rPr>
            </w:r>
            <w:r/>
          </w:p>
        </w:tc>
        <w:tc>
          <w:tcPr>
            <w:gridSpan w:val="2"/>
            <w:tcW w:w="3251" w:type="dxa"/>
            <w:vAlign w:val="center"/>
            <w:textDirection w:val="lrTb"/>
            <w:noWrap/>
          </w:tcPr>
          <w:p>
            <w:pPr>
              <w:pStyle w:val="1027"/>
              <w:jc w:val="center"/>
              <w:spacing w:before="0" w:line="240" w:lineRule="auto"/>
              <w:tabs>
                <w:tab w:val="left" w:pos="567" w:leader="none"/>
              </w:tabs>
              <w:rPr>
                <w:rFonts w:hint="eastAsia" w:cs="宋体"/>
                <w:color w:val="000000"/>
                <w:sz w:val="22"/>
                <w:szCs w:val="22"/>
                <w:highlight w:val="none"/>
                <w:lang w:val="en-US" w:eastAsia="zh-CN"/>
              </w:rPr>
            </w:pPr>
            <w:r>
              <w:rPr>
                <w:rFonts w:hint="eastAsia" w:cs="宋体"/>
                <w:b/>
                <w:bCs/>
                <w:color w:val="000000"/>
                <w:sz w:val="22"/>
                <w:szCs w:val="22"/>
                <w:highlight w:val="none"/>
                <w:lang w:val="en-US" w:eastAsia="zh-CN"/>
              </w:rPr>
              <w:t xml:space="preserve">预估价，最高限价（元/年）</w:t>
            </w:r>
            <w:r>
              <w:rPr>
                <w:rFonts w:hint="eastAsia" w:cs="宋体"/>
                <w:color w:val="000000"/>
                <w:sz w:val="22"/>
                <w:szCs w:val="22"/>
                <w:highlight w:val="none"/>
                <w:lang w:val="en-US" w:eastAsia="zh-CN"/>
              </w:rPr>
            </w:r>
            <w:r/>
          </w:p>
        </w:tc>
        <w:tc>
          <w:tcPr>
            <w:gridSpan w:val="2"/>
            <w:tcW w:w="1127" w:type="dxa"/>
            <w:vAlign w:val="center"/>
            <w:textDirection w:val="lrTb"/>
            <w:noWrap/>
          </w:tcPr>
          <w:p>
            <w:pPr>
              <w:pStyle w:val="1027"/>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合计价格（元/月）</w:t>
            </w:r>
            <w:r>
              <w:rPr>
                <w:rFonts w:hint="eastAsia" w:cs="宋体"/>
                <w:b/>
                <w:bCs/>
                <w:color w:val="000000"/>
                <w:sz w:val="22"/>
                <w:szCs w:val="22"/>
                <w:highlight w:val="none"/>
                <w:lang w:val="en-US" w:eastAsia="zh-CN"/>
              </w:rPr>
            </w:r>
            <w:r/>
          </w:p>
        </w:tc>
        <w:tc>
          <w:tcPr>
            <w:tcW w:w="1128" w:type="dxa"/>
            <w:vAlign w:val="center"/>
            <w:textDirection w:val="lrTb"/>
            <w:noWrap w:val="false"/>
          </w:tcPr>
          <w:p>
            <w:pPr>
              <w:pStyle w:val="1027"/>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合计价格（元/年）</w:t>
            </w:r>
            <w:r>
              <w:rPr>
                <w:rFonts w:hint="eastAsia" w:cs="宋体"/>
                <w:b/>
                <w:bCs/>
                <w:color w:val="000000"/>
                <w:sz w:val="22"/>
                <w:szCs w:val="22"/>
                <w:highlight w:val="none"/>
                <w:lang w:val="en-US" w:eastAsia="zh-CN"/>
              </w:rPr>
            </w:r>
            <w:r/>
          </w:p>
        </w:tc>
        <w:tc>
          <w:tcPr>
            <w:tcW w:w="1395" w:type="dxa"/>
            <w:vAlign w:val="center"/>
            <w:textDirection w:val="lrTb"/>
            <w:noWrap/>
          </w:tcPr>
          <w:p>
            <w:pPr>
              <w:pStyle w:val="1027"/>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备注</w:t>
            </w:r>
            <w:r>
              <w:rPr>
                <w:rFonts w:cs="宋体"/>
                <w:b/>
                <w:bCs/>
                <w:color w:val="000000"/>
                <w:sz w:val="22"/>
                <w:szCs w:val="22"/>
                <w:highlight w:val="none"/>
                <w:lang w:val="en-US" w:eastAsia="zh-CN"/>
              </w:rPr>
            </w:r>
            <w:r/>
          </w:p>
        </w:tc>
      </w:tr>
      <w:tr>
        <w:trPr>
          <w:trHeight w:val="454"/>
          <w:tblHeader/>
        </w:trPr>
        <w:tc>
          <w:tcPr>
            <w:tcW w:w="707" w:type="dxa"/>
            <w:vAlign w:val="center"/>
            <w:textDirection w:val="lrTb"/>
            <w:noWrap/>
          </w:tcPr>
          <w:p>
            <w:pPr>
              <w:pStyle w:val="1027"/>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5</w:t>
            </w:r>
            <w:r>
              <w:rPr>
                <w:rFonts w:hint="eastAsia" w:cs="宋体"/>
                <w:sz w:val="22"/>
                <w:szCs w:val="22"/>
                <w:lang w:val="en-US" w:eastAsia="zh-CN"/>
              </w:rPr>
            </w:r>
            <w:r/>
          </w:p>
        </w:tc>
        <w:tc>
          <w:tcPr>
            <w:tcW w:w="1320" w:type="dxa"/>
            <w:vAlign w:val="center"/>
            <w:textDirection w:val="lrTb"/>
            <w:noWrap/>
          </w:tcPr>
          <w:p>
            <w:pPr>
              <w:pStyle w:val="995"/>
              <w:jc w:val="center"/>
              <w:widowControl/>
              <w:rPr>
                <w:rFonts w:hint="eastAsia" w:ascii="宋体" w:hAnsi="宋体" w:cs="宋体"/>
                <w:sz w:val="22"/>
                <w:szCs w:val="22"/>
              </w:rPr>
            </w:pPr>
            <w:r>
              <w:rPr>
                <w:rFonts w:hint="eastAsia" w:ascii="宋体" w:hAnsi="宋体" w:cs="宋体"/>
                <w:sz w:val="22"/>
                <w:szCs w:val="22"/>
              </w:rPr>
              <w:t xml:space="preserve">中水科设施清洁生产维护</w:t>
            </w:r>
            <w:r>
              <w:rPr>
                <w:rFonts w:hint="eastAsia" w:ascii="宋体" w:hAnsi="宋体" w:cs="宋体"/>
                <w:sz w:val="22"/>
                <w:szCs w:val="22"/>
              </w:rPr>
            </w:r>
            <w:r/>
          </w:p>
        </w:tc>
        <w:tc>
          <w:tcPr>
            <w:tcW w:w="660"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718" w:type="dxa"/>
            <w:vAlign w:val="center"/>
            <w:textDirection w:val="lrTb"/>
            <w:noWrap/>
          </w:tcPr>
          <w:p>
            <w:pPr>
              <w:pStyle w:val="995"/>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c>
          <w:tcPr>
            <w:gridSpan w:val="2"/>
            <w:tcW w:w="3251"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gridSpan w:val="2"/>
            <w:tcW w:w="1127"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3950.25</w:t>
            </w:r>
            <w:r>
              <w:rPr>
                <w:rFonts w:hint="eastAsia" w:cs="宋体"/>
                <w:color w:val="000000"/>
                <w:sz w:val="22"/>
                <w:szCs w:val="22"/>
                <w:lang w:val="en-US" w:eastAsia="zh-CN"/>
              </w:rPr>
            </w:r>
            <w:r/>
          </w:p>
        </w:tc>
        <w:tc>
          <w:tcPr>
            <w:tcW w:w="1128" w:type="dxa"/>
            <w:vAlign w:val="center"/>
            <w:textDirection w:val="lrTb"/>
            <w:noWrap w:val="false"/>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47403</w:t>
            </w:r>
            <w:r>
              <w:rPr>
                <w:rFonts w:hint="eastAsia" w:cs="宋体"/>
                <w:color w:val="000000"/>
                <w:sz w:val="22"/>
                <w:szCs w:val="22"/>
                <w:lang w:val="en-US" w:eastAsia="zh-CN"/>
              </w:rPr>
            </w:r>
            <w:r/>
          </w:p>
        </w:tc>
        <w:tc>
          <w:tcPr>
            <w:tcW w:w="1395" w:type="dxa"/>
            <w:vAlign w:val="center"/>
            <w:textDirection w:val="lrTb"/>
            <w:noWrap/>
          </w:tcPr>
          <w:p>
            <w:pPr>
              <w:pStyle w:val="1027"/>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（属于不可竞争费）</w:t>
            </w:r>
            <w:r>
              <w:rPr>
                <w:rFonts w:hint="eastAsia" w:cs="宋体"/>
                <w:color w:val="000000"/>
                <w:sz w:val="22"/>
                <w:szCs w:val="22"/>
                <w:lang w:val="en-US" w:eastAsia="zh-CN"/>
              </w:rPr>
            </w:r>
            <w:r/>
          </w:p>
        </w:tc>
      </w:tr>
      <w:tr>
        <w:trPr>
          <w:trHeight w:val="559"/>
          <w:tblHeader/>
        </w:trPr>
        <w:tc>
          <w:tcPr>
            <w:gridSpan w:val="6"/>
            <w:tcW w:w="6656" w:type="dxa"/>
            <w:vAlign w:val="center"/>
            <w:textDirection w:val="lrTb"/>
            <w:noWrap/>
          </w:tcPr>
          <w:p>
            <w:pPr>
              <w:pStyle w:val="1027"/>
              <w:jc w:val="center"/>
              <w:spacing w:before="0" w:line="240" w:lineRule="auto"/>
              <w:tabs>
                <w:tab w:val="left" w:pos="567" w:leader="none"/>
              </w:tabs>
              <w:rPr>
                <w:rFonts w:hint="eastAsia" w:cs="宋体"/>
                <w:b/>
                <w:color w:val="000000"/>
                <w:sz w:val="22"/>
                <w:szCs w:val="22"/>
                <w:highlight w:val="none"/>
                <w:lang w:val="en-US" w:eastAsia="zh-CN"/>
              </w:rPr>
            </w:pPr>
            <w:r>
              <w:rPr>
                <w:rFonts w:hint="eastAsia" w:cs="宋体"/>
                <w:b/>
                <w:color w:val="000000"/>
                <w:sz w:val="22"/>
                <w:szCs w:val="22"/>
                <w:highlight w:val="none"/>
                <w:lang w:val="en-US" w:eastAsia="zh-CN"/>
              </w:rPr>
              <w:t xml:space="preserve">投标总价（元/年）</w:t>
            </w:r>
            <w:r>
              <w:rPr>
                <w:rFonts w:hint="eastAsia" w:cs="宋体"/>
                <w:b/>
                <w:color w:val="000000"/>
                <w:sz w:val="22"/>
                <w:szCs w:val="22"/>
                <w:highlight w:val="none"/>
                <w:lang w:val="en-US" w:eastAsia="zh-CN"/>
              </w:rPr>
            </w:r>
            <w:r/>
          </w:p>
        </w:tc>
        <w:tc>
          <w:tcPr>
            <w:gridSpan w:val="4"/>
            <w:tcW w:w="3650" w:type="dxa"/>
            <w:vAlign w:val="center"/>
            <w:textDirection w:val="lrTb"/>
            <w:noWrap/>
          </w:tcPr>
          <w:p>
            <w:pPr>
              <w:pStyle w:val="1027"/>
              <w:jc w:val="center"/>
              <w:spacing w:before="0" w:line="240" w:lineRule="auto"/>
              <w:tabs>
                <w:tab w:val="left" w:pos="567" w:leader="none"/>
              </w:tabs>
              <w:rPr>
                <w:rFonts w:hint="eastAsia" w:cs="宋体"/>
                <w:color w:val="000000"/>
                <w:sz w:val="22"/>
                <w:szCs w:val="22"/>
                <w:highlight w:val="none"/>
                <w:lang w:val="en-US" w:eastAsia="zh-CN"/>
              </w:rPr>
            </w:pPr>
            <w:r>
              <w:rPr>
                <w:rFonts w:hint="eastAsia" w:cs="宋体"/>
                <w:color w:val="000000"/>
                <w:sz w:val="22"/>
                <w:szCs w:val="22"/>
                <w:highlight w:val="none"/>
                <w:lang w:val="en-US" w:eastAsia="zh-CN"/>
              </w:rPr>
            </w:r>
            <w:r/>
          </w:p>
        </w:tc>
      </w:tr>
      <w:tr>
        <w:trPr>
          <w:trHeight w:val="559"/>
          <w:tblHeader/>
        </w:trPr>
        <w:tc>
          <w:tcPr>
            <w:gridSpan w:val="6"/>
            <w:tcW w:w="6656" w:type="dxa"/>
            <w:vAlign w:val="center"/>
            <w:textDirection w:val="lrTb"/>
            <w:noWrap/>
          </w:tcPr>
          <w:p>
            <w:pPr>
              <w:pStyle w:val="1027"/>
              <w:jc w:val="center"/>
              <w:spacing w:before="0" w:line="240" w:lineRule="auto"/>
              <w:tabs>
                <w:tab w:val="left" w:pos="567" w:leader="none"/>
              </w:tabs>
              <w:rPr>
                <w:rFonts w:hint="eastAsia" w:cs="宋体"/>
                <w:b/>
                <w:color w:val="000000"/>
                <w:sz w:val="22"/>
                <w:szCs w:val="22"/>
                <w:highlight w:val="none"/>
                <w:lang w:val="en-US" w:eastAsia="zh-CN"/>
              </w:rPr>
            </w:pPr>
            <w:r>
              <w:rPr>
                <w:rFonts w:hint="eastAsia" w:cs="宋体"/>
                <w:b/>
                <w:color w:val="000000"/>
                <w:sz w:val="22"/>
                <w:szCs w:val="22"/>
                <w:highlight w:val="none"/>
                <w:lang w:val="en-US" w:eastAsia="zh-CN"/>
              </w:rPr>
              <w:t xml:space="preserve">投标总价（三年）</w:t>
            </w:r>
            <w:r>
              <w:rPr>
                <w:rFonts w:hint="eastAsia" w:cs="宋体"/>
                <w:b/>
                <w:color w:val="000000"/>
                <w:sz w:val="22"/>
                <w:szCs w:val="22"/>
                <w:highlight w:val="none"/>
                <w:lang w:val="en-US" w:eastAsia="zh-CN"/>
              </w:rPr>
            </w:r>
            <w:r/>
          </w:p>
        </w:tc>
        <w:tc>
          <w:tcPr>
            <w:gridSpan w:val="4"/>
            <w:tcW w:w="3650" w:type="dxa"/>
            <w:vAlign w:val="center"/>
            <w:textDirection w:val="lrTb"/>
            <w:noWrap/>
          </w:tcPr>
          <w:p>
            <w:pPr>
              <w:pStyle w:val="1027"/>
              <w:jc w:val="center"/>
              <w:spacing w:before="0" w:line="240" w:lineRule="auto"/>
              <w:tabs>
                <w:tab w:val="left" w:pos="567" w:leader="none"/>
              </w:tabs>
              <w:rPr>
                <w:rFonts w:hint="eastAsia" w:cs="宋体"/>
                <w:color w:val="000000"/>
                <w:sz w:val="22"/>
                <w:szCs w:val="22"/>
                <w:highlight w:val="none"/>
                <w:lang w:val="en-US" w:eastAsia="zh-CN"/>
              </w:rPr>
            </w:pPr>
            <w:r>
              <w:rPr>
                <w:rFonts w:hint="eastAsia" w:cs="宋体"/>
                <w:color w:val="000000"/>
                <w:sz w:val="22"/>
                <w:szCs w:val="22"/>
                <w:highlight w:val="none"/>
                <w:lang w:val="en-US" w:eastAsia="zh-CN"/>
              </w:rPr>
            </w:r>
            <w:r/>
          </w:p>
        </w:tc>
      </w:tr>
    </w:tbl>
    <w:p>
      <w:pPr>
        <w:pStyle w:val="995"/>
        <w:jc w:val="left"/>
        <w:tabs>
          <w:tab w:val="left" w:pos="1800" w:leader="none"/>
          <w:tab w:val="left" w:pos="5580" w:leader="none"/>
        </w:tabs>
        <w:rPr>
          <w:rFonts w:hint="eastAsia"/>
          <w:color w:val="000000"/>
          <w:sz w:val="24"/>
        </w:rPr>
      </w:pPr>
      <w:r>
        <w:rPr>
          <w:rFonts w:hint="eastAsia"/>
          <w:color w:val="000000"/>
          <w:sz w:val="24"/>
        </w:rPr>
      </w:r>
      <w:r/>
    </w:p>
    <w:p>
      <w:pPr>
        <w:pStyle w:val="995"/>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95"/>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rPr>
          <w:color w:val="000000"/>
          <w:sz w:val="24"/>
        </w:rPr>
      </w:r>
      <w:r/>
    </w:p>
    <w:p>
      <w:pPr>
        <w:pStyle w:val="995"/>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995"/>
        <w:ind w:firstLine="480"/>
        <w:spacing w:before="25" w:after="25" w:line="360" w:lineRule="auto"/>
        <w:rPr>
          <w:rFonts w:hint="eastAsia"/>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rFonts w:hint="eastAsia"/>
          <w:color w:val="000000"/>
          <w:sz w:val="24"/>
        </w:rPr>
        <w:t xml:space="preserve"> </w:t>
      </w:r>
      <w:r>
        <w:rPr>
          <w:rFonts w:hint="eastAsia"/>
          <w:color w:val="000000"/>
          <w:sz w:val="24"/>
        </w:rPr>
      </w:r>
      <w:r/>
    </w:p>
    <w:p>
      <w:pPr>
        <w:pStyle w:val="99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w:t>
      </w:r>
      <w:r>
        <w:rPr>
          <w:rFonts w:hint="eastAsia"/>
          <w:color w:val="000000"/>
          <w:sz w:val="24"/>
        </w:rPr>
        <w:t xml:space="preserve">___________</w:t>
      </w:r>
      <w:r>
        <w:rPr>
          <w:color w:val="000000"/>
          <w:sz w:val="24"/>
          <w:lang w:val="zh-CN"/>
        </w:rPr>
        <w:t xml:space="preserve">_____</w:t>
      </w:r>
      <w:r>
        <w:rPr>
          <w:color w:val="000000"/>
          <w:sz w:val="24"/>
          <w:lang w:val="zh-CN"/>
        </w:rPr>
      </w:r>
      <w:r/>
    </w:p>
    <w:p>
      <w:pPr>
        <w:pStyle w:val="995"/>
        <w:spacing w:before="25" w:after="25" w:line="360" w:lineRule="auto"/>
        <w:rPr>
          <w:color w:val="000000"/>
          <w:sz w:val="24"/>
          <w:szCs w:val="20"/>
        </w:rPr>
      </w:pPr>
      <w:r>
        <w:rPr>
          <w:color w:val="000000"/>
          <w:sz w:val="24"/>
          <w:szCs w:val="20"/>
        </w:rPr>
        <w:t xml:space="preserve">日期：_____年_____月_____日</w:t>
      </w:r>
      <w:r>
        <w:rPr>
          <w:color w:val="000000"/>
          <w:sz w:val="24"/>
          <w:szCs w:val="20"/>
        </w:rPr>
      </w:r>
      <w:r/>
    </w:p>
    <w:p>
      <w:pPr>
        <w:pStyle w:val="995"/>
        <w:jc w:val="left"/>
        <w:widowControl/>
        <w:rPr>
          <w:sz w:val="24"/>
          <w:szCs w:val="20"/>
        </w:rPr>
        <w:sectPr>
          <w:footnotePr/>
          <w:endnotePr/>
          <w:type w:val="nextPage"/>
          <w:pgSz w:w="11907" w:h="16840" w:orient="portrait"/>
          <w:pgMar w:top="1418" w:right="1134" w:bottom="1418" w:left="1701" w:header="851" w:footer="851" w:gutter="0"/>
          <w:cols w:num="1" w:sep="0" w:space="1701" w:equalWidth="1"/>
          <w:docGrid w:linePitch="360"/>
        </w:sectPr>
      </w:pPr>
      <w:r>
        <w:rPr>
          <w:sz w:val="24"/>
          <w:szCs w:val="20"/>
        </w:rPr>
      </w:r>
      <w:r/>
    </w:p>
    <w:p>
      <w:pPr>
        <w:pStyle w:val="995"/>
        <w:spacing w:line="360" w:lineRule="auto"/>
        <w:rPr>
          <w:sz w:val="24"/>
          <w:szCs w:val="20"/>
        </w:rPr>
        <w:outlineLvl w:val="2"/>
      </w:pPr>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Start w:id="890" w:name="_Toc264969252"/>
      <w:r/>
      <w:bookmarkStart w:id="891" w:name="_Toc305158830"/>
      <w:r/>
      <w:bookmarkStart w:id="892" w:name="_Toc226965835"/>
      <w:r/>
      <w:bookmarkStart w:id="893" w:name="_Toc195842927"/>
      <w:r/>
      <w:bookmarkStart w:id="894" w:name="_Toc127151562"/>
      <w:r/>
      <w:bookmarkStart w:id="895" w:name="_Toc150774765"/>
      <w:r/>
      <w:bookmarkStart w:id="896" w:name="_Toc226965752"/>
      <w:r/>
      <w:bookmarkStart w:id="897" w:name="_Toc142311062"/>
      <w:r/>
      <w:bookmarkStart w:id="898" w:name="_Toc150480798"/>
      <w:r/>
      <w:bookmarkStart w:id="899" w:name="_Toc226337258"/>
      <w:r/>
      <w:bookmarkStart w:id="900" w:name="_Toc265228400"/>
      <w:r/>
      <w:bookmarkStart w:id="901" w:name="_Toc226309806"/>
      <w:r/>
      <w:bookmarkStart w:id="902" w:name="_Toc305158904"/>
      <w:r/>
      <w:bookmarkStart w:id="903" w:name="_Toc226965834"/>
      <w:r/>
      <w:bookmarkStart w:id="904" w:name="_Toc150480797"/>
      <w:r/>
      <w:bookmarkStart w:id="905" w:name="_Toc195842926"/>
      <w:r/>
      <w:bookmarkStart w:id="906" w:name="_Toc127151561"/>
      <w:r/>
      <w:bookmarkStart w:id="907" w:name="_Toc226965751"/>
      <w:r/>
      <w:bookmarkStart w:id="908" w:name="_Toc226337257"/>
      <w:r/>
      <w:bookmarkStart w:id="909" w:name="_Toc142311061"/>
      <w:r/>
      <w:bookmarkStart w:id="910" w:name="_Toc264969251"/>
      <w:r/>
      <w:bookmarkStart w:id="911" w:name="_Toc265228399"/>
      <w:r/>
      <w:bookmarkStart w:id="912" w:name="_Toc305158903"/>
      <w:r/>
      <w:bookmarkStart w:id="913" w:name="_Toc305158829"/>
      <w:r/>
      <w:bookmarkStart w:id="914" w:name="_Toc150774764"/>
      <w:r/>
      <w:bookmarkStart w:id="915" w:name="_Toc226309805"/>
      <w:r>
        <w:rPr>
          <w:rFonts w:hint="eastAsia"/>
          <w:sz w:val="24"/>
          <w:szCs w:val="20"/>
        </w:rPr>
        <w:t xml:space="preserve">6</w:t>
      </w:r>
      <w:r>
        <w:rPr>
          <w:sz w:val="24"/>
          <w:szCs w:val="20"/>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b/>
          <w:sz w:val="24"/>
          <w:szCs w:val="20"/>
        </w:rPr>
        <w:t xml:space="preserve">（实质性格式）</w:t>
      </w:r>
      <w:r>
        <w:rPr>
          <w:sz w:val="24"/>
          <w:szCs w:val="20"/>
        </w:rPr>
      </w:r>
      <w:r/>
    </w:p>
    <w:p>
      <w:pPr>
        <w:pStyle w:val="995"/>
        <w:spacing w:line="360" w:lineRule="auto"/>
        <w:rPr>
          <w:sz w:val="24"/>
          <w:szCs w:val="20"/>
        </w:rPr>
      </w:pPr>
      <w:r>
        <w:rPr>
          <w:sz w:val="24"/>
          <w:szCs w:val="20"/>
        </w:rPr>
      </w:r>
      <w:r/>
    </w:p>
    <w:p>
      <w:pPr>
        <w:pStyle w:val="995"/>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995"/>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JSZC-320400-JSZG-G2026-0044</w:t>
      </w:r>
      <w:r>
        <w:rPr>
          <w:rFonts w:hint="eastAsia" w:ascii="宋体" w:hAnsi="宋体" w:eastAsia="宋体"/>
          <w:sz w:val="24"/>
          <w:lang w:eastAsia="zh-CN"/>
        </w:rPr>
      </w:r>
      <w:r/>
    </w:p>
    <w:p>
      <w:pPr>
        <w:pStyle w:val="995"/>
        <w:ind w:firstLine="360"/>
        <w:jc w:val="left"/>
        <w:spacing w:line="360" w:lineRule="auto"/>
        <w:tabs>
          <w:tab w:val="left" w:pos="1800" w:leader="none"/>
          <w:tab w:val="left" w:pos="5580" w:leader="none"/>
        </w:tabs>
        <w:rPr>
          <w:rFonts w:hint="eastAsia" w:eastAsia="宋体"/>
          <w:sz w:val="24"/>
          <w:lang w:eastAsia="zh-CN"/>
        </w:rPr>
      </w:pPr>
      <w:r>
        <w:rPr>
          <w:sz w:val="24"/>
        </w:rPr>
        <w:t xml:space="preserve">项目名称：</w:t>
      </w:r>
      <w:r>
        <w:rPr>
          <w:rFonts w:hint="eastAsia"/>
          <w:sz w:val="24"/>
          <w:lang w:eastAsia="zh-CN"/>
        </w:rPr>
        <w:t xml:space="preserve">2026-2029年变电所运维及电气零星维修</w:t>
      </w:r>
      <w:r>
        <w:rPr>
          <w:rFonts w:hint="eastAsia" w:eastAsia="宋体"/>
          <w:sz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95"/>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99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95"/>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995"/>
              <w:jc w:val="center"/>
              <w:rPr>
                <w:sz w:val="24"/>
              </w:rPr>
            </w:pPr>
            <w:r>
              <w:rPr>
                <w:sz w:val="24"/>
              </w:rPr>
              <w:t xml:space="preserve">序号</w:t>
            </w:r>
            <w:r>
              <w:rPr>
                <w:sz w:val="24"/>
              </w:rPr>
            </w:r>
            <w:r/>
          </w:p>
        </w:tc>
        <w:tc>
          <w:tcPr>
            <w:tcW w:w="1290" w:type="dxa"/>
            <w:vAlign w:val="center"/>
            <w:textDirection w:val="lrTb"/>
            <w:noWrap w:val="false"/>
          </w:tcPr>
          <w:p>
            <w:pPr>
              <w:pStyle w:val="995"/>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995"/>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995"/>
              <w:jc w:val="center"/>
              <w:rPr>
                <w:sz w:val="24"/>
              </w:rPr>
            </w:pPr>
            <w:r>
              <w:rPr>
                <w:sz w:val="24"/>
              </w:rPr>
              <w:t xml:space="preserve">投标文件内容</w:t>
            </w:r>
            <w:r>
              <w:rPr>
                <w:sz w:val="24"/>
              </w:rPr>
            </w:r>
            <w:r/>
          </w:p>
        </w:tc>
        <w:tc>
          <w:tcPr>
            <w:tcW w:w="2423" w:type="dxa"/>
            <w:vAlign w:val="center"/>
            <w:textDirection w:val="lrTb"/>
            <w:noWrap w:val="false"/>
          </w:tcPr>
          <w:p>
            <w:pPr>
              <w:pStyle w:val="995"/>
              <w:jc w:val="center"/>
              <w:rPr>
                <w:sz w:val="24"/>
              </w:rPr>
            </w:pPr>
            <w:r>
              <w:rPr>
                <w:sz w:val="24"/>
              </w:rPr>
              <w:t xml:space="preserve">偏离情况</w:t>
            </w:r>
            <w:r>
              <w:rPr>
                <w:sz w:val="24"/>
              </w:rPr>
            </w:r>
            <w:r/>
          </w:p>
        </w:tc>
        <w:tc>
          <w:tcPr>
            <w:tcW w:w="782" w:type="dxa"/>
            <w:vAlign w:val="center"/>
            <w:textDirection w:val="lrTb"/>
            <w:noWrap w:val="false"/>
          </w:tcPr>
          <w:p>
            <w:pPr>
              <w:pStyle w:val="995"/>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995"/>
              <w:jc w:val="center"/>
              <w:rPr>
                <w:sz w:val="24"/>
              </w:rPr>
            </w:pPr>
            <w:r>
              <w:rPr>
                <w:sz w:val="24"/>
              </w:rPr>
            </w:r>
            <w:r/>
          </w:p>
        </w:tc>
        <w:tc>
          <w:tcPr>
            <w:tcW w:w="1290" w:type="dxa"/>
            <w:vAlign w:val="center"/>
            <w:textDirection w:val="lrTb"/>
            <w:noWrap w:val="false"/>
          </w:tcPr>
          <w:p>
            <w:pPr>
              <w:pStyle w:val="995"/>
              <w:jc w:val="center"/>
              <w:rPr>
                <w:sz w:val="24"/>
              </w:rPr>
            </w:pPr>
            <w:r>
              <w:rPr>
                <w:sz w:val="24"/>
              </w:rPr>
            </w:r>
            <w:r/>
          </w:p>
        </w:tc>
        <w:tc>
          <w:tcPr>
            <w:tcW w:w="1980" w:type="dxa"/>
            <w:vAlign w:val="center"/>
            <w:textDirection w:val="lrTb"/>
            <w:noWrap w:val="false"/>
          </w:tcPr>
          <w:p>
            <w:pPr>
              <w:pStyle w:val="995"/>
              <w:jc w:val="center"/>
              <w:rPr>
                <w:sz w:val="24"/>
              </w:rPr>
            </w:pPr>
            <w:r>
              <w:rPr>
                <w:sz w:val="24"/>
              </w:rPr>
            </w:r>
            <w:r/>
          </w:p>
        </w:tc>
        <w:tc>
          <w:tcPr>
            <w:tcW w:w="1981" w:type="dxa"/>
            <w:vAlign w:val="center"/>
            <w:textDirection w:val="lrTb"/>
            <w:noWrap w:val="false"/>
          </w:tcPr>
          <w:p>
            <w:pPr>
              <w:pStyle w:val="995"/>
              <w:jc w:val="center"/>
              <w:rPr>
                <w:sz w:val="24"/>
              </w:rPr>
            </w:pPr>
            <w:r>
              <w:rPr>
                <w:sz w:val="24"/>
              </w:rPr>
            </w:r>
            <w:r/>
          </w:p>
        </w:tc>
        <w:tc>
          <w:tcPr>
            <w:tcW w:w="2423" w:type="dxa"/>
            <w:vAlign w:val="center"/>
            <w:textDirection w:val="lrTb"/>
            <w:noWrap w:val="false"/>
          </w:tcPr>
          <w:p>
            <w:pPr>
              <w:pStyle w:val="995"/>
              <w:jc w:val="center"/>
              <w:rPr>
                <w:sz w:val="24"/>
              </w:rPr>
            </w:pPr>
            <w:r>
              <w:rPr>
                <w:sz w:val="24"/>
              </w:rPr>
            </w:r>
            <w:r/>
          </w:p>
        </w:tc>
        <w:tc>
          <w:tcPr>
            <w:tcW w:w="782" w:type="dxa"/>
            <w:vAlign w:val="center"/>
            <w:textDirection w:val="lrTb"/>
            <w:noWrap w:val="false"/>
          </w:tcPr>
          <w:p>
            <w:pPr>
              <w:pStyle w:val="995"/>
              <w:jc w:val="center"/>
              <w:rPr>
                <w:sz w:val="24"/>
              </w:rPr>
            </w:pPr>
            <w:r>
              <w:rPr>
                <w:sz w:val="24"/>
              </w:rPr>
            </w:r>
            <w:r/>
          </w:p>
        </w:tc>
      </w:tr>
      <w:tr>
        <w:trPr>
          <w:trHeight w:val="930"/>
        </w:trPr>
        <w:tc>
          <w:tcPr>
            <w:tcW w:w="832" w:type="dxa"/>
            <w:vAlign w:val="center"/>
            <w:textDirection w:val="lrTb"/>
            <w:noWrap w:val="false"/>
          </w:tcPr>
          <w:p>
            <w:pPr>
              <w:pStyle w:val="995"/>
              <w:jc w:val="center"/>
              <w:rPr>
                <w:sz w:val="24"/>
              </w:rPr>
            </w:pPr>
            <w:r>
              <w:rPr>
                <w:sz w:val="24"/>
              </w:rPr>
            </w:r>
            <w:r/>
          </w:p>
        </w:tc>
        <w:tc>
          <w:tcPr>
            <w:tcW w:w="1290" w:type="dxa"/>
            <w:vAlign w:val="center"/>
            <w:textDirection w:val="lrTb"/>
            <w:noWrap w:val="false"/>
          </w:tcPr>
          <w:p>
            <w:pPr>
              <w:pStyle w:val="995"/>
              <w:jc w:val="center"/>
              <w:rPr>
                <w:sz w:val="24"/>
              </w:rPr>
            </w:pPr>
            <w:r>
              <w:rPr>
                <w:sz w:val="24"/>
              </w:rPr>
            </w:r>
            <w:r/>
          </w:p>
        </w:tc>
        <w:tc>
          <w:tcPr>
            <w:tcW w:w="1980" w:type="dxa"/>
            <w:vAlign w:val="center"/>
            <w:textDirection w:val="lrTb"/>
            <w:noWrap w:val="false"/>
          </w:tcPr>
          <w:p>
            <w:pPr>
              <w:pStyle w:val="995"/>
              <w:jc w:val="center"/>
              <w:rPr>
                <w:sz w:val="24"/>
              </w:rPr>
            </w:pPr>
            <w:r>
              <w:rPr>
                <w:sz w:val="24"/>
              </w:rPr>
            </w:r>
            <w:r/>
          </w:p>
        </w:tc>
        <w:tc>
          <w:tcPr>
            <w:tcW w:w="1981" w:type="dxa"/>
            <w:vAlign w:val="center"/>
            <w:textDirection w:val="lrTb"/>
            <w:noWrap w:val="false"/>
          </w:tcPr>
          <w:p>
            <w:pPr>
              <w:pStyle w:val="995"/>
              <w:jc w:val="center"/>
              <w:rPr>
                <w:sz w:val="24"/>
              </w:rPr>
            </w:pPr>
            <w:r>
              <w:rPr>
                <w:sz w:val="24"/>
              </w:rPr>
            </w:r>
            <w:r/>
          </w:p>
        </w:tc>
        <w:tc>
          <w:tcPr>
            <w:tcW w:w="2423" w:type="dxa"/>
            <w:vAlign w:val="center"/>
            <w:textDirection w:val="lrTb"/>
            <w:noWrap w:val="false"/>
          </w:tcPr>
          <w:p>
            <w:pPr>
              <w:pStyle w:val="995"/>
              <w:jc w:val="center"/>
              <w:rPr>
                <w:sz w:val="24"/>
              </w:rPr>
            </w:pPr>
            <w:r>
              <w:rPr>
                <w:sz w:val="24"/>
              </w:rPr>
            </w:r>
            <w:r/>
          </w:p>
        </w:tc>
        <w:tc>
          <w:tcPr>
            <w:tcW w:w="782" w:type="dxa"/>
            <w:vAlign w:val="center"/>
            <w:textDirection w:val="lrTb"/>
            <w:noWrap w:val="false"/>
          </w:tcPr>
          <w:p>
            <w:pPr>
              <w:pStyle w:val="995"/>
              <w:jc w:val="center"/>
              <w:rPr>
                <w:sz w:val="24"/>
              </w:rPr>
            </w:pPr>
            <w:r>
              <w:rPr>
                <w:sz w:val="24"/>
              </w:rPr>
            </w:r>
            <w:r/>
          </w:p>
        </w:tc>
      </w:tr>
      <w:tr>
        <w:trPr>
          <w:trHeight w:val="930"/>
        </w:trPr>
        <w:tc>
          <w:tcPr>
            <w:tcW w:w="832" w:type="dxa"/>
            <w:vAlign w:val="center"/>
            <w:textDirection w:val="lrTb"/>
            <w:noWrap w:val="false"/>
          </w:tcPr>
          <w:p>
            <w:pPr>
              <w:pStyle w:val="995"/>
              <w:jc w:val="center"/>
              <w:rPr>
                <w:sz w:val="24"/>
              </w:rPr>
            </w:pPr>
            <w:r>
              <w:rPr>
                <w:sz w:val="24"/>
              </w:rPr>
            </w:r>
            <w:r/>
          </w:p>
        </w:tc>
        <w:tc>
          <w:tcPr>
            <w:tcW w:w="1290" w:type="dxa"/>
            <w:vAlign w:val="center"/>
            <w:textDirection w:val="lrTb"/>
            <w:noWrap w:val="false"/>
          </w:tcPr>
          <w:p>
            <w:pPr>
              <w:pStyle w:val="995"/>
              <w:jc w:val="center"/>
              <w:rPr>
                <w:sz w:val="24"/>
              </w:rPr>
            </w:pPr>
            <w:r>
              <w:rPr>
                <w:sz w:val="24"/>
              </w:rPr>
            </w:r>
            <w:r/>
          </w:p>
        </w:tc>
        <w:tc>
          <w:tcPr>
            <w:tcW w:w="1980" w:type="dxa"/>
            <w:vAlign w:val="center"/>
            <w:textDirection w:val="lrTb"/>
            <w:noWrap w:val="false"/>
          </w:tcPr>
          <w:p>
            <w:pPr>
              <w:pStyle w:val="995"/>
              <w:jc w:val="center"/>
              <w:rPr>
                <w:sz w:val="24"/>
              </w:rPr>
            </w:pPr>
            <w:r>
              <w:rPr>
                <w:sz w:val="24"/>
              </w:rPr>
            </w:r>
            <w:r/>
          </w:p>
        </w:tc>
        <w:tc>
          <w:tcPr>
            <w:tcW w:w="1981" w:type="dxa"/>
            <w:vAlign w:val="center"/>
            <w:textDirection w:val="lrTb"/>
            <w:noWrap w:val="false"/>
          </w:tcPr>
          <w:p>
            <w:pPr>
              <w:pStyle w:val="995"/>
              <w:jc w:val="center"/>
              <w:rPr>
                <w:sz w:val="24"/>
              </w:rPr>
            </w:pPr>
            <w:r>
              <w:rPr>
                <w:sz w:val="24"/>
              </w:rPr>
            </w:r>
            <w:r/>
          </w:p>
        </w:tc>
        <w:tc>
          <w:tcPr>
            <w:tcW w:w="2423" w:type="dxa"/>
            <w:vAlign w:val="center"/>
            <w:textDirection w:val="lrTb"/>
            <w:noWrap w:val="false"/>
          </w:tcPr>
          <w:p>
            <w:pPr>
              <w:pStyle w:val="995"/>
              <w:jc w:val="center"/>
              <w:rPr>
                <w:sz w:val="24"/>
              </w:rPr>
            </w:pPr>
            <w:r>
              <w:rPr>
                <w:sz w:val="24"/>
              </w:rPr>
            </w:r>
            <w:r/>
          </w:p>
        </w:tc>
        <w:tc>
          <w:tcPr>
            <w:tcW w:w="782" w:type="dxa"/>
            <w:vAlign w:val="center"/>
            <w:textDirection w:val="lrTb"/>
            <w:noWrap w:val="false"/>
          </w:tcPr>
          <w:p>
            <w:pPr>
              <w:pStyle w:val="995"/>
              <w:jc w:val="center"/>
              <w:rPr>
                <w:sz w:val="24"/>
              </w:rPr>
            </w:pPr>
            <w:r>
              <w:rPr>
                <w:sz w:val="24"/>
              </w:rPr>
            </w:r>
            <w:r/>
          </w:p>
        </w:tc>
      </w:tr>
      <w:tr>
        <w:trPr>
          <w:trHeight w:val="930"/>
        </w:trPr>
        <w:tc>
          <w:tcPr>
            <w:tcW w:w="832" w:type="dxa"/>
            <w:vAlign w:val="center"/>
            <w:textDirection w:val="lrTb"/>
            <w:noWrap w:val="false"/>
          </w:tcPr>
          <w:p>
            <w:pPr>
              <w:pStyle w:val="995"/>
              <w:jc w:val="center"/>
              <w:rPr>
                <w:sz w:val="24"/>
              </w:rPr>
            </w:pPr>
            <w:r>
              <w:rPr>
                <w:sz w:val="24"/>
              </w:rPr>
              <w:t xml:space="preserve">……</w:t>
            </w:r>
            <w:r>
              <w:rPr>
                <w:sz w:val="24"/>
              </w:rPr>
            </w:r>
            <w:r/>
          </w:p>
        </w:tc>
        <w:tc>
          <w:tcPr>
            <w:tcW w:w="1290" w:type="dxa"/>
            <w:vAlign w:val="center"/>
            <w:textDirection w:val="lrTb"/>
            <w:noWrap w:val="false"/>
          </w:tcPr>
          <w:p>
            <w:pPr>
              <w:pStyle w:val="995"/>
              <w:jc w:val="center"/>
              <w:rPr>
                <w:sz w:val="24"/>
              </w:rPr>
            </w:pPr>
            <w:r>
              <w:rPr>
                <w:sz w:val="24"/>
              </w:rPr>
            </w:r>
            <w:r/>
          </w:p>
        </w:tc>
        <w:tc>
          <w:tcPr>
            <w:tcW w:w="1980" w:type="dxa"/>
            <w:vAlign w:val="center"/>
            <w:textDirection w:val="lrTb"/>
            <w:noWrap w:val="false"/>
          </w:tcPr>
          <w:p>
            <w:pPr>
              <w:pStyle w:val="995"/>
              <w:jc w:val="center"/>
              <w:rPr>
                <w:sz w:val="24"/>
              </w:rPr>
            </w:pPr>
            <w:r>
              <w:rPr>
                <w:sz w:val="24"/>
              </w:rPr>
            </w:r>
            <w:r/>
          </w:p>
        </w:tc>
        <w:tc>
          <w:tcPr>
            <w:tcW w:w="1981" w:type="dxa"/>
            <w:vAlign w:val="center"/>
            <w:textDirection w:val="lrTb"/>
            <w:noWrap w:val="false"/>
          </w:tcPr>
          <w:p>
            <w:pPr>
              <w:pStyle w:val="995"/>
              <w:jc w:val="center"/>
              <w:rPr>
                <w:sz w:val="24"/>
              </w:rPr>
            </w:pPr>
            <w:r>
              <w:rPr>
                <w:sz w:val="24"/>
              </w:rPr>
            </w:r>
            <w:r/>
          </w:p>
        </w:tc>
        <w:tc>
          <w:tcPr>
            <w:tcW w:w="2423" w:type="dxa"/>
            <w:vAlign w:val="center"/>
            <w:textDirection w:val="lrTb"/>
            <w:noWrap w:val="false"/>
          </w:tcPr>
          <w:p>
            <w:pPr>
              <w:pStyle w:val="995"/>
              <w:jc w:val="center"/>
              <w:rPr>
                <w:sz w:val="24"/>
              </w:rPr>
            </w:pPr>
            <w:r>
              <w:rPr>
                <w:sz w:val="24"/>
              </w:rPr>
            </w:r>
            <w:r/>
          </w:p>
        </w:tc>
        <w:tc>
          <w:tcPr>
            <w:tcW w:w="782" w:type="dxa"/>
            <w:vAlign w:val="center"/>
            <w:textDirection w:val="lrTb"/>
            <w:noWrap w:val="false"/>
          </w:tcPr>
          <w:p>
            <w:pPr>
              <w:pStyle w:val="995"/>
              <w:jc w:val="center"/>
              <w:rPr>
                <w:sz w:val="24"/>
              </w:rPr>
            </w:pPr>
            <w:r>
              <w:rPr>
                <w:sz w:val="24"/>
              </w:rPr>
            </w:r>
            <w:r/>
          </w:p>
        </w:tc>
      </w:tr>
    </w:tbl>
    <w:p>
      <w:pPr>
        <w:pStyle w:val="995"/>
        <w:jc w:val="left"/>
        <w:tabs>
          <w:tab w:val="left" w:pos="1800" w:leader="none"/>
          <w:tab w:val="left" w:pos="5580" w:leader="none"/>
        </w:tabs>
        <w:rPr>
          <w:sz w:val="24"/>
        </w:rPr>
      </w:pPr>
      <w:r>
        <w:rPr>
          <w:sz w:val="24"/>
        </w:rPr>
      </w:r>
      <w:r/>
    </w:p>
    <w:p>
      <w:pPr>
        <w:pStyle w:val="995"/>
        <w:jc w:val="left"/>
        <w:tabs>
          <w:tab w:val="left" w:pos="1800" w:leader="none"/>
          <w:tab w:val="left" w:pos="5580" w:leader="none"/>
        </w:tabs>
        <w:rPr>
          <w:sz w:val="24"/>
        </w:rPr>
      </w:pPr>
      <w:r>
        <w:rPr>
          <w:sz w:val="24"/>
        </w:rPr>
        <w:t xml:space="preserve">注：</w:t>
      </w:r>
      <w:r>
        <w:rPr>
          <w:sz w:val="24"/>
        </w:rPr>
      </w:r>
      <w:r/>
    </w:p>
    <w:p>
      <w:pPr>
        <w:pStyle w:val="995"/>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995"/>
        <w:jc w:val="left"/>
        <w:tabs>
          <w:tab w:val="left" w:pos="1800" w:leader="none"/>
          <w:tab w:val="left" w:pos="5580" w:leader="none"/>
        </w:tabs>
        <w:rPr>
          <w:sz w:val="24"/>
        </w:rPr>
      </w:pPr>
      <w:r>
        <w:rPr>
          <w:rFonts w:hint="eastAsia"/>
          <w:sz w:val="24"/>
        </w:rPr>
        <w:t xml:space="preserve">2</w:t>
      </w:r>
      <w:r>
        <w:rPr>
          <w:sz w:val="24"/>
        </w:rPr>
        <w:t xml:space="preserve">.</w:t>
      </w:r>
      <w:r>
        <w:rPr>
          <w:rFonts w:hint="eastAsia"/>
          <w:sz w:val="24"/>
        </w:rPr>
        <w:t xml:space="preserve">“偏离情况”列应</w:t>
      </w:r>
      <w:r>
        <w:rPr>
          <w:sz w:val="24"/>
        </w:rPr>
        <w:t xml:space="preserve">据实</w:t>
      </w:r>
      <w:r>
        <w:rPr>
          <w:rFonts w:hint="eastAsia"/>
          <w:sz w:val="24"/>
        </w:rPr>
        <w:t xml:space="preserve">填写“无偏离”或“有偏离”。</w:t>
      </w:r>
      <w:r>
        <w:rPr>
          <w:sz w:val="24"/>
        </w:rPr>
      </w:r>
      <w:r/>
    </w:p>
    <w:p>
      <w:pPr>
        <w:pStyle w:val="995"/>
        <w:spacing w:line="360" w:lineRule="auto"/>
        <w:rPr>
          <w:sz w:val="24"/>
          <w:szCs w:val="20"/>
        </w:rPr>
      </w:pPr>
      <w:r>
        <w:rPr>
          <w:sz w:val="24"/>
          <w:szCs w:val="20"/>
        </w:rPr>
      </w:r>
      <w:r/>
    </w:p>
    <w:p>
      <w:pPr>
        <w:pStyle w:val="995"/>
        <w:spacing w:before="25" w:after="25" w:line="360" w:lineRule="auto"/>
        <w:rPr>
          <w:sz w:val="24"/>
          <w:lang w:val="zh-CN"/>
        </w:rPr>
      </w:pPr>
      <w:r>
        <w:rPr>
          <w:sz w:val="24"/>
          <w:lang w:val="zh-CN"/>
        </w:rPr>
      </w:r>
      <w:r/>
    </w:p>
    <w:p>
      <w:pPr>
        <w:pStyle w:val="995"/>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sz w:val="24"/>
          <w:lang w:val="zh-CN"/>
        </w:rPr>
      </w:r>
      <w:r/>
    </w:p>
    <w:p>
      <w:pPr>
        <w:pStyle w:val="995"/>
        <w:spacing w:before="25" w:after="25" w:line="360" w:lineRule="auto"/>
        <w:rPr>
          <w:sz w:val="24"/>
          <w:lang w:val="zh-CN"/>
        </w:rPr>
      </w:pPr>
      <w:r>
        <w:rPr>
          <w:sz w:val="24"/>
          <w:szCs w:val="20"/>
        </w:rPr>
        <w:t xml:space="preserve">日期：_____年____月____日</w:t>
      </w:r>
      <w:r>
        <w:rPr>
          <w:sz w:val="24"/>
          <w:lang w:val="zh-CN"/>
        </w:rPr>
      </w:r>
      <w:r/>
    </w:p>
    <w:p>
      <w:pPr>
        <w:pStyle w:val="995"/>
        <w:contextualSpacing w:val="0"/>
        <w:jc w:val="both"/>
        <w:spacing w:line="360" w:lineRule="auto"/>
        <w:rPr>
          <w:sz w:val="24"/>
          <w:szCs w:val="20"/>
        </w:rPr>
        <w:outlineLvl w:val="2"/>
        <w:suppressLineNumbers w:val="0"/>
      </w:pPr>
      <w:r>
        <w:rPr>
          <w:sz w:val="24"/>
          <w:szCs w:val="20"/>
        </w:rPr>
        <w:br w:type="page" w:clear="all"/>
      </w:r>
      <w:r>
        <w:rPr>
          <w:rFonts w:hint="eastAsia"/>
          <w:sz w:val="24"/>
          <w:szCs w:val="20"/>
        </w:rPr>
        <w:t xml:space="preserve">7</w:t>
      </w:r>
      <w:r>
        <w:rPr>
          <w:sz w:val="24"/>
          <w:szCs w:val="20"/>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sz w:val="24"/>
          <w:szCs w:val="20"/>
        </w:rPr>
        <w:t xml:space="preserve">采购需求偏离表</w:t>
      </w:r>
      <w:r>
        <w:rPr>
          <w:b/>
          <w:sz w:val="24"/>
          <w:szCs w:val="20"/>
        </w:rPr>
        <w:t xml:space="preserve">（实质性格式）</w:t>
      </w:r>
      <w:r>
        <w:rPr>
          <w:sz w:val="24"/>
          <w:szCs w:val="20"/>
        </w:rPr>
      </w:r>
      <w:r/>
    </w:p>
    <w:p>
      <w:pPr>
        <w:pStyle w:val="995"/>
        <w:jc w:val="center"/>
        <w:spacing w:line="360" w:lineRule="auto"/>
        <w:rPr>
          <w:rFonts w:hint="eastAsia"/>
          <w:b/>
          <w:sz w:val="36"/>
          <w:szCs w:val="36"/>
        </w:rPr>
      </w:pPr>
      <w:r>
        <w:rPr>
          <w:rFonts w:hint="eastAsia"/>
          <w:b/>
          <w:sz w:val="36"/>
          <w:szCs w:val="36"/>
        </w:rPr>
      </w:r>
      <w:r/>
    </w:p>
    <w:p>
      <w:pPr>
        <w:pStyle w:val="995"/>
        <w:jc w:val="center"/>
        <w:spacing w:line="360" w:lineRule="auto"/>
        <w:rPr>
          <w:b/>
          <w:sz w:val="36"/>
          <w:szCs w:val="36"/>
        </w:rPr>
      </w:pPr>
      <w:r>
        <w:rPr>
          <w:rFonts w:hint="eastAsia"/>
          <w:b/>
          <w:sz w:val="36"/>
          <w:szCs w:val="36"/>
        </w:rPr>
        <w:t xml:space="preserve">采购需求偏离表</w:t>
      </w:r>
      <w:r>
        <w:rPr>
          <w:b/>
          <w:sz w:val="36"/>
          <w:szCs w:val="36"/>
        </w:rPr>
      </w:r>
      <w:r/>
    </w:p>
    <w:p>
      <w:pPr>
        <w:pStyle w:val="995"/>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JSZC-320400-JSZG-G2026-0044</w:t>
      </w:r>
      <w:r>
        <w:rPr>
          <w:rFonts w:hint="eastAsia" w:ascii="宋体" w:hAnsi="宋体" w:eastAsia="宋体"/>
          <w:sz w:val="24"/>
          <w:lang w:eastAsia="zh-CN"/>
        </w:rPr>
      </w:r>
      <w:r/>
    </w:p>
    <w:p>
      <w:pPr>
        <w:pStyle w:val="995"/>
        <w:ind w:firstLine="360"/>
        <w:jc w:val="left"/>
        <w:spacing w:line="360" w:lineRule="auto"/>
        <w:tabs>
          <w:tab w:val="left" w:pos="1800" w:leader="none"/>
          <w:tab w:val="left" w:pos="5580" w:leader="none"/>
        </w:tabs>
        <w:rPr>
          <w:rFonts w:hint="eastAsia" w:eastAsia="宋体"/>
          <w:sz w:val="24"/>
          <w:u w:val="single"/>
          <w:lang w:eastAsia="zh-CN"/>
        </w:rPr>
      </w:pPr>
      <w:r>
        <w:rPr>
          <w:sz w:val="24"/>
        </w:rPr>
        <w:t xml:space="preserve">项目名称：</w:t>
      </w:r>
      <w:r>
        <w:rPr>
          <w:rFonts w:hint="eastAsia"/>
          <w:sz w:val="24"/>
          <w:lang w:eastAsia="zh-CN"/>
        </w:rPr>
        <w:t xml:space="preserve">2026-2029年变电所运维及电气零星维修</w:t>
      </w:r>
      <w:r>
        <w:rPr>
          <w:rFonts w:hint="eastAsia" w:eastAsia="宋体"/>
          <w:sz w:val="24"/>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95"/>
              <w:jc w:val="center"/>
              <w:rPr>
                <w:sz w:val="24"/>
              </w:rPr>
            </w:pPr>
            <w:r>
              <w:rPr>
                <w:sz w:val="24"/>
              </w:rPr>
              <w:t xml:space="preserve">序号</w:t>
            </w:r>
            <w:r>
              <w:rPr>
                <w:sz w:val="24"/>
              </w:rPr>
            </w:r>
            <w:r/>
          </w:p>
        </w:tc>
        <w:tc>
          <w:tcPr>
            <w:tcW w:w="1482" w:type="dxa"/>
            <w:vAlign w:val="center"/>
            <w:textDirection w:val="lrTb"/>
            <w:noWrap w:val="false"/>
          </w:tcPr>
          <w:p>
            <w:pPr>
              <w:pStyle w:val="995"/>
              <w:jc w:val="center"/>
              <w:rPr>
                <w:sz w:val="24"/>
              </w:rPr>
            </w:pPr>
            <w:r>
              <w:rPr>
                <w:sz w:val="24"/>
              </w:rPr>
              <w:t xml:space="preserve">招标文件条目号(页码)</w:t>
            </w:r>
            <w:r>
              <w:rPr>
                <w:sz w:val="24"/>
              </w:rPr>
            </w:r>
            <w:r/>
          </w:p>
        </w:tc>
        <w:tc>
          <w:tcPr>
            <w:tcW w:w="2384" w:type="dxa"/>
            <w:vAlign w:val="center"/>
            <w:textDirection w:val="lrTb"/>
            <w:noWrap w:val="false"/>
          </w:tcPr>
          <w:p>
            <w:pPr>
              <w:pStyle w:val="995"/>
              <w:jc w:val="center"/>
              <w:rPr>
                <w:sz w:val="24"/>
              </w:rPr>
            </w:pPr>
            <w:r>
              <w:rPr>
                <w:sz w:val="24"/>
              </w:rPr>
              <w:t xml:space="preserve">招标文件要求</w:t>
            </w:r>
            <w:r>
              <w:rPr>
                <w:sz w:val="24"/>
              </w:rPr>
            </w:r>
            <w:r/>
          </w:p>
        </w:tc>
        <w:tc>
          <w:tcPr>
            <w:tcW w:w="2126" w:type="dxa"/>
            <w:vAlign w:val="center"/>
            <w:textDirection w:val="lrTb"/>
            <w:noWrap w:val="false"/>
          </w:tcPr>
          <w:p>
            <w:pPr>
              <w:pStyle w:val="995"/>
              <w:jc w:val="center"/>
              <w:rPr>
                <w:sz w:val="24"/>
              </w:rPr>
            </w:pPr>
            <w:r>
              <w:rPr>
                <w:sz w:val="24"/>
              </w:rPr>
              <w:t xml:space="preserve">投标响应内容</w:t>
            </w:r>
            <w:r>
              <w:rPr>
                <w:sz w:val="24"/>
              </w:rPr>
            </w:r>
            <w:r/>
          </w:p>
        </w:tc>
        <w:tc>
          <w:tcPr>
            <w:tcW w:w="1875" w:type="dxa"/>
            <w:vAlign w:val="center"/>
            <w:textDirection w:val="lrTb"/>
            <w:noWrap w:val="false"/>
          </w:tcPr>
          <w:p>
            <w:pPr>
              <w:pStyle w:val="995"/>
              <w:jc w:val="center"/>
              <w:rPr>
                <w:sz w:val="24"/>
              </w:rPr>
            </w:pPr>
            <w:r>
              <w:rPr>
                <w:sz w:val="24"/>
              </w:rPr>
              <w:t xml:space="preserve">偏离情况</w:t>
            </w:r>
            <w:r>
              <w:rPr>
                <w:sz w:val="24"/>
              </w:rPr>
            </w:r>
            <w:r/>
          </w:p>
        </w:tc>
        <w:tc>
          <w:tcPr>
            <w:tcW w:w="1009" w:type="dxa"/>
            <w:vAlign w:val="center"/>
            <w:textDirection w:val="lrTb"/>
            <w:noWrap w:val="false"/>
          </w:tcPr>
          <w:p>
            <w:pPr>
              <w:pStyle w:val="995"/>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95"/>
              <w:jc w:val="center"/>
              <w:rPr>
                <w:sz w:val="24"/>
              </w:rPr>
            </w:pPr>
            <w:r>
              <w:rPr>
                <w:sz w:val="24"/>
              </w:rPr>
            </w:r>
            <w:r/>
          </w:p>
        </w:tc>
        <w:tc>
          <w:tcPr>
            <w:tcW w:w="1482" w:type="dxa"/>
            <w:vAlign w:val="center"/>
            <w:textDirection w:val="lrTb"/>
            <w:noWrap w:val="false"/>
          </w:tcPr>
          <w:p>
            <w:pPr>
              <w:pStyle w:val="995"/>
              <w:jc w:val="center"/>
              <w:rPr>
                <w:sz w:val="24"/>
              </w:rPr>
            </w:pPr>
            <w:r>
              <w:rPr>
                <w:sz w:val="24"/>
              </w:rPr>
            </w:r>
            <w:r/>
          </w:p>
        </w:tc>
        <w:tc>
          <w:tcPr>
            <w:tcW w:w="2384" w:type="dxa"/>
            <w:vAlign w:val="center"/>
            <w:textDirection w:val="lrTb"/>
            <w:noWrap w:val="false"/>
          </w:tcPr>
          <w:p>
            <w:pPr>
              <w:pStyle w:val="995"/>
              <w:jc w:val="center"/>
              <w:rPr>
                <w:sz w:val="24"/>
              </w:rPr>
            </w:pPr>
            <w:r>
              <w:rPr>
                <w:sz w:val="24"/>
              </w:rPr>
            </w:r>
            <w:r/>
          </w:p>
        </w:tc>
        <w:tc>
          <w:tcPr>
            <w:tcW w:w="2126" w:type="dxa"/>
            <w:vAlign w:val="center"/>
            <w:textDirection w:val="lrTb"/>
            <w:noWrap w:val="false"/>
          </w:tcPr>
          <w:p>
            <w:pPr>
              <w:pStyle w:val="995"/>
              <w:jc w:val="center"/>
              <w:rPr>
                <w:sz w:val="24"/>
              </w:rPr>
            </w:pPr>
            <w:r>
              <w:rPr>
                <w:sz w:val="24"/>
              </w:rPr>
            </w:r>
            <w:r/>
          </w:p>
        </w:tc>
        <w:tc>
          <w:tcPr>
            <w:tcW w:w="1875" w:type="dxa"/>
            <w:vAlign w:val="center"/>
            <w:textDirection w:val="lrTb"/>
            <w:noWrap w:val="false"/>
          </w:tcPr>
          <w:p>
            <w:pPr>
              <w:pStyle w:val="995"/>
              <w:jc w:val="center"/>
              <w:rPr>
                <w:sz w:val="24"/>
              </w:rPr>
            </w:pPr>
            <w:r>
              <w:rPr>
                <w:sz w:val="24"/>
              </w:rPr>
            </w:r>
            <w:r/>
          </w:p>
        </w:tc>
        <w:tc>
          <w:tcPr>
            <w:tcW w:w="1009" w:type="dxa"/>
            <w:vAlign w:val="center"/>
            <w:textDirection w:val="lrTb"/>
            <w:noWrap w:val="false"/>
          </w:tcPr>
          <w:p>
            <w:pPr>
              <w:pStyle w:val="995"/>
              <w:jc w:val="center"/>
              <w:rPr>
                <w:sz w:val="24"/>
              </w:rPr>
            </w:pPr>
            <w:r>
              <w:rPr>
                <w:sz w:val="24"/>
              </w:rPr>
            </w:r>
            <w:r/>
          </w:p>
        </w:tc>
      </w:tr>
      <w:tr>
        <w:trPr>
          <w:trHeight w:val="930"/>
        </w:trPr>
        <w:tc>
          <w:tcPr>
            <w:tcW w:w="775" w:type="dxa"/>
            <w:vAlign w:val="center"/>
            <w:textDirection w:val="lrTb"/>
            <w:noWrap w:val="false"/>
          </w:tcPr>
          <w:p>
            <w:pPr>
              <w:pStyle w:val="995"/>
              <w:jc w:val="center"/>
              <w:rPr>
                <w:sz w:val="24"/>
              </w:rPr>
            </w:pPr>
            <w:r>
              <w:rPr>
                <w:sz w:val="24"/>
              </w:rPr>
            </w:r>
            <w:r/>
          </w:p>
        </w:tc>
        <w:tc>
          <w:tcPr>
            <w:tcW w:w="1482" w:type="dxa"/>
            <w:vAlign w:val="center"/>
            <w:textDirection w:val="lrTb"/>
            <w:noWrap w:val="false"/>
          </w:tcPr>
          <w:p>
            <w:pPr>
              <w:pStyle w:val="995"/>
              <w:jc w:val="center"/>
              <w:rPr>
                <w:sz w:val="24"/>
              </w:rPr>
            </w:pPr>
            <w:r>
              <w:rPr>
                <w:sz w:val="24"/>
              </w:rPr>
            </w:r>
            <w:r/>
          </w:p>
        </w:tc>
        <w:tc>
          <w:tcPr>
            <w:tcW w:w="2384" w:type="dxa"/>
            <w:vAlign w:val="center"/>
            <w:textDirection w:val="lrTb"/>
            <w:noWrap w:val="false"/>
          </w:tcPr>
          <w:p>
            <w:pPr>
              <w:pStyle w:val="995"/>
              <w:jc w:val="center"/>
              <w:rPr>
                <w:sz w:val="24"/>
              </w:rPr>
            </w:pPr>
            <w:r>
              <w:rPr>
                <w:sz w:val="24"/>
              </w:rPr>
            </w:r>
            <w:r/>
          </w:p>
        </w:tc>
        <w:tc>
          <w:tcPr>
            <w:tcW w:w="2126" w:type="dxa"/>
            <w:vAlign w:val="center"/>
            <w:textDirection w:val="lrTb"/>
            <w:noWrap w:val="false"/>
          </w:tcPr>
          <w:p>
            <w:pPr>
              <w:pStyle w:val="995"/>
              <w:jc w:val="center"/>
              <w:rPr>
                <w:sz w:val="24"/>
              </w:rPr>
            </w:pPr>
            <w:r>
              <w:rPr>
                <w:sz w:val="24"/>
              </w:rPr>
            </w:r>
            <w:r/>
          </w:p>
        </w:tc>
        <w:tc>
          <w:tcPr>
            <w:tcW w:w="1875" w:type="dxa"/>
            <w:vAlign w:val="center"/>
            <w:textDirection w:val="lrTb"/>
            <w:noWrap w:val="false"/>
          </w:tcPr>
          <w:p>
            <w:pPr>
              <w:pStyle w:val="995"/>
              <w:jc w:val="center"/>
              <w:rPr>
                <w:sz w:val="24"/>
              </w:rPr>
            </w:pPr>
            <w:r>
              <w:rPr>
                <w:sz w:val="24"/>
              </w:rPr>
            </w:r>
            <w:r/>
          </w:p>
        </w:tc>
        <w:tc>
          <w:tcPr>
            <w:tcW w:w="1009" w:type="dxa"/>
            <w:vAlign w:val="center"/>
            <w:textDirection w:val="lrTb"/>
            <w:noWrap w:val="false"/>
          </w:tcPr>
          <w:p>
            <w:pPr>
              <w:pStyle w:val="995"/>
              <w:jc w:val="center"/>
              <w:rPr>
                <w:sz w:val="24"/>
              </w:rPr>
            </w:pPr>
            <w:r>
              <w:rPr>
                <w:sz w:val="24"/>
              </w:rPr>
            </w:r>
            <w:r/>
          </w:p>
        </w:tc>
      </w:tr>
      <w:tr>
        <w:trPr>
          <w:trHeight w:val="930"/>
        </w:trPr>
        <w:tc>
          <w:tcPr>
            <w:tcW w:w="775" w:type="dxa"/>
            <w:vAlign w:val="center"/>
            <w:textDirection w:val="lrTb"/>
            <w:noWrap w:val="false"/>
          </w:tcPr>
          <w:p>
            <w:pPr>
              <w:pStyle w:val="995"/>
              <w:jc w:val="center"/>
              <w:rPr>
                <w:sz w:val="24"/>
              </w:rPr>
            </w:pPr>
            <w:r>
              <w:rPr>
                <w:sz w:val="24"/>
              </w:rPr>
            </w:r>
            <w:r/>
          </w:p>
        </w:tc>
        <w:tc>
          <w:tcPr>
            <w:tcW w:w="1482" w:type="dxa"/>
            <w:vAlign w:val="center"/>
            <w:textDirection w:val="lrTb"/>
            <w:noWrap w:val="false"/>
          </w:tcPr>
          <w:p>
            <w:pPr>
              <w:pStyle w:val="995"/>
              <w:jc w:val="center"/>
              <w:rPr>
                <w:sz w:val="24"/>
              </w:rPr>
            </w:pPr>
            <w:r>
              <w:rPr>
                <w:sz w:val="24"/>
              </w:rPr>
            </w:r>
            <w:r/>
          </w:p>
        </w:tc>
        <w:tc>
          <w:tcPr>
            <w:tcW w:w="2384" w:type="dxa"/>
            <w:vAlign w:val="center"/>
            <w:textDirection w:val="lrTb"/>
            <w:noWrap w:val="false"/>
          </w:tcPr>
          <w:p>
            <w:pPr>
              <w:pStyle w:val="995"/>
              <w:jc w:val="center"/>
              <w:rPr>
                <w:sz w:val="24"/>
              </w:rPr>
            </w:pPr>
            <w:r>
              <w:rPr>
                <w:sz w:val="24"/>
              </w:rPr>
            </w:r>
            <w:r/>
          </w:p>
        </w:tc>
        <w:tc>
          <w:tcPr>
            <w:tcW w:w="2126" w:type="dxa"/>
            <w:vAlign w:val="center"/>
            <w:textDirection w:val="lrTb"/>
            <w:noWrap w:val="false"/>
          </w:tcPr>
          <w:p>
            <w:pPr>
              <w:pStyle w:val="995"/>
              <w:jc w:val="center"/>
              <w:rPr>
                <w:sz w:val="24"/>
              </w:rPr>
            </w:pPr>
            <w:r>
              <w:rPr>
                <w:sz w:val="24"/>
              </w:rPr>
            </w:r>
            <w:r/>
          </w:p>
        </w:tc>
        <w:tc>
          <w:tcPr>
            <w:tcW w:w="1875" w:type="dxa"/>
            <w:vAlign w:val="center"/>
            <w:textDirection w:val="lrTb"/>
            <w:noWrap w:val="false"/>
          </w:tcPr>
          <w:p>
            <w:pPr>
              <w:pStyle w:val="995"/>
              <w:jc w:val="center"/>
              <w:rPr>
                <w:sz w:val="24"/>
              </w:rPr>
            </w:pPr>
            <w:r>
              <w:rPr>
                <w:sz w:val="24"/>
              </w:rPr>
            </w:r>
            <w:r/>
          </w:p>
        </w:tc>
        <w:tc>
          <w:tcPr>
            <w:tcW w:w="1009" w:type="dxa"/>
            <w:vAlign w:val="center"/>
            <w:textDirection w:val="lrTb"/>
            <w:noWrap w:val="false"/>
          </w:tcPr>
          <w:p>
            <w:pPr>
              <w:pStyle w:val="995"/>
              <w:jc w:val="center"/>
              <w:rPr>
                <w:sz w:val="24"/>
              </w:rPr>
            </w:pPr>
            <w:r>
              <w:rPr>
                <w:sz w:val="24"/>
              </w:rPr>
            </w:r>
            <w:r/>
          </w:p>
        </w:tc>
      </w:tr>
      <w:tr>
        <w:trPr>
          <w:trHeight w:val="930"/>
        </w:trPr>
        <w:tc>
          <w:tcPr>
            <w:tcW w:w="775" w:type="dxa"/>
            <w:vAlign w:val="center"/>
            <w:textDirection w:val="lrTb"/>
            <w:noWrap w:val="false"/>
          </w:tcPr>
          <w:p>
            <w:pPr>
              <w:pStyle w:val="995"/>
              <w:jc w:val="center"/>
              <w:rPr>
                <w:sz w:val="24"/>
              </w:rPr>
            </w:pPr>
            <w:r>
              <w:rPr>
                <w:sz w:val="24"/>
              </w:rPr>
            </w:r>
            <w:r/>
          </w:p>
        </w:tc>
        <w:tc>
          <w:tcPr>
            <w:tcW w:w="1482" w:type="dxa"/>
            <w:vAlign w:val="center"/>
            <w:textDirection w:val="lrTb"/>
            <w:noWrap w:val="false"/>
          </w:tcPr>
          <w:p>
            <w:pPr>
              <w:pStyle w:val="995"/>
              <w:jc w:val="center"/>
              <w:rPr>
                <w:sz w:val="24"/>
              </w:rPr>
            </w:pPr>
            <w:r>
              <w:rPr>
                <w:sz w:val="24"/>
              </w:rPr>
            </w:r>
            <w:r/>
          </w:p>
        </w:tc>
        <w:tc>
          <w:tcPr>
            <w:tcW w:w="2384" w:type="dxa"/>
            <w:vAlign w:val="center"/>
            <w:textDirection w:val="lrTb"/>
            <w:noWrap w:val="false"/>
          </w:tcPr>
          <w:p>
            <w:pPr>
              <w:pStyle w:val="995"/>
              <w:jc w:val="center"/>
              <w:rPr>
                <w:sz w:val="24"/>
              </w:rPr>
            </w:pPr>
            <w:r>
              <w:rPr>
                <w:sz w:val="24"/>
              </w:rPr>
            </w:r>
            <w:r/>
          </w:p>
        </w:tc>
        <w:tc>
          <w:tcPr>
            <w:tcW w:w="2126" w:type="dxa"/>
            <w:vAlign w:val="center"/>
            <w:textDirection w:val="lrTb"/>
            <w:noWrap w:val="false"/>
          </w:tcPr>
          <w:p>
            <w:pPr>
              <w:pStyle w:val="995"/>
              <w:jc w:val="center"/>
              <w:rPr>
                <w:sz w:val="24"/>
              </w:rPr>
            </w:pPr>
            <w:r>
              <w:rPr>
                <w:sz w:val="24"/>
              </w:rPr>
            </w:r>
            <w:r/>
          </w:p>
        </w:tc>
        <w:tc>
          <w:tcPr>
            <w:tcW w:w="1875" w:type="dxa"/>
            <w:vAlign w:val="center"/>
            <w:textDirection w:val="lrTb"/>
            <w:noWrap w:val="false"/>
          </w:tcPr>
          <w:p>
            <w:pPr>
              <w:pStyle w:val="995"/>
              <w:jc w:val="center"/>
              <w:rPr>
                <w:sz w:val="24"/>
              </w:rPr>
            </w:pPr>
            <w:r>
              <w:rPr>
                <w:sz w:val="24"/>
              </w:rPr>
            </w:r>
            <w:r/>
          </w:p>
        </w:tc>
        <w:tc>
          <w:tcPr>
            <w:tcW w:w="1009" w:type="dxa"/>
            <w:vAlign w:val="center"/>
            <w:textDirection w:val="lrTb"/>
            <w:noWrap w:val="false"/>
          </w:tcPr>
          <w:p>
            <w:pPr>
              <w:pStyle w:val="995"/>
              <w:jc w:val="center"/>
              <w:rPr>
                <w:sz w:val="24"/>
              </w:rPr>
            </w:pPr>
            <w:r>
              <w:rPr>
                <w:sz w:val="24"/>
              </w:rPr>
            </w:r>
            <w:r/>
          </w:p>
        </w:tc>
      </w:tr>
      <w:tr>
        <w:trPr>
          <w:trHeight w:val="930"/>
        </w:trPr>
        <w:tc>
          <w:tcPr>
            <w:tcW w:w="775" w:type="dxa"/>
            <w:vAlign w:val="center"/>
            <w:textDirection w:val="lrTb"/>
            <w:noWrap w:val="false"/>
          </w:tcPr>
          <w:p>
            <w:pPr>
              <w:pStyle w:val="995"/>
              <w:jc w:val="center"/>
              <w:rPr>
                <w:sz w:val="24"/>
              </w:rPr>
            </w:pPr>
            <w:r>
              <w:rPr>
                <w:sz w:val="24"/>
              </w:rPr>
            </w:r>
            <w:r/>
          </w:p>
        </w:tc>
        <w:tc>
          <w:tcPr>
            <w:tcW w:w="1482" w:type="dxa"/>
            <w:vAlign w:val="center"/>
            <w:textDirection w:val="lrTb"/>
            <w:noWrap w:val="false"/>
          </w:tcPr>
          <w:p>
            <w:pPr>
              <w:pStyle w:val="995"/>
              <w:jc w:val="center"/>
              <w:rPr>
                <w:sz w:val="24"/>
              </w:rPr>
            </w:pPr>
            <w:r>
              <w:rPr>
                <w:sz w:val="24"/>
              </w:rPr>
            </w:r>
            <w:r/>
          </w:p>
        </w:tc>
        <w:tc>
          <w:tcPr>
            <w:tcW w:w="2384" w:type="dxa"/>
            <w:vAlign w:val="center"/>
            <w:textDirection w:val="lrTb"/>
            <w:noWrap w:val="false"/>
          </w:tcPr>
          <w:p>
            <w:pPr>
              <w:pStyle w:val="995"/>
              <w:jc w:val="center"/>
              <w:rPr>
                <w:sz w:val="24"/>
              </w:rPr>
            </w:pPr>
            <w:r>
              <w:rPr>
                <w:sz w:val="24"/>
              </w:rPr>
            </w:r>
            <w:r/>
          </w:p>
        </w:tc>
        <w:tc>
          <w:tcPr>
            <w:tcW w:w="2126" w:type="dxa"/>
            <w:vAlign w:val="center"/>
            <w:textDirection w:val="lrTb"/>
            <w:noWrap w:val="false"/>
          </w:tcPr>
          <w:p>
            <w:pPr>
              <w:pStyle w:val="995"/>
              <w:jc w:val="center"/>
              <w:rPr>
                <w:sz w:val="24"/>
              </w:rPr>
            </w:pPr>
            <w:r>
              <w:rPr>
                <w:sz w:val="24"/>
              </w:rPr>
            </w:r>
            <w:r/>
          </w:p>
        </w:tc>
        <w:tc>
          <w:tcPr>
            <w:tcW w:w="1875" w:type="dxa"/>
            <w:vAlign w:val="center"/>
            <w:textDirection w:val="lrTb"/>
            <w:noWrap w:val="false"/>
          </w:tcPr>
          <w:p>
            <w:pPr>
              <w:pStyle w:val="995"/>
              <w:jc w:val="center"/>
              <w:rPr>
                <w:sz w:val="24"/>
              </w:rPr>
            </w:pPr>
            <w:r>
              <w:rPr>
                <w:sz w:val="24"/>
              </w:rPr>
            </w:r>
            <w:r/>
          </w:p>
        </w:tc>
        <w:tc>
          <w:tcPr>
            <w:tcW w:w="1009" w:type="dxa"/>
            <w:vAlign w:val="center"/>
            <w:textDirection w:val="lrTb"/>
            <w:noWrap w:val="false"/>
          </w:tcPr>
          <w:p>
            <w:pPr>
              <w:pStyle w:val="995"/>
              <w:jc w:val="center"/>
              <w:rPr>
                <w:sz w:val="24"/>
              </w:rPr>
            </w:pPr>
            <w:r>
              <w:rPr>
                <w:sz w:val="24"/>
              </w:rPr>
            </w:r>
            <w:r/>
          </w:p>
        </w:tc>
      </w:tr>
      <w:tr>
        <w:trPr>
          <w:trHeight w:val="930"/>
        </w:trPr>
        <w:tc>
          <w:tcPr>
            <w:tcW w:w="775" w:type="dxa"/>
            <w:vAlign w:val="center"/>
            <w:textDirection w:val="lrTb"/>
            <w:noWrap w:val="false"/>
          </w:tcPr>
          <w:p>
            <w:pPr>
              <w:pStyle w:val="995"/>
              <w:jc w:val="center"/>
              <w:rPr>
                <w:sz w:val="24"/>
              </w:rPr>
            </w:pPr>
            <w:r>
              <w:rPr>
                <w:sz w:val="24"/>
              </w:rPr>
              <w:t xml:space="preserve">……</w:t>
            </w:r>
            <w:r>
              <w:rPr>
                <w:sz w:val="24"/>
              </w:rPr>
            </w:r>
            <w:r/>
          </w:p>
        </w:tc>
        <w:tc>
          <w:tcPr>
            <w:tcW w:w="1482" w:type="dxa"/>
            <w:vAlign w:val="center"/>
            <w:textDirection w:val="lrTb"/>
            <w:noWrap w:val="false"/>
          </w:tcPr>
          <w:p>
            <w:pPr>
              <w:pStyle w:val="995"/>
              <w:jc w:val="center"/>
              <w:rPr>
                <w:sz w:val="24"/>
              </w:rPr>
            </w:pPr>
            <w:r>
              <w:rPr>
                <w:sz w:val="24"/>
              </w:rPr>
            </w:r>
            <w:r/>
          </w:p>
        </w:tc>
        <w:tc>
          <w:tcPr>
            <w:tcW w:w="2384" w:type="dxa"/>
            <w:vAlign w:val="center"/>
            <w:textDirection w:val="lrTb"/>
            <w:noWrap w:val="false"/>
          </w:tcPr>
          <w:p>
            <w:pPr>
              <w:pStyle w:val="995"/>
              <w:jc w:val="center"/>
              <w:rPr>
                <w:sz w:val="24"/>
              </w:rPr>
            </w:pPr>
            <w:r>
              <w:rPr>
                <w:sz w:val="24"/>
              </w:rPr>
            </w:r>
            <w:r/>
          </w:p>
        </w:tc>
        <w:tc>
          <w:tcPr>
            <w:tcW w:w="2126" w:type="dxa"/>
            <w:vAlign w:val="center"/>
            <w:textDirection w:val="lrTb"/>
            <w:noWrap w:val="false"/>
          </w:tcPr>
          <w:p>
            <w:pPr>
              <w:pStyle w:val="995"/>
              <w:jc w:val="center"/>
              <w:rPr>
                <w:sz w:val="24"/>
              </w:rPr>
            </w:pPr>
            <w:r>
              <w:rPr>
                <w:sz w:val="24"/>
              </w:rPr>
            </w:r>
            <w:r/>
          </w:p>
        </w:tc>
        <w:tc>
          <w:tcPr>
            <w:tcW w:w="1875" w:type="dxa"/>
            <w:vAlign w:val="center"/>
            <w:textDirection w:val="lrTb"/>
            <w:noWrap w:val="false"/>
          </w:tcPr>
          <w:p>
            <w:pPr>
              <w:pStyle w:val="995"/>
              <w:jc w:val="center"/>
              <w:rPr>
                <w:sz w:val="24"/>
              </w:rPr>
            </w:pPr>
            <w:r>
              <w:rPr>
                <w:sz w:val="24"/>
              </w:rPr>
            </w:r>
            <w:r/>
          </w:p>
        </w:tc>
        <w:tc>
          <w:tcPr>
            <w:tcW w:w="1009" w:type="dxa"/>
            <w:vAlign w:val="center"/>
            <w:textDirection w:val="lrTb"/>
            <w:noWrap w:val="false"/>
          </w:tcPr>
          <w:p>
            <w:pPr>
              <w:pStyle w:val="995"/>
              <w:jc w:val="center"/>
              <w:rPr>
                <w:sz w:val="24"/>
              </w:rPr>
            </w:pPr>
            <w:r>
              <w:rPr>
                <w:sz w:val="24"/>
              </w:rPr>
            </w:r>
            <w:r/>
          </w:p>
        </w:tc>
      </w:tr>
    </w:tbl>
    <w:p>
      <w:pPr>
        <w:pStyle w:val="995"/>
        <w:ind w:firstLine="360"/>
        <w:jc w:val="left"/>
        <w:spacing w:line="360" w:lineRule="auto"/>
        <w:tabs>
          <w:tab w:val="left" w:pos="1800" w:leader="none"/>
          <w:tab w:val="left" w:pos="5580" w:leader="none"/>
        </w:tabs>
        <w:rPr>
          <w:sz w:val="24"/>
          <w:u w:val="single"/>
        </w:rPr>
      </w:pPr>
      <w:r>
        <w:rPr>
          <w:sz w:val="24"/>
          <w:u w:val="single"/>
        </w:rPr>
      </w:r>
      <w:r/>
    </w:p>
    <w:p>
      <w:pPr>
        <w:pStyle w:val="995"/>
        <w:jc w:val="left"/>
        <w:tabs>
          <w:tab w:val="left" w:pos="1800" w:leader="none"/>
          <w:tab w:val="left" w:pos="5580" w:leader="none"/>
        </w:tabs>
        <w:rPr>
          <w:sz w:val="24"/>
        </w:rPr>
      </w:pPr>
      <w:r>
        <w:rPr>
          <w:sz w:val="24"/>
        </w:rPr>
        <w:t xml:space="preserve">注：</w:t>
      </w:r>
      <w:r>
        <w:rPr>
          <w:sz w:val="24"/>
        </w:rPr>
      </w:r>
      <w:r/>
    </w:p>
    <w:p>
      <w:pPr>
        <w:pStyle w:val="995"/>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995"/>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填写“无偏离”、“正偏离”或“负偏离”。</w:t>
      </w:r>
      <w:r>
        <w:rPr>
          <w:sz w:val="24"/>
        </w:rPr>
      </w:r>
      <w:r/>
    </w:p>
    <w:p>
      <w:pPr>
        <w:pStyle w:val="995"/>
        <w:jc w:val="left"/>
        <w:tabs>
          <w:tab w:val="left" w:pos="1800" w:leader="none"/>
          <w:tab w:val="left" w:pos="5580" w:leader="none"/>
        </w:tabs>
        <w:rPr>
          <w:sz w:val="24"/>
        </w:rPr>
      </w:pPr>
      <w:r>
        <w:rPr>
          <w:sz w:val="24"/>
        </w:rPr>
      </w:r>
      <w:r/>
    </w:p>
    <w:p>
      <w:pPr>
        <w:pStyle w:val="995"/>
        <w:jc w:val="left"/>
        <w:tabs>
          <w:tab w:val="left" w:pos="1800" w:leader="none"/>
          <w:tab w:val="left" w:pos="5580" w:leader="none"/>
        </w:tabs>
        <w:rPr>
          <w:sz w:val="24"/>
        </w:rPr>
      </w:pPr>
      <w:r>
        <w:rPr>
          <w:sz w:val="24"/>
        </w:rPr>
      </w:r>
      <w:r/>
    </w:p>
    <w:p>
      <w:pPr>
        <w:pStyle w:val="995"/>
        <w:rPr>
          <w:sz w:val="24"/>
          <w:szCs w:val="20"/>
        </w:rPr>
      </w:pPr>
      <w:r>
        <w:rPr>
          <w:sz w:val="24"/>
          <w:szCs w:val="20"/>
        </w:rPr>
      </w:r>
      <w:r/>
    </w:p>
    <w:p>
      <w:pPr>
        <w:pStyle w:val="995"/>
        <w:spacing w:before="25" w:after="25" w:line="360" w:lineRule="auto"/>
        <w:rPr>
          <w:sz w:val="24"/>
          <w:lang w:val="zh-CN"/>
        </w:rPr>
      </w:pPr>
      <w:r>
        <w:rPr>
          <w:sz w:val="24"/>
          <w:lang w:val="zh-CN"/>
        </w:rPr>
      </w:r>
      <w:r/>
    </w:p>
    <w:p>
      <w:pPr>
        <w:pStyle w:val="995"/>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rFonts w:hint="eastAsia"/>
          <w:sz w:val="24"/>
          <w:u w:val="single"/>
        </w:rPr>
        <w:t xml:space="preserve"> </w:t>
      </w:r>
      <w:r>
        <w:rPr>
          <w:sz w:val="24"/>
          <w:lang w:val="zh-CN"/>
        </w:rPr>
      </w:r>
      <w:r/>
    </w:p>
    <w:p>
      <w:pPr>
        <w:pStyle w:val="995"/>
        <w:spacing w:before="25" w:after="25" w:line="360" w:lineRule="auto"/>
        <w:rPr>
          <w:sz w:val="24"/>
          <w:lang w:val="zh-CN"/>
        </w:rPr>
      </w:pPr>
      <w:r>
        <w:rPr>
          <w:sz w:val="24"/>
          <w:szCs w:val="20"/>
        </w:rPr>
        <w:t xml:space="preserve">日期：_____年_____月_____日</w:t>
      </w:r>
      <w:r>
        <w:rPr>
          <w:sz w:val="24"/>
          <w:lang w:val="zh-CN"/>
        </w:rPr>
      </w:r>
      <w:r/>
    </w:p>
    <w:p>
      <w:pPr>
        <w:pStyle w:val="995"/>
        <w:spacing w:line="360" w:lineRule="auto"/>
        <w:rPr>
          <w:color w:val="000000"/>
          <w:sz w:val="24"/>
          <w:szCs w:val="20"/>
          <w:highlight w:val="none"/>
        </w:rPr>
        <w:outlineLvl w:val="2"/>
      </w:pPr>
      <w:r>
        <w:rPr>
          <w:sz w:val="24"/>
          <w:szCs w:val="20"/>
        </w:rPr>
        <w:br w:type="page" w:clear="all"/>
      </w:r>
      <w:r>
        <w:rPr>
          <w:rFonts w:hint="eastAsia" w:eastAsia="宋体"/>
          <w:color w:val="000000"/>
          <w:sz w:val="24"/>
          <w:szCs w:val="20"/>
          <w:highlight w:val="none"/>
          <w:lang w:val="en-US" w:eastAsia="zh-CN"/>
        </w:rPr>
        <w:t xml:space="preserve">8</w:t>
      </w:r>
      <w:r>
        <w:rPr>
          <w:rFonts w:hint="eastAsia" w:eastAsia="宋体"/>
          <w:color w:val="000000"/>
          <w:sz w:val="24"/>
          <w:szCs w:val="20"/>
          <w:highlight w:val="none"/>
        </w:rPr>
        <w:t xml:space="preserve">  </w:t>
      </w:r>
      <w:r>
        <w:rPr>
          <w:rFonts w:hint="eastAsia"/>
          <w:color w:val="000000"/>
          <w:sz w:val="24"/>
          <w:szCs w:val="20"/>
          <w:highlight w:val="none"/>
        </w:rPr>
        <w:t xml:space="preserve">关于符合本国产品标准的声明函</w:t>
      </w:r>
      <w:r>
        <w:rPr>
          <w:color w:val="000000"/>
          <w:sz w:val="24"/>
          <w:szCs w:val="20"/>
          <w:highlight w:val="none"/>
        </w:rPr>
      </w:r>
      <w:r/>
    </w:p>
    <w:p>
      <w:pPr>
        <w:pStyle w:val="995"/>
        <w:spacing w:line="360" w:lineRule="auto"/>
        <w:tabs>
          <w:tab w:val="left" w:pos="5580" w:leader="none"/>
        </w:tabs>
        <w:rPr>
          <w:rFonts w:hint="eastAsia"/>
          <w:sz w:val="24"/>
          <w:highlight w:val="none"/>
          <w:lang w:eastAsia="zh-CN"/>
        </w:rPr>
      </w:pPr>
      <w:r>
        <w:rPr>
          <w:rFonts w:hint="eastAsia"/>
          <w:sz w:val="24"/>
          <w:highlight w:val="none"/>
          <w:lang w:val="en-US" w:eastAsia="zh-CN"/>
        </w:rPr>
        <w:t xml:space="preserve">说明</w:t>
      </w:r>
      <w:r>
        <w:rPr>
          <w:rFonts w:hint="eastAsia"/>
          <w:sz w:val="24"/>
          <w:highlight w:val="none"/>
          <w:lang w:eastAsia="zh-CN"/>
        </w:rPr>
        <w:t xml:space="preserve">：</w:t>
      </w:r>
      <w:r>
        <w:rPr>
          <w:rFonts w:hint="eastAsia"/>
          <w:sz w:val="24"/>
          <w:highlight w:val="none"/>
          <w:lang w:eastAsia="zh-CN"/>
        </w:rPr>
      </w:r>
      <w:r/>
    </w:p>
    <w:p>
      <w:pPr>
        <w:pStyle w:val="995"/>
        <w:spacing w:line="360" w:lineRule="auto"/>
        <w:tabs>
          <w:tab w:val="left" w:pos="5580" w:leader="none"/>
        </w:tabs>
        <w:rPr>
          <w:rFonts w:hint="eastAsia"/>
          <w:sz w:val="24"/>
          <w:highlight w:val="none"/>
          <w:lang w:eastAsia="zh-CN"/>
        </w:rPr>
      </w:pPr>
      <w:r>
        <w:rPr>
          <w:rFonts w:hint="eastAsia"/>
          <w:sz w:val="24"/>
          <w:highlight w:val="none"/>
          <w:lang w:eastAsia="zh-CN"/>
        </w:rPr>
        <w:t xml:space="preserve">1.本项目对采购本国产品给予政策支持，具体内容</w:t>
      </w:r>
      <w:r>
        <w:rPr>
          <w:rFonts w:hint="eastAsia"/>
          <w:sz w:val="24"/>
          <w:highlight w:val="none"/>
          <w:lang w:val="en-US" w:eastAsia="zh-CN"/>
        </w:rPr>
        <w:t xml:space="preserve">如下</w:t>
      </w:r>
      <w:r>
        <w:rPr>
          <w:rFonts w:hint="eastAsia"/>
          <w:sz w:val="24"/>
          <w:highlight w:val="none"/>
          <w:lang w:eastAsia="zh-CN"/>
        </w:rPr>
        <w:t xml:space="preserve">：</w:t>
      </w:r>
      <w:r>
        <w:rPr>
          <w:rFonts w:hint="eastAsia"/>
          <w:sz w:val="24"/>
          <w:highlight w:val="none"/>
          <w:lang w:eastAsia="zh-CN"/>
        </w:rPr>
      </w:r>
      <w:r/>
    </w:p>
    <w:p>
      <w:pPr>
        <w:pStyle w:val="995"/>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w:t>
      </w:r>
      <w:r>
        <w:rPr>
          <w:rFonts w:hint="eastAsia"/>
          <w:sz w:val="24"/>
          <w:highlight w:val="none"/>
        </w:rPr>
        <w:t xml:space="preserve">本项目政府采购活动中既有本国产品又有非本国产品参与竞争的，依法对本国产品给予价格评审优惠，对本国产品的报价给予</w:t>
      </w:r>
      <w:r>
        <w:rPr>
          <w:rFonts w:hint="eastAsia"/>
          <w:sz w:val="24"/>
          <w:highlight w:val="none"/>
          <w:u w:val="single"/>
        </w:rPr>
        <w:t xml:space="preserve">20%</w:t>
      </w:r>
      <w:r>
        <w:rPr>
          <w:rFonts w:hint="eastAsia"/>
          <w:sz w:val="24"/>
          <w:highlight w:val="none"/>
        </w:rPr>
        <w:t xml:space="preserve">的价格扣除，用扣除后的价格参与评审。</w:t>
      </w:r>
      <w:r>
        <w:rPr>
          <w:rFonts w:hint="eastAsia"/>
          <w:sz w:val="24"/>
          <w:highlight w:val="none"/>
        </w:rPr>
      </w:r>
      <w:r/>
    </w:p>
    <w:p>
      <w:pPr>
        <w:pStyle w:val="995"/>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highlight w:val="none"/>
          <w:u w:val="single"/>
        </w:rPr>
        <w:t xml:space="preserve">80%</w:t>
      </w:r>
      <w:r>
        <w:rPr>
          <w:rFonts w:hint="eastAsia"/>
          <w:sz w:val="24"/>
          <w:highlight w:val="none"/>
        </w:rPr>
        <w:t xml:space="preserve">以上时（供应商需在“第</w:t>
      </w:r>
      <w:r>
        <w:rPr>
          <w:rFonts w:hint="eastAsia"/>
          <w:sz w:val="24"/>
          <w:highlight w:val="none"/>
          <w:lang w:val="en-US" w:eastAsia="zh-CN"/>
        </w:rPr>
        <w:t xml:space="preserve">七</w:t>
      </w:r>
      <w:r>
        <w:rPr>
          <w:rFonts w:hint="eastAsia"/>
          <w:sz w:val="24"/>
          <w:highlight w:val="none"/>
        </w:rPr>
        <w:t xml:space="preserve">章 投标文件格式”的“投标分项报价表”中填写比例数值），依法对该供应商提供的全部产品给予价格评审优惠，即对该供应商提供的全部产品的总报价给予</w:t>
      </w:r>
      <w:r>
        <w:rPr>
          <w:rFonts w:hint="eastAsia"/>
          <w:sz w:val="24"/>
          <w:highlight w:val="none"/>
          <w:u w:val="single"/>
        </w:rPr>
        <w:t xml:space="preserve">20%</w:t>
      </w:r>
      <w:r>
        <w:rPr>
          <w:rFonts w:hint="eastAsia"/>
          <w:sz w:val="24"/>
          <w:highlight w:val="none"/>
        </w:rPr>
        <w:t xml:space="preserve">的价格扣除，用扣除后的价格参与评审。供应商未填写比例数值，或比例数值未达到</w:t>
      </w:r>
      <w:r>
        <w:rPr>
          <w:rFonts w:hint="eastAsia"/>
          <w:sz w:val="24"/>
          <w:highlight w:val="none"/>
          <w:u w:val="single"/>
        </w:rPr>
        <w:t xml:space="preserve">80%</w:t>
      </w:r>
      <w:r>
        <w:rPr>
          <w:rFonts w:hint="eastAsia"/>
          <w:sz w:val="24"/>
          <w:highlight w:val="none"/>
        </w:rPr>
        <w:t xml:space="preserve">的，将不享受本国产品价格评审优惠。</w:t>
      </w:r>
      <w:r>
        <w:rPr>
          <w:rFonts w:hint="eastAsia"/>
          <w:sz w:val="24"/>
          <w:highlight w:val="none"/>
        </w:rPr>
      </w:r>
      <w:r/>
    </w:p>
    <w:p>
      <w:pPr>
        <w:pStyle w:val="995"/>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供应商需按照招标文件的要求提供《关于符合本国产品标准的声明函》（以下简称《声明函》），如不提供将不享受本国产品价格评审优惠。</w:t>
      </w:r>
      <w:r>
        <w:rPr>
          <w:rFonts w:hint="eastAsia"/>
          <w:sz w:val="24"/>
          <w:highlight w:val="none"/>
        </w:rPr>
      </w:r>
      <w:r/>
    </w:p>
    <w:p>
      <w:pPr>
        <w:pStyle w:val="995"/>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sz w:val="24"/>
          <w:highlight w:val="none"/>
        </w:rPr>
      </w:r>
      <w:r/>
    </w:p>
    <w:p>
      <w:pPr>
        <w:pStyle w:val="995"/>
        <w:spacing w:line="360" w:lineRule="auto"/>
        <w:tabs>
          <w:tab w:val="left" w:pos="5580" w:leader="none"/>
        </w:tabs>
        <w:rPr>
          <w:rFonts w:hint="eastAsia" w:eastAsia="宋体"/>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5</w:t>
      </w:r>
      <w:r>
        <w:rPr>
          <w:rFonts w:hint="eastAsia"/>
          <w:sz w:val="24"/>
          <w:highlight w:val="none"/>
          <w:lang w:eastAsia="zh-CN"/>
        </w:rPr>
        <w:t xml:space="preserve">）</w:t>
      </w:r>
      <w:r>
        <w:rPr>
          <w:rFonts w:hint="eastAsia"/>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z w:val="24"/>
          <w:highlight w:val="none"/>
          <w:lang w:eastAsia="zh-CN"/>
        </w:rPr>
        <w:t xml:space="preserve">。</w:t>
      </w:r>
      <w:r>
        <w:rPr>
          <w:rFonts w:hint="eastAsia" w:eastAsia="宋体"/>
          <w:sz w:val="24"/>
          <w:highlight w:val="none"/>
          <w:lang w:eastAsia="zh-CN"/>
        </w:rPr>
      </w:r>
      <w:r/>
    </w:p>
    <w:p>
      <w:pPr>
        <w:pStyle w:val="995"/>
        <w:spacing w:line="360" w:lineRule="auto"/>
        <w:tabs>
          <w:tab w:val="left" w:pos="5580" w:leader="none"/>
        </w:tabs>
        <w:rPr>
          <w:rFonts w:hint="eastAsia"/>
          <w:sz w:val="24"/>
          <w:highlight w:val="none"/>
          <w:lang w:eastAsia="zh-CN"/>
        </w:rPr>
      </w:pPr>
      <w:r>
        <w:rPr>
          <w:rFonts w:hint="eastAsia"/>
          <w:sz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sz w:val="24"/>
          <w:highlight w:val="none"/>
          <w:lang w:eastAsia="zh-CN"/>
        </w:rPr>
      </w:r>
      <w:r/>
    </w:p>
    <w:p>
      <w:pPr>
        <w:pStyle w:val="995"/>
        <w:spacing w:line="360" w:lineRule="auto"/>
        <w:tabs>
          <w:tab w:val="left" w:pos="5580" w:leader="none"/>
        </w:tabs>
        <w:rPr>
          <w:rFonts w:hint="eastAsia"/>
          <w:sz w:val="24"/>
          <w:highlight w:val="none"/>
          <w:lang w:eastAsia="zh-CN"/>
        </w:rPr>
      </w:pPr>
      <w:r>
        <w:rPr>
          <w:rFonts w:hint="eastAsia"/>
          <w:sz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sz w:val="24"/>
          <w:highlight w:val="none"/>
          <w:lang w:eastAsia="zh-CN"/>
        </w:rPr>
      </w:r>
      <w:r/>
    </w:p>
    <w:p>
      <w:pPr>
        <w:pStyle w:val="995"/>
        <w:jc w:val="center"/>
        <w:spacing w:before="240" w:beforeAutospacing="0" w:after="240" w:afterAutospacing="0" w:line="360" w:lineRule="auto"/>
        <w:shd w:val="clear" w:color="auto" w:fill="ffffff"/>
        <w:rPr>
          <w:rFonts w:hint="eastAsia" w:eastAsia="宋体"/>
          <w:b/>
          <w:bCs/>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eastAsia="宋体"/>
          <w:b/>
          <w:bCs/>
          <w:color w:val="000000"/>
          <w:sz w:val="36"/>
          <w:szCs w:val="36"/>
          <w:highlight w:val="none"/>
        </w:rPr>
      </w:r>
      <w:r/>
    </w:p>
    <w:p>
      <w:pPr>
        <w:pStyle w:val="995"/>
        <w:jc w:val="center"/>
        <w:spacing w:before="240" w:beforeAutospacing="0" w:after="240" w:afterAutospacing="0" w:line="360" w:lineRule="auto"/>
        <w:shd w:val="clear" w:color="auto" w:fill="ffffff"/>
        <w:rPr>
          <w:rFonts w:hint="eastAsia" w:eastAsia="宋体"/>
          <w:b/>
          <w:bCs/>
          <w:color w:val="000000"/>
          <w:sz w:val="36"/>
          <w:szCs w:val="36"/>
          <w:highlight w:val="none"/>
        </w:rPr>
      </w:pPr>
      <w:r>
        <w:rPr>
          <w:rFonts w:hint="eastAsia" w:eastAsia="宋体"/>
          <w:b/>
          <w:bCs/>
          <w:color w:val="000000"/>
          <w:sz w:val="36"/>
          <w:szCs w:val="36"/>
          <w:highlight w:val="none"/>
        </w:rPr>
        <w:t xml:space="preserve">关于符合本国产品标准的声明函</w:t>
      </w:r>
      <w:r>
        <w:rPr>
          <w:rFonts w:hint="eastAsia" w:eastAsia="宋体"/>
          <w:b/>
          <w:bCs/>
          <w:color w:val="000000"/>
          <w:sz w:val="36"/>
          <w:szCs w:val="36"/>
          <w:highlight w:val="none"/>
        </w:rPr>
      </w:r>
      <w:r/>
    </w:p>
    <w:p>
      <w:pPr>
        <w:pStyle w:val="1063"/>
        <w:ind w:firstLine="480"/>
        <w:spacing w:before="30" w:beforeAutospacing="0" w:after="30" w:afterAutospacing="0"/>
        <w:shd w:val="clear" w:color="auto" w:fill="ffffff"/>
        <w:rPr>
          <w:rFonts w:hint="eastAsia"/>
          <w:color w:val="333333"/>
        </w:rPr>
      </w:pPr>
      <w:r>
        <w:rPr>
          <w:rFonts w:hint="eastAsia"/>
          <w:color w:val="333333"/>
        </w:rPr>
      </w:r>
      <w:r/>
    </w:p>
    <w:p>
      <w:pPr>
        <w:pStyle w:val="1063"/>
        <w:ind w:left="0" w:righ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3"/>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63"/>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r>
      <w:r/>
    </w:p>
    <w:p>
      <w:pPr>
        <w:pStyle w:val="1063"/>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1063"/>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r>
      <w:r/>
    </w:p>
    <w:p>
      <w:pPr>
        <w:pStyle w:val="1063"/>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63"/>
        <w:keepLines w:val="0"/>
        <w:keepNext w:val="0"/>
        <w:spacing w:before="30" w:beforeAutospacing="0" w:after="30" w:afterAutospacing="0" w:line="0" w:lineRule="atLeast"/>
        <w:shd w:val="clear" w:color="auto" w:fill="ffffff"/>
        <w:widowControl/>
        <w:rPr>
          <w:rFonts w:hint="eastAsia"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rPr>
          <w:rFonts w:hint="eastAsia"/>
          <w:shd w:val="clear" w:color="auto" w:fill="ffffff"/>
          <w:lang w:val="en-US" w:eastAsia="zh-CN"/>
        </w:rPr>
        <w:t xml:space="preserve"> </w:t>
      </w:r>
      <w:r>
        <w:rPr>
          <w:rFonts w:hint="eastAsia" w:eastAsia="宋体"/>
          <w:lang w:val="en-US" w:eastAsia="zh-CN"/>
        </w:rPr>
      </w:r>
      <w:r/>
    </w:p>
    <w:p>
      <w:pPr>
        <w:pStyle w:val="1063"/>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     投标人</w:t>
      </w:r>
      <w:r>
        <w:rPr>
          <w:rFonts w:hint="eastAsia" w:ascii="宋体" w:hAnsi="宋体" w:eastAsia="宋体" w:cs="宋体"/>
          <w:color w:val="000000"/>
          <w:sz w:val="24"/>
          <w:szCs w:val="24"/>
          <w:shd w:val="clear" w:color="auto" w:fill="ffffff"/>
        </w:rPr>
        <w:t xml:space="preserve">名称（加盖公章）：     </w:t>
      </w:r>
      <w:r/>
    </w:p>
    <w:p>
      <w:pPr>
        <w:pStyle w:val="1063"/>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日期：   年  月  日</w:t>
      </w:r>
      <w:r/>
    </w:p>
    <w:p>
      <w:pPr>
        <w:pStyle w:val="1063"/>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63"/>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63"/>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63"/>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63"/>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63"/>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63"/>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63"/>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95"/>
        <w:spacing w:line="360" w:lineRule="auto"/>
        <w:rPr>
          <w:sz w:val="24"/>
          <w:szCs w:val="20"/>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sz w:val="24"/>
          <w:szCs w:val="20"/>
        </w:rPr>
      </w:r>
      <w:r/>
    </w:p>
    <w:p>
      <w:pPr>
        <w:pStyle w:val="995"/>
        <w:contextualSpacing w:val="0"/>
        <w:jc w:val="both"/>
        <w:spacing w:line="360" w:lineRule="auto"/>
        <w:rPr>
          <w:rFonts w:hint="eastAsia"/>
          <w:sz w:val="24"/>
          <w:szCs w:val="20"/>
        </w:rPr>
        <w:sectPr>
          <w:footnotePr/>
          <w:endnotePr/>
          <w:type w:val="nextPage"/>
          <w:pgSz w:w="11907" w:h="16840" w:orient="portrait"/>
          <w:pgMar w:top="1418" w:right="1134" w:bottom="1418" w:left="1701" w:header="851" w:footer="851" w:gutter="0"/>
          <w:cols w:num="1" w:sep="0" w:space="1701" w:equalWidth="1"/>
          <w:docGrid w:linePitch="360"/>
        </w:sectPr>
        <w:suppressLineNumbers w:val="0"/>
      </w:pPr>
      <w:r>
        <w:rPr>
          <w:rFonts w:hint="eastAsia"/>
          <w:sz w:val="24"/>
          <w:szCs w:val="20"/>
        </w:rPr>
      </w:r>
      <w:r>
        <w:rPr>
          <w:rFonts w:hint="eastAsia"/>
          <w:sz w:val="24"/>
          <w:szCs w:val="20"/>
        </w:rPr>
      </w:r>
      <w:r/>
    </w:p>
    <w:p>
      <w:pPr>
        <w:pStyle w:val="995"/>
        <w:spacing w:line="360" w:lineRule="auto"/>
        <w:rPr>
          <w:sz w:val="24"/>
          <w:szCs w:val="20"/>
        </w:rPr>
        <w:outlineLvl w:val="2"/>
      </w:pPr>
      <w:r>
        <w:rPr>
          <w:rFonts w:hint="eastAsia"/>
          <w:sz w:val="24"/>
          <w:szCs w:val="20"/>
          <w:lang w:val="en-US" w:eastAsia="zh-CN"/>
        </w:rPr>
        <w:t xml:space="preserve">9</w:t>
      </w:r>
      <w:r>
        <w:rPr>
          <w:sz w:val="24"/>
          <w:szCs w:val="20"/>
        </w:rPr>
        <w:t xml:space="preserve">  </w:t>
      </w:r>
      <w:r>
        <w:rPr>
          <w:rFonts w:hint="eastAsia"/>
          <w:sz w:val="24"/>
          <w:szCs w:val="20"/>
        </w:rPr>
        <w:t xml:space="preserve">项目实施方案等，包括但不限于如下主题：</w:t>
      </w:r>
      <w:r>
        <w:rPr>
          <w:sz w:val="24"/>
          <w:szCs w:val="20"/>
        </w:rPr>
      </w:r>
      <w:r/>
    </w:p>
    <w:p>
      <w:pPr>
        <w:pStyle w:val="995"/>
        <w:ind w:firstLine="480"/>
        <w:spacing w:line="560" w:lineRule="exact"/>
        <w:rPr>
          <w:rFonts w:hint="eastAsia"/>
          <w:sz w:val="24"/>
          <w:szCs w:val="20"/>
        </w:rPr>
      </w:pPr>
      <w:r>
        <w:rPr>
          <w:rFonts w:hint="eastAsia"/>
          <w:sz w:val="24"/>
          <w:szCs w:val="20"/>
        </w:rPr>
        <w:t xml:space="preserve">1）服务方案</w:t>
      </w:r>
      <w:r>
        <w:rPr>
          <w:rFonts w:hint="eastAsia"/>
          <w:sz w:val="24"/>
          <w:szCs w:val="20"/>
        </w:rPr>
      </w:r>
      <w:r/>
    </w:p>
    <w:p>
      <w:pPr>
        <w:pStyle w:val="995"/>
        <w:ind w:firstLine="480"/>
        <w:spacing w:line="560" w:lineRule="exact"/>
        <w:rPr>
          <w:rFonts w:hint="eastAsia"/>
          <w:sz w:val="24"/>
          <w:szCs w:val="20"/>
        </w:rPr>
      </w:pPr>
      <w:r>
        <w:rPr>
          <w:rFonts w:hint="eastAsia"/>
          <w:sz w:val="24"/>
          <w:szCs w:val="20"/>
          <w:lang w:val="en-US" w:eastAsia="zh-CN"/>
        </w:rPr>
        <w:t xml:space="preserve">2</w:t>
      </w:r>
      <w:r>
        <w:rPr>
          <w:rFonts w:hint="eastAsia"/>
          <w:sz w:val="24"/>
          <w:szCs w:val="20"/>
        </w:rPr>
        <w:t xml:space="preserve">）应急抢修方案</w:t>
      </w:r>
      <w:r>
        <w:rPr>
          <w:rFonts w:hint="eastAsia"/>
          <w:sz w:val="24"/>
          <w:szCs w:val="20"/>
        </w:rPr>
      </w:r>
      <w:r/>
    </w:p>
    <w:p>
      <w:pPr>
        <w:pStyle w:val="995"/>
        <w:ind w:firstLine="480"/>
        <w:spacing w:line="560" w:lineRule="exact"/>
        <w:rPr>
          <w:rFonts w:hint="eastAsia"/>
          <w:sz w:val="24"/>
          <w:szCs w:val="20"/>
        </w:rPr>
      </w:pPr>
      <w:r>
        <w:rPr>
          <w:rFonts w:hint="eastAsia"/>
          <w:sz w:val="24"/>
          <w:szCs w:val="20"/>
          <w:lang w:val="en-US" w:eastAsia="zh-CN"/>
        </w:rPr>
        <w:t xml:space="preserve">3</w:t>
      </w:r>
      <w:r>
        <w:rPr>
          <w:rFonts w:hint="eastAsia"/>
          <w:sz w:val="24"/>
          <w:szCs w:val="20"/>
        </w:rPr>
        <w:t xml:space="preserve">）合理化建议及增值服务；</w:t>
      </w:r>
      <w:r>
        <w:rPr>
          <w:rFonts w:hint="eastAsia"/>
          <w:sz w:val="24"/>
          <w:szCs w:val="20"/>
        </w:rPr>
      </w:r>
      <w:r/>
    </w:p>
    <w:p>
      <w:pPr>
        <w:pStyle w:val="995"/>
        <w:ind w:firstLine="480"/>
        <w:spacing w:line="560" w:lineRule="exact"/>
        <w:rPr>
          <w:sz w:val="24"/>
          <w:szCs w:val="20"/>
        </w:rPr>
      </w:pPr>
      <w:r>
        <w:rPr>
          <w:rFonts w:hint="eastAsia"/>
          <w:sz w:val="24"/>
          <w:szCs w:val="20"/>
          <w:lang w:val="en-US" w:eastAsia="zh-CN"/>
        </w:rPr>
        <w:t xml:space="preserve">4</w:t>
      </w:r>
      <w:r>
        <w:rPr>
          <w:rFonts w:hint="eastAsia"/>
          <w:sz w:val="24"/>
          <w:szCs w:val="20"/>
        </w:rPr>
        <w:t xml:space="preserve">）其他。</w:t>
      </w:r>
      <w:r>
        <w:rPr>
          <w:sz w:val="24"/>
          <w:szCs w:val="20"/>
        </w:rPr>
      </w:r>
      <w:r/>
    </w:p>
    <w:p>
      <w:pPr>
        <w:pStyle w:val="995"/>
        <w:keepLines w:val="0"/>
        <w:keepNext w:val="0"/>
        <w:pageBreakBefore w:val="0"/>
        <w:spacing w:line="360" w:lineRule="auto"/>
        <w:widowControl w:val="off"/>
        <w:rPr>
          <w:sz w:val="24"/>
          <w:szCs w:val="20"/>
        </w:rPr>
        <w:outlineLvl w:val="2"/>
      </w:pPr>
      <w:r>
        <w:rPr>
          <w:sz w:val="24"/>
          <w:szCs w:val="20"/>
        </w:rPr>
        <w:br w:type="page" w:clear="all"/>
      </w:r>
      <w:r>
        <w:rPr>
          <w:rFonts w:hint="eastAsia"/>
          <w:sz w:val="24"/>
          <w:szCs w:val="20"/>
          <w:lang w:val="en-US" w:eastAsia="zh-CN"/>
        </w:rPr>
        <w:t xml:space="preserve">10</w:t>
      </w:r>
      <w:r>
        <w:rPr>
          <w:rFonts w:hint="eastAsia"/>
          <w:sz w:val="24"/>
          <w:szCs w:val="20"/>
        </w:rPr>
        <w:t xml:space="preserve">  参加本项目人员一览表</w:t>
      </w:r>
      <w:r>
        <w:rPr>
          <w:sz w:val="24"/>
          <w:szCs w:val="20"/>
        </w:rPr>
      </w:r>
      <w:r/>
    </w:p>
    <w:p>
      <w:pPr>
        <w:pStyle w:val="99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95"/>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JSZC-320400-JSZG-G2026-0044</w:t>
      </w:r>
      <w:r>
        <w:rPr>
          <w:rFonts w:hint="eastAsia" w:ascii="宋体" w:hAnsi="宋体" w:eastAsia="宋体" w:cs="宋体"/>
          <w:sz w:val="24"/>
          <w:lang w:eastAsia="zh-CN"/>
        </w:rPr>
      </w:r>
      <w:r/>
    </w:p>
    <w:p>
      <w:pPr>
        <w:pStyle w:val="995"/>
        <w:spacing w:line="360" w:lineRule="auto"/>
        <w:rPr>
          <w:rFonts w:hint="eastAsia" w:ascii="宋体" w:hAnsi="宋体" w:eastAsia="宋体" w:cs="宋体"/>
          <w:sz w:val="24"/>
          <w:lang w:eastAsia="zh-CN"/>
        </w:rPr>
      </w:pPr>
      <w:r>
        <w:rPr>
          <w:sz w:val="24"/>
        </w:rPr>
        <w:t xml:space="preserve">项目名称：</w:t>
      </w:r>
      <w:r>
        <w:rPr>
          <w:rFonts w:hint="eastAsia"/>
          <w:sz w:val="24"/>
          <w:lang w:eastAsia="zh-CN"/>
        </w:rPr>
        <w:t xml:space="preserve">2026-2029年变电所运维及电气零星维修</w:t>
      </w:r>
      <w:r>
        <w:rPr>
          <w:rFonts w:hint="eastAsia" w:ascii="宋体" w:hAnsi="宋体" w:eastAsia="宋体" w:cs="宋体"/>
          <w:sz w:val="24"/>
          <w:lang w:eastAsia="zh-CN"/>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9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bl>
    <w:p>
      <w:pPr>
        <w:pStyle w:val="995"/>
        <w:tabs>
          <w:tab w:val="left" w:pos="9765" w:leader="none"/>
        </w:tabs>
        <w:rPr>
          <w:rFonts w:ascii="宋体" w:hAnsi="宋体" w:cs="宋体"/>
          <w:b/>
          <w:sz w:val="24"/>
          <w:lang w:val="zh-CN"/>
        </w:rPr>
      </w:pPr>
      <w:r>
        <w:rPr>
          <w:rFonts w:ascii="宋体" w:hAnsi="宋体" w:cs="宋体"/>
          <w:b/>
          <w:sz w:val="24"/>
          <w:lang w:val="zh-CN"/>
        </w:rPr>
      </w:r>
      <w:r/>
    </w:p>
    <w:p>
      <w:pPr>
        <w:pStyle w:val="995"/>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w:t>
      </w:r>
      <w:r>
        <w:rPr>
          <w:rFonts w:hint="eastAsia" w:ascii="宋体" w:hAnsi="宋体" w:cs="宋体"/>
          <w:b/>
          <w:sz w:val="24"/>
        </w:rPr>
        <w:t xml:space="preserve">1.人员证书及社保证明采购可附于本表下方；</w:t>
      </w:r>
      <w:r>
        <w:rPr>
          <w:rFonts w:hint="eastAsia" w:ascii="宋体" w:hAnsi="宋体" w:cs="宋体"/>
          <w:b/>
          <w:sz w:val="24"/>
        </w:rPr>
      </w:r>
      <w:r/>
    </w:p>
    <w:p>
      <w:pPr>
        <w:pStyle w:val="995"/>
        <w:ind w:firstLine="482"/>
        <w:spacing w:line="360" w:lineRule="auto"/>
        <w:tabs>
          <w:tab w:val="left" w:pos="9765" w:leader="none"/>
        </w:tabs>
        <w:rPr>
          <w:rFonts w:hint="eastAsia" w:ascii="宋体" w:hAnsi="宋体" w:cs="宋体"/>
          <w:b/>
          <w:sz w:val="24"/>
          <w:lang w:val="zh-CN"/>
        </w:rPr>
      </w:pPr>
      <w:r>
        <w:rPr>
          <w:rFonts w:hint="eastAsia" w:ascii="宋体" w:hAnsi="宋体" w:cs="宋体"/>
          <w:b/>
          <w:sz w:val="24"/>
        </w:rPr>
        <w:t xml:space="preserve">2.</w:t>
      </w:r>
      <w:r>
        <w:rPr>
          <w:rFonts w:hint="eastAsia" w:ascii="宋体" w:hAnsi="宋体" w:cs="宋体"/>
          <w:b/>
          <w:sz w:val="24"/>
          <w:lang w:val="zh-CN"/>
        </w:rPr>
        <w:t xml:space="preserve">参加本项目人员须是投标人正式职工。</w:t>
      </w:r>
      <w:r>
        <w:rPr>
          <w:rFonts w:hint="eastAsia" w:ascii="宋体" w:hAnsi="宋体" w:cs="宋体"/>
          <w:b/>
          <w:sz w:val="24"/>
          <w:lang w:val="zh-CN"/>
        </w:rPr>
      </w:r>
      <w:r/>
    </w:p>
    <w:p>
      <w:pPr>
        <w:pStyle w:val="995"/>
        <w:spacing w:before="25" w:after="25" w:line="360" w:lineRule="auto"/>
        <w:rPr>
          <w:sz w:val="24"/>
        </w:rPr>
      </w:pPr>
      <w:r>
        <w:rPr>
          <w:sz w:val="24"/>
        </w:rPr>
      </w:r>
      <w:r/>
    </w:p>
    <w:p>
      <w:pPr>
        <w:pStyle w:val="995"/>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995"/>
        <w:spacing w:before="25" w:after="25" w:line="360" w:lineRule="auto"/>
        <w:rPr>
          <w:sz w:val="24"/>
          <w:lang w:val="zh-CN"/>
        </w:rPr>
      </w:pPr>
      <w:r>
        <w:rPr>
          <w:sz w:val="24"/>
          <w:szCs w:val="20"/>
        </w:rPr>
        <w:t xml:space="preserve">日期：_____年_____月_____日</w:t>
      </w:r>
      <w:r>
        <w:rPr>
          <w:sz w:val="24"/>
          <w:lang w:val="zh-CN"/>
        </w:rPr>
      </w:r>
      <w:r/>
    </w:p>
    <w:p>
      <w:pPr>
        <w:pStyle w:val="995"/>
        <w:keepLines w:val="0"/>
        <w:keepNext w:val="0"/>
        <w:pageBreakBefore w:val="0"/>
        <w:widowControl w:val="off"/>
        <w:rPr>
          <w:sz w:val="24"/>
          <w:szCs w:val="20"/>
        </w:rPr>
        <w:outlineLvl w:val="2"/>
      </w:pPr>
      <w:r>
        <w:rPr>
          <w:sz w:val="22"/>
        </w:rPr>
        <w:br w:type="page" w:clear="all"/>
      </w:r>
      <w:bookmarkStart w:id="916" w:name="_Toc288738397"/>
      <w:r/>
      <w:bookmarkStart w:id="917" w:name="_Toc288738839"/>
      <w:r>
        <w:rPr>
          <w:rFonts w:hint="eastAsia"/>
          <w:sz w:val="24"/>
          <w:szCs w:val="20"/>
        </w:rPr>
        <w:t xml:space="preserve">1</w:t>
      </w:r>
      <w:r>
        <w:rPr>
          <w:rFonts w:hint="eastAsia"/>
          <w:sz w:val="24"/>
          <w:szCs w:val="20"/>
          <w:lang w:val="en-US" w:eastAsia="zh-CN"/>
        </w:rPr>
        <w:t xml:space="preserve">1</w:t>
      </w:r>
      <w:r>
        <w:rPr>
          <w:rFonts w:hint="eastAsia"/>
          <w:sz w:val="24"/>
          <w:szCs w:val="20"/>
        </w:rPr>
        <w:t xml:space="preserve">  相关业绩案例一览表</w:t>
      </w:r>
      <w:r>
        <w:rPr>
          <w:sz w:val="24"/>
          <w:szCs w:val="20"/>
        </w:rPr>
      </w:r>
      <w:r/>
    </w:p>
    <w:p>
      <w:pPr>
        <w:pStyle w:val="995"/>
        <w:rPr>
          <w:sz w:val="24"/>
          <w:szCs w:val="20"/>
        </w:rPr>
      </w:pPr>
      <w:r>
        <w:rPr>
          <w:sz w:val="24"/>
          <w:szCs w:val="20"/>
        </w:rPr>
      </w:r>
      <w:r/>
    </w:p>
    <w:p>
      <w:pPr>
        <w:pStyle w:val="995"/>
        <w:jc w:val="center"/>
        <w:rPr>
          <w:rFonts w:ascii="宋体" w:hAnsi="宋体"/>
          <w:b/>
          <w:sz w:val="32"/>
          <w:szCs w:val="32"/>
        </w:rPr>
      </w:pPr>
      <w:r>
        <w:rPr>
          <w:rFonts w:hint="eastAsia" w:ascii="宋体" w:hAnsi="宋体"/>
          <w:b/>
          <w:sz w:val="32"/>
          <w:szCs w:val="32"/>
        </w:rPr>
        <w:t xml:space="preserve">相关业绩案例一览表</w:t>
      </w:r>
      <w:bookmarkEnd w:id="916"/>
      <w:r/>
      <w:bookmarkEnd w:id="917"/>
      <w:r>
        <w:rPr>
          <w:rFonts w:ascii="宋体" w:hAnsi="宋体"/>
          <w:b/>
          <w:sz w:val="32"/>
          <w:szCs w:val="32"/>
        </w:rPr>
      </w:r>
      <w:r/>
    </w:p>
    <w:p>
      <w:pPr>
        <w:pStyle w:val="995"/>
        <w:jc w:val="center"/>
        <w:spacing w:line="360" w:lineRule="auto"/>
        <w:rPr>
          <w:rFonts w:ascii="宋体" w:hAnsi="宋体"/>
          <w:b/>
          <w:sz w:val="28"/>
          <w:szCs w:val="30"/>
        </w:rPr>
      </w:pPr>
      <w:r>
        <w:rPr>
          <w:rFonts w:ascii="宋体" w:hAnsi="宋体"/>
          <w:b/>
          <w:sz w:val="28"/>
          <w:szCs w:val="30"/>
        </w:rPr>
      </w:r>
      <w:r/>
    </w:p>
    <w:p>
      <w:pPr>
        <w:pStyle w:val="995"/>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JSZC-320400-JSZG-G2026-0044</w:t>
      </w:r>
      <w:r>
        <w:rPr>
          <w:rFonts w:hint="eastAsia" w:ascii="宋体" w:hAnsi="宋体" w:eastAsia="宋体" w:cs="宋体"/>
          <w:sz w:val="24"/>
          <w:lang w:eastAsia="zh-CN"/>
        </w:rPr>
      </w:r>
      <w:r/>
    </w:p>
    <w:p>
      <w:pPr>
        <w:pStyle w:val="995"/>
        <w:ind w:firstLine="480"/>
        <w:spacing w:line="360" w:lineRule="auto"/>
        <w:rPr>
          <w:rFonts w:hint="eastAsia" w:ascii="宋体" w:hAnsi="宋体" w:eastAsia="宋体" w:cs="宋体"/>
          <w:sz w:val="24"/>
          <w:lang w:eastAsia="zh-CN"/>
        </w:rPr>
      </w:pPr>
      <w:r>
        <w:rPr>
          <w:sz w:val="24"/>
        </w:rPr>
        <w:t xml:space="preserve">项目名称：</w:t>
      </w:r>
      <w:r>
        <w:rPr>
          <w:rFonts w:hint="eastAsia"/>
          <w:sz w:val="24"/>
          <w:lang w:eastAsia="zh-CN"/>
        </w:rPr>
        <w:t xml:space="preserve">2026-2029年变电所运维及电气零星维修</w:t>
      </w:r>
      <w:r>
        <w:rPr>
          <w:rFonts w:hint="eastAsia" w:ascii="宋体" w:hAnsi="宋体" w:eastAsia="宋体" w:cs="宋体"/>
          <w:sz w:val="24"/>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5"/>
              <w:jc w:val="center"/>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5"/>
              <w:jc w:val="center"/>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5"/>
              <w:jc w:val="center"/>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5"/>
              <w:jc w:val="center"/>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5"/>
              <w:jc w:val="center"/>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5"/>
              <w:jc w:val="center"/>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5"/>
              <w:jc w:val="center"/>
              <w:spacing w:line="360" w:lineRule="auto"/>
              <w:tabs>
                <w:tab w:val="left" w:pos="9765" w:leader="none"/>
              </w:tabs>
              <w:rPr>
                <w:rFonts w:ascii="宋体" w:hAnsi="宋体" w:cs="宋体"/>
                <w:sz w:val="24"/>
              </w:rPr>
            </w:pPr>
            <w:r>
              <w:rPr>
                <w:rFonts w:ascii="宋体" w:hAnsi="宋体" w:cs="宋体"/>
                <w:sz w:val="24"/>
              </w:rPr>
            </w:r>
            <w:r/>
          </w:p>
        </w:tc>
      </w:tr>
    </w:tbl>
    <w:p>
      <w:pPr>
        <w:pStyle w:val="995"/>
        <w:tabs>
          <w:tab w:val="left" w:pos="9765" w:leader="none"/>
        </w:tabs>
        <w:rPr>
          <w:rFonts w:ascii="宋体" w:hAnsi="宋体" w:cs="宋体"/>
          <w:sz w:val="24"/>
          <w:lang w:val="zh-CN"/>
        </w:rPr>
      </w:pPr>
      <w:r>
        <w:rPr>
          <w:rFonts w:ascii="宋体" w:hAnsi="宋体" w:cs="宋体"/>
          <w:sz w:val="24"/>
          <w:lang w:val="zh-CN"/>
        </w:rPr>
      </w:r>
      <w:r/>
    </w:p>
    <w:p>
      <w:pPr>
        <w:pStyle w:val="995"/>
        <w:spacing w:line="360" w:lineRule="auto"/>
        <w:rPr>
          <w:rFonts w:ascii="宋体" w:hAnsi="宋体" w:cs="宋体"/>
          <w:sz w:val="24"/>
        </w:rPr>
      </w:pPr>
      <w:r>
        <w:rPr>
          <w:rFonts w:ascii="宋体" w:hAnsi="宋体" w:cs="宋体"/>
          <w:sz w:val="24"/>
        </w:rPr>
      </w:r>
      <w:r/>
    </w:p>
    <w:p>
      <w:pPr>
        <w:pStyle w:val="995"/>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995"/>
        <w:spacing w:before="25" w:after="25" w:line="360" w:lineRule="auto"/>
        <w:rPr>
          <w:sz w:val="24"/>
          <w:lang w:val="zh-CN"/>
        </w:rPr>
      </w:pPr>
      <w:r>
        <w:rPr>
          <w:sz w:val="24"/>
          <w:szCs w:val="20"/>
        </w:rPr>
        <w:t xml:space="preserve">日期：_____年____月____日</w:t>
      </w:r>
      <w:r>
        <w:rPr>
          <w:sz w:val="24"/>
          <w:lang w:val="zh-CN"/>
        </w:rPr>
      </w:r>
      <w:r/>
    </w:p>
    <w:p>
      <w:pPr>
        <w:pStyle w:val="995"/>
        <w:keepLines w:val="0"/>
        <w:keepNext w:val="0"/>
        <w:pageBreakBefore w:val="0"/>
        <w:spacing w:line="360" w:lineRule="auto"/>
        <w:widowControl w:val="off"/>
        <w:rPr>
          <w:sz w:val="24"/>
          <w:szCs w:val="20"/>
        </w:rPr>
        <w:outlineLvl w:val="2"/>
      </w:pPr>
      <w:r>
        <w:rPr>
          <w:sz w:val="24"/>
        </w:rPr>
        <w:br w:type="page" w:clear="all"/>
      </w:r>
      <w:r>
        <w:rPr>
          <w:rFonts w:hint="eastAsia"/>
          <w:sz w:val="24"/>
          <w:szCs w:val="20"/>
        </w:rPr>
        <w:t xml:space="preserve">1</w:t>
      </w:r>
      <w:r>
        <w:rPr>
          <w:rFonts w:hint="eastAsia"/>
          <w:sz w:val="24"/>
          <w:szCs w:val="20"/>
          <w:lang w:val="en-US" w:eastAsia="zh-CN"/>
        </w:rPr>
        <w:t xml:space="preserve">2</w:t>
      </w:r>
      <w:r>
        <w:rPr>
          <w:rFonts w:hint="eastAsia"/>
          <w:sz w:val="24"/>
          <w:szCs w:val="20"/>
        </w:rPr>
        <w:t xml:space="preserve">  </w:t>
      </w:r>
      <w:r>
        <w:rPr>
          <w:sz w:val="24"/>
          <w:szCs w:val="20"/>
        </w:rPr>
        <w:t xml:space="preserve">招标文件要求提供或投标人认为应附的其他材料</w:t>
      </w:r>
      <w:r>
        <w:rPr>
          <w:sz w:val="24"/>
          <w:szCs w:val="20"/>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PMingLiU">
    <w:panose1 w:val="02020500000000000000"/>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22</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rPr>
        <w:rStyle w:val="1076"/>
      </w:rPr>
      <w:framePr w:wrap="around" w:vAnchor="text" w:hAnchor="margin" w:xAlign="right" w:y="1"/>
    </w:pPr>
    <w:r>
      <w:fldChar w:fldCharType="begin"/>
    </w:r>
    <w:r>
      <w:rPr>
        <w:rStyle w:val="1076"/>
      </w:rPr>
      <w:instrText xml:space="preserve">PAGE  </w:instrText>
    </w:r>
    <w:r>
      <w:fldChar w:fldCharType="end"/>
    </w:r>
    <w:r>
      <w:rPr>
        <w:rStyle w:val="1076"/>
      </w:rPr>
    </w:r>
    <w:r/>
  </w:p>
  <w:p>
    <w:pPr>
      <w:pStyle w:val="1044"/>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73</w:t>
    </w:r>
    <w:r>
      <w:rPr>
        <w:rFonts w:ascii="Times New Roman"/>
      </w:rPr>
      <w:fldChar w:fldCharType="end"/>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85</w:t>
    </w:r>
    <w:r>
      <w:rPr>
        <w:rFonts w:ascii="Times New Roman"/>
      </w:rPr>
      <w:fldChar w:fldCharType="end"/>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126</w:t>
    </w:r>
    <w:r>
      <w:rPr>
        <w:rFonts w:ascii="Times New Roman"/>
      </w:rP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right"/>
      <w:tabs>
        <w:tab w:val="center" w:pos="4153" w:leader="none"/>
        <w:tab w:val="right" w:pos="8306" w:leader="none"/>
      </w:tabs>
      <w:rPr>
        <w:rFonts w:hint="eastAsia" w:ascii="楷体_GB2312" w:eastAsia="楷体_GB2312"/>
      </w:rPr>
    </w:pPr>
    <w:r>
      <w:rPr>
        <w:rFonts w:hint="eastAsia"/>
      </w:rPr>
      <w:t xml:space="preserve">常州市政府</w:t>
    </w:r>
    <w:r>
      <w:t xml:space="preserve">采购</w:t>
    </w:r>
    <w:r>
      <w:rPr>
        <w:rFonts w:hint="eastAsia"/>
      </w:rPr>
      <w:t xml:space="preserve">项目公开招标文件</w:t>
    </w:r>
    <w:r>
      <w:rPr>
        <w:rFonts w:hint="eastAsia" w:ascii="楷体_GB2312" w:eastAsia="楷体_GB231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95"/>
        <w:ind w:left="4941" w:hanging="1140"/>
        <w:tabs>
          <w:tab w:val="num" w:pos="4941" w:leader="none"/>
        </w:tabs>
      </w:pPr>
      <w:rPr>
        <w:rFonts w:hint="eastAsia"/>
      </w:rPr>
    </w:lvl>
    <w:lvl w:ilvl="1">
      <w:start w:val="1"/>
      <w:numFmt w:val="lowerLetter"/>
      <w:isLgl w:val="false"/>
      <w:suff w:val="tab"/>
      <w:lvlText w:val="%2)"/>
      <w:lvlJc w:val="left"/>
      <w:pPr>
        <w:pStyle w:val="995"/>
        <w:ind w:left="4641" w:hanging="420"/>
        <w:tabs>
          <w:tab w:val="num" w:pos="4641" w:leader="none"/>
        </w:tabs>
      </w:pPr>
    </w:lvl>
    <w:lvl w:ilvl="2">
      <w:start w:val="1"/>
      <w:numFmt w:val="lowerRoman"/>
      <w:isLgl w:val="false"/>
      <w:suff w:val="tab"/>
      <w:lvlText w:val="%3."/>
      <w:lvlJc w:val="right"/>
      <w:pPr>
        <w:pStyle w:val="995"/>
        <w:ind w:left="5061" w:hanging="420"/>
        <w:tabs>
          <w:tab w:val="num" w:pos="5061" w:leader="none"/>
        </w:tabs>
      </w:pPr>
    </w:lvl>
    <w:lvl w:ilvl="3">
      <w:start w:val="1"/>
      <w:numFmt w:val="decimal"/>
      <w:isLgl w:val="false"/>
      <w:suff w:val="tab"/>
      <w:lvlText w:val="%4."/>
      <w:lvlJc w:val="left"/>
      <w:pPr>
        <w:pStyle w:val="995"/>
        <w:ind w:left="5481" w:hanging="420"/>
        <w:tabs>
          <w:tab w:val="num" w:pos="5481" w:leader="none"/>
        </w:tabs>
      </w:pPr>
    </w:lvl>
    <w:lvl w:ilvl="4">
      <w:start w:val="1"/>
      <w:numFmt w:val="lowerLetter"/>
      <w:isLgl w:val="false"/>
      <w:suff w:val="tab"/>
      <w:lvlText w:val="%5)"/>
      <w:lvlJc w:val="left"/>
      <w:pPr>
        <w:pStyle w:val="995"/>
        <w:ind w:left="5901" w:hanging="420"/>
        <w:tabs>
          <w:tab w:val="num" w:pos="5901" w:leader="none"/>
        </w:tabs>
      </w:pPr>
    </w:lvl>
    <w:lvl w:ilvl="5">
      <w:start w:val="1"/>
      <w:numFmt w:val="lowerRoman"/>
      <w:isLgl w:val="false"/>
      <w:suff w:val="tab"/>
      <w:lvlText w:val="%6."/>
      <w:lvlJc w:val="right"/>
      <w:pPr>
        <w:pStyle w:val="995"/>
        <w:ind w:left="6321" w:hanging="420"/>
        <w:tabs>
          <w:tab w:val="num" w:pos="6321" w:leader="none"/>
        </w:tabs>
      </w:pPr>
    </w:lvl>
    <w:lvl w:ilvl="6">
      <w:start w:val="1"/>
      <w:numFmt w:val="decimal"/>
      <w:isLgl w:val="false"/>
      <w:suff w:val="tab"/>
      <w:lvlText w:val="%7."/>
      <w:lvlJc w:val="left"/>
      <w:pPr>
        <w:pStyle w:val="995"/>
        <w:ind w:left="6741" w:hanging="420"/>
        <w:tabs>
          <w:tab w:val="num" w:pos="6741" w:leader="none"/>
        </w:tabs>
      </w:pPr>
    </w:lvl>
    <w:lvl w:ilvl="7">
      <w:start w:val="1"/>
      <w:numFmt w:val="lowerLetter"/>
      <w:isLgl w:val="false"/>
      <w:suff w:val="tab"/>
      <w:lvlText w:val="%8)"/>
      <w:lvlJc w:val="left"/>
      <w:pPr>
        <w:pStyle w:val="995"/>
        <w:ind w:left="7161" w:hanging="420"/>
        <w:tabs>
          <w:tab w:val="num" w:pos="7161" w:leader="none"/>
        </w:tabs>
      </w:pPr>
    </w:lvl>
    <w:lvl w:ilvl="8">
      <w:start w:val="1"/>
      <w:numFmt w:val="lowerRoman"/>
      <w:isLgl w:val="false"/>
      <w:suff w:val="tab"/>
      <w:lvlText w:val="%9."/>
      <w:lvlJc w:val="right"/>
      <w:pPr>
        <w:pStyle w:val="995"/>
        <w:ind w:left="7581" w:hanging="420"/>
        <w:tabs>
          <w:tab w:val="num" w:pos="7581" w:leader="none"/>
        </w:tabs>
      </w:pPr>
    </w:lvl>
  </w:abstractNum>
  <w:abstractNum w:abstractNumId="1">
    <w:multiLevelType w:val="hybridMultilevel"/>
    <w:lvl w:ilvl="0">
      <w:start w:val="1"/>
      <w:numFmt w:val="decimal"/>
      <w:pStyle w:val="1347"/>
      <w:isLgl w:val="false"/>
      <w:suff w:val="tab"/>
      <w:lvlText w:val="%1."/>
      <w:lvlJc w:val="left"/>
      <w:pPr>
        <w:pStyle w:val="995"/>
        <w:ind w:left="420" w:hanging="420"/>
      </w:pPr>
    </w:lvl>
    <w:lvl w:ilvl="1">
      <w:start w:val="1"/>
      <w:numFmt w:val="decimal"/>
      <w:isLgl w:val="false"/>
      <w:suff w:val="tab"/>
      <w:lvlText w:val="（%2）"/>
      <w:lvlJc w:val="left"/>
      <w:pPr>
        <w:pStyle w:val="995"/>
        <w:ind w:left="1140" w:hanging="720"/>
        <w:tabs>
          <w:tab w:val="num" w:pos="1140" w:leader="none"/>
        </w:tabs>
      </w:pPr>
      <w:rPr>
        <w:rFonts w:hint="eastAsia"/>
      </w:rPr>
    </w:lvl>
    <w:lvl w:ilvl="2">
      <w:start w:val="1"/>
      <w:numFmt w:val="lowerRoman"/>
      <w:isLgl w:val="false"/>
      <w:suff w:val="tab"/>
      <w:lvlText w:val="%3."/>
      <w:lvlJc w:val="right"/>
      <w:pPr>
        <w:pStyle w:val="995"/>
        <w:ind w:left="1260" w:hanging="420"/>
      </w:pPr>
    </w:lvl>
    <w:lvl w:ilvl="3">
      <w:start w:val="1"/>
      <w:numFmt w:val="decimal"/>
      <w:isLgl w:val="false"/>
      <w:suff w:val="tab"/>
      <w:lvlText w:val="%4."/>
      <w:lvlJc w:val="left"/>
      <w:pPr>
        <w:pStyle w:val="995"/>
        <w:ind w:left="1680" w:hanging="420"/>
      </w:pPr>
    </w:lvl>
    <w:lvl w:ilvl="4">
      <w:start w:val="1"/>
      <w:numFmt w:val="lowerLetter"/>
      <w:isLgl w:val="false"/>
      <w:suff w:val="tab"/>
      <w:lvlText w:val="%5)"/>
      <w:lvlJc w:val="left"/>
      <w:pPr>
        <w:pStyle w:val="995"/>
        <w:ind w:left="2100" w:hanging="420"/>
      </w:pPr>
    </w:lvl>
    <w:lvl w:ilvl="5">
      <w:start w:val="1"/>
      <w:numFmt w:val="lowerRoman"/>
      <w:isLgl w:val="false"/>
      <w:suff w:val="tab"/>
      <w:lvlText w:val="%6."/>
      <w:lvlJc w:val="right"/>
      <w:pPr>
        <w:pStyle w:val="995"/>
        <w:ind w:left="2520" w:hanging="420"/>
      </w:pPr>
    </w:lvl>
    <w:lvl w:ilvl="6">
      <w:start w:val="1"/>
      <w:numFmt w:val="decimal"/>
      <w:isLgl w:val="false"/>
      <w:suff w:val="tab"/>
      <w:lvlText w:val="%7."/>
      <w:lvlJc w:val="left"/>
      <w:pPr>
        <w:pStyle w:val="995"/>
        <w:ind w:left="2940" w:hanging="420"/>
      </w:pPr>
    </w:lvl>
    <w:lvl w:ilvl="7">
      <w:start w:val="1"/>
      <w:numFmt w:val="lowerLetter"/>
      <w:isLgl w:val="false"/>
      <w:suff w:val="tab"/>
      <w:lvlText w:val="%8)"/>
      <w:lvlJc w:val="left"/>
      <w:pPr>
        <w:pStyle w:val="995"/>
        <w:ind w:left="3360" w:hanging="420"/>
      </w:pPr>
    </w:lvl>
    <w:lvl w:ilvl="8">
      <w:start w:val="1"/>
      <w:numFmt w:val="lowerRoman"/>
      <w:isLgl w:val="false"/>
      <w:suff w:val="tab"/>
      <w:lvlText w:val="%9."/>
      <w:lvlJc w:val="right"/>
      <w:pPr>
        <w:pStyle w:val="995"/>
        <w:ind w:left="3780" w:hanging="420"/>
      </w:pPr>
    </w:lvl>
  </w:abstractNum>
  <w:abstractNum w:abstractNumId="2">
    <w:multiLevelType w:val="hybridMultilevel"/>
    <w:lvl w:ilvl="0">
      <w:start w:val="1"/>
      <w:numFmt w:val="lowerLetter"/>
      <w:pStyle w:val="1258"/>
      <w:isLgl w:val="false"/>
      <w:suff w:val="tab"/>
      <w:lvlText w:val="%1)"/>
      <w:lvlJc w:val="left"/>
      <w:pPr>
        <w:pStyle w:val="995"/>
        <w:ind w:left="902" w:hanging="420"/>
      </w:pPr>
      <w:rPr>
        <w:color w:val="000000"/>
      </w:rPr>
    </w:lvl>
    <w:lvl w:ilvl="1">
      <w:start w:val="1"/>
      <w:numFmt w:val="lowerLetter"/>
      <w:isLgl w:val="false"/>
      <w:suff w:val="tab"/>
      <w:lvlText w:val="%2)"/>
      <w:lvlJc w:val="left"/>
      <w:pPr>
        <w:pStyle w:val="995"/>
        <w:ind w:left="1322" w:hanging="420"/>
      </w:pPr>
    </w:lvl>
    <w:lvl w:ilvl="2">
      <w:start w:val="1"/>
      <w:numFmt w:val="lowerRoman"/>
      <w:isLgl w:val="false"/>
      <w:suff w:val="tab"/>
      <w:lvlText w:val="%3."/>
      <w:lvlJc w:val="right"/>
      <w:pPr>
        <w:pStyle w:val="995"/>
        <w:ind w:left="1742" w:hanging="420"/>
      </w:pPr>
    </w:lvl>
    <w:lvl w:ilvl="3">
      <w:start w:val="1"/>
      <w:numFmt w:val="decimal"/>
      <w:isLgl w:val="false"/>
      <w:suff w:val="tab"/>
      <w:lvlText w:val="%4."/>
      <w:lvlJc w:val="left"/>
      <w:pPr>
        <w:pStyle w:val="995"/>
        <w:ind w:left="2162" w:hanging="420"/>
      </w:pPr>
    </w:lvl>
    <w:lvl w:ilvl="4">
      <w:start w:val="1"/>
      <w:numFmt w:val="lowerLetter"/>
      <w:isLgl w:val="false"/>
      <w:suff w:val="tab"/>
      <w:lvlText w:val="%5)"/>
      <w:lvlJc w:val="left"/>
      <w:pPr>
        <w:pStyle w:val="995"/>
        <w:ind w:left="2582" w:hanging="420"/>
      </w:pPr>
    </w:lvl>
    <w:lvl w:ilvl="5">
      <w:start w:val="1"/>
      <w:numFmt w:val="lowerRoman"/>
      <w:isLgl w:val="false"/>
      <w:suff w:val="tab"/>
      <w:lvlText w:val="%6."/>
      <w:lvlJc w:val="right"/>
      <w:pPr>
        <w:pStyle w:val="995"/>
        <w:ind w:left="3002" w:hanging="420"/>
      </w:pPr>
    </w:lvl>
    <w:lvl w:ilvl="6">
      <w:start w:val="1"/>
      <w:numFmt w:val="decimal"/>
      <w:isLgl w:val="false"/>
      <w:suff w:val="tab"/>
      <w:lvlText w:val="%7."/>
      <w:lvlJc w:val="left"/>
      <w:pPr>
        <w:pStyle w:val="995"/>
        <w:ind w:left="3422" w:hanging="420"/>
      </w:pPr>
    </w:lvl>
    <w:lvl w:ilvl="7">
      <w:start w:val="1"/>
      <w:numFmt w:val="lowerLetter"/>
      <w:isLgl w:val="false"/>
      <w:suff w:val="tab"/>
      <w:lvlText w:val="%8)"/>
      <w:lvlJc w:val="left"/>
      <w:pPr>
        <w:pStyle w:val="995"/>
        <w:ind w:left="3842" w:hanging="420"/>
      </w:pPr>
    </w:lvl>
    <w:lvl w:ilvl="8">
      <w:start w:val="1"/>
      <w:numFmt w:val="lowerRoman"/>
      <w:isLgl w:val="false"/>
      <w:suff w:val="tab"/>
      <w:lvlText w:val="%9."/>
      <w:lvlJc w:val="right"/>
      <w:pPr>
        <w:pStyle w:val="995"/>
        <w:ind w:left="4262" w:hanging="420"/>
      </w:pPr>
    </w:lvl>
  </w:abstractNum>
  <w:abstractNum w:abstractNumId="3">
    <w:multiLevelType w:val="hybridMultilevel"/>
    <w:lvl w:ilvl="0">
      <w:start w:val="1"/>
      <w:numFmt w:val="decimal"/>
      <w:pStyle w:val="1253"/>
      <w:isLgl w:val="false"/>
      <w:suff w:val="tab"/>
      <w:lvlText w:val="%1."/>
      <w:lvlJc w:val="left"/>
      <w:pPr>
        <w:pStyle w:val="99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94"/>
      <w:isLgl w:val="false"/>
      <w:suff w:val="nothing"/>
      <w:lvlText w:val="%1　"/>
      <w:lvlJc w:val="left"/>
      <w:pPr>
        <w:pStyle w:val="995"/>
        <w:ind w:left="-25" w:firstLine="0"/>
      </w:pPr>
      <w:rPr>
        <w:rFonts w:ascii="Times New Roman" w:hAnsi="Times New Roman" w:eastAsia="宋体"/>
        <w:b/>
        <w:i w:val="0"/>
        <w:color w:val="000000"/>
        <w:sz w:val="28"/>
        <w:u w:val="none"/>
      </w:rPr>
    </w:lvl>
    <w:lvl w:ilvl="1">
      <w:start w:val="1"/>
      <w:numFmt w:val="decimal"/>
      <w:pStyle w:val="1293"/>
      <w:isLgl w:val="false"/>
      <w:suff w:val="nothing"/>
      <w:lvlText w:val="%1.%2　"/>
      <w:lvlJc w:val="left"/>
      <w:pPr>
        <w:pStyle w:val="99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5"/>
        <w:ind w:left="-25" w:firstLine="0"/>
      </w:pPr>
      <w:rPr>
        <w:rFonts w:ascii="Times New Roman" w:hAnsi="Times New Roman" w:eastAsia="黑体"/>
        <w:b/>
        <w:i w:val="0"/>
        <w:sz w:val="28"/>
      </w:rPr>
    </w:lvl>
    <w:lvl w:ilvl="3">
      <w:start w:val="1"/>
      <w:numFmt w:val="decimal"/>
      <w:pStyle w:val="1358"/>
      <w:isLgl w:val="false"/>
      <w:suff w:val="nothing"/>
      <w:lvlText w:val="%1.%2.%3.%4　"/>
      <w:lvlJc w:val="left"/>
      <w:pPr>
        <w:pStyle w:val="995"/>
        <w:ind w:left="-25" w:firstLine="0"/>
      </w:pPr>
      <w:rPr>
        <w:rFonts w:ascii="Times New Roman" w:hAnsi="Times New Roman" w:eastAsia="宋体"/>
        <w:b/>
        <w:i w:val="0"/>
        <w:color w:val="000000"/>
        <w:sz w:val="28"/>
        <w:u w:val="none"/>
      </w:rPr>
    </w:lvl>
    <w:lvl w:ilvl="4">
      <w:start w:val="1"/>
      <w:numFmt w:val="decimal"/>
      <w:pStyle w:val="1357"/>
      <w:isLgl w:val="false"/>
      <w:suff w:val="nothing"/>
      <w:lvlText w:val="%1.%2.%3.%4.%5　"/>
      <w:lvlJc w:val="left"/>
      <w:pPr>
        <w:pStyle w:val="995"/>
        <w:ind w:left="-25" w:firstLine="0"/>
      </w:pPr>
      <w:rPr>
        <w:rFonts w:ascii="Times New Roman" w:hAnsi="Times New Roman" w:eastAsia="宋体"/>
        <w:b/>
        <w:i w:val="0"/>
        <w:color w:val="000000"/>
        <w:sz w:val="28"/>
        <w:u w:val="none"/>
      </w:rPr>
    </w:lvl>
    <w:lvl w:ilvl="5">
      <w:start w:val="1"/>
      <w:numFmt w:val="decimal"/>
      <w:pStyle w:val="1356"/>
      <w:isLgl w:val="false"/>
      <w:suff w:val="nothing"/>
      <w:lvlText w:val="%1.%2.%3.%4.%5.%6　"/>
      <w:lvlJc w:val="left"/>
      <w:pPr>
        <w:pStyle w:val="995"/>
        <w:ind w:left="-25" w:firstLine="0"/>
      </w:pPr>
      <w:rPr>
        <w:rFonts w:ascii="Times New Roman" w:hAnsi="Times New Roman" w:eastAsia="宋体"/>
        <w:b/>
        <w:i w:val="0"/>
        <w:sz w:val="28"/>
      </w:rPr>
    </w:lvl>
    <w:lvl w:ilvl="6">
      <w:start w:val="1"/>
      <w:numFmt w:val="lowerLetter"/>
      <w:pStyle w:val="1312"/>
      <w:isLgl w:val="false"/>
      <w:suff w:val="tab"/>
      <w:lvlText w:val="%7) "/>
      <w:lvlJc w:val="left"/>
      <w:pPr>
        <w:pStyle w:val="995"/>
        <w:ind w:left="-125" w:firstLine="400"/>
        <w:tabs>
          <w:tab w:val="num" w:pos="635" w:leader="none"/>
        </w:tabs>
      </w:pPr>
      <w:rPr>
        <w:rFonts w:ascii="Times New Roman" w:hAnsi="Times New Roman" w:eastAsia="宋体"/>
        <w:b/>
        <w:i w:val="0"/>
        <w:color w:val="000000"/>
        <w:sz w:val="28"/>
        <w:u w:val="none"/>
      </w:rPr>
    </w:lvl>
    <w:lvl w:ilvl="7">
      <w:start w:val="1"/>
      <w:numFmt w:val="decimal"/>
      <w:pStyle w:val="1334"/>
      <w:isLgl w:val="false"/>
      <w:suff w:val="tab"/>
      <w:lvlText w:val="%8) "/>
      <w:lvlJc w:val="left"/>
      <w:pPr>
        <w:pStyle w:val="99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95"/>
        <w:ind w:left="768" w:hanging="360"/>
        <w:tabs>
          <w:tab w:val="num" w:pos="768" w:leader="none"/>
        </w:tabs>
      </w:pPr>
      <w:rPr>
        <w:rFonts w:hint="eastAsia"/>
      </w:rPr>
    </w:lvl>
    <w:lvl w:ilvl="1">
      <w:start w:val="1"/>
      <w:numFmt w:val="decimal"/>
      <w:pStyle w:val="1390"/>
      <w:isLgl w:val="false"/>
      <w:suff w:val="tab"/>
      <w:lvlText w:val="%2、"/>
      <w:lvlJc w:val="left"/>
      <w:pPr>
        <w:pStyle w:val="995"/>
        <w:ind w:left="1188" w:hanging="360"/>
        <w:tabs>
          <w:tab w:val="num" w:pos="1188" w:leader="none"/>
        </w:tabs>
      </w:pPr>
      <w:rPr>
        <w:rFonts w:hint="eastAsia"/>
      </w:rPr>
    </w:lvl>
    <w:lvl w:ilvl="2">
      <w:start w:val="1"/>
      <w:numFmt w:val="decimal"/>
      <w:isLgl w:val="false"/>
      <w:suff w:val="tab"/>
      <w:lvlText w:val="（%3）"/>
      <w:lvlJc w:val="left"/>
      <w:pPr>
        <w:pStyle w:val="995"/>
        <w:ind w:left="1968" w:hanging="720"/>
        <w:tabs>
          <w:tab w:val="num" w:pos="1968" w:leader="none"/>
        </w:tabs>
      </w:pPr>
      <w:rPr>
        <w:rFonts w:hint="eastAsia"/>
        <w:u w:val="none"/>
      </w:rPr>
    </w:lvl>
    <w:lvl w:ilvl="3">
      <w:start w:val="1"/>
      <w:numFmt w:val="decimal"/>
      <w:isLgl w:val="false"/>
      <w:suff w:val="tab"/>
      <w:lvlText w:val="%4."/>
      <w:lvlJc w:val="left"/>
      <w:pPr>
        <w:pStyle w:val="995"/>
        <w:ind w:left="2088" w:hanging="420"/>
        <w:tabs>
          <w:tab w:val="num" w:pos="2088" w:leader="none"/>
        </w:tabs>
      </w:pPr>
    </w:lvl>
    <w:lvl w:ilvl="4">
      <w:start w:val="1"/>
      <w:numFmt w:val="lowerLetter"/>
      <w:isLgl w:val="false"/>
      <w:suff w:val="tab"/>
      <w:lvlText w:val="%5)"/>
      <w:lvlJc w:val="left"/>
      <w:pPr>
        <w:pStyle w:val="995"/>
        <w:ind w:left="2508" w:hanging="420"/>
        <w:tabs>
          <w:tab w:val="num" w:pos="2508" w:leader="none"/>
        </w:tabs>
      </w:pPr>
    </w:lvl>
    <w:lvl w:ilvl="5">
      <w:start w:val="1"/>
      <w:numFmt w:val="lowerRoman"/>
      <w:isLgl w:val="false"/>
      <w:suff w:val="tab"/>
      <w:lvlText w:val="%6."/>
      <w:lvlJc w:val="right"/>
      <w:pPr>
        <w:pStyle w:val="995"/>
        <w:ind w:left="2928" w:hanging="420"/>
        <w:tabs>
          <w:tab w:val="num" w:pos="2928" w:leader="none"/>
        </w:tabs>
      </w:pPr>
    </w:lvl>
    <w:lvl w:ilvl="6">
      <w:start w:val="1"/>
      <w:numFmt w:val="decimal"/>
      <w:isLgl w:val="false"/>
      <w:suff w:val="tab"/>
      <w:lvlText w:val="%7."/>
      <w:lvlJc w:val="left"/>
      <w:pPr>
        <w:pStyle w:val="995"/>
        <w:ind w:left="3348" w:hanging="420"/>
        <w:tabs>
          <w:tab w:val="num" w:pos="3348" w:leader="none"/>
        </w:tabs>
      </w:pPr>
    </w:lvl>
    <w:lvl w:ilvl="7">
      <w:start w:val="1"/>
      <w:numFmt w:val="lowerLetter"/>
      <w:isLgl w:val="false"/>
      <w:suff w:val="tab"/>
      <w:lvlText w:val="%8)"/>
      <w:lvlJc w:val="left"/>
      <w:pPr>
        <w:pStyle w:val="995"/>
        <w:ind w:left="3768" w:hanging="420"/>
        <w:tabs>
          <w:tab w:val="num" w:pos="3768" w:leader="none"/>
        </w:tabs>
      </w:pPr>
    </w:lvl>
    <w:lvl w:ilvl="8">
      <w:start w:val="1"/>
      <w:numFmt w:val="lowerRoman"/>
      <w:isLgl w:val="false"/>
      <w:suff w:val="tab"/>
      <w:lvlText w:val="%9."/>
      <w:lvlJc w:val="right"/>
      <w:pPr>
        <w:pStyle w:val="99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95"/>
        <w:ind w:left="900" w:hanging="900"/>
        <w:tabs>
          <w:tab w:val="num" w:pos="900" w:leader="none"/>
        </w:tabs>
      </w:pPr>
      <w:rPr>
        <w:rFonts w:hint="eastAsia"/>
      </w:rPr>
    </w:lvl>
    <w:lvl w:ilvl="1">
      <w:start w:val="1"/>
      <w:numFmt w:val="decimal"/>
      <w:isLgl w:val="false"/>
      <w:suff w:val="tab"/>
      <w:lvlText w:val="%1.%2"/>
      <w:lvlJc w:val="left"/>
      <w:pPr>
        <w:pStyle w:val="9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5"/>
        <w:ind w:left="1980" w:hanging="900"/>
        <w:tabs>
          <w:tab w:val="num" w:pos="1980" w:leader="none"/>
        </w:tabs>
      </w:pPr>
      <w:rPr>
        <w:rFonts w:hint="eastAsia"/>
      </w:rPr>
    </w:lvl>
    <w:lvl w:ilvl="3">
      <w:start w:val="1"/>
      <w:numFmt w:val="decimal"/>
      <w:isLgl w:val="false"/>
      <w:suff w:val="tab"/>
      <w:lvlText w:val="%1.%2.%3.%4"/>
      <w:lvlJc w:val="left"/>
      <w:pPr>
        <w:pStyle w:val="995"/>
        <w:ind w:left="900" w:hanging="900"/>
        <w:tabs>
          <w:tab w:val="num" w:pos="900" w:leader="none"/>
        </w:tabs>
      </w:pPr>
      <w:rPr>
        <w:rFonts w:hint="eastAsia"/>
      </w:rPr>
    </w:lvl>
    <w:lvl w:ilvl="4">
      <w:start w:val="1"/>
      <w:numFmt w:val="decimal"/>
      <w:isLgl w:val="false"/>
      <w:suff w:val="tab"/>
      <w:lvlText w:val="%1.%2.%3.%4.%5"/>
      <w:lvlJc w:val="left"/>
      <w:pPr>
        <w:pStyle w:val="995"/>
        <w:ind w:left="900" w:hanging="900"/>
        <w:tabs>
          <w:tab w:val="num" w:pos="900" w:leader="none"/>
        </w:tabs>
      </w:pPr>
      <w:rPr>
        <w:rFonts w:hint="eastAsia"/>
      </w:rPr>
    </w:lvl>
    <w:lvl w:ilvl="5">
      <w:start w:val="1"/>
      <w:numFmt w:val="decimal"/>
      <w:isLgl w:val="false"/>
      <w:suff w:val="tab"/>
      <w:lvlText w:val="%1.%2.%3.%4.%5.%6"/>
      <w:lvlJc w:val="left"/>
      <w:pPr>
        <w:pStyle w:val="995"/>
        <w:ind w:left="900" w:hanging="900"/>
        <w:tabs>
          <w:tab w:val="num" w:pos="900" w:leader="none"/>
        </w:tabs>
      </w:pPr>
      <w:rPr>
        <w:rFonts w:hint="eastAsia"/>
      </w:rPr>
    </w:lvl>
    <w:lvl w:ilvl="6">
      <w:start w:val="1"/>
      <w:numFmt w:val="decimal"/>
      <w:isLgl w:val="false"/>
      <w:suff w:val="tab"/>
      <w:lvlText w:val="%1.%2.%3.%4.%5.%6.%7"/>
      <w:lvlJc w:val="left"/>
      <w:pPr>
        <w:pStyle w:val="995"/>
        <w:ind w:left="900" w:hanging="900"/>
        <w:tabs>
          <w:tab w:val="num" w:pos="900" w:leader="none"/>
        </w:tabs>
      </w:pPr>
      <w:rPr>
        <w:rFonts w:hint="eastAsia"/>
      </w:rPr>
    </w:lvl>
    <w:lvl w:ilvl="7">
      <w:start w:val="1"/>
      <w:numFmt w:val="decimal"/>
      <w:isLgl w:val="false"/>
      <w:suff w:val="tab"/>
      <w:lvlText w:val="%1.%2.%3.%4.%5.%6.%7.%8"/>
      <w:lvlJc w:val="left"/>
      <w:pPr>
        <w:pStyle w:val="995"/>
        <w:ind w:left="900" w:hanging="900"/>
        <w:tabs>
          <w:tab w:val="num" w:pos="900" w:leader="none"/>
        </w:tabs>
      </w:pPr>
      <w:rPr>
        <w:rFonts w:hint="eastAsia"/>
      </w:rPr>
    </w:lvl>
    <w:lvl w:ilvl="8">
      <w:start w:val="1"/>
      <w:numFmt w:val="decimal"/>
      <w:isLgl w:val="false"/>
      <w:suff w:val="tab"/>
      <w:lvlText w:val="%1.%2.%3.%4.%5.%6.%7.%8.%9"/>
      <w:lvlJc w:val="left"/>
      <w:pPr>
        <w:pStyle w:val="995"/>
        <w:ind w:left="900" w:hanging="900"/>
        <w:tabs>
          <w:tab w:val="num" w:pos="900" w:leader="none"/>
        </w:tabs>
      </w:pPr>
      <w:rPr>
        <w:rFonts w:hint="eastAsia"/>
      </w:rPr>
    </w:lvl>
  </w:abstractNum>
  <w:abstractNum w:abstractNumId="7">
    <w:multiLevelType w:val="hybridMultilevel"/>
    <w:lvl w:ilvl="0">
      <w:start w:val="1"/>
      <w:numFmt w:val="decimal"/>
      <w:pStyle w:val="1346"/>
      <w:isLgl w:val="false"/>
      <w:suff w:val="tab"/>
      <w:lvlText w:val="%1)"/>
      <w:lvlJc w:val="left"/>
      <w:pPr>
        <w:pStyle w:val="995"/>
        <w:ind w:left="420" w:hanging="420"/>
      </w:pPr>
    </w:lvl>
    <w:lvl w:ilvl="1">
      <w:start w:val="1"/>
      <w:numFmt w:val="lowerLetter"/>
      <w:isLgl w:val="false"/>
      <w:suff w:val="tab"/>
      <w:lvlText w:val="%2)"/>
      <w:lvlJc w:val="left"/>
      <w:pPr>
        <w:pStyle w:val="995"/>
        <w:ind w:left="840" w:hanging="420"/>
      </w:pPr>
    </w:lvl>
    <w:lvl w:ilvl="2">
      <w:start w:val="1"/>
      <w:numFmt w:val="lowerRoman"/>
      <w:isLgl w:val="false"/>
      <w:suff w:val="tab"/>
      <w:lvlText w:val="%3."/>
      <w:lvlJc w:val="right"/>
      <w:pPr>
        <w:pStyle w:val="995"/>
        <w:ind w:left="1260" w:hanging="420"/>
      </w:pPr>
    </w:lvl>
    <w:lvl w:ilvl="3">
      <w:start w:val="1"/>
      <w:numFmt w:val="decimal"/>
      <w:isLgl w:val="false"/>
      <w:suff w:val="tab"/>
      <w:lvlText w:val="%4."/>
      <w:lvlJc w:val="left"/>
      <w:pPr>
        <w:pStyle w:val="995"/>
        <w:ind w:left="1680" w:hanging="420"/>
      </w:pPr>
    </w:lvl>
    <w:lvl w:ilvl="4">
      <w:start w:val="1"/>
      <w:numFmt w:val="lowerLetter"/>
      <w:isLgl w:val="false"/>
      <w:suff w:val="tab"/>
      <w:lvlText w:val="%5)"/>
      <w:lvlJc w:val="left"/>
      <w:pPr>
        <w:pStyle w:val="995"/>
        <w:ind w:left="2100" w:hanging="420"/>
      </w:pPr>
    </w:lvl>
    <w:lvl w:ilvl="5">
      <w:start w:val="1"/>
      <w:numFmt w:val="lowerRoman"/>
      <w:isLgl w:val="false"/>
      <w:suff w:val="tab"/>
      <w:lvlText w:val="%6."/>
      <w:lvlJc w:val="right"/>
      <w:pPr>
        <w:pStyle w:val="995"/>
        <w:ind w:left="2520" w:hanging="420"/>
      </w:pPr>
    </w:lvl>
    <w:lvl w:ilvl="6">
      <w:start w:val="1"/>
      <w:numFmt w:val="decimal"/>
      <w:isLgl w:val="false"/>
      <w:suff w:val="tab"/>
      <w:lvlText w:val="%7."/>
      <w:lvlJc w:val="left"/>
      <w:pPr>
        <w:pStyle w:val="995"/>
        <w:ind w:left="2940" w:hanging="420"/>
      </w:pPr>
    </w:lvl>
    <w:lvl w:ilvl="7">
      <w:start w:val="1"/>
      <w:numFmt w:val="lowerLetter"/>
      <w:isLgl w:val="false"/>
      <w:suff w:val="tab"/>
      <w:lvlText w:val="%8)"/>
      <w:lvlJc w:val="left"/>
      <w:pPr>
        <w:pStyle w:val="995"/>
        <w:ind w:left="3360" w:hanging="420"/>
      </w:pPr>
    </w:lvl>
    <w:lvl w:ilvl="8">
      <w:start w:val="1"/>
      <w:numFmt w:val="lowerRoman"/>
      <w:isLgl w:val="false"/>
      <w:suff w:val="tab"/>
      <w:lvlText w:val="%9."/>
      <w:lvlJc w:val="right"/>
      <w:pPr>
        <w:pStyle w:val="995"/>
        <w:ind w:left="3780" w:hanging="420"/>
      </w:pPr>
    </w:lvl>
  </w:abstractNum>
  <w:abstractNum w:abstractNumId="8">
    <w:multiLevelType w:val="hybridMultilevel"/>
    <w:lvl w:ilvl="0">
      <w:start w:val="1"/>
      <w:numFmt w:val="decimal"/>
      <w:pStyle w:val="1280"/>
      <w:isLgl w:val="false"/>
      <w:suff w:val="tab"/>
      <w:lvlText w:val="%1"/>
      <w:lvlJc w:val="left"/>
      <w:pPr>
        <w:pStyle w:val="995"/>
        <w:ind w:left="680" w:hanging="680"/>
      </w:pPr>
      <w:rPr>
        <w:rFonts w:hint="eastAsia" w:ascii="宋体" w:hAnsi="宋体" w:eastAsia="宋体"/>
      </w:rPr>
    </w:lvl>
    <w:lvl w:ilvl="1">
      <w:start w:val="1"/>
      <w:numFmt w:val="decimal"/>
      <w:pStyle w:val="1252"/>
      <w:isLgl w:val="false"/>
      <w:suff w:val="tab"/>
      <w:lvlText w:val="%1.%2"/>
      <w:lvlJc w:val="left"/>
      <w:pPr>
        <w:pStyle w:val="995"/>
        <w:ind w:left="851" w:hanging="851"/>
      </w:pPr>
      <w:rPr>
        <w:rFonts w:hint="eastAsia" w:ascii="宋体" w:hAnsi="宋体" w:eastAsia="宋体"/>
        <w:color w:val="000000"/>
      </w:rPr>
    </w:lvl>
    <w:lvl w:ilvl="2">
      <w:start w:val="1"/>
      <w:numFmt w:val="decimal"/>
      <w:pStyle w:val="1325"/>
      <w:isLgl w:val="false"/>
      <w:suff w:val="tab"/>
      <w:lvlText w:val="%1.%2.%3"/>
      <w:lvlJc w:val="left"/>
      <w:pPr>
        <w:pStyle w:val="995"/>
        <w:ind w:left="851" w:hanging="851"/>
      </w:pPr>
      <w:rPr>
        <w:rFonts w:hint="eastAsia"/>
      </w:rPr>
    </w:lvl>
    <w:lvl w:ilvl="3">
      <w:start w:val="1"/>
      <w:numFmt w:val="decimal"/>
      <w:isLgl w:val="false"/>
      <w:suff w:val="tab"/>
      <w:lvlText w:val="%1.%2.%3.%4"/>
      <w:lvlJc w:val="left"/>
      <w:pPr>
        <w:pStyle w:val="995"/>
        <w:ind w:left="680" w:hanging="680"/>
      </w:pPr>
      <w:rPr>
        <w:rFonts w:hint="eastAsia"/>
      </w:rPr>
    </w:lvl>
    <w:lvl w:ilvl="4">
      <w:start w:val="1"/>
      <w:numFmt w:val="decimal"/>
      <w:isLgl w:val="false"/>
      <w:suff w:val="tab"/>
      <w:lvlText w:val="%1.%2.%3.%4.%5"/>
      <w:lvlJc w:val="left"/>
      <w:pPr>
        <w:pStyle w:val="995"/>
        <w:ind w:left="680" w:hanging="680"/>
      </w:pPr>
      <w:rPr>
        <w:rFonts w:hint="eastAsia"/>
      </w:rPr>
    </w:lvl>
    <w:lvl w:ilvl="5">
      <w:start w:val="1"/>
      <w:numFmt w:val="decimal"/>
      <w:isLgl w:val="false"/>
      <w:suff w:val="tab"/>
      <w:lvlText w:val="%1.%2.%3.%4.%5.%6"/>
      <w:lvlJc w:val="left"/>
      <w:pPr>
        <w:pStyle w:val="995"/>
        <w:ind w:left="680" w:hanging="680"/>
      </w:pPr>
      <w:rPr>
        <w:rFonts w:hint="eastAsia"/>
      </w:rPr>
    </w:lvl>
    <w:lvl w:ilvl="6">
      <w:start w:val="1"/>
      <w:numFmt w:val="decimal"/>
      <w:isLgl w:val="false"/>
      <w:suff w:val="tab"/>
      <w:lvlText w:val="%1.%2.%3.%4.%5.%6.%7"/>
      <w:lvlJc w:val="left"/>
      <w:pPr>
        <w:pStyle w:val="995"/>
        <w:ind w:left="680" w:hanging="680"/>
      </w:pPr>
      <w:rPr>
        <w:rFonts w:hint="eastAsia"/>
      </w:rPr>
    </w:lvl>
    <w:lvl w:ilvl="7">
      <w:start w:val="1"/>
      <w:numFmt w:val="decimal"/>
      <w:isLgl w:val="false"/>
      <w:suff w:val="tab"/>
      <w:lvlText w:val="%1.%2.%3.%4.%5.%6.%7.%8"/>
      <w:lvlJc w:val="left"/>
      <w:pPr>
        <w:pStyle w:val="995"/>
        <w:ind w:left="680" w:hanging="680"/>
      </w:pPr>
      <w:rPr>
        <w:rFonts w:hint="eastAsia"/>
      </w:rPr>
    </w:lvl>
    <w:lvl w:ilvl="8">
      <w:start w:val="1"/>
      <w:numFmt w:val="decimal"/>
      <w:isLgl w:val="false"/>
      <w:suff w:val="tab"/>
      <w:lvlText w:val="%1.%2.%3.%4.%5.%6.%7.%8.%9"/>
      <w:lvlJc w:val="left"/>
      <w:pPr>
        <w:pStyle w:val="995"/>
        <w:ind w:left="680" w:hanging="680"/>
      </w:pPr>
      <w:rPr>
        <w:rFonts w:hint="eastAsia"/>
      </w:rPr>
    </w:lvl>
  </w:abstractNum>
  <w:abstractNum w:abstractNumId="9">
    <w:multiLevelType w:val="hybridMultilevel"/>
    <w:lvl w:ilvl="0">
      <w:start w:val="1"/>
      <w:numFmt w:val="decimal"/>
      <w:isLgl w:val="false"/>
      <w:suff w:val="tab"/>
      <w:lvlText w:val="%1"/>
      <w:lvlJc w:val="left"/>
      <w:pPr>
        <w:pStyle w:val="995"/>
        <w:ind w:left="900" w:hanging="900"/>
        <w:tabs>
          <w:tab w:val="num" w:pos="900" w:leader="none"/>
        </w:tabs>
      </w:pPr>
      <w:rPr>
        <w:rFonts w:hint="eastAsia"/>
      </w:rPr>
    </w:lvl>
    <w:lvl w:ilvl="1">
      <w:start w:val="1"/>
      <w:numFmt w:val="decimal"/>
      <w:isLgl w:val="false"/>
      <w:suff w:val="tab"/>
      <w:lvlText w:val="%1.%2"/>
      <w:lvlJc w:val="left"/>
      <w:pPr>
        <w:pStyle w:val="9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5"/>
        <w:ind w:left="1980" w:hanging="900"/>
        <w:tabs>
          <w:tab w:val="num" w:pos="1980" w:leader="none"/>
        </w:tabs>
      </w:pPr>
      <w:rPr>
        <w:rFonts w:hint="eastAsia"/>
      </w:rPr>
    </w:lvl>
    <w:lvl w:ilvl="3">
      <w:start w:val="1"/>
      <w:numFmt w:val="decimal"/>
      <w:isLgl w:val="false"/>
      <w:suff w:val="tab"/>
      <w:lvlText w:val="%1.%2.%3.%4"/>
      <w:lvlJc w:val="left"/>
      <w:pPr>
        <w:pStyle w:val="995"/>
        <w:ind w:left="900" w:hanging="900"/>
        <w:tabs>
          <w:tab w:val="num" w:pos="900" w:leader="none"/>
        </w:tabs>
      </w:pPr>
      <w:rPr>
        <w:rFonts w:hint="eastAsia"/>
      </w:rPr>
    </w:lvl>
    <w:lvl w:ilvl="4">
      <w:start w:val="1"/>
      <w:numFmt w:val="decimal"/>
      <w:isLgl w:val="false"/>
      <w:suff w:val="tab"/>
      <w:lvlText w:val="%1.%2.%3.%4.%5"/>
      <w:lvlJc w:val="left"/>
      <w:pPr>
        <w:pStyle w:val="995"/>
        <w:ind w:left="900" w:hanging="900"/>
        <w:tabs>
          <w:tab w:val="num" w:pos="900" w:leader="none"/>
        </w:tabs>
      </w:pPr>
      <w:rPr>
        <w:rFonts w:hint="eastAsia"/>
      </w:rPr>
    </w:lvl>
    <w:lvl w:ilvl="5">
      <w:start w:val="1"/>
      <w:numFmt w:val="decimal"/>
      <w:isLgl w:val="false"/>
      <w:suff w:val="tab"/>
      <w:lvlText w:val="%1.%2.%3.%4.%5.%6"/>
      <w:lvlJc w:val="left"/>
      <w:pPr>
        <w:pStyle w:val="995"/>
        <w:ind w:left="900" w:hanging="900"/>
        <w:tabs>
          <w:tab w:val="num" w:pos="900" w:leader="none"/>
        </w:tabs>
      </w:pPr>
      <w:rPr>
        <w:rFonts w:hint="eastAsia"/>
      </w:rPr>
    </w:lvl>
    <w:lvl w:ilvl="6">
      <w:start w:val="1"/>
      <w:numFmt w:val="decimal"/>
      <w:isLgl w:val="false"/>
      <w:suff w:val="tab"/>
      <w:lvlText w:val="%1.%2.%3.%4.%5.%6.%7"/>
      <w:lvlJc w:val="left"/>
      <w:pPr>
        <w:pStyle w:val="995"/>
        <w:ind w:left="900" w:hanging="900"/>
        <w:tabs>
          <w:tab w:val="num" w:pos="900" w:leader="none"/>
        </w:tabs>
      </w:pPr>
      <w:rPr>
        <w:rFonts w:hint="eastAsia"/>
      </w:rPr>
    </w:lvl>
    <w:lvl w:ilvl="7">
      <w:start w:val="1"/>
      <w:numFmt w:val="decimal"/>
      <w:isLgl w:val="false"/>
      <w:suff w:val="tab"/>
      <w:lvlText w:val="%1.%2.%3.%4.%5.%6.%7.%8"/>
      <w:lvlJc w:val="left"/>
      <w:pPr>
        <w:pStyle w:val="995"/>
        <w:ind w:left="900" w:hanging="900"/>
        <w:tabs>
          <w:tab w:val="num" w:pos="900" w:leader="none"/>
        </w:tabs>
      </w:pPr>
      <w:rPr>
        <w:rFonts w:hint="eastAsia"/>
      </w:rPr>
    </w:lvl>
    <w:lvl w:ilvl="8">
      <w:start w:val="1"/>
      <w:numFmt w:val="decimal"/>
      <w:isLgl w:val="false"/>
      <w:suff w:val="tab"/>
      <w:lvlText w:val="%1.%2.%3.%4.%5.%6.%7.%8.%9"/>
      <w:lvlJc w:val="left"/>
      <w:pPr>
        <w:pStyle w:val="995"/>
        <w:ind w:left="900" w:hanging="900"/>
        <w:tabs>
          <w:tab w:val="num" w:pos="900" w:leader="none"/>
        </w:tabs>
      </w:pPr>
      <w:rPr>
        <w:rFonts w:hint="eastAsia"/>
      </w:rPr>
    </w:lvl>
  </w:abstractNum>
  <w:abstractNum w:abstractNumId="10">
    <w:multiLevelType w:val="hybridMultilevel"/>
    <w:lvl w:ilvl="0">
      <w:start w:val="1"/>
      <w:numFmt w:val="bullet"/>
      <w:pStyle w:val="1250"/>
      <w:isLgl w:val="false"/>
      <w:suff w:val="tab"/>
      <w:lvlText w:val=""/>
      <w:lvlJc w:val="left"/>
      <w:pPr>
        <w:pStyle w:val="995"/>
        <w:ind w:left="902" w:hanging="420"/>
      </w:pPr>
      <w:rPr>
        <w:rFonts w:ascii="Wingdings" w:hAnsi="Wingdings"/>
      </w:rPr>
    </w:lvl>
    <w:lvl w:ilvl="1">
      <w:start w:val="1"/>
      <w:numFmt w:val="bullet"/>
      <w:isLgl w:val="false"/>
      <w:suff w:val="tab"/>
      <w:lvlText w:val=""/>
      <w:lvlJc w:val="left"/>
      <w:pPr>
        <w:pStyle w:val="995"/>
        <w:ind w:left="840" w:hanging="420"/>
      </w:pPr>
      <w:rPr>
        <w:rFonts w:ascii="Wingdings" w:hAnsi="Wingdings"/>
      </w:rPr>
    </w:lvl>
    <w:lvl w:ilvl="2">
      <w:start w:val="1"/>
      <w:numFmt w:val="bullet"/>
      <w:isLgl w:val="false"/>
      <w:suff w:val="tab"/>
      <w:lvlText w:val=""/>
      <w:lvlJc w:val="left"/>
      <w:pPr>
        <w:pStyle w:val="995"/>
        <w:ind w:left="1260" w:hanging="420"/>
      </w:pPr>
      <w:rPr>
        <w:rFonts w:ascii="Wingdings" w:hAnsi="Wingdings"/>
      </w:rPr>
    </w:lvl>
    <w:lvl w:ilvl="3">
      <w:start w:val="1"/>
      <w:numFmt w:val="bullet"/>
      <w:isLgl w:val="false"/>
      <w:suff w:val="tab"/>
      <w:lvlText w:val=""/>
      <w:lvlJc w:val="left"/>
      <w:pPr>
        <w:pStyle w:val="995"/>
        <w:ind w:left="1680" w:hanging="420"/>
      </w:pPr>
      <w:rPr>
        <w:rFonts w:ascii="Wingdings" w:hAnsi="Wingdings"/>
      </w:rPr>
    </w:lvl>
    <w:lvl w:ilvl="4">
      <w:start w:val="1"/>
      <w:numFmt w:val="bullet"/>
      <w:isLgl w:val="false"/>
      <w:suff w:val="tab"/>
      <w:lvlText w:val=""/>
      <w:lvlJc w:val="left"/>
      <w:pPr>
        <w:pStyle w:val="995"/>
        <w:ind w:left="2100" w:hanging="420"/>
      </w:pPr>
      <w:rPr>
        <w:rFonts w:ascii="Wingdings" w:hAnsi="Wingdings"/>
      </w:rPr>
    </w:lvl>
    <w:lvl w:ilvl="5">
      <w:start w:val="1"/>
      <w:numFmt w:val="bullet"/>
      <w:isLgl w:val="false"/>
      <w:suff w:val="tab"/>
      <w:lvlText w:val=""/>
      <w:lvlJc w:val="left"/>
      <w:pPr>
        <w:pStyle w:val="995"/>
        <w:ind w:left="2520" w:hanging="420"/>
      </w:pPr>
      <w:rPr>
        <w:rFonts w:ascii="Wingdings" w:hAnsi="Wingdings"/>
      </w:rPr>
    </w:lvl>
    <w:lvl w:ilvl="6">
      <w:start w:val="1"/>
      <w:numFmt w:val="bullet"/>
      <w:isLgl w:val="false"/>
      <w:suff w:val="tab"/>
      <w:lvlText w:val=""/>
      <w:lvlJc w:val="left"/>
      <w:pPr>
        <w:pStyle w:val="995"/>
        <w:ind w:left="2940" w:hanging="420"/>
      </w:pPr>
      <w:rPr>
        <w:rFonts w:ascii="Wingdings" w:hAnsi="Wingdings"/>
      </w:rPr>
    </w:lvl>
    <w:lvl w:ilvl="7">
      <w:start w:val="1"/>
      <w:numFmt w:val="bullet"/>
      <w:isLgl w:val="false"/>
      <w:suff w:val="tab"/>
      <w:lvlText w:val=""/>
      <w:lvlJc w:val="left"/>
      <w:pPr>
        <w:pStyle w:val="995"/>
        <w:ind w:left="3360" w:hanging="420"/>
      </w:pPr>
      <w:rPr>
        <w:rFonts w:ascii="Wingdings" w:hAnsi="Wingdings"/>
      </w:rPr>
    </w:lvl>
    <w:lvl w:ilvl="8">
      <w:start w:val="1"/>
      <w:numFmt w:val="bullet"/>
      <w:isLgl w:val="false"/>
      <w:suff w:val="tab"/>
      <w:lvlText w:val=""/>
      <w:lvlJc w:val="left"/>
      <w:pPr>
        <w:pStyle w:val="995"/>
        <w:ind w:left="3780" w:hanging="420"/>
      </w:pPr>
      <w:rPr>
        <w:rFonts w:ascii="Wingdings" w:hAnsi="Wingdings"/>
      </w:rPr>
    </w:lvl>
  </w:abstractNum>
  <w:abstractNum w:abstractNumId="11">
    <w:multiLevelType w:val="hybridMultilevel"/>
    <w:lvl w:ilvl="0">
      <w:start w:val="1"/>
      <w:numFmt w:val="decimal"/>
      <w:isLgl w:val="false"/>
      <w:suff w:val="tab"/>
      <w:lvlText w:val="%1"/>
      <w:lvlJc w:val="left"/>
      <w:pPr>
        <w:pStyle w:val="995"/>
        <w:ind w:left="900" w:hanging="900"/>
        <w:tabs>
          <w:tab w:val="num" w:pos="900" w:leader="none"/>
        </w:tabs>
      </w:pPr>
      <w:rPr>
        <w:rFonts w:hint="eastAsia"/>
      </w:rPr>
    </w:lvl>
    <w:lvl w:ilvl="1">
      <w:start w:val="1"/>
      <w:numFmt w:val="decimal"/>
      <w:isLgl w:val="false"/>
      <w:suff w:val="tab"/>
      <w:lvlText w:val="%1.%2"/>
      <w:lvlJc w:val="left"/>
      <w:pPr>
        <w:pStyle w:val="9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5"/>
        <w:ind w:left="1980" w:hanging="900"/>
        <w:tabs>
          <w:tab w:val="num" w:pos="1980" w:leader="none"/>
        </w:tabs>
      </w:pPr>
      <w:rPr>
        <w:rFonts w:hint="eastAsia"/>
      </w:rPr>
    </w:lvl>
    <w:lvl w:ilvl="3">
      <w:start w:val="1"/>
      <w:numFmt w:val="decimal"/>
      <w:isLgl w:val="false"/>
      <w:suff w:val="tab"/>
      <w:lvlText w:val="%1.%2.%3.%4"/>
      <w:lvlJc w:val="left"/>
      <w:pPr>
        <w:pStyle w:val="995"/>
        <w:ind w:left="900" w:hanging="900"/>
        <w:tabs>
          <w:tab w:val="num" w:pos="900" w:leader="none"/>
        </w:tabs>
      </w:pPr>
      <w:rPr>
        <w:rFonts w:hint="eastAsia"/>
      </w:rPr>
    </w:lvl>
    <w:lvl w:ilvl="4">
      <w:start w:val="1"/>
      <w:numFmt w:val="decimal"/>
      <w:isLgl w:val="false"/>
      <w:suff w:val="tab"/>
      <w:lvlText w:val="%1.%2.%3.%4.%5"/>
      <w:lvlJc w:val="left"/>
      <w:pPr>
        <w:pStyle w:val="995"/>
        <w:ind w:left="900" w:hanging="900"/>
        <w:tabs>
          <w:tab w:val="num" w:pos="900" w:leader="none"/>
        </w:tabs>
      </w:pPr>
      <w:rPr>
        <w:rFonts w:hint="eastAsia"/>
      </w:rPr>
    </w:lvl>
    <w:lvl w:ilvl="5">
      <w:start w:val="1"/>
      <w:numFmt w:val="decimal"/>
      <w:isLgl w:val="false"/>
      <w:suff w:val="tab"/>
      <w:lvlText w:val="%1.%2.%3.%4.%5.%6"/>
      <w:lvlJc w:val="left"/>
      <w:pPr>
        <w:pStyle w:val="995"/>
        <w:ind w:left="900" w:hanging="900"/>
        <w:tabs>
          <w:tab w:val="num" w:pos="900" w:leader="none"/>
        </w:tabs>
      </w:pPr>
      <w:rPr>
        <w:rFonts w:hint="eastAsia"/>
      </w:rPr>
    </w:lvl>
    <w:lvl w:ilvl="6">
      <w:start w:val="1"/>
      <w:numFmt w:val="decimal"/>
      <w:isLgl w:val="false"/>
      <w:suff w:val="tab"/>
      <w:lvlText w:val="%1.%2.%3.%4.%5.%6.%7"/>
      <w:lvlJc w:val="left"/>
      <w:pPr>
        <w:pStyle w:val="995"/>
        <w:ind w:left="900" w:hanging="900"/>
        <w:tabs>
          <w:tab w:val="num" w:pos="900" w:leader="none"/>
        </w:tabs>
      </w:pPr>
      <w:rPr>
        <w:rFonts w:hint="eastAsia"/>
      </w:rPr>
    </w:lvl>
    <w:lvl w:ilvl="7">
      <w:start w:val="1"/>
      <w:numFmt w:val="decimal"/>
      <w:isLgl w:val="false"/>
      <w:suff w:val="tab"/>
      <w:lvlText w:val="%1.%2.%3.%4.%5.%6.%7.%8"/>
      <w:lvlJc w:val="left"/>
      <w:pPr>
        <w:pStyle w:val="995"/>
        <w:ind w:left="900" w:hanging="900"/>
        <w:tabs>
          <w:tab w:val="num" w:pos="900" w:leader="none"/>
        </w:tabs>
      </w:pPr>
      <w:rPr>
        <w:rFonts w:hint="eastAsia"/>
      </w:rPr>
    </w:lvl>
    <w:lvl w:ilvl="8">
      <w:start w:val="1"/>
      <w:numFmt w:val="decimal"/>
      <w:isLgl w:val="false"/>
      <w:suff w:val="tab"/>
      <w:lvlText w:val="%1.%2.%3.%4.%5.%6.%7.%8.%9"/>
      <w:lvlJc w:val="left"/>
      <w:pPr>
        <w:pStyle w:val="99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95"/>
        <w:ind w:left="900" w:hanging="900"/>
        <w:tabs>
          <w:tab w:val="num" w:pos="900" w:leader="none"/>
        </w:tabs>
      </w:pPr>
      <w:rPr>
        <w:rFonts w:hint="eastAsia"/>
      </w:rPr>
    </w:lvl>
    <w:lvl w:ilvl="1">
      <w:start w:val="1"/>
      <w:numFmt w:val="decimal"/>
      <w:isLgl w:val="false"/>
      <w:suff w:val="tab"/>
      <w:lvlText w:val="%1.%2"/>
      <w:lvlJc w:val="left"/>
      <w:pPr>
        <w:pStyle w:val="9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5"/>
        <w:ind w:left="1980" w:hanging="900"/>
        <w:tabs>
          <w:tab w:val="num" w:pos="1980" w:leader="none"/>
        </w:tabs>
      </w:pPr>
      <w:rPr>
        <w:rFonts w:hint="eastAsia"/>
      </w:rPr>
    </w:lvl>
    <w:lvl w:ilvl="3">
      <w:start w:val="1"/>
      <w:numFmt w:val="decimal"/>
      <w:isLgl w:val="false"/>
      <w:suff w:val="tab"/>
      <w:lvlText w:val="%1.%2.%3.%4"/>
      <w:lvlJc w:val="left"/>
      <w:pPr>
        <w:pStyle w:val="995"/>
        <w:ind w:left="900" w:hanging="900"/>
        <w:tabs>
          <w:tab w:val="num" w:pos="900" w:leader="none"/>
        </w:tabs>
      </w:pPr>
      <w:rPr>
        <w:rFonts w:hint="eastAsia"/>
      </w:rPr>
    </w:lvl>
    <w:lvl w:ilvl="4">
      <w:start w:val="1"/>
      <w:numFmt w:val="decimal"/>
      <w:isLgl w:val="false"/>
      <w:suff w:val="tab"/>
      <w:lvlText w:val="%1.%2.%3.%4.%5"/>
      <w:lvlJc w:val="left"/>
      <w:pPr>
        <w:pStyle w:val="995"/>
        <w:ind w:left="900" w:hanging="900"/>
        <w:tabs>
          <w:tab w:val="num" w:pos="900" w:leader="none"/>
        </w:tabs>
      </w:pPr>
      <w:rPr>
        <w:rFonts w:hint="eastAsia"/>
      </w:rPr>
    </w:lvl>
    <w:lvl w:ilvl="5">
      <w:start w:val="1"/>
      <w:numFmt w:val="decimal"/>
      <w:isLgl w:val="false"/>
      <w:suff w:val="tab"/>
      <w:lvlText w:val="%1.%2.%3.%4.%5.%6"/>
      <w:lvlJc w:val="left"/>
      <w:pPr>
        <w:pStyle w:val="995"/>
        <w:ind w:left="900" w:hanging="900"/>
        <w:tabs>
          <w:tab w:val="num" w:pos="900" w:leader="none"/>
        </w:tabs>
      </w:pPr>
      <w:rPr>
        <w:rFonts w:hint="eastAsia"/>
      </w:rPr>
    </w:lvl>
    <w:lvl w:ilvl="6">
      <w:start w:val="1"/>
      <w:numFmt w:val="decimal"/>
      <w:isLgl w:val="false"/>
      <w:suff w:val="tab"/>
      <w:lvlText w:val="%1.%2.%3.%4.%5.%6.%7"/>
      <w:lvlJc w:val="left"/>
      <w:pPr>
        <w:pStyle w:val="995"/>
        <w:ind w:left="900" w:hanging="900"/>
        <w:tabs>
          <w:tab w:val="num" w:pos="900" w:leader="none"/>
        </w:tabs>
      </w:pPr>
      <w:rPr>
        <w:rFonts w:hint="eastAsia"/>
      </w:rPr>
    </w:lvl>
    <w:lvl w:ilvl="7">
      <w:start w:val="1"/>
      <w:numFmt w:val="decimal"/>
      <w:isLgl w:val="false"/>
      <w:suff w:val="tab"/>
      <w:lvlText w:val="%1.%2.%3.%4.%5.%6.%7.%8"/>
      <w:lvlJc w:val="left"/>
      <w:pPr>
        <w:pStyle w:val="995"/>
        <w:ind w:left="900" w:hanging="900"/>
        <w:tabs>
          <w:tab w:val="num" w:pos="900" w:leader="none"/>
        </w:tabs>
      </w:pPr>
      <w:rPr>
        <w:rFonts w:hint="eastAsia"/>
      </w:rPr>
    </w:lvl>
    <w:lvl w:ilvl="8">
      <w:start w:val="1"/>
      <w:numFmt w:val="decimal"/>
      <w:isLgl w:val="false"/>
      <w:suff w:val="tab"/>
      <w:lvlText w:val="%1.%2.%3.%4.%5.%6.%7.%8.%9"/>
      <w:lvlJc w:val="left"/>
      <w:pPr>
        <w:pStyle w:val="995"/>
        <w:ind w:left="900" w:hanging="900"/>
        <w:tabs>
          <w:tab w:val="num" w:pos="900" w:leader="none"/>
        </w:tabs>
      </w:pPr>
      <w:rPr>
        <w:rFonts w:hint="eastAsia"/>
      </w:rPr>
    </w:lvl>
  </w:abstractNum>
  <w:abstractNum w:abstractNumId="13">
    <w:multiLevelType w:val="hybridMultilevel"/>
    <w:lvl w:ilvl="0">
      <w:start w:val="1"/>
      <w:numFmt w:val="bullet"/>
      <w:pStyle w:val="1288"/>
      <w:isLgl w:val="false"/>
      <w:suff w:val="tab"/>
      <w:lvlText w:val=""/>
      <w:lvlJc w:val="left"/>
      <w:pPr>
        <w:pStyle w:val="995"/>
        <w:ind w:left="902" w:hanging="420"/>
      </w:pPr>
      <w:rPr>
        <w:rFonts w:ascii="Wingdings" w:hAnsi="Wingdings"/>
      </w:rPr>
    </w:lvl>
    <w:lvl w:ilvl="1">
      <w:start w:val="1"/>
      <w:numFmt w:val="bullet"/>
      <w:isLgl w:val="false"/>
      <w:suff w:val="tab"/>
      <w:lvlText w:val=""/>
      <w:lvlJc w:val="left"/>
      <w:pPr>
        <w:pStyle w:val="995"/>
        <w:ind w:left="1322" w:hanging="420"/>
      </w:pPr>
      <w:rPr>
        <w:rFonts w:ascii="Wingdings" w:hAnsi="Wingdings"/>
      </w:rPr>
    </w:lvl>
    <w:lvl w:ilvl="2">
      <w:start w:val="1"/>
      <w:numFmt w:val="bullet"/>
      <w:isLgl w:val="false"/>
      <w:suff w:val="tab"/>
      <w:lvlText w:val=""/>
      <w:lvlJc w:val="left"/>
      <w:pPr>
        <w:pStyle w:val="995"/>
        <w:ind w:left="1742" w:hanging="420"/>
      </w:pPr>
      <w:rPr>
        <w:rFonts w:ascii="Wingdings" w:hAnsi="Wingdings"/>
      </w:rPr>
    </w:lvl>
    <w:lvl w:ilvl="3">
      <w:start w:val="1"/>
      <w:numFmt w:val="bullet"/>
      <w:isLgl w:val="false"/>
      <w:suff w:val="tab"/>
      <w:lvlText w:val=""/>
      <w:lvlJc w:val="left"/>
      <w:pPr>
        <w:pStyle w:val="995"/>
        <w:ind w:left="2162" w:hanging="420"/>
      </w:pPr>
      <w:rPr>
        <w:rFonts w:ascii="Wingdings" w:hAnsi="Wingdings"/>
      </w:rPr>
    </w:lvl>
    <w:lvl w:ilvl="4">
      <w:start w:val="1"/>
      <w:numFmt w:val="bullet"/>
      <w:isLgl w:val="false"/>
      <w:suff w:val="tab"/>
      <w:lvlText w:val=""/>
      <w:lvlJc w:val="left"/>
      <w:pPr>
        <w:pStyle w:val="995"/>
        <w:ind w:left="2582" w:hanging="420"/>
      </w:pPr>
      <w:rPr>
        <w:rFonts w:ascii="Wingdings" w:hAnsi="Wingdings"/>
      </w:rPr>
    </w:lvl>
    <w:lvl w:ilvl="5">
      <w:start w:val="1"/>
      <w:numFmt w:val="bullet"/>
      <w:isLgl w:val="false"/>
      <w:suff w:val="tab"/>
      <w:lvlText w:val=""/>
      <w:lvlJc w:val="left"/>
      <w:pPr>
        <w:pStyle w:val="995"/>
        <w:ind w:left="3002" w:hanging="420"/>
      </w:pPr>
      <w:rPr>
        <w:rFonts w:ascii="Wingdings" w:hAnsi="Wingdings"/>
      </w:rPr>
    </w:lvl>
    <w:lvl w:ilvl="6">
      <w:start w:val="1"/>
      <w:numFmt w:val="bullet"/>
      <w:isLgl w:val="false"/>
      <w:suff w:val="tab"/>
      <w:lvlText w:val=""/>
      <w:lvlJc w:val="left"/>
      <w:pPr>
        <w:pStyle w:val="995"/>
        <w:ind w:left="3422" w:hanging="420"/>
      </w:pPr>
      <w:rPr>
        <w:rFonts w:ascii="Wingdings" w:hAnsi="Wingdings"/>
      </w:rPr>
    </w:lvl>
    <w:lvl w:ilvl="7">
      <w:start w:val="1"/>
      <w:numFmt w:val="bullet"/>
      <w:isLgl w:val="false"/>
      <w:suff w:val="tab"/>
      <w:lvlText w:val=""/>
      <w:lvlJc w:val="left"/>
      <w:pPr>
        <w:pStyle w:val="995"/>
        <w:ind w:left="3842" w:hanging="420"/>
      </w:pPr>
      <w:rPr>
        <w:rFonts w:ascii="Wingdings" w:hAnsi="Wingdings"/>
      </w:rPr>
    </w:lvl>
    <w:lvl w:ilvl="8">
      <w:start w:val="1"/>
      <w:numFmt w:val="bullet"/>
      <w:isLgl w:val="false"/>
      <w:suff w:val="tab"/>
      <w:lvlText w:val=""/>
      <w:lvlJc w:val="left"/>
      <w:pPr>
        <w:pStyle w:val="995"/>
        <w:ind w:left="4262" w:hanging="420"/>
      </w:pPr>
      <w:rPr>
        <w:rFonts w:ascii="Wingdings" w:hAnsi="Wingdings"/>
      </w:rPr>
    </w:lvl>
  </w:abstractNum>
  <w:abstractNum w:abstractNumId="14">
    <w:multiLevelType w:val="hybridMultilevel"/>
    <w:lvl w:ilvl="0">
      <w:start w:val="1"/>
      <w:numFmt w:val="decimal"/>
      <w:isLgl w:val="false"/>
      <w:suff w:val="tab"/>
      <w:lvlText w:val="%1"/>
      <w:lvlJc w:val="left"/>
      <w:pPr>
        <w:pStyle w:val="995"/>
        <w:ind w:left="900" w:hanging="900"/>
        <w:tabs>
          <w:tab w:val="num" w:pos="900" w:leader="none"/>
        </w:tabs>
      </w:pPr>
      <w:rPr>
        <w:rFonts w:hint="eastAsia"/>
      </w:rPr>
    </w:lvl>
    <w:lvl w:ilvl="1">
      <w:start w:val="1"/>
      <w:numFmt w:val="decimal"/>
      <w:isLgl w:val="false"/>
      <w:suff w:val="tab"/>
      <w:lvlText w:val="%1.%2"/>
      <w:lvlJc w:val="left"/>
      <w:pPr>
        <w:pStyle w:val="9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5"/>
        <w:ind w:left="1980" w:hanging="900"/>
        <w:tabs>
          <w:tab w:val="num" w:pos="1980" w:leader="none"/>
        </w:tabs>
      </w:pPr>
      <w:rPr>
        <w:rFonts w:hint="eastAsia"/>
      </w:rPr>
    </w:lvl>
    <w:lvl w:ilvl="3">
      <w:start w:val="1"/>
      <w:numFmt w:val="decimal"/>
      <w:isLgl w:val="false"/>
      <w:suff w:val="tab"/>
      <w:lvlText w:val="%1.%2.%3.%4"/>
      <w:lvlJc w:val="left"/>
      <w:pPr>
        <w:pStyle w:val="995"/>
        <w:ind w:left="900" w:hanging="900"/>
        <w:tabs>
          <w:tab w:val="num" w:pos="900" w:leader="none"/>
        </w:tabs>
      </w:pPr>
      <w:rPr>
        <w:rFonts w:hint="eastAsia"/>
      </w:rPr>
    </w:lvl>
    <w:lvl w:ilvl="4">
      <w:start w:val="1"/>
      <w:numFmt w:val="decimal"/>
      <w:isLgl w:val="false"/>
      <w:suff w:val="tab"/>
      <w:lvlText w:val="%1.%2.%3.%4.%5"/>
      <w:lvlJc w:val="left"/>
      <w:pPr>
        <w:pStyle w:val="995"/>
        <w:ind w:left="900" w:hanging="900"/>
        <w:tabs>
          <w:tab w:val="num" w:pos="900" w:leader="none"/>
        </w:tabs>
      </w:pPr>
      <w:rPr>
        <w:rFonts w:hint="eastAsia"/>
      </w:rPr>
    </w:lvl>
    <w:lvl w:ilvl="5">
      <w:start w:val="1"/>
      <w:numFmt w:val="decimal"/>
      <w:isLgl w:val="false"/>
      <w:suff w:val="tab"/>
      <w:lvlText w:val="%1.%2.%3.%4.%5.%6"/>
      <w:lvlJc w:val="left"/>
      <w:pPr>
        <w:pStyle w:val="995"/>
        <w:ind w:left="900" w:hanging="900"/>
        <w:tabs>
          <w:tab w:val="num" w:pos="900" w:leader="none"/>
        </w:tabs>
      </w:pPr>
      <w:rPr>
        <w:rFonts w:hint="eastAsia"/>
      </w:rPr>
    </w:lvl>
    <w:lvl w:ilvl="6">
      <w:start w:val="1"/>
      <w:numFmt w:val="decimal"/>
      <w:isLgl w:val="false"/>
      <w:suff w:val="tab"/>
      <w:lvlText w:val="%1.%2.%3.%4.%5.%6.%7"/>
      <w:lvlJc w:val="left"/>
      <w:pPr>
        <w:pStyle w:val="995"/>
        <w:ind w:left="900" w:hanging="900"/>
        <w:tabs>
          <w:tab w:val="num" w:pos="900" w:leader="none"/>
        </w:tabs>
      </w:pPr>
      <w:rPr>
        <w:rFonts w:hint="eastAsia"/>
      </w:rPr>
    </w:lvl>
    <w:lvl w:ilvl="7">
      <w:start w:val="1"/>
      <w:numFmt w:val="decimal"/>
      <w:isLgl w:val="false"/>
      <w:suff w:val="tab"/>
      <w:lvlText w:val="%1.%2.%3.%4.%5.%6.%7.%8"/>
      <w:lvlJc w:val="left"/>
      <w:pPr>
        <w:pStyle w:val="995"/>
        <w:ind w:left="900" w:hanging="900"/>
        <w:tabs>
          <w:tab w:val="num" w:pos="900" w:leader="none"/>
        </w:tabs>
      </w:pPr>
      <w:rPr>
        <w:rFonts w:hint="eastAsia"/>
      </w:rPr>
    </w:lvl>
    <w:lvl w:ilvl="8">
      <w:start w:val="1"/>
      <w:numFmt w:val="decimal"/>
      <w:isLgl w:val="false"/>
      <w:suff w:val="tab"/>
      <w:lvlText w:val="%1.%2.%3.%4.%5.%6.%7.%8.%9"/>
      <w:lvlJc w:val="left"/>
      <w:pPr>
        <w:pStyle w:val="995"/>
        <w:ind w:left="900" w:hanging="900"/>
        <w:tabs>
          <w:tab w:val="num" w:pos="900" w:leader="none"/>
        </w:tabs>
      </w:pPr>
      <w:rPr>
        <w:rFonts w:hint="eastAsia"/>
      </w:rPr>
    </w:lvl>
  </w:abstractNum>
  <w:num w:numId="1">
    <w:abstractNumId w:val="10"/>
  </w:num>
  <w:num w:numId="2">
    <w:abstractNumId w:val="8"/>
  </w:num>
  <w:num w:numId="3">
    <w:abstractNumId w:val="3"/>
  </w:num>
  <w:num w:numId="4">
    <w:abstractNumId w:val="2"/>
  </w:num>
  <w:num w:numId="5">
    <w:abstractNumId w:val="13"/>
  </w:num>
  <w:num w:numId="6">
    <w:abstractNumId w:val="4"/>
  </w:num>
  <w:num w:numId="7">
    <w:abstractNumId w:val="1"/>
  </w:num>
  <w:num w:numId="8">
    <w:abstractNumId w:val="7"/>
  </w:num>
  <w:num w:numId="9">
    <w:abstractNumId w:val="5"/>
  </w:num>
  <w:num w:numId="10">
    <w:abstractNumId w:val="6"/>
  </w:num>
  <w:num w:numId="11">
    <w:abstractNumId w:val="0"/>
  </w:num>
  <w:num w:numId="12">
    <w:abstractNumId w:val="11"/>
  </w:num>
  <w:num w:numId="13">
    <w:abstractNumId w:val="9"/>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name w:val="Heading 1"/>
    <w:basedOn w:val="995"/>
    <w:next w:val="995"/>
    <w:link w:val="820"/>
    <w:uiPriority w:val="9"/>
    <w:qFormat/>
    <w:pPr>
      <w:keepLines/>
      <w:keepNext/>
      <w:spacing w:before="480" w:after="200"/>
      <w:outlineLvl w:val="0"/>
    </w:pPr>
    <w:rPr>
      <w:rFonts w:ascii="Arial" w:hAnsi="Arial" w:eastAsia="Arial" w:cs="Arial"/>
      <w:sz w:val="40"/>
      <w:szCs w:val="40"/>
    </w:rPr>
  </w:style>
  <w:style w:type="character" w:styleId="820">
    <w:name w:val="Heading 1 Char"/>
    <w:link w:val="819"/>
    <w:uiPriority w:val="9"/>
    <w:rPr>
      <w:rFonts w:ascii="Arial" w:hAnsi="Arial" w:eastAsia="Arial" w:cs="Arial"/>
      <w:sz w:val="40"/>
      <w:szCs w:val="40"/>
    </w:rPr>
  </w:style>
  <w:style w:type="paragraph" w:styleId="821">
    <w:name w:val="Heading 2"/>
    <w:basedOn w:val="995"/>
    <w:next w:val="995"/>
    <w:link w:val="822"/>
    <w:uiPriority w:val="9"/>
    <w:unhideWhenUsed/>
    <w:qFormat/>
    <w:pPr>
      <w:keepLines/>
      <w:keepNext/>
      <w:spacing w:before="360" w:after="200"/>
      <w:outlineLvl w:val="1"/>
    </w:pPr>
    <w:rPr>
      <w:rFonts w:ascii="Arial" w:hAnsi="Arial" w:eastAsia="Arial" w:cs="Arial"/>
      <w:sz w:val="34"/>
    </w:rPr>
  </w:style>
  <w:style w:type="character" w:styleId="822">
    <w:name w:val="Heading 2 Char"/>
    <w:link w:val="821"/>
    <w:uiPriority w:val="9"/>
    <w:rPr>
      <w:rFonts w:ascii="Arial" w:hAnsi="Arial" w:eastAsia="Arial" w:cs="Arial"/>
      <w:sz w:val="34"/>
    </w:rPr>
  </w:style>
  <w:style w:type="paragraph" w:styleId="823">
    <w:name w:val="Heading 3"/>
    <w:basedOn w:val="995"/>
    <w:next w:val="995"/>
    <w:link w:val="824"/>
    <w:uiPriority w:val="9"/>
    <w:unhideWhenUsed/>
    <w:qFormat/>
    <w:pPr>
      <w:keepLines/>
      <w:keepNext/>
      <w:spacing w:before="320" w:after="200"/>
      <w:outlineLvl w:val="2"/>
    </w:pPr>
    <w:rPr>
      <w:rFonts w:ascii="Arial" w:hAnsi="Arial" w:eastAsia="Arial" w:cs="Arial"/>
      <w:sz w:val="30"/>
      <w:szCs w:val="30"/>
    </w:rPr>
  </w:style>
  <w:style w:type="character" w:styleId="824">
    <w:name w:val="Heading 3 Char"/>
    <w:link w:val="823"/>
    <w:uiPriority w:val="9"/>
    <w:rPr>
      <w:rFonts w:ascii="Arial" w:hAnsi="Arial" w:eastAsia="Arial" w:cs="Arial"/>
      <w:sz w:val="30"/>
      <w:szCs w:val="30"/>
    </w:rPr>
  </w:style>
  <w:style w:type="paragraph" w:styleId="825">
    <w:name w:val="Heading 4"/>
    <w:basedOn w:val="995"/>
    <w:next w:val="995"/>
    <w:link w:val="826"/>
    <w:uiPriority w:val="9"/>
    <w:unhideWhenUsed/>
    <w:qFormat/>
    <w:pPr>
      <w:keepLines/>
      <w:keepNext/>
      <w:spacing w:before="320" w:after="200"/>
      <w:outlineLvl w:val="3"/>
    </w:pPr>
    <w:rPr>
      <w:rFonts w:ascii="Arial" w:hAnsi="Arial" w:eastAsia="Arial" w:cs="Arial"/>
      <w:b/>
      <w:bCs/>
      <w:sz w:val="26"/>
      <w:szCs w:val="26"/>
    </w:rPr>
  </w:style>
  <w:style w:type="character" w:styleId="826">
    <w:name w:val="Heading 4 Char"/>
    <w:link w:val="825"/>
    <w:uiPriority w:val="9"/>
    <w:rPr>
      <w:rFonts w:ascii="Arial" w:hAnsi="Arial" w:eastAsia="Arial" w:cs="Arial"/>
      <w:b/>
      <w:bCs/>
      <w:sz w:val="26"/>
      <w:szCs w:val="26"/>
    </w:rPr>
  </w:style>
  <w:style w:type="paragraph" w:styleId="827">
    <w:name w:val="Heading 5"/>
    <w:basedOn w:val="995"/>
    <w:next w:val="995"/>
    <w:link w:val="828"/>
    <w:uiPriority w:val="9"/>
    <w:unhideWhenUsed/>
    <w:qFormat/>
    <w:pPr>
      <w:keepLines/>
      <w:keepNext/>
      <w:spacing w:before="320" w:after="200"/>
      <w:outlineLvl w:val="4"/>
    </w:pPr>
    <w:rPr>
      <w:rFonts w:ascii="Arial" w:hAnsi="Arial" w:eastAsia="Arial" w:cs="Arial"/>
      <w:b/>
      <w:bCs/>
      <w:sz w:val="24"/>
      <w:szCs w:val="24"/>
    </w:rPr>
  </w:style>
  <w:style w:type="character" w:styleId="828">
    <w:name w:val="Heading 5 Char"/>
    <w:link w:val="827"/>
    <w:uiPriority w:val="9"/>
    <w:rPr>
      <w:rFonts w:ascii="Arial" w:hAnsi="Arial" w:eastAsia="Arial" w:cs="Arial"/>
      <w:b/>
      <w:bCs/>
      <w:sz w:val="24"/>
      <w:szCs w:val="24"/>
    </w:rPr>
  </w:style>
  <w:style w:type="paragraph" w:styleId="829">
    <w:name w:val="Heading 6"/>
    <w:basedOn w:val="995"/>
    <w:next w:val="995"/>
    <w:link w:val="830"/>
    <w:uiPriority w:val="9"/>
    <w:unhideWhenUsed/>
    <w:qFormat/>
    <w:pPr>
      <w:keepLines/>
      <w:keepNext/>
      <w:spacing w:before="320" w:after="200"/>
      <w:outlineLvl w:val="5"/>
    </w:pPr>
    <w:rPr>
      <w:rFonts w:ascii="Arial" w:hAnsi="Arial" w:eastAsia="Arial" w:cs="Arial"/>
      <w:b/>
      <w:bCs/>
      <w:sz w:val="22"/>
      <w:szCs w:val="22"/>
    </w:rPr>
  </w:style>
  <w:style w:type="character" w:styleId="830">
    <w:name w:val="Heading 6 Char"/>
    <w:link w:val="829"/>
    <w:uiPriority w:val="9"/>
    <w:rPr>
      <w:rFonts w:ascii="Arial" w:hAnsi="Arial" w:eastAsia="Arial" w:cs="Arial"/>
      <w:b/>
      <w:bCs/>
      <w:sz w:val="22"/>
      <w:szCs w:val="22"/>
    </w:rPr>
  </w:style>
  <w:style w:type="paragraph" w:styleId="831">
    <w:name w:val="Heading 7"/>
    <w:basedOn w:val="995"/>
    <w:next w:val="995"/>
    <w:link w:val="832"/>
    <w:uiPriority w:val="9"/>
    <w:unhideWhenUsed/>
    <w:qFormat/>
    <w:pPr>
      <w:keepLines/>
      <w:keepNext/>
      <w:spacing w:before="320" w:after="200"/>
      <w:outlineLvl w:val="6"/>
    </w:pPr>
    <w:rPr>
      <w:rFonts w:ascii="Arial" w:hAnsi="Arial" w:eastAsia="Arial" w:cs="Arial"/>
      <w:b/>
      <w:bCs/>
      <w:i/>
      <w:iCs/>
      <w:sz w:val="22"/>
      <w:szCs w:val="22"/>
    </w:rPr>
  </w:style>
  <w:style w:type="character" w:styleId="832">
    <w:name w:val="Heading 7 Char"/>
    <w:link w:val="831"/>
    <w:uiPriority w:val="9"/>
    <w:rPr>
      <w:rFonts w:ascii="Arial" w:hAnsi="Arial" w:eastAsia="Arial" w:cs="Arial"/>
      <w:b/>
      <w:bCs/>
      <w:i/>
      <w:iCs/>
      <w:sz w:val="22"/>
      <w:szCs w:val="22"/>
    </w:rPr>
  </w:style>
  <w:style w:type="paragraph" w:styleId="833">
    <w:name w:val="Heading 8"/>
    <w:basedOn w:val="995"/>
    <w:next w:val="995"/>
    <w:link w:val="834"/>
    <w:uiPriority w:val="9"/>
    <w:unhideWhenUsed/>
    <w:qFormat/>
    <w:pPr>
      <w:keepLines/>
      <w:keepNext/>
      <w:spacing w:before="320" w:after="200"/>
      <w:outlineLvl w:val="7"/>
    </w:pPr>
    <w:rPr>
      <w:rFonts w:ascii="Arial" w:hAnsi="Arial" w:eastAsia="Arial" w:cs="Arial"/>
      <w:i/>
      <w:iCs/>
      <w:sz w:val="22"/>
      <w:szCs w:val="22"/>
    </w:rPr>
  </w:style>
  <w:style w:type="character" w:styleId="834">
    <w:name w:val="Heading 8 Char"/>
    <w:link w:val="833"/>
    <w:uiPriority w:val="9"/>
    <w:rPr>
      <w:rFonts w:ascii="Arial" w:hAnsi="Arial" w:eastAsia="Arial" w:cs="Arial"/>
      <w:i/>
      <w:iCs/>
      <w:sz w:val="22"/>
      <w:szCs w:val="22"/>
    </w:rPr>
  </w:style>
  <w:style w:type="paragraph" w:styleId="835">
    <w:name w:val="Heading 9"/>
    <w:basedOn w:val="995"/>
    <w:next w:val="995"/>
    <w:link w:val="836"/>
    <w:uiPriority w:val="9"/>
    <w:unhideWhenUsed/>
    <w:qFormat/>
    <w:pPr>
      <w:keepLines/>
      <w:keepNext/>
      <w:spacing w:before="320" w:after="200"/>
      <w:outlineLvl w:val="8"/>
    </w:pPr>
    <w:rPr>
      <w:rFonts w:ascii="Arial" w:hAnsi="Arial" w:eastAsia="Arial" w:cs="Arial"/>
      <w:i/>
      <w:iCs/>
      <w:sz w:val="21"/>
      <w:szCs w:val="21"/>
    </w:rPr>
  </w:style>
  <w:style w:type="character" w:styleId="836">
    <w:name w:val="Heading 9 Char"/>
    <w:link w:val="835"/>
    <w:uiPriority w:val="9"/>
    <w:rPr>
      <w:rFonts w:ascii="Arial" w:hAnsi="Arial" w:eastAsia="Arial" w:cs="Arial"/>
      <w:i/>
      <w:iCs/>
      <w:sz w:val="21"/>
      <w:szCs w:val="21"/>
    </w:rPr>
  </w:style>
  <w:style w:type="paragraph" w:styleId="837">
    <w:name w:val="List Paragraph"/>
    <w:basedOn w:val="995"/>
    <w:uiPriority w:val="34"/>
    <w:qFormat/>
    <w:pPr>
      <w:contextualSpacing/>
      <w:ind w:left="720"/>
    </w:pPr>
  </w:style>
  <w:style w:type="paragraph" w:styleId="838">
    <w:name w:val="No Spacing"/>
    <w:uiPriority w:val="1"/>
    <w:qFormat/>
    <w:pPr>
      <w:spacing w:before="0" w:after="0" w:line="240" w:lineRule="auto"/>
    </w:pPr>
  </w:style>
  <w:style w:type="paragraph" w:styleId="839">
    <w:name w:val="Title"/>
    <w:basedOn w:val="995"/>
    <w:next w:val="995"/>
    <w:link w:val="840"/>
    <w:uiPriority w:val="10"/>
    <w:qFormat/>
    <w:pPr>
      <w:contextualSpacing/>
      <w:spacing w:before="300" w:after="200"/>
    </w:pPr>
    <w:rPr>
      <w:sz w:val="48"/>
      <w:szCs w:val="48"/>
    </w:rPr>
  </w:style>
  <w:style w:type="character" w:styleId="840">
    <w:name w:val="Title Char"/>
    <w:link w:val="839"/>
    <w:uiPriority w:val="10"/>
    <w:rPr>
      <w:sz w:val="48"/>
      <w:szCs w:val="48"/>
    </w:rPr>
  </w:style>
  <w:style w:type="paragraph" w:styleId="841">
    <w:name w:val="Subtitle"/>
    <w:basedOn w:val="995"/>
    <w:next w:val="995"/>
    <w:link w:val="842"/>
    <w:uiPriority w:val="11"/>
    <w:qFormat/>
    <w:pPr>
      <w:spacing w:before="200" w:after="200"/>
    </w:pPr>
    <w:rPr>
      <w:sz w:val="24"/>
      <w:szCs w:val="24"/>
    </w:rPr>
  </w:style>
  <w:style w:type="character" w:styleId="842">
    <w:name w:val="Subtitle Char"/>
    <w:link w:val="841"/>
    <w:uiPriority w:val="11"/>
    <w:rPr>
      <w:sz w:val="24"/>
      <w:szCs w:val="24"/>
    </w:rPr>
  </w:style>
  <w:style w:type="paragraph" w:styleId="843">
    <w:name w:val="Quote"/>
    <w:basedOn w:val="995"/>
    <w:next w:val="995"/>
    <w:link w:val="844"/>
    <w:uiPriority w:val="29"/>
    <w:qFormat/>
    <w:pPr>
      <w:ind w:left="720" w:right="720"/>
    </w:pPr>
    <w:rPr>
      <w:i/>
    </w:rPr>
  </w:style>
  <w:style w:type="character" w:styleId="844">
    <w:name w:val="Quote Char"/>
    <w:link w:val="843"/>
    <w:uiPriority w:val="29"/>
    <w:rPr>
      <w:i/>
    </w:rPr>
  </w:style>
  <w:style w:type="paragraph" w:styleId="845">
    <w:name w:val="Intense Quote"/>
    <w:basedOn w:val="995"/>
    <w:next w:val="995"/>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Intense Quote Char"/>
    <w:link w:val="845"/>
    <w:uiPriority w:val="30"/>
    <w:rPr>
      <w:i/>
    </w:rPr>
  </w:style>
  <w:style w:type="paragraph" w:styleId="847">
    <w:name w:val="Header"/>
    <w:basedOn w:val="995"/>
    <w:link w:val="1149"/>
    <w:uiPriority w:val="99"/>
    <w:unhideWhenUsed/>
    <w:pPr>
      <w:spacing w:after="0" w:line="240" w:lineRule="auto"/>
      <w:tabs>
        <w:tab w:val="center" w:pos="7143" w:leader="none"/>
        <w:tab w:val="right" w:pos="14287" w:leader="none"/>
      </w:tabs>
    </w:pPr>
  </w:style>
  <w:style w:type="paragraph" w:styleId="848">
    <w:name w:val="Footer"/>
    <w:basedOn w:val="995"/>
    <w:link w:val="850"/>
    <w:uiPriority w:val="99"/>
    <w:unhideWhenUsed/>
    <w:pPr>
      <w:spacing w:after="0" w:line="240" w:lineRule="auto"/>
      <w:tabs>
        <w:tab w:val="center" w:pos="7143" w:leader="none"/>
        <w:tab w:val="right" w:pos="14287" w:leader="none"/>
      </w:tabs>
    </w:pPr>
  </w:style>
  <w:style w:type="paragraph" w:styleId="849">
    <w:name w:val="Caption"/>
    <w:basedOn w:val="995"/>
    <w:next w:val="995"/>
    <w:uiPriority w:val="35"/>
    <w:semiHidden/>
    <w:unhideWhenUsed/>
    <w:qFormat/>
    <w:pPr>
      <w:spacing w:line="276" w:lineRule="auto"/>
    </w:pPr>
    <w:rPr>
      <w:b/>
      <w:bCs/>
      <w:color w:val="4f81bd" w:themeColor="accent1"/>
      <w:sz w:val="18"/>
      <w:szCs w:val="18"/>
    </w:rPr>
  </w:style>
  <w:style w:type="character" w:styleId="850">
    <w:name w:val="Caption Char"/>
    <w:basedOn w:val="849"/>
    <w:link w:val="848"/>
    <w:uiPriority w:val="99"/>
  </w:style>
  <w:style w:type="table" w:styleId="8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7">
    <w:name w:val="Hyperlink"/>
    <w:uiPriority w:val="99"/>
    <w:unhideWhenUsed/>
    <w:rPr>
      <w:color w:val="0000ff" w:themeColor="hyperlink"/>
      <w:u w:val="single"/>
    </w:rPr>
  </w:style>
  <w:style w:type="paragraph" w:styleId="978">
    <w:name w:val="footnote text"/>
    <w:basedOn w:val="995"/>
    <w:link w:val="979"/>
    <w:uiPriority w:val="99"/>
    <w:semiHidden/>
    <w:unhideWhenUsed/>
    <w:pPr>
      <w:spacing w:after="40" w:line="240" w:lineRule="auto"/>
    </w:pPr>
    <w:rPr>
      <w:sz w:val="18"/>
    </w:rPr>
  </w:style>
  <w:style w:type="character" w:styleId="979">
    <w:name w:val="Footnote Text Char"/>
    <w:link w:val="978"/>
    <w:uiPriority w:val="99"/>
    <w:rPr>
      <w:sz w:val="18"/>
    </w:rPr>
  </w:style>
  <w:style w:type="character" w:styleId="980">
    <w:name w:val="footnote reference"/>
    <w:uiPriority w:val="99"/>
    <w:unhideWhenUsed/>
    <w:rPr>
      <w:vertAlign w:val="superscript"/>
    </w:rPr>
  </w:style>
  <w:style w:type="paragraph" w:styleId="981">
    <w:name w:val="endnote text"/>
    <w:basedOn w:val="995"/>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uiPriority w:val="99"/>
    <w:semiHidden/>
    <w:unhideWhenUsed/>
    <w:rPr>
      <w:vertAlign w:val="superscript"/>
    </w:rPr>
  </w:style>
  <w:style w:type="paragraph" w:styleId="984">
    <w:name w:val="toc 1"/>
    <w:basedOn w:val="995"/>
    <w:next w:val="995"/>
    <w:uiPriority w:val="39"/>
    <w:unhideWhenUsed/>
    <w:pPr>
      <w:ind w:left="0" w:right="0" w:firstLine="0"/>
      <w:spacing w:after="57"/>
    </w:pPr>
  </w:style>
  <w:style w:type="paragraph" w:styleId="985">
    <w:name w:val="toc 2"/>
    <w:basedOn w:val="995"/>
    <w:next w:val="995"/>
    <w:uiPriority w:val="39"/>
    <w:unhideWhenUsed/>
    <w:pPr>
      <w:ind w:left="283" w:right="0" w:firstLine="0"/>
      <w:spacing w:after="57"/>
    </w:pPr>
  </w:style>
  <w:style w:type="paragraph" w:styleId="986">
    <w:name w:val="toc 3"/>
    <w:basedOn w:val="995"/>
    <w:next w:val="995"/>
    <w:uiPriority w:val="39"/>
    <w:unhideWhenUsed/>
    <w:pPr>
      <w:ind w:left="567" w:right="0" w:firstLine="0"/>
      <w:spacing w:after="57"/>
    </w:pPr>
  </w:style>
  <w:style w:type="paragraph" w:styleId="987">
    <w:name w:val="toc 4"/>
    <w:basedOn w:val="995"/>
    <w:next w:val="995"/>
    <w:uiPriority w:val="39"/>
    <w:unhideWhenUsed/>
    <w:pPr>
      <w:ind w:left="850" w:right="0" w:firstLine="0"/>
      <w:spacing w:after="57"/>
    </w:pPr>
  </w:style>
  <w:style w:type="paragraph" w:styleId="988">
    <w:name w:val="toc 5"/>
    <w:basedOn w:val="995"/>
    <w:next w:val="995"/>
    <w:uiPriority w:val="39"/>
    <w:unhideWhenUsed/>
    <w:pPr>
      <w:ind w:left="1134" w:right="0" w:firstLine="0"/>
      <w:spacing w:after="57"/>
    </w:pPr>
  </w:style>
  <w:style w:type="paragraph" w:styleId="989">
    <w:name w:val="toc 6"/>
    <w:basedOn w:val="995"/>
    <w:next w:val="995"/>
    <w:uiPriority w:val="39"/>
    <w:unhideWhenUsed/>
    <w:pPr>
      <w:ind w:left="1417" w:right="0" w:firstLine="0"/>
      <w:spacing w:after="57"/>
    </w:pPr>
  </w:style>
  <w:style w:type="paragraph" w:styleId="990">
    <w:name w:val="toc 7"/>
    <w:basedOn w:val="995"/>
    <w:next w:val="995"/>
    <w:uiPriority w:val="39"/>
    <w:unhideWhenUsed/>
    <w:pPr>
      <w:ind w:left="1701" w:right="0" w:firstLine="0"/>
      <w:spacing w:after="57"/>
    </w:pPr>
  </w:style>
  <w:style w:type="paragraph" w:styleId="991">
    <w:name w:val="toc 8"/>
    <w:basedOn w:val="995"/>
    <w:next w:val="995"/>
    <w:uiPriority w:val="39"/>
    <w:unhideWhenUsed/>
    <w:pPr>
      <w:ind w:left="1984" w:right="0" w:firstLine="0"/>
      <w:spacing w:after="57"/>
    </w:pPr>
  </w:style>
  <w:style w:type="paragraph" w:styleId="992">
    <w:name w:val="toc 9"/>
    <w:basedOn w:val="995"/>
    <w:next w:val="995"/>
    <w:uiPriority w:val="39"/>
    <w:unhideWhenUsed/>
    <w:pPr>
      <w:ind w:left="2268" w:right="0" w:firstLine="0"/>
      <w:spacing w:after="57"/>
    </w:p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995"/>
    <w:link w:val="995"/>
    <w:qFormat/>
    <w:pPr>
      <w:jc w:val="both"/>
      <w:widowControl w:val="off"/>
    </w:pPr>
    <w:rPr>
      <w:sz w:val="21"/>
      <w:szCs w:val="24"/>
      <w:lang w:val="en-US" w:eastAsia="zh-CN" w:bidi="ar-SA"/>
    </w:rPr>
  </w:style>
  <w:style w:type="paragraph" w:styleId="996">
    <w:name w:val="标题 1"/>
    <w:basedOn w:val="995"/>
    <w:next w:val="995"/>
    <w:link w:val="1007"/>
    <w:qFormat/>
    <w:pPr>
      <w:jc w:val="center"/>
      <w:keepLines/>
      <w:keepNext/>
      <w:spacing w:before="240" w:after="120" w:line="300" w:lineRule="auto"/>
      <w:outlineLvl w:val="0"/>
    </w:pPr>
    <w:rPr>
      <w:rFonts w:ascii="宋体"/>
      <w:b/>
      <w:sz w:val="32"/>
      <w:szCs w:val="20"/>
    </w:rPr>
  </w:style>
  <w:style w:type="paragraph" w:styleId="997">
    <w:name w:val="标题 2"/>
    <w:basedOn w:val="995"/>
    <w:next w:val="995"/>
    <w:link w:val="1008"/>
    <w:qFormat/>
    <w:pPr>
      <w:jc w:val="center"/>
      <w:keepLines/>
      <w:keepNext/>
      <w:spacing w:before="120" w:line="300" w:lineRule="auto"/>
      <w:outlineLvl w:val="1"/>
    </w:pPr>
    <w:rPr>
      <w:rFonts w:ascii="Arial" w:hAnsi="Arial" w:eastAsia="黑体"/>
      <w:b/>
      <w:sz w:val="30"/>
      <w:szCs w:val="20"/>
    </w:rPr>
  </w:style>
  <w:style w:type="paragraph" w:styleId="998">
    <w:name w:val="标题 3"/>
    <w:basedOn w:val="995"/>
    <w:next w:val="1010"/>
    <w:link w:val="1009"/>
    <w:qFormat/>
    <w:pPr>
      <w:jc w:val="left"/>
      <w:keepLines/>
      <w:keepNext/>
      <w:spacing w:before="360" w:after="120"/>
      <w:outlineLvl w:val="2"/>
    </w:pPr>
    <w:rPr>
      <w:rFonts w:ascii="宋体"/>
      <w:b/>
      <w:sz w:val="24"/>
      <w:szCs w:val="20"/>
      <w:u w:val="single"/>
    </w:rPr>
  </w:style>
  <w:style w:type="paragraph" w:styleId="999">
    <w:name w:val="标题 4"/>
    <w:basedOn w:val="995"/>
    <w:next w:val="995"/>
    <w:link w:val="1012"/>
    <w:qFormat/>
    <w:pPr>
      <w:keepLines/>
      <w:keepNext/>
      <w:spacing w:before="280" w:after="290" w:line="376" w:lineRule="atLeast"/>
      <w:outlineLvl w:val="3"/>
    </w:pPr>
    <w:rPr>
      <w:rFonts w:ascii="Arial" w:hAnsi="Arial" w:eastAsia="黑体"/>
      <w:b/>
      <w:sz w:val="28"/>
      <w:szCs w:val="20"/>
    </w:rPr>
  </w:style>
  <w:style w:type="paragraph" w:styleId="1000">
    <w:name w:val="标题 5"/>
    <w:basedOn w:val="995"/>
    <w:next w:val="995"/>
    <w:link w:val="1013"/>
    <w:qFormat/>
    <w:pPr>
      <w:keepLines/>
      <w:keepNext/>
      <w:spacing w:before="280" w:after="290" w:line="376" w:lineRule="atLeast"/>
      <w:outlineLvl w:val="4"/>
    </w:pPr>
    <w:rPr>
      <w:b/>
      <w:sz w:val="28"/>
      <w:szCs w:val="20"/>
    </w:rPr>
  </w:style>
  <w:style w:type="paragraph" w:styleId="1001">
    <w:name w:val="标题 6"/>
    <w:basedOn w:val="995"/>
    <w:next w:val="995"/>
    <w:link w:val="1014"/>
    <w:qFormat/>
    <w:pPr>
      <w:keepLines/>
      <w:keepNext/>
      <w:spacing w:before="240" w:after="64" w:line="320" w:lineRule="atLeast"/>
      <w:outlineLvl w:val="5"/>
    </w:pPr>
    <w:rPr>
      <w:rFonts w:ascii="Arial" w:hAnsi="Arial" w:eastAsia="黑体"/>
      <w:b/>
      <w:sz w:val="24"/>
      <w:szCs w:val="20"/>
    </w:rPr>
  </w:style>
  <w:style w:type="paragraph" w:styleId="1002">
    <w:name w:val="标题 7"/>
    <w:basedOn w:val="995"/>
    <w:next w:val="995"/>
    <w:link w:val="1015"/>
    <w:qFormat/>
    <w:pPr>
      <w:keepLines/>
      <w:keepNext/>
      <w:spacing w:before="240" w:after="64" w:line="320" w:lineRule="atLeast"/>
      <w:outlineLvl w:val="6"/>
    </w:pPr>
    <w:rPr>
      <w:b/>
      <w:sz w:val="24"/>
      <w:szCs w:val="20"/>
    </w:rPr>
  </w:style>
  <w:style w:type="paragraph" w:styleId="1003">
    <w:name w:val="标题 8"/>
    <w:basedOn w:val="995"/>
    <w:next w:val="995"/>
    <w:link w:val="1016"/>
    <w:qFormat/>
    <w:pPr>
      <w:keepLines/>
      <w:keepNext/>
      <w:spacing w:before="240" w:after="64" w:line="320" w:lineRule="atLeast"/>
      <w:outlineLvl w:val="7"/>
    </w:pPr>
    <w:rPr>
      <w:rFonts w:ascii="Arial" w:hAnsi="Arial" w:eastAsia="黑体"/>
      <w:sz w:val="24"/>
      <w:szCs w:val="20"/>
    </w:rPr>
  </w:style>
  <w:style w:type="paragraph" w:styleId="1004">
    <w:name w:val="标题 9"/>
    <w:basedOn w:val="995"/>
    <w:next w:val="995"/>
    <w:link w:val="1017"/>
    <w:qFormat/>
    <w:pPr>
      <w:keepLines/>
      <w:keepNext/>
      <w:spacing w:before="240" w:after="64" w:line="320" w:lineRule="atLeast"/>
      <w:outlineLvl w:val="8"/>
    </w:pPr>
    <w:rPr>
      <w:rFonts w:ascii="Arial" w:hAnsi="Arial" w:eastAsia="黑体"/>
      <w:szCs w:val="20"/>
    </w:rPr>
  </w:style>
  <w:style w:type="character" w:styleId="1005">
    <w:name w:val="默认段落字体"/>
    <w:next w:val="1005"/>
    <w:link w:val="995"/>
    <w:uiPriority w:val="1"/>
    <w:unhideWhenUsed/>
    <w:qFormat/>
  </w:style>
  <w:style w:type="table" w:styleId="1006">
    <w:name w:val="普通表格"/>
    <w:next w:val="1006"/>
    <w:link w:val="995"/>
    <w:uiPriority w:val="99"/>
    <w:unhideWhenUsed/>
    <w:qFormat/>
    <w:tblPr/>
  </w:style>
  <w:style w:type="character" w:styleId="1007">
    <w:name w:val="标题 1 Char"/>
    <w:next w:val="1007"/>
    <w:link w:val="996"/>
    <w:qFormat/>
    <w:rPr>
      <w:rFonts w:ascii="宋体"/>
      <w:b/>
      <w:sz w:val="32"/>
    </w:rPr>
  </w:style>
  <w:style w:type="character" w:styleId="1008">
    <w:name w:val="标题 2 Char1"/>
    <w:next w:val="1008"/>
    <w:link w:val="997"/>
    <w:qFormat/>
    <w:rPr>
      <w:rFonts w:ascii="Arial" w:hAnsi="Arial" w:eastAsia="黑体"/>
      <w:b/>
      <w:sz w:val="30"/>
      <w:lang w:val="en-US" w:eastAsia="zh-CN" w:bidi="ar-SA"/>
    </w:rPr>
  </w:style>
  <w:style w:type="character" w:styleId="1009">
    <w:name w:val="标题 3 Char1"/>
    <w:next w:val="1009"/>
    <w:link w:val="998"/>
    <w:qFormat/>
    <w:rPr>
      <w:rFonts w:ascii="宋体" w:eastAsia="宋体"/>
      <w:b/>
      <w:sz w:val="24"/>
      <w:u w:val="single"/>
      <w:lang w:val="en-US" w:eastAsia="zh-CN" w:bidi="ar-SA"/>
    </w:rPr>
  </w:style>
  <w:style w:type="paragraph" w:styleId="1010">
    <w:name w:val="正文缩进"/>
    <w:basedOn w:val="995"/>
    <w:next w:val="1010"/>
    <w:link w:val="1011"/>
    <w:qFormat/>
    <w:pPr>
      <w:ind w:firstLine="420"/>
      <w:jc w:val="left"/>
    </w:pPr>
    <w:rPr>
      <w:rFonts w:ascii="宋体"/>
      <w:sz w:val="24"/>
    </w:rPr>
  </w:style>
  <w:style w:type="character" w:styleId="1011">
    <w:name w:val="正文缩进 Char1"/>
    <w:next w:val="1011"/>
    <w:link w:val="1010"/>
    <w:qFormat/>
    <w:rPr>
      <w:rFonts w:ascii="宋体" w:eastAsia="宋体"/>
      <w:sz w:val="24"/>
      <w:szCs w:val="24"/>
      <w:lang w:val="en-US" w:eastAsia="zh-CN" w:bidi="ar-SA"/>
    </w:rPr>
  </w:style>
  <w:style w:type="character" w:styleId="1012">
    <w:name w:val="标题 4 Char"/>
    <w:next w:val="1012"/>
    <w:link w:val="999"/>
    <w:qFormat/>
    <w:rPr>
      <w:rFonts w:ascii="Arial" w:hAnsi="Arial" w:eastAsia="黑体"/>
      <w:b/>
      <w:sz w:val="28"/>
    </w:rPr>
  </w:style>
  <w:style w:type="character" w:styleId="1013">
    <w:name w:val="标题 5 Char"/>
    <w:next w:val="1013"/>
    <w:link w:val="1000"/>
    <w:qFormat/>
    <w:rPr>
      <w:b/>
      <w:sz w:val="28"/>
    </w:rPr>
  </w:style>
  <w:style w:type="character" w:styleId="1014">
    <w:name w:val="标题 6 Char"/>
    <w:next w:val="1014"/>
    <w:link w:val="1001"/>
    <w:qFormat/>
    <w:rPr>
      <w:rFonts w:ascii="Arial" w:hAnsi="Arial" w:eastAsia="黑体"/>
      <w:b/>
      <w:sz w:val="24"/>
    </w:rPr>
  </w:style>
  <w:style w:type="character" w:styleId="1015">
    <w:name w:val="标题 7 Char"/>
    <w:next w:val="1015"/>
    <w:link w:val="1002"/>
    <w:qFormat/>
    <w:rPr>
      <w:b/>
      <w:sz w:val="24"/>
    </w:rPr>
  </w:style>
  <w:style w:type="character" w:styleId="1016">
    <w:name w:val="标题 8 Char"/>
    <w:next w:val="1016"/>
    <w:link w:val="1003"/>
    <w:qFormat/>
    <w:rPr>
      <w:rFonts w:ascii="Arial" w:hAnsi="Arial" w:eastAsia="黑体"/>
      <w:sz w:val="24"/>
    </w:rPr>
  </w:style>
  <w:style w:type="character" w:styleId="1017">
    <w:name w:val="标题 9 Char"/>
    <w:next w:val="1017"/>
    <w:link w:val="1004"/>
    <w:qFormat/>
    <w:rPr>
      <w:rFonts w:ascii="Arial" w:hAnsi="Arial" w:eastAsia="黑体"/>
      <w:sz w:val="21"/>
    </w:rPr>
  </w:style>
  <w:style w:type="paragraph" w:styleId="1018">
    <w:name w:val="列表 3"/>
    <w:basedOn w:val="995"/>
    <w:next w:val="1018"/>
    <w:link w:val="995"/>
    <w:pPr>
      <w:ind w:left="100" w:hanging="200"/>
    </w:pPr>
    <w:rPr>
      <w:rFonts w:eastAsia="楷体_GB2312"/>
      <w:sz w:val="26"/>
      <w:szCs w:val="20"/>
    </w:rPr>
  </w:style>
  <w:style w:type="paragraph" w:styleId="1019">
    <w:name w:val="目录 7"/>
    <w:basedOn w:val="995"/>
    <w:next w:val="995"/>
    <w:link w:val="995"/>
    <w:qFormat/>
    <w:pPr>
      <w:ind w:left="2520"/>
    </w:pPr>
  </w:style>
  <w:style w:type="paragraph" w:styleId="1020">
    <w:name w:val="题注"/>
    <w:basedOn w:val="995"/>
    <w:next w:val="995"/>
    <w:link w:val="995"/>
    <w:qFormat/>
    <w:pPr>
      <w:spacing w:line="480" w:lineRule="auto"/>
    </w:pPr>
    <w:rPr>
      <w:rFonts w:ascii="华文中宋" w:hAnsi="华文中宋" w:eastAsia="华文中宋"/>
      <w:sz w:val="36"/>
      <w:szCs w:val="20"/>
    </w:rPr>
  </w:style>
  <w:style w:type="paragraph" w:styleId="1021">
    <w:name w:val="文档结构图"/>
    <w:basedOn w:val="995"/>
    <w:next w:val="1021"/>
    <w:link w:val="1022"/>
    <w:qFormat/>
    <w:pPr>
      <w:shd w:val="clear" w:color="auto" w:fill="000080"/>
    </w:pPr>
  </w:style>
  <w:style w:type="character" w:styleId="1022">
    <w:name w:val="文档结构图 Char"/>
    <w:next w:val="1022"/>
    <w:link w:val="1021"/>
    <w:qFormat/>
    <w:rPr>
      <w:sz w:val="21"/>
      <w:szCs w:val="24"/>
      <w:shd w:val="clear" w:color="auto" w:fill="000080"/>
    </w:rPr>
  </w:style>
  <w:style w:type="paragraph" w:styleId="1023">
    <w:name w:val="批注文字"/>
    <w:basedOn w:val="995"/>
    <w:next w:val="1023"/>
    <w:link w:val="1024"/>
    <w:uiPriority w:val="99"/>
    <w:qFormat/>
    <w:pPr>
      <w:jc w:val="left"/>
    </w:pPr>
  </w:style>
  <w:style w:type="character" w:styleId="1024">
    <w:name w:val="批注文字 Char1"/>
    <w:next w:val="1024"/>
    <w:link w:val="1023"/>
    <w:uiPriority w:val="99"/>
    <w:qFormat/>
    <w:rPr>
      <w:sz w:val="21"/>
      <w:szCs w:val="24"/>
    </w:rPr>
  </w:style>
  <w:style w:type="paragraph" w:styleId="1025">
    <w:name w:val="正文文本 3"/>
    <w:basedOn w:val="995"/>
    <w:next w:val="1025"/>
    <w:link w:val="1026"/>
    <w:qFormat/>
    <w:pPr>
      <w:spacing w:after="120"/>
    </w:pPr>
    <w:rPr>
      <w:sz w:val="16"/>
      <w:szCs w:val="16"/>
    </w:rPr>
  </w:style>
  <w:style w:type="character" w:styleId="1026">
    <w:name w:val="正文文本 3 Char"/>
    <w:next w:val="1026"/>
    <w:link w:val="1025"/>
    <w:qFormat/>
    <w:rPr>
      <w:sz w:val="16"/>
      <w:szCs w:val="16"/>
    </w:rPr>
  </w:style>
  <w:style w:type="paragraph" w:styleId="1027">
    <w:name w:val="正文文本"/>
    <w:basedOn w:val="995"/>
    <w:next w:val="1027"/>
    <w:link w:val="1028"/>
    <w:qFormat/>
    <w:pPr>
      <w:spacing w:before="120" w:line="22" w:lineRule="atLeast"/>
      <w:tabs>
        <w:tab w:val="left" w:pos="567" w:leader="none"/>
      </w:tabs>
    </w:pPr>
    <w:rPr>
      <w:rFonts w:ascii="宋体" w:hAnsi="宋体"/>
      <w:sz w:val="24"/>
    </w:rPr>
  </w:style>
  <w:style w:type="character" w:styleId="1028">
    <w:name w:val="正文文本 Char"/>
    <w:next w:val="1028"/>
    <w:link w:val="1027"/>
    <w:qFormat/>
    <w:rPr>
      <w:rFonts w:ascii="宋体" w:hAnsi="宋体"/>
      <w:sz w:val="24"/>
      <w:szCs w:val="24"/>
    </w:rPr>
  </w:style>
  <w:style w:type="paragraph" w:styleId="1029">
    <w:name w:val="正文文本缩进"/>
    <w:basedOn w:val="995"/>
    <w:next w:val="1029"/>
    <w:link w:val="1030"/>
    <w:qFormat/>
    <w:pPr>
      <w:ind w:firstLine="570"/>
      <w:spacing w:line="360" w:lineRule="auto"/>
    </w:pPr>
    <w:rPr>
      <w:sz w:val="24"/>
    </w:rPr>
  </w:style>
  <w:style w:type="character" w:styleId="1030">
    <w:name w:val="正文文本缩进 Char2"/>
    <w:next w:val="1030"/>
    <w:link w:val="1029"/>
    <w:qFormat/>
    <w:rPr>
      <w:rFonts w:eastAsia="宋体"/>
      <w:sz w:val="24"/>
      <w:szCs w:val="24"/>
      <w:lang w:val="en-US" w:eastAsia="zh-CN" w:bidi="ar-SA"/>
    </w:rPr>
  </w:style>
  <w:style w:type="paragraph" w:styleId="1031">
    <w:name w:val="列表 2"/>
    <w:basedOn w:val="995"/>
    <w:next w:val="1031"/>
    <w:link w:val="995"/>
    <w:qFormat/>
    <w:pPr>
      <w:ind w:left="100" w:hanging="200"/>
    </w:pPr>
  </w:style>
  <w:style w:type="paragraph" w:styleId="1032">
    <w:name w:val="文本块"/>
    <w:basedOn w:val="995"/>
    <w:next w:val="1032"/>
    <w:link w:val="995"/>
    <w:qFormat/>
    <w:pPr>
      <w:ind w:left="480" w:right="-341" w:firstLine="513"/>
      <w:widowControl/>
    </w:pPr>
    <w:rPr>
      <w:sz w:val="24"/>
      <w:szCs w:val="20"/>
    </w:rPr>
  </w:style>
  <w:style w:type="paragraph" w:styleId="1033">
    <w:name w:val="目录 5"/>
    <w:basedOn w:val="995"/>
    <w:next w:val="995"/>
    <w:link w:val="995"/>
    <w:qFormat/>
    <w:pPr>
      <w:ind w:left="1680"/>
    </w:pPr>
  </w:style>
  <w:style w:type="paragraph" w:styleId="1034">
    <w:name w:val="目录 3"/>
    <w:basedOn w:val="995"/>
    <w:next w:val="995"/>
    <w:link w:val="995"/>
    <w:uiPriority w:val="39"/>
    <w:qFormat/>
    <w:pPr>
      <w:ind w:left="840"/>
    </w:pPr>
  </w:style>
  <w:style w:type="paragraph" w:styleId="1035">
    <w:name w:val="纯文本"/>
    <w:basedOn w:val="995"/>
    <w:next w:val="1035"/>
    <w:link w:val="1036"/>
    <w:uiPriority w:val="99"/>
    <w:qFormat/>
    <w:rPr>
      <w:rFonts w:hint="eastAsia" w:ascii="宋体" w:hAnsi="Courier New"/>
      <w:szCs w:val="20"/>
    </w:rPr>
  </w:style>
  <w:style w:type="character" w:styleId="1036">
    <w:name w:val="纯文本 Char2"/>
    <w:next w:val="1036"/>
    <w:link w:val="1035"/>
    <w:uiPriority w:val="99"/>
    <w:qFormat/>
    <w:rPr>
      <w:rFonts w:hint="eastAsia" w:ascii="宋体" w:hAnsi="Courier New" w:eastAsia="宋体" w:cs="宋体"/>
      <w:sz w:val="21"/>
    </w:rPr>
  </w:style>
  <w:style w:type="paragraph" w:styleId="1037">
    <w:name w:val="目录 8"/>
    <w:basedOn w:val="995"/>
    <w:next w:val="995"/>
    <w:link w:val="995"/>
    <w:qFormat/>
    <w:pPr>
      <w:ind w:left="2940"/>
    </w:pPr>
  </w:style>
  <w:style w:type="paragraph" w:styleId="1038">
    <w:name w:val="日期"/>
    <w:basedOn w:val="995"/>
    <w:next w:val="995"/>
    <w:link w:val="1039"/>
    <w:qFormat/>
    <w:pPr>
      <w:ind w:left="100"/>
    </w:pPr>
    <w:rPr>
      <w:rFonts w:ascii="仿宋_GB2312" w:hAnsi="宋体" w:eastAsia="仿宋_GB2312"/>
      <w:color w:val="000000"/>
      <w:sz w:val="24"/>
    </w:rPr>
  </w:style>
  <w:style w:type="character" w:styleId="1039">
    <w:name w:val="日期 Char"/>
    <w:next w:val="1039"/>
    <w:link w:val="1038"/>
    <w:qFormat/>
    <w:rPr>
      <w:rFonts w:ascii="仿宋_GB2312" w:hAnsi="宋体" w:eastAsia="仿宋_GB2312"/>
      <w:color w:val="000000"/>
      <w:sz w:val="24"/>
      <w:szCs w:val="24"/>
    </w:rPr>
  </w:style>
  <w:style w:type="paragraph" w:styleId="1040">
    <w:name w:val="正文文本缩进 2"/>
    <w:basedOn w:val="995"/>
    <w:next w:val="1040"/>
    <w:link w:val="1041"/>
    <w:qFormat/>
    <w:pPr>
      <w:ind w:firstLine="480"/>
    </w:pPr>
    <w:rPr>
      <w:rFonts w:ascii="仿宋_GB2312" w:eastAsia="仿宋_GB2312"/>
      <w:sz w:val="24"/>
    </w:rPr>
  </w:style>
  <w:style w:type="character" w:styleId="1041">
    <w:name w:val="正文文本缩进 2 Char"/>
    <w:next w:val="1041"/>
    <w:link w:val="1040"/>
    <w:qFormat/>
    <w:rPr>
      <w:rFonts w:ascii="仿宋_GB2312" w:eastAsia="仿宋_GB2312"/>
      <w:sz w:val="24"/>
      <w:szCs w:val="24"/>
    </w:rPr>
  </w:style>
  <w:style w:type="paragraph" w:styleId="1042">
    <w:name w:val="批注框文本"/>
    <w:basedOn w:val="995"/>
    <w:next w:val="1042"/>
    <w:link w:val="1043"/>
    <w:qFormat/>
    <w:rPr>
      <w:sz w:val="18"/>
      <w:szCs w:val="18"/>
    </w:rPr>
  </w:style>
  <w:style w:type="character" w:styleId="1043">
    <w:name w:val="批注框文本 Char"/>
    <w:next w:val="1043"/>
    <w:link w:val="1042"/>
    <w:qFormat/>
    <w:rPr>
      <w:sz w:val="18"/>
      <w:szCs w:val="18"/>
    </w:rPr>
  </w:style>
  <w:style w:type="paragraph" w:styleId="1044">
    <w:name w:val="页脚"/>
    <w:basedOn w:val="995"/>
    <w:next w:val="1044"/>
    <w:link w:val="1045"/>
    <w:uiPriority w:val="99"/>
    <w:qFormat/>
    <w:pPr>
      <w:jc w:val="left"/>
      <w:tabs>
        <w:tab w:val="center" w:pos="4153" w:leader="none"/>
        <w:tab w:val="right" w:pos="8306" w:leader="none"/>
      </w:tabs>
    </w:pPr>
    <w:rPr>
      <w:rFonts w:ascii="宋体"/>
      <w:sz w:val="18"/>
      <w:szCs w:val="20"/>
    </w:rPr>
  </w:style>
  <w:style w:type="character" w:styleId="1045">
    <w:name w:val="页脚 Char1"/>
    <w:next w:val="1045"/>
    <w:link w:val="1044"/>
    <w:uiPriority w:val="99"/>
    <w:qFormat/>
    <w:rPr>
      <w:rFonts w:ascii="宋体" w:eastAsia="宋体"/>
      <w:sz w:val="18"/>
      <w:lang w:val="en-US" w:eastAsia="zh-CN" w:bidi="ar-SA"/>
    </w:rPr>
  </w:style>
  <w:style w:type="paragraph" w:styleId="1046">
    <w:name w:val="页眉"/>
    <w:basedOn w:val="995"/>
    <w:next w:val="1046"/>
    <w:link w:val="1047"/>
    <w:qFormat/>
    <w:pPr>
      <w:jc w:val="center"/>
      <w:tabs>
        <w:tab w:val="center" w:pos="4153" w:leader="none"/>
        <w:tab w:val="right" w:pos="8306" w:leader="none"/>
      </w:tabs>
      <w:pBdr>
        <w:bottom w:val="single" w:color="000000" w:sz="6" w:space="1"/>
      </w:pBdr>
    </w:pPr>
    <w:rPr>
      <w:sz w:val="18"/>
      <w:szCs w:val="18"/>
    </w:rPr>
  </w:style>
  <w:style w:type="character" w:styleId="1047">
    <w:name w:val="页眉 Char1"/>
    <w:next w:val="1047"/>
    <w:link w:val="1046"/>
    <w:qFormat/>
    <w:rPr>
      <w:rFonts w:eastAsia="宋体"/>
      <w:sz w:val="18"/>
      <w:szCs w:val="18"/>
      <w:lang w:val="en-US" w:eastAsia="zh-CN" w:bidi="ar-SA"/>
    </w:rPr>
  </w:style>
  <w:style w:type="paragraph" w:styleId="1048">
    <w:name w:val="签名"/>
    <w:basedOn w:val="995"/>
    <w:next w:val="1048"/>
    <w:link w:val="1049"/>
    <w:qFormat/>
    <w:pPr>
      <w:jc w:val="left"/>
      <w:widowControl/>
    </w:pPr>
    <w:rPr>
      <w:rFonts w:ascii="Tahoma" w:hAnsi="Tahoma"/>
      <w:sz w:val="24"/>
      <w:szCs w:val="20"/>
      <w:lang w:val="de-DE" w:eastAsia="de-DE"/>
    </w:rPr>
  </w:style>
  <w:style w:type="character" w:styleId="1049">
    <w:name w:val="签名 Char"/>
    <w:next w:val="1049"/>
    <w:link w:val="1048"/>
    <w:qFormat/>
    <w:rPr>
      <w:rFonts w:ascii="Tahoma" w:hAnsi="Tahoma"/>
      <w:sz w:val="24"/>
      <w:lang w:val="de-DE" w:eastAsia="de-DE"/>
    </w:rPr>
  </w:style>
  <w:style w:type="paragraph" w:styleId="1050">
    <w:name w:val="目录 1"/>
    <w:basedOn w:val="995"/>
    <w:next w:val="995"/>
    <w:link w:val="995"/>
    <w:uiPriority w:val="39"/>
    <w:qFormat/>
    <w:pPr>
      <w:spacing w:line="300" w:lineRule="auto"/>
      <w:tabs>
        <w:tab w:val="left" w:pos="1050" w:leader="none"/>
        <w:tab w:val="right" w:pos="8937" w:leader="dot"/>
      </w:tabs>
    </w:pPr>
    <w:rPr>
      <w:rFonts w:ascii="宋体" w:hAnsi="宋体"/>
      <w:b/>
      <w:sz w:val="24"/>
    </w:rPr>
  </w:style>
  <w:style w:type="paragraph" w:styleId="1051">
    <w:name w:val="目录 4"/>
    <w:basedOn w:val="995"/>
    <w:next w:val="995"/>
    <w:link w:val="995"/>
    <w:qFormat/>
    <w:pPr>
      <w:ind w:left="1260"/>
    </w:pPr>
  </w:style>
  <w:style w:type="paragraph" w:styleId="1052">
    <w:name w:val="副标题"/>
    <w:basedOn w:val="995"/>
    <w:next w:val="995"/>
    <w:link w:val="1053"/>
    <w:uiPriority w:val="11"/>
    <w:qFormat/>
    <w:pPr>
      <w:jc w:val="center"/>
      <w:spacing w:before="240" w:after="60" w:line="312" w:lineRule="auto"/>
      <w:outlineLvl w:val="1"/>
    </w:pPr>
    <w:rPr>
      <w:rFonts w:ascii="Cambria" w:hAnsi="Cambria"/>
      <w:b/>
      <w:bCs/>
      <w:sz w:val="32"/>
      <w:szCs w:val="32"/>
    </w:rPr>
  </w:style>
  <w:style w:type="character" w:styleId="1053">
    <w:name w:val="副标题 Char"/>
    <w:next w:val="1053"/>
    <w:link w:val="1052"/>
    <w:uiPriority w:val="11"/>
    <w:qFormat/>
    <w:rPr>
      <w:rFonts w:ascii="Cambria" w:hAnsi="Cambria"/>
      <w:b/>
      <w:bCs/>
      <w:sz w:val="32"/>
      <w:szCs w:val="32"/>
    </w:rPr>
  </w:style>
  <w:style w:type="paragraph" w:styleId="1054">
    <w:name w:val="目录 6"/>
    <w:basedOn w:val="995"/>
    <w:next w:val="995"/>
    <w:link w:val="995"/>
    <w:qFormat/>
    <w:pPr>
      <w:ind w:left="2100"/>
    </w:pPr>
  </w:style>
  <w:style w:type="paragraph" w:styleId="1055">
    <w:name w:val="正文文本缩进 3"/>
    <w:basedOn w:val="995"/>
    <w:next w:val="1055"/>
    <w:link w:val="1056"/>
    <w:qFormat/>
    <w:pPr>
      <w:ind w:left="720" w:firstLine="480"/>
      <w:jc w:val="left"/>
      <w:spacing w:before="120" w:line="22" w:lineRule="atLeast"/>
    </w:pPr>
    <w:rPr>
      <w:rFonts w:ascii="宋体"/>
      <w:sz w:val="24"/>
      <w:szCs w:val="20"/>
    </w:rPr>
  </w:style>
  <w:style w:type="character" w:styleId="1056">
    <w:name w:val="正文文本缩进 3 Char"/>
    <w:next w:val="1056"/>
    <w:link w:val="1055"/>
    <w:qFormat/>
    <w:rPr>
      <w:rFonts w:ascii="宋体"/>
      <w:sz w:val="24"/>
    </w:rPr>
  </w:style>
  <w:style w:type="paragraph" w:styleId="1057">
    <w:name w:val="目录 2"/>
    <w:basedOn w:val="995"/>
    <w:next w:val="995"/>
    <w:link w:val="995"/>
    <w:uiPriority w:val="39"/>
    <w:qFormat/>
    <w:pPr>
      <w:ind w:left="420"/>
      <w:spacing w:line="312" w:lineRule="auto"/>
      <w:tabs>
        <w:tab w:val="right" w:pos="8937" w:leader="dot"/>
      </w:tabs>
    </w:pPr>
  </w:style>
  <w:style w:type="paragraph" w:styleId="1058">
    <w:name w:val="目录 9"/>
    <w:basedOn w:val="995"/>
    <w:next w:val="995"/>
    <w:link w:val="995"/>
    <w:qFormat/>
    <w:pPr>
      <w:ind w:left="3360"/>
    </w:pPr>
  </w:style>
  <w:style w:type="paragraph" w:styleId="1059">
    <w:name w:val="正文文本 2"/>
    <w:basedOn w:val="995"/>
    <w:next w:val="1059"/>
    <w:link w:val="1060"/>
    <w:qFormat/>
    <w:pPr>
      <w:spacing w:line="360" w:lineRule="auto"/>
    </w:pPr>
    <w:rPr>
      <w:rFonts w:ascii="宋体" w:hAnsi="宋体"/>
      <w:color w:val="0000ff"/>
      <w:sz w:val="24"/>
    </w:rPr>
  </w:style>
  <w:style w:type="character" w:styleId="1060">
    <w:name w:val="正文文本 2 Char"/>
    <w:next w:val="1060"/>
    <w:link w:val="1059"/>
    <w:qFormat/>
    <w:rPr>
      <w:rFonts w:ascii="宋体" w:hAnsi="宋体"/>
      <w:color w:val="0000ff"/>
      <w:sz w:val="24"/>
      <w:szCs w:val="24"/>
    </w:rPr>
  </w:style>
  <w:style w:type="paragraph" w:styleId="1061">
    <w:name w:val="HTML 预设格式"/>
    <w:basedOn w:val="995"/>
    <w:next w:val="1061"/>
    <w:link w:val="10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2">
    <w:name w:val="HTML 预设格式 Char"/>
    <w:next w:val="1062"/>
    <w:link w:val="1061"/>
    <w:qFormat/>
    <w:rPr>
      <w:rFonts w:ascii="宋体" w:hAnsi="宋体" w:cs="宋体"/>
      <w:sz w:val="24"/>
      <w:szCs w:val="24"/>
    </w:rPr>
  </w:style>
  <w:style w:type="paragraph" w:styleId="1063">
    <w:name w:val="普通(网站)"/>
    <w:basedOn w:val="995"/>
    <w:next w:val="1063"/>
    <w:link w:val="995"/>
    <w:uiPriority w:val="99"/>
    <w:unhideWhenUsed/>
    <w:qFormat/>
    <w:pPr>
      <w:jc w:val="left"/>
      <w:spacing w:before="100" w:beforeAutospacing="1" w:after="100" w:afterAutospacing="1"/>
      <w:widowControl/>
    </w:pPr>
    <w:rPr>
      <w:rFonts w:ascii="宋体" w:hAnsi="宋体" w:cs="宋体"/>
      <w:sz w:val="24"/>
    </w:rPr>
  </w:style>
  <w:style w:type="paragraph" w:styleId="1064">
    <w:name w:val="索引 1"/>
    <w:basedOn w:val="995"/>
    <w:next w:val="995"/>
    <w:link w:val="995"/>
    <w:qFormat/>
    <w:rPr>
      <w:szCs w:val="20"/>
    </w:rPr>
  </w:style>
  <w:style w:type="paragraph" w:styleId="1065">
    <w:name w:val="标题"/>
    <w:basedOn w:val="995"/>
    <w:next w:val="1065"/>
    <w:link w:val="1066"/>
    <w:uiPriority w:val="10"/>
    <w:qFormat/>
    <w:pPr>
      <w:jc w:val="center"/>
      <w:outlineLvl w:val="0"/>
    </w:pPr>
    <w:rPr>
      <w:b/>
      <w:sz w:val="32"/>
      <w:szCs w:val="20"/>
    </w:rPr>
  </w:style>
  <w:style w:type="character" w:styleId="1066">
    <w:name w:val="标题 Char1"/>
    <w:next w:val="1066"/>
    <w:link w:val="1065"/>
    <w:uiPriority w:val="10"/>
    <w:qFormat/>
    <w:rPr>
      <w:b/>
      <w:sz w:val="32"/>
    </w:rPr>
  </w:style>
  <w:style w:type="paragraph" w:styleId="1067">
    <w:name w:val="批注主题"/>
    <w:basedOn w:val="1023"/>
    <w:next w:val="1023"/>
    <w:link w:val="1068"/>
    <w:uiPriority w:val="99"/>
    <w:qFormat/>
    <w:rPr>
      <w:b/>
      <w:bCs/>
    </w:rPr>
  </w:style>
  <w:style w:type="character" w:styleId="1068">
    <w:name w:val="批注主题 Char"/>
    <w:next w:val="1068"/>
    <w:link w:val="1067"/>
    <w:uiPriority w:val="99"/>
    <w:qFormat/>
    <w:rPr>
      <w:rFonts w:ascii="Times New Roman" w:hAnsi="Times New Roman" w:eastAsia="宋体" w:cs="Times New Roman"/>
      <w:b/>
      <w:bCs/>
      <w:sz w:val="21"/>
      <w:szCs w:val="24"/>
      <w:lang w:val="en-US" w:eastAsia="zh-CN" w:bidi="ar-SA"/>
    </w:rPr>
  </w:style>
  <w:style w:type="paragraph" w:styleId="1069">
    <w:name w:val="正文首行缩进"/>
    <w:basedOn w:val="1027"/>
    <w:next w:val="1069"/>
    <w:link w:val="1070"/>
    <w:qFormat/>
    <w:pPr>
      <w:ind w:firstLine="200"/>
      <w:spacing w:before="0" w:line="360" w:lineRule="auto"/>
      <w:tabs>
        <w:tab w:val="clear" w:pos="567" w:leader="none"/>
      </w:tabs>
    </w:pPr>
    <w:rPr>
      <w:rFonts w:ascii="Calibri" w:hAnsi="Calibri" w:eastAsia="仿宋_GB2312"/>
    </w:rPr>
  </w:style>
  <w:style w:type="character" w:styleId="1070">
    <w:name w:val="正文首行缩进 Char"/>
    <w:next w:val="1070"/>
    <w:link w:val="1069"/>
    <w:qFormat/>
    <w:rPr>
      <w:rFonts w:ascii="Calibri" w:hAnsi="Calibri" w:eastAsia="仿宋_GB2312"/>
      <w:sz w:val="24"/>
      <w:szCs w:val="24"/>
    </w:rPr>
  </w:style>
  <w:style w:type="paragraph" w:styleId="1071">
    <w:name w:val="正文首行缩进 2"/>
    <w:basedOn w:val="1029"/>
    <w:next w:val="1071"/>
    <w:link w:val="1072"/>
    <w:qFormat/>
    <w:pPr>
      <w:ind w:left="420" w:firstLine="420"/>
      <w:spacing w:after="120" w:line="480" w:lineRule="exact"/>
    </w:pPr>
  </w:style>
  <w:style w:type="character" w:styleId="1072">
    <w:name w:val="正文首行缩进 2 Char"/>
    <w:next w:val="1072"/>
    <w:link w:val="1071"/>
    <w:qFormat/>
    <w:rPr>
      <w:rFonts w:eastAsia="宋体"/>
      <w:sz w:val="24"/>
      <w:szCs w:val="24"/>
      <w:lang w:val="en-US" w:eastAsia="zh-CN" w:bidi="ar-SA"/>
    </w:rPr>
  </w:style>
  <w:style w:type="table" w:styleId="1073">
    <w:name w:val="网格型"/>
    <w:basedOn w:val="1006"/>
    <w:next w:val="1073"/>
    <w:link w:val="995"/>
    <w:uiPriority w:val="59"/>
    <w:qFormat/>
    <w:tblPr/>
  </w:style>
  <w:style w:type="table" w:styleId="1074">
    <w:name w:val="中等深浅网格 1 - 强调文字颜色 2"/>
    <w:basedOn w:val="1006"/>
    <w:next w:val="1074"/>
    <w:link w:val="995"/>
    <w:qFormat/>
    <w:rPr>
      <w:sz w:val="21"/>
      <w:szCs w:val="24"/>
    </w:rPr>
    <w:tblPr/>
  </w:style>
  <w:style w:type="character" w:styleId="1075">
    <w:name w:val="要点"/>
    <w:next w:val="1075"/>
    <w:link w:val="995"/>
    <w:uiPriority w:val="99"/>
    <w:qFormat/>
    <w:rPr>
      <w:b/>
      <w:bCs/>
    </w:rPr>
  </w:style>
  <w:style w:type="character" w:styleId="1076">
    <w:name w:val="页码"/>
    <w:next w:val="1076"/>
    <w:link w:val="995"/>
    <w:qFormat/>
  </w:style>
  <w:style w:type="character" w:styleId="1077">
    <w:name w:val="已访问的超链接"/>
    <w:next w:val="1077"/>
    <w:link w:val="995"/>
    <w:uiPriority w:val="99"/>
    <w:qFormat/>
    <w:rPr>
      <w:color w:val="800080"/>
      <w:u w:val="single"/>
    </w:rPr>
  </w:style>
  <w:style w:type="character" w:styleId="1078">
    <w:name w:val="强调"/>
    <w:next w:val="1078"/>
    <w:link w:val="995"/>
    <w:uiPriority w:val="20"/>
    <w:qFormat/>
    <w:rPr>
      <w:color w:val="cc0033"/>
    </w:rPr>
  </w:style>
  <w:style w:type="character" w:styleId="1079">
    <w:name w:val="HTML 定义"/>
    <w:next w:val="1079"/>
    <w:link w:val="995"/>
    <w:uiPriority w:val="99"/>
    <w:unhideWhenUsed/>
    <w:qFormat/>
    <w:rPr>
      <w:i/>
    </w:rPr>
  </w:style>
  <w:style w:type="character" w:styleId="1080">
    <w:name w:val="超链接"/>
    <w:next w:val="1080"/>
    <w:link w:val="995"/>
    <w:uiPriority w:val="99"/>
    <w:qFormat/>
    <w:rPr>
      <w:color w:val="0000ff"/>
      <w:u w:val="single"/>
    </w:rPr>
  </w:style>
  <w:style w:type="character" w:styleId="1081">
    <w:name w:val="HTML 代码"/>
    <w:next w:val="1081"/>
    <w:link w:val="995"/>
    <w:uiPriority w:val="99"/>
    <w:unhideWhenUsed/>
    <w:qFormat/>
    <w:rPr>
      <w:rFonts w:ascii="Menlo" w:hAnsi="Menlo" w:eastAsia="Menlo" w:cs="Menlo"/>
      <w:color w:val="c7254e"/>
      <w:sz w:val="21"/>
      <w:szCs w:val="21"/>
      <w:shd w:val="clear" w:color="auto" w:fill="f9f2f4"/>
    </w:rPr>
  </w:style>
  <w:style w:type="character" w:styleId="1082">
    <w:name w:val="批注引用"/>
    <w:next w:val="1082"/>
    <w:link w:val="995"/>
    <w:qFormat/>
    <w:rPr>
      <w:sz w:val="21"/>
      <w:szCs w:val="21"/>
    </w:rPr>
  </w:style>
  <w:style w:type="character" w:styleId="1083">
    <w:name w:val="HTML 引文"/>
    <w:next w:val="1083"/>
    <w:link w:val="995"/>
    <w:qFormat/>
    <w:rPr>
      <w:i/>
      <w:iCs/>
    </w:rPr>
  </w:style>
  <w:style w:type="character" w:styleId="1084">
    <w:name w:val="HTML 键盘"/>
    <w:next w:val="1084"/>
    <w:link w:val="995"/>
    <w:uiPriority w:val="99"/>
    <w:unhideWhenUsed/>
    <w:qFormat/>
    <w:rPr>
      <w:rFonts w:ascii="Menlo" w:hAnsi="Menlo" w:eastAsia="Menlo" w:cs="Menlo"/>
      <w:color w:val="ffffff"/>
      <w:sz w:val="21"/>
      <w:szCs w:val="21"/>
      <w:shd w:val="clear" w:color="auto" w:fill="333333"/>
    </w:rPr>
  </w:style>
  <w:style w:type="character" w:styleId="1085">
    <w:name w:val="HTML 样本"/>
    <w:next w:val="1085"/>
    <w:link w:val="995"/>
    <w:uiPriority w:val="99"/>
    <w:unhideWhenUsed/>
    <w:qFormat/>
    <w:rPr>
      <w:rFonts w:ascii="Menlo" w:hAnsi="Menlo" w:eastAsia="Menlo" w:cs="Menlo"/>
      <w:sz w:val="21"/>
      <w:szCs w:val="21"/>
    </w:rPr>
  </w:style>
  <w:style w:type="character" w:styleId="1086">
    <w:name w:val="z-窗体顶端 Char"/>
    <w:next w:val="1086"/>
    <w:link w:val="1087"/>
    <w:qFormat/>
    <w:rPr>
      <w:rFonts w:ascii="Arial"/>
      <w:vanish/>
      <w:sz w:val="16"/>
      <w:szCs w:val="24"/>
    </w:rPr>
  </w:style>
  <w:style w:type="paragraph" w:styleId="1087">
    <w:name w:val="z-窗体顶端1"/>
    <w:basedOn w:val="995"/>
    <w:next w:val="995"/>
    <w:link w:val="1086"/>
    <w:qFormat/>
    <w:pPr>
      <w:jc w:val="center"/>
      <w:pBdr>
        <w:bottom w:val="single" w:color="000000" w:sz="6" w:space="1"/>
      </w:pBdr>
    </w:pPr>
    <w:rPr>
      <w:rFonts w:ascii="Arial"/>
      <w:vanish/>
      <w:sz w:val="16"/>
    </w:rPr>
  </w:style>
  <w:style w:type="character" w:styleId="1088">
    <w:name w:val="正文大标题 Char"/>
    <w:next w:val="1088"/>
    <w:link w:val="1089"/>
    <w:qFormat/>
    <w:rPr>
      <w:rFonts w:ascii="宋体" w:hAnsi="宋体"/>
      <w:b/>
      <w:color w:val="000000"/>
      <w:sz w:val="28"/>
      <w:szCs w:val="21"/>
    </w:rPr>
  </w:style>
  <w:style w:type="paragraph" w:styleId="1089">
    <w:name w:val="正文大标题"/>
    <w:basedOn w:val="1090"/>
    <w:next w:val="1010"/>
    <w:link w:val="1088"/>
    <w:qFormat/>
    <w:pPr>
      <w:jc w:val="center"/>
    </w:pPr>
    <w:rPr>
      <w:i w:val="0"/>
      <w:color w:val="000000"/>
      <w:sz w:val="28"/>
      <w:szCs w:val="21"/>
    </w:rPr>
  </w:style>
  <w:style w:type="paragraph" w:styleId="1090">
    <w:name w:val="正文小标题"/>
    <w:basedOn w:val="995"/>
    <w:next w:val="1010"/>
    <w:link w:val="1091"/>
    <w:qFormat/>
    <w:pPr>
      <w:ind w:firstLine="482"/>
      <w:jc w:val="left"/>
      <w:spacing w:before="312" w:after="312"/>
    </w:pPr>
    <w:rPr>
      <w:rFonts w:ascii="宋体" w:hAnsi="宋体"/>
      <w:b/>
      <w:i/>
      <w:color w:val="ff0000"/>
      <w:sz w:val="24"/>
      <w:szCs w:val="20"/>
    </w:rPr>
  </w:style>
  <w:style w:type="character" w:styleId="1091">
    <w:name w:val="正文小标题 Char"/>
    <w:next w:val="1091"/>
    <w:link w:val="1090"/>
    <w:qFormat/>
    <w:rPr>
      <w:rFonts w:ascii="宋体" w:hAnsi="宋体"/>
      <w:b/>
      <w:i/>
      <w:color w:val="ff0000"/>
      <w:sz w:val="24"/>
    </w:rPr>
  </w:style>
  <w:style w:type="character" w:styleId="1092">
    <w:name w:val="unnamed11"/>
    <w:next w:val="1092"/>
    <w:link w:val="995"/>
    <w:qFormat/>
  </w:style>
  <w:style w:type="character" w:styleId="1093">
    <w:name w:val="正文（绿盟科技） Char"/>
    <w:next w:val="1093"/>
    <w:link w:val="1094"/>
    <w:qFormat/>
    <w:rPr>
      <w:rFonts w:ascii="Arial" w:hAnsi="Arial"/>
      <w:lang w:val="en-US" w:eastAsia="zh-CN" w:bidi="ar-SA"/>
    </w:rPr>
  </w:style>
  <w:style w:type="paragraph" w:styleId="1094">
    <w:name w:val="正文（绿盟科技）"/>
    <w:next w:val="1094"/>
    <w:link w:val="1093"/>
    <w:qFormat/>
    <w:pPr>
      <w:spacing w:line="300" w:lineRule="auto"/>
    </w:pPr>
    <w:rPr>
      <w:rFonts w:ascii="Arial" w:hAnsi="Arial"/>
      <w:lang w:val="en-US" w:eastAsia="zh-CN" w:bidi="ar-SA"/>
    </w:rPr>
  </w:style>
  <w:style w:type="character" w:styleId="1095">
    <w:name w:val="页脚 字符"/>
    <w:next w:val="1095"/>
    <w:link w:val="995"/>
    <w:uiPriority w:val="99"/>
    <w:qFormat/>
    <w:rPr>
      <w:rFonts w:ascii="Times New Roman" w:hAnsi="Times New Roman" w:eastAsia="楷体_GB2312" w:cs="Times New Roman"/>
      <w:sz w:val="18"/>
      <w:szCs w:val="18"/>
    </w:rPr>
  </w:style>
  <w:style w:type="character" w:styleId="1096">
    <w:name w:val="签名 Char1"/>
    <w:next w:val="1096"/>
    <w:link w:val="995"/>
    <w:qFormat/>
  </w:style>
  <w:style w:type="character" w:styleId="1097">
    <w:name w:val="title4"/>
    <w:next w:val="1097"/>
    <w:link w:val="995"/>
    <w:qFormat/>
    <w:rPr>
      <w:b/>
      <w:bCs/>
      <w:color w:val="1d87b3"/>
      <w:sz w:val="15"/>
      <w:szCs w:val="15"/>
    </w:rPr>
  </w:style>
  <w:style w:type="character" w:styleId="1098">
    <w:name w:val="标题 Char"/>
    <w:next w:val="1098"/>
    <w:link w:val="995"/>
    <w:qFormat/>
    <w:rPr>
      <w:b/>
      <w:sz w:val="32"/>
    </w:rPr>
  </w:style>
  <w:style w:type="character" w:styleId="1099">
    <w:name w:val="标书正文 Char Char"/>
    <w:next w:val="1099"/>
    <w:link w:val="1100"/>
    <w:rPr>
      <w:spacing w:val="1"/>
      <w:sz w:val="24"/>
      <w:szCs w:val="24"/>
    </w:rPr>
  </w:style>
  <w:style w:type="paragraph" w:styleId="1100">
    <w:name w:val="标书正文"/>
    <w:basedOn w:val="995"/>
    <w:next w:val="1100"/>
    <w:link w:val="1099"/>
    <w:pPr>
      <w:ind w:firstLine="200"/>
      <w:spacing w:line="360" w:lineRule="auto"/>
    </w:pPr>
    <w:rPr>
      <w:spacing w:val="1"/>
      <w:sz w:val="24"/>
    </w:rPr>
  </w:style>
  <w:style w:type="character" w:styleId="1101">
    <w:name w:val="标题 9 字符"/>
    <w:next w:val="1101"/>
    <w:link w:val="995"/>
    <w:qFormat/>
    <w:rPr>
      <w:rFonts w:ascii="Arial" w:hAnsi="Arial" w:eastAsia="黑体" w:cs="Times New Roman"/>
      <w:sz w:val="20"/>
      <w:szCs w:val="21"/>
    </w:rPr>
  </w:style>
  <w:style w:type="character" w:styleId="1102">
    <w:name w:val="street-address"/>
    <w:next w:val="1102"/>
    <w:link w:val="995"/>
    <w:qFormat/>
  </w:style>
  <w:style w:type="character" w:styleId="1103">
    <w:name w:val="标书正文格式 Char"/>
    <w:next w:val="1103"/>
    <w:link w:val="1104"/>
    <w:qFormat/>
    <w:rPr>
      <w:rFonts w:eastAsia="楷体_GB2312"/>
      <w:sz w:val="24"/>
      <w:szCs w:val="24"/>
      <w:lang w:val="en-US" w:eastAsia="zh-CN" w:bidi="ar-SA"/>
    </w:rPr>
  </w:style>
  <w:style w:type="paragraph" w:styleId="1104">
    <w:name w:val="标书正文格式"/>
    <w:next w:val="1104"/>
    <w:link w:val="1103"/>
    <w:qFormat/>
    <w:pPr>
      <w:ind w:firstLine="200"/>
      <w:spacing w:line="360" w:lineRule="auto"/>
    </w:pPr>
    <w:rPr>
      <w:rFonts w:eastAsia="楷体_GB2312"/>
      <w:sz w:val="24"/>
      <w:szCs w:val="24"/>
      <w:lang w:val="en-US" w:eastAsia="zh-CN" w:bidi="ar-SA"/>
    </w:rPr>
  </w:style>
  <w:style w:type="character" w:styleId="1105">
    <w:name w:val="副标题 Char1"/>
    <w:next w:val="1105"/>
    <w:link w:val="995"/>
    <w:uiPriority w:val="11"/>
    <w:rPr>
      <w:rFonts w:ascii="Cambria" w:hAnsi="Cambria" w:eastAsia="宋体" w:cs="Times New Roman"/>
      <w:b/>
      <w:bCs/>
      <w:sz w:val="32"/>
      <w:szCs w:val="32"/>
    </w:rPr>
  </w:style>
  <w:style w:type="character" w:styleId="1106">
    <w:name w:val="style3"/>
    <w:next w:val="1106"/>
    <w:link w:val="995"/>
    <w:qFormat/>
  </w:style>
  <w:style w:type="character" w:styleId="1107">
    <w:name w:val="font11"/>
    <w:next w:val="1107"/>
    <w:link w:val="995"/>
    <w:qFormat/>
    <w:rPr>
      <w:rFonts w:hint="eastAsia" w:ascii="仿宋" w:hAnsi="仿宋" w:eastAsia="仿宋" w:cs="仿宋"/>
      <w:color w:val="333333"/>
      <w:sz w:val="22"/>
      <w:szCs w:val="22"/>
      <w:u w:val="none"/>
    </w:rPr>
  </w:style>
  <w:style w:type="character" w:styleId="1108">
    <w:name w:val="日期 字符"/>
    <w:next w:val="1108"/>
    <w:link w:val="995"/>
    <w:uiPriority w:val="99"/>
    <w:qFormat/>
    <w:rPr>
      <w:rFonts w:ascii="宋体" w:hAnsi="宋体" w:eastAsia="楷体_GB2312" w:cs="Times New Roman"/>
      <w:sz w:val="24"/>
      <w:szCs w:val="20"/>
    </w:rPr>
  </w:style>
  <w:style w:type="character" w:styleId="1109">
    <w:name w:val="标题 字符"/>
    <w:next w:val="1109"/>
    <w:link w:val="995"/>
    <w:qFormat/>
    <w:rPr>
      <w:rFonts w:ascii="Cambria" w:hAnsi="Cambria"/>
      <w:b/>
      <w:bCs/>
      <w:sz w:val="32"/>
      <w:szCs w:val="32"/>
    </w:rPr>
  </w:style>
  <w:style w:type="character" w:styleId="1110">
    <w:name w:val="fonta1"/>
    <w:next w:val="1110"/>
    <w:link w:val="995"/>
    <w:rPr>
      <w:sz w:val="30"/>
    </w:rPr>
  </w:style>
  <w:style w:type="character" w:styleId="1111">
    <w:name w:val="样式 正文缩进 + 首行缩进:  2 字符 Char"/>
    <w:next w:val="1111"/>
    <w:link w:val="1112"/>
    <w:qFormat/>
    <w:rPr>
      <w:sz w:val="24"/>
    </w:rPr>
  </w:style>
  <w:style w:type="paragraph" w:styleId="1112">
    <w:name w:val="样式 正文缩进 + 首行缩进:  2 字符"/>
    <w:basedOn w:val="1010"/>
    <w:next w:val="1112"/>
    <w:link w:val="1111"/>
    <w:qFormat/>
    <w:pPr>
      <w:ind w:firstLine="200"/>
      <w:jc w:val="both"/>
      <w:spacing w:line="360" w:lineRule="auto"/>
    </w:pPr>
    <w:rPr>
      <w:rFonts w:ascii="Times New Roman"/>
      <w:szCs w:val="20"/>
    </w:rPr>
  </w:style>
  <w:style w:type="character" w:styleId="1113">
    <w:name w:val="纯文本 字符1"/>
    <w:next w:val="1113"/>
    <w:link w:val="995"/>
    <w:qFormat/>
    <w:rPr>
      <w:rFonts w:ascii="宋体" w:hAnsi="Courier New"/>
    </w:rPr>
  </w:style>
  <w:style w:type="character" w:styleId="1114">
    <w:name w:val="明显引用 字符1"/>
    <w:next w:val="1114"/>
    <w:link w:val="995"/>
    <w:uiPriority w:val="30"/>
    <w:rPr>
      <w:i/>
      <w:iCs/>
      <w:color w:val="5b9bd5"/>
      <w:sz w:val="21"/>
      <w:szCs w:val="24"/>
    </w:rPr>
  </w:style>
  <w:style w:type="character" w:styleId="1115">
    <w:name w:val="Char Char10"/>
    <w:next w:val="1115"/>
    <w:link w:val="995"/>
    <w:qFormat/>
    <w:rPr>
      <w:rFonts w:ascii="宋体" w:hAnsi="Courier New" w:eastAsia="宋体" w:cs="Times New Roman"/>
      <w:szCs w:val="21"/>
    </w:rPr>
  </w:style>
  <w:style w:type="character" w:styleId="1116">
    <w:name w:val="标题 4 字符"/>
    <w:next w:val="1116"/>
    <w:link w:val="995"/>
    <w:qFormat/>
    <w:rPr>
      <w:rFonts w:ascii="Arial" w:hAnsi="Arial" w:eastAsia="黑体" w:cs="Times New Roman"/>
      <w:b/>
      <w:bCs/>
      <w:sz w:val="28"/>
      <w:szCs w:val="28"/>
    </w:rPr>
  </w:style>
  <w:style w:type="character" w:styleId="1117">
    <w:name w:val="标题 7 字符"/>
    <w:next w:val="1117"/>
    <w:link w:val="995"/>
    <w:qFormat/>
    <w:rPr>
      <w:rFonts w:ascii="Times New Roman" w:hAnsi="Times New Roman" w:eastAsia="宋体" w:cs="Times New Roman"/>
      <w:b/>
      <w:bCs/>
      <w:sz w:val="24"/>
      <w:szCs w:val="24"/>
    </w:rPr>
  </w:style>
  <w:style w:type="character" w:styleId="1118">
    <w:name w:val="明显参考1"/>
    <w:next w:val="1118"/>
    <w:link w:val="995"/>
    <w:uiPriority w:val="32"/>
    <w:qFormat/>
    <w:rPr>
      <w:b/>
      <w:bCs/>
      <w:smallCaps/>
      <w:color w:val="c0504d"/>
      <w:spacing w:val="5"/>
      <w:u w:val="single"/>
    </w:rPr>
  </w:style>
  <w:style w:type="character" w:styleId="1119">
    <w:name w:val="页脚 Char"/>
    <w:next w:val="1119"/>
    <w:link w:val="995"/>
    <w:qFormat/>
    <w:rPr>
      <w:rFonts w:ascii="宋体" w:eastAsia="宋体"/>
      <w:sz w:val="18"/>
      <w:lang w:val="en-US" w:eastAsia="zh-CN" w:bidi="ar-SA"/>
    </w:rPr>
  </w:style>
  <w:style w:type="character" w:styleId="1120">
    <w:name w:val="正文文本 字符"/>
    <w:next w:val="1120"/>
    <w:link w:val="995"/>
    <w:qFormat/>
    <w:rPr>
      <w:rFonts w:ascii="Times New Roman" w:hAnsi="Times New Roman" w:eastAsia="宋体" w:cs="Times New Roman"/>
      <w:szCs w:val="24"/>
    </w:rPr>
  </w:style>
  <w:style w:type="character" w:styleId="1121">
    <w:name w:val="批注文字 Char"/>
    <w:next w:val="1121"/>
    <w:link w:val="995"/>
    <w:qFormat/>
    <w:rPr>
      <w:sz w:val="21"/>
      <w:szCs w:val="24"/>
    </w:rPr>
  </w:style>
  <w:style w:type="character" w:styleId="1122">
    <w:name w:val="正文首行缩进 字符1"/>
    <w:next w:val="1122"/>
    <w:link w:val="995"/>
    <w:uiPriority w:val="99"/>
    <w:rPr>
      <w:rFonts w:ascii="宋体" w:hAnsi="宋体"/>
      <w:sz w:val="21"/>
      <w:szCs w:val="24"/>
    </w:rPr>
  </w:style>
  <w:style w:type="character" w:styleId="1123">
    <w:name w:val="书籍标题1"/>
    <w:next w:val="1123"/>
    <w:link w:val="995"/>
    <w:uiPriority w:val="33"/>
    <w:qFormat/>
    <w:rPr>
      <w:b/>
      <w:bCs/>
      <w:smallCaps/>
      <w:spacing w:val="5"/>
    </w:rPr>
  </w:style>
  <w:style w:type="character" w:styleId="1124">
    <w:name w:val="不明显强调1"/>
    <w:next w:val="1124"/>
    <w:link w:val="995"/>
    <w:uiPriority w:val="19"/>
    <w:qFormat/>
    <w:rPr>
      <w:i/>
      <w:iCs/>
      <w:color w:val="808080"/>
    </w:rPr>
  </w:style>
  <w:style w:type="character" w:styleId="1125">
    <w:name w:val="普通文字1 Char1"/>
    <w:next w:val="1125"/>
    <w:link w:val="995"/>
    <w:qFormat/>
    <w:rPr>
      <w:rFonts w:ascii="宋体" w:hAnsi="Courier New" w:eastAsia="宋体"/>
      <w:sz w:val="21"/>
      <w:lang w:val="en-US" w:eastAsia="zh-CN" w:bidi="ar-SA"/>
    </w:rPr>
  </w:style>
  <w:style w:type="character" w:styleId="1126">
    <w:name w:val="正文文本 3 字符1"/>
    <w:next w:val="1126"/>
    <w:link w:val="995"/>
    <w:uiPriority w:val="99"/>
    <w:semiHidden/>
    <w:rPr>
      <w:sz w:val="16"/>
      <w:szCs w:val="16"/>
    </w:rPr>
  </w:style>
  <w:style w:type="character" w:styleId="1127">
    <w:name w:val="black1"/>
    <w:next w:val="1127"/>
    <w:link w:val="995"/>
    <w:qFormat/>
    <w:rPr>
      <w:color w:val="000000"/>
    </w:rPr>
  </w:style>
  <w:style w:type="character" w:styleId="1128">
    <w:name w:val="正文缩进 Char Char"/>
    <w:next w:val="1128"/>
    <w:link w:val="1129"/>
    <w:qFormat/>
    <w:rPr>
      <w:rFonts w:ascii="宋体" w:eastAsia="宋体"/>
      <w:color w:val="000000"/>
      <w:sz w:val="28"/>
      <w:lang w:bidi="ar-SA"/>
    </w:rPr>
  </w:style>
  <w:style w:type="paragraph" w:styleId="1129">
    <w:name w:val="正文缩进1"/>
    <w:basedOn w:val="995"/>
    <w:next w:val="1129"/>
    <w:link w:val="1128"/>
    <w:qFormat/>
    <w:pPr>
      <w:ind w:firstLine="567"/>
      <w:spacing w:line="480" w:lineRule="exact"/>
      <w:widowControl/>
    </w:pPr>
    <w:rPr>
      <w:rFonts w:ascii="宋体"/>
      <w:color w:val="000000"/>
      <w:sz w:val="28"/>
      <w:szCs w:val="20"/>
    </w:rPr>
  </w:style>
  <w:style w:type="character" w:styleId="1130">
    <w:name w:val="reg"/>
    <w:next w:val="1130"/>
    <w:link w:val="995"/>
    <w:qFormat/>
  </w:style>
  <w:style w:type="character" w:styleId="1131">
    <w:name w:val="正文表格 Char"/>
    <w:next w:val="1131"/>
    <w:link w:val="1132"/>
    <w:qFormat/>
    <w:rPr>
      <w:rFonts w:ascii="宋体" w:hAnsi="宋体"/>
      <w:color w:val="000000"/>
      <w:sz w:val="21"/>
      <w:szCs w:val="21"/>
    </w:rPr>
  </w:style>
  <w:style w:type="paragraph" w:styleId="1132">
    <w:name w:val="正文表格"/>
    <w:basedOn w:val="995"/>
    <w:next w:val="1132"/>
    <w:link w:val="1131"/>
    <w:qFormat/>
    <w:pPr>
      <w:jc w:val="left"/>
    </w:pPr>
    <w:rPr>
      <w:rFonts w:ascii="宋体" w:hAnsi="宋体"/>
      <w:color w:val="000000"/>
      <w:szCs w:val="21"/>
    </w:rPr>
  </w:style>
  <w:style w:type="character" w:styleId="1133">
    <w:name w:val="font31"/>
    <w:next w:val="1133"/>
    <w:link w:val="995"/>
    <w:qFormat/>
    <w:rPr>
      <w:rFonts w:hint="eastAsia" w:ascii="宋体" w:hAnsi="宋体" w:eastAsia="宋体" w:cs="宋体"/>
      <w:b/>
      <w:color w:val="000000"/>
      <w:sz w:val="20"/>
      <w:szCs w:val="20"/>
      <w:u w:val="none"/>
    </w:rPr>
  </w:style>
  <w:style w:type="character" w:styleId="1134">
    <w:name w:val="批注文字 字符"/>
    <w:next w:val="1134"/>
    <w:link w:val="995"/>
    <w:qFormat/>
    <w:rPr>
      <w:rFonts w:ascii="Times New Roman" w:hAnsi="Times New Roman" w:eastAsia="宋体" w:cs="Times New Roman"/>
      <w:sz w:val="24"/>
      <w:lang w:val="en-US" w:eastAsia="zh-CN" w:bidi="ar-SA"/>
    </w:rPr>
  </w:style>
  <w:style w:type="character" w:styleId="1135">
    <w:name w:val="z-窗体底端 Char"/>
    <w:next w:val="1135"/>
    <w:link w:val="1136"/>
    <w:qFormat/>
    <w:rPr>
      <w:rFonts w:ascii="Arial"/>
      <w:vanish/>
      <w:sz w:val="16"/>
      <w:szCs w:val="24"/>
    </w:rPr>
  </w:style>
  <w:style w:type="paragraph" w:styleId="1136">
    <w:name w:val="z-窗体底端1"/>
    <w:basedOn w:val="995"/>
    <w:next w:val="995"/>
    <w:link w:val="1135"/>
    <w:qFormat/>
    <w:pPr>
      <w:jc w:val="center"/>
      <w:pBdr>
        <w:top w:val="single" w:color="000000" w:sz="6" w:space="1"/>
      </w:pBdr>
    </w:pPr>
    <w:rPr>
      <w:rFonts w:ascii="Arial"/>
      <w:vanish/>
      <w:sz w:val="16"/>
    </w:rPr>
  </w:style>
  <w:style w:type="character" w:styleId="1137">
    <w:name w:val="HTML 预设格式 字符"/>
    <w:next w:val="1137"/>
    <w:link w:val="995"/>
    <w:qFormat/>
    <w:rPr>
      <w:rFonts w:ascii="黑体" w:hAnsi="Courier New" w:eastAsia="黑体" w:cs="楷体_GB2312"/>
      <w:sz w:val="20"/>
      <w:szCs w:val="20"/>
    </w:rPr>
  </w:style>
  <w:style w:type="character" w:styleId="1138">
    <w:name w:val="Char Char11"/>
    <w:next w:val="1138"/>
    <w:link w:val="995"/>
    <w:qFormat/>
    <w:rPr>
      <w:rFonts w:ascii="宋体" w:eastAsia="宋体"/>
      <w:b/>
      <w:sz w:val="24"/>
      <w:u w:val="single"/>
      <w:lang w:val="en-US" w:eastAsia="zh-CN" w:bidi="ar-SA"/>
    </w:rPr>
  </w:style>
  <w:style w:type="character" w:styleId="1139">
    <w:name w:val="bjh-p"/>
    <w:next w:val="1139"/>
    <w:link w:val="995"/>
    <w:qFormat/>
  </w:style>
  <w:style w:type="character" w:styleId="1140">
    <w:name w:val="point_small1"/>
    <w:next w:val="1140"/>
    <w:link w:val="995"/>
    <w:qFormat/>
    <w:rPr>
      <w:rFonts w:ascii="Arial" w:hAnsi="Arial" w:cs="Arial"/>
      <w:sz w:val="18"/>
      <w:szCs w:val="18"/>
    </w:rPr>
  </w:style>
  <w:style w:type="character" w:styleId="1141">
    <w:name w:val="Char Char5"/>
    <w:next w:val="1141"/>
    <w:link w:val="995"/>
    <w:qFormat/>
    <w:rPr>
      <w:rFonts w:ascii="宋体" w:hAnsi="Courier New" w:eastAsia="宋体"/>
      <w:szCs w:val="21"/>
      <w:lang w:bidi="ar-SA"/>
    </w:rPr>
  </w:style>
  <w:style w:type="character" w:styleId="1142">
    <w:name w:val="标题 2 字符"/>
    <w:next w:val="1142"/>
    <w:link w:val="995"/>
    <w:uiPriority w:val="9"/>
    <w:qFormat/>
    <w:rPr>
      <w:rFonts w:ascii="宋体" w:hAnsi="Times New Roman" w:eastAsia="宋体" w:cs="Times New Roman"/>
      <w:b/>
      <w:sz w:val="28"/>
      <w:szCs w:val="20"/>
    </w:rPr>
  </w:style>
  <w:style w:type="character" w:styleId="1143">
    <w:name w:val="正文缩进 字符"/>
    <w:next w:val="1143"/>
    <w:link w:val="995"/>
    <w:qFormat/>
    <w:rPr>
      <w:rFonts w:ascii="Times New Roman" w:hAnsi="Times New Roman" w:eastAsia="宋体" w:cs="Times New Roman"/>
      <w:szCs w:val="20"/>
    </w:rPr>
  </w:style>
  <w:style w:type="character" w:styleId="1144">
    <w:name w:val="tpc_content1"/>
    <w:next w:val="1144"/>
    <w:link w:val="995"/>
    <w:qFormat/>
    <w:rPr>
      <w:sz w:val="18"/>
      <w:szCs w:val="18"/>
    </w:rPr>
  </w:style>
  <w:style w:type="character" w:styleId="1145">
    <w:name w:val="标题 5 字符"/>
    <w:next w:val="1145"/>
    <w:link w:val="995"/>
    <w:qFormat/>
    <w:rPr>
      <w:rFonts w:ascii="宋体" w:hAnsi="宋体" w:eastAsia="宋体" w:cs="Times New Roman"/>
      <w:color w:val="000000"/>
      <w:sz w:val="28"/>
      <w:szCs w:val="20"/>
    </w:rPr>
  </w:style>
  <w:style w:type="character" w:styleId="1146">
    <w:name w:val="chanpin1"/>
    <w:next w:val="1146"/>
    <w:link w:val="995"/>
    <w:qFormat/>
    <w:rPr>
      <w:rFonts w:ascii="ˎ̥" w:hAnsi="ˎ̥"/>
      <w:color w:val="000000"/>
      <w:sz w:val="20"/>
      <w:szCs w:val="20"/>
      <w:u w:val="none"/>
    </w:rPr>
  </w:style>
  <w:style w:type="character" w:styleId="1147">
    <w:name w:val="标题 字符1"/>
    <w:next w:val="1147"/>
    <w:link w:val="995"/>
    <w:uiPriority w:val="10"/>
    <w:rPr>
      <w:rFonts w:ascii="Cambria" w:hAnsi="Cambria" w:eastAsia="宋体" w:cs="Times New Roman"/>
      <w:b/>
      <w:bCs/>
      <w:sz w:val="32"/>
      <w:szCs w:val="32"/>
    </w:rPr>
  </w:style>
  <w:style w:type="character" w:styleId="1148">
    <w:name w:val="bt1"/>
    <w:next w:val="1148"/>
    <w:link w:val="995"/>
    <w:qFormat/>
    <w:rPr>
      <w:color w:val="000000"/>
    </w:rPr>
  </w:style>
  <w:style w:type="character" w:styleId="1149">
    <w:name w:val="Header Char"/>
    <w:next w:val="1149"/>
    <w:link w:val="995"/>
    <w:qFormat/>
    <w:rPr>
      <w:rFonts w:cs="Times New Roman"/>
      <w:sz w:val="18"/>
      <w:szCs w:val="18"/>
    </w:rPr>
  </w:style>
  <w:style w:type="character" w:styleId="1150">
    <w:name w:val="正文缩进 Char"/>
    <w:next w:val="1150"/>
    <w:link w:val="995"/>
    <w:qFormat/>
    <w:rPr>
      <w:rFonts w:ascii="宋体" w:eastAsia="宋体"/>
      <w:sz w:val="24"/>
      <w:szCs w:val="24"/>
      <w:lang w:val="en-US" w:eastAsia="zh-CN" w:bidi="ar-SA"/>
    </w:rPr>
  </w:style>
  <w:style w:type="character" w:styleId="1151">
    <w:name w:val="unnamed31"/>
    <w:next w:val="1151"/>
    <w:link w:val="995"/>
    <w:qFormat/>
    <w:rPr>
      <w:rFonts w:hint="eastAsia" w:ascii="幼圆" w:eastAsia="幼圆"/>
      <w:sz w:val="21"/>
      <w:szCs w:val="21"/>
    </w:rPr>
  </w:style>
  <w:style w:type="character" w:styleId="1152">
    <w:name w:val="正文首行缩进 2 Char1"/>
    <w:next w:val="1152"/>
    <w:link w:val="995"/>
    <w:uiPriority w:val="99"/>
    <w:qFormat/>
  </w:style>
  <w:style w:type="character" w:styleId="1153">
    <w:name w:val="正文符号1 Char"/>
    <w:next w:val="1153"/>
    <w:link w:val="1154"/>
    <w:rPr>
      <w:rFonts w:eastAsia="楷体_GB2312"/>
      <w:sz w:val="28"/>
      <w:szCs w:val="24"/>
    </w:rPr>
  </w:style>
  <w:style w:type="paragraph" w:styleId="1154">
    <w:name w:val="正文符号1"/>
    <w:basedOn w:val="1155"/>
    <w:next w:val="1154"/>
    <w:link w:val="1153"/>
    <w:pPr>
      <w:ind w:left="987" w:firstLine="0"/>
      <w:tabs>
        <w:tab w:val="left" w:pos="987" w:leader="none"/>
      </w:tabs>
    </w:pPr>
  </w:style>
  <w:style w:type="paragraph" w:styleId="1155">
    <w:name w:val="正文首行缩进2字"/>
    <w:basedOn w:val="995"/>
    <w:next w:val="1155"/>
    <w:link w:val="1156"/>
    <w:qFormat/>
    <w:pPr>
      <w:ind w:firstLine="560"/>
    </w:pPr>
    <w:rPr>
      <w:rFonts w:eastAsia="楷体_GB2312"/>
      <w:sz w:val="28"/>
    </w:rPr>
  </w:style>
  <w:style w:type="character" w:styleId="1156">
    <w:name w:val="正文首行缩进2字 Char"/>
    <w:next w:val="1156"/>
    <w:link w:val="1155"/>
    <w:qFormat/>
    <w:rPr>
      <w:rFonts w:eastAsia="楷体_GB2312"/>
      <w:sz w:val="28"/>
      <w:szCs w:val="24"/>
    </w:rPr>
  </w:style>
  <w:style w:type="character" w:styleId="1157">
    <w:name w:val="页眉 字符"/>
    <w:next w:val="1157"/>
    <w:link w:val="995"/>
    <w:uiPriority w:val="99"/>
    <w:rPr>
      <w:rFonts w:ascii="Times New Roman" w:hAnsi="Times New Roman" w:eastAsia="宋体" w:cs="Times New Roman"/>
      <w:sz w:val="18"/>
      <w:szCs w:val="18"/>
    </w:rPr>
  </w:style>
  <w:style w:type="character" w:styleId="1158">
    <w:name w:val="正文格式 Char"/>
    <w:next w:val="1158"/>
    <w:link w:val="1159"/>
    <w:qFormat/>
    <w:rPr>
      <w:rFonts w:ascii="宋体" w:hAnsi="宋体"/>
      <w:sz w:val="24"/>
      <w:szCs w:val="24"/>
      <w:lang w:val="en-GB"/>
    </w:rPr>
  </w:style>
  <w:style w:type="paragraph" w:styleId="1159">
    <w:name w:val="正文格式"/>
    <w:basedOn w:val="995"/>
    <w:next w:val="1159"/>
    <w:link w:val="1158"/>
    <w:qFormat/>
    <w:pPr>
      <w:ind w:firstLine="480"/>
      <w:spacing w:line="360" w:lineRule="auto"/>
    </w:pPr>
    <w:rPr>
      <w:rFonts w:ascii="宋体" w:hAnsi="宋体"/>
      <w:sz w:val="24"/>
      <w:lang w:val="en-GB"/>
    </w:rPr>
  </w:style>
  <w:style w:type="character" w:styleId="1160">
    <w:name w:val="引用 字符1"/>
    <w:next w:val="1160"/>
    <w:link w:val="995"/>
    <w:uiPriority w:val="29"/>
    <w:rPr>
      <w:i/>
      <w:iCs/>
      <w:color w:val="404040"/>
      <w:sz w:val="21"/>
      <w:szCs w:val="24"/>
    </w:rPr>
  </w:style>
  <w:style w:type="character" w:styleId="1161">
    <w:name w:val="列出段落 Char"/>
    <w:next w:val="1161"/>
    <w:link w:val="995"/>
    <w:qFormat/>
    <w:rPr>
      <w:rFonts w:ascii="Calibri" w:hAnsi="Calibri" w:eastAsia="宋体"/>
      <w:sz w:val="21"/>
      <w:szCs w:val="22"/>
      <w:lang w:val="en-US" w:eastAsia="zh-CN" w:bidi="ar-SA"/>
    </w:rPr>
  </w:style>
  <w:style w:type="character" w:styleId="1162">
    <w:name w:val="标题 2 Char"/>
    <w:next w:val="1162"/>
    <w:link w:val="995"/>
    <w:qFormat/>
    <w:rPr>
      <w:rFonts w:ascii="Arial" w:hAnsi="Arial" w:eastAsia="黑体"/>
      <w:b/>
      <w:sz w:val="30"/>
      <w:lang w:val="en-US" w:eastAsia="zh-CN" w:bidi="ar-SA"/>
    </w:rPr>
  </w:style>
  <w:style w:type="character" w:styleId="1163">
    <w:name w:val="Table Text Char"/>
    <w:next w:val="1163"/>
    <w:link w:val="1164"/>
    <w:rPr>
      <w:rFonts w:ascii="Arial" w:hAnsi="Arial"/>
      <w:sz w:val="18"/>
      <w:szCs w:val="24"/>
    </w:rPr>
  </w:style>
  <w:style w:type="paragraph" w:styleId="1164">
    <w:name w:val="Table Text"/>
    <w:basedOn w:val="995"/>
    <w:next w:val="1164"/>
    <w:link w:val="1163"/>
    <w:qFormat/>
    <w:pPr>
      <w:spacing w:before="80" w:after="80"/>
      <w:widowControl/>
      <w:tabs>
        <w:tab w:val="decimal" w:pos="0" w:leader="none"/>
      </w:tabs>
    </w:pPr>
    <w:rPr>
      <w:rFonts w:ascii="Arial" w:hAnsi="Arial"/>
      <w:sz w:val="18"/>
    </w:rPr>
  </w:style>
  <w:style w:type="character" w:styleId="1165">
    <w:name w:val="文档结构图 字符"/>
    <w:next w:val="1165"/>
    <w:link w:val="995"/>
    <w:qFormat/>
    <w:rPr>
      <w:rFonts w:ascii="Times New Roman" w:hAnsi="Times New Roman" w:eastAsia="楷体_GB2312" w:cs="Times New Roman"/>
      <w:sz w:val="26"/>
      <w:szCs w:val="20"/>
      <w:shd w:val="clear" w:color="auto" w:fill="000080"/>
    </w:rPr>
  </w:style>
  <w:style w:type="character" w:styleId="1166">
    <w:name w:val="正文首行缩进2字 Char Char"/>
    <w:next w:val="1166"/>
    <w:link w:val="995"/>
    <w:qFormat/>
    <w:rPr>
      <w:rFonts w:eastAsia="楷体_GB2312"/>
      <w:sz w:val="28"/>
      <w:szCs w:val="24"/>
      <w:lang w:val="en-US" w:eastAsia="zh-CN" w:bidi="ar-SA"/>
    </w:rPr>
  </w:style>
  <w:style w:type="character" w:styleId="1167">
    <w:name w:val="Footer Char"/>
    <w:next w:val="1167"/>
    <w:link w:val="995"/>
    <w:rPr>
      <w:rFonts w:cs="Times New Roman"/>
      <w:sz w:val="18"/>
      <w:szCs w:val="18"/>
    </w:rPr>
  </w:style>
  <w:style w:type="character" w:styleId="1168">
    <w:name w:val="apple-style-span"/>
    <w:next w:val="1168"/>
    <w:link w:val="995"/>
    <w:qFormat/>
    <w:rPr>
      <w:rFonts w:cs="Times New Roman"/>
    </w:rPr>
  </w:style>
  <w:style w:type="character" w:styleId="1169">
    <w:name w:val="locality"/>
    <w:next w:val="1169"/>
    <w:link w:val="995"/>
    <w:qFormat/>
  </w:style>
  <w:style w:type="character" w:styleId="1170">
    <w:name w:val="段1 Char"/>
    <w:next w:val="1170"/>
    <w:link w:val="995"/>
    <w:qFormat/>
    <w:rPr>
      <w:rFonts w:ascii="宋体" w:eastAsia="宋体"/>
      <w:sz w:val="24"/>
      <w:lang w:val="en-US" w:eastAsia="zh-CN" w:bidi="ar-SA"/>
    </w:rPr>
  </w:style>
  <w:style w:type="character" w:styleId="1171">
    <w:name w:val="标题 6 字符"/>
    <w:next w:val="1171"/>
    <w:link w:val="995"/>
    <w:qFormat/>
    <w:rPr>
      <w:rFonts w:ascii="Arial" w:hAnsi="Arial" w:eastAsia="黑体" w:cs="Times New Roman"/>
      <w:b/>
      <w:bCs/>
      <w:sz w:val="24"/>
      <w:szCs w:val="24"/>
    </w:rPr>
  </w:style>
  <w:style w:type="character" w:styleId="1172">
    <w:name w:val="样式1 Char Char"/>
    <w:next w:val="1172"/>
    <w:link w:val="1173"/>
    <w:qFormat/>
    <w:rPr>
      <w:rFonts w:eastAsia="仿宋_GB2312"/>
      <w:spacing w:val="-6"/>
      <w:sz w:val="32"/>
      <w:szCs w:val="24"/>
    </w:rPr>
  </w:style>
  <w:style w:type="paragraph" w:styleId="1173">
    <w:name w:val="样式1"/>
    <w:basedOn w:val="995"/>
    <w:next w:val="1173"/>
    <w:link w:val="1172"/>
    <w:qFormat/>
    <w:pPr>
      <w:spacing w:line="340" w:lineRule="auto"/>
    </w:pPr>
    <w:rPr>
      <w:rFonts w:eastAsia="仿宋_GB2312"/>
      <w:spacing w:val="-6"/>
      <w:sz w:val="32"/>
    </w:rPr>
  </w:style>
  <w:style w:type="character" w:styleId="1174">
    <w:name w:val="文字 Char Char"/>
    <w:next w:val="1174"/>
    <w:link w:val="1175"/>
    <w:qFormat/>
    <w:rPr>
      <w:rFonts w:ascii="宋体" w:hAnsi="宋体"/>
      <w:sz w:val="28"/>
    </w:rPr>
  </w:style>
  <w:style w:type="paragraph" w:styleId="1175">
    <w:name w:val="文字"/>
    <w:basedOn w:val="995"/>
    <w:next w:val="1175"/>
    <w:link w:val="1174"/>
    <w:qFormat/>
    <w:pPr>
      <w:ind w:right="-210" w:firstLine="556"/>
      <w:spacing w:line="312" w:lineRule="auto"/>
      <w:tabs>
        <w:tab w:val="left" w:pos="8520" w:leader="none"/>
      </w:tabs>
    </w:pPr>
    <w:rPr>
      <w:rFonts w:ascii="宋体" w:hAnsi="宋体"/>
      <w:sz w:val="28"/>
      <w:szCs w:val="20"/>
    </w:rPr>
  </w:style>
  <w:style w:type="character" w:styleId="1176">
    <w:name w:val="标题 3 Char"/>
    <w:next w:val="1176"/>
    <w:link w:val="995"/>
    <w:qFormat/>
    <w:rPr>
      <w:rFonts w:ascii="宋体" w:eastAsia="宋体"/>
      <w:b/>
      <w:sz w:val="24"/>
      <w:u w:val="single"/>
      <w:lang w:val="en-US" w:eastAsia="zh-CN" w:bidi="ar-SA"/>
    </w:rPr>
  </w:style>
  <w:style w:type="character" w:styleId="1177">
    <w:name w:val="明显引用 Char"/>
    <w:next w:val="1177"/>
    <w:link w:val="1178"/>
    <w:uiPriority w:val="30"/>
    <w:qFormat/>
    <w:rPr>
      <w:b/>
      <w:bCs/>
      <w:i/>
      <w:iCs/>
      <w:color w:val="4f81bd"/>
      <w:szCs w:val="24"/>
    </w:rPr>
  </w:style>
  <w:style w:type="paragraph" w:styleId="1178">
    <w:name w:val="明显引用"/>
    <w:basedOn w:val="995"/>
    <w:next w:val="995"/>
    <w:link w:val="1177"/>
    <w:uiPriority w:val="30"/>
    <w:qFormat/>
    <w:pPr>
      <w:ind w:left="936" w:right="936"/>
      <w:spacing w:before="200" w:after="280"/>
      <w:pBdr>
        <w:bottom w:val="single" w:color="4F81BD" w:sz="4" w:space="4"/>
      </w:pBdr>
    </w:pPr>
    <w:rPr>
      <w:b/>
      <w:bCs/>
      <w:i/>
      <w:iCs/>
      <w:color w:val="4f81bd"/>
      <w:sz w:val="20"/>
    </w:rPr>
  </w:style>
  <w:style w:type="character" w:styleId="1179">
    <w:name w:val="纯文本 Char1"/>
    <w:next w:val="1179"/>
    <w:link w:val="995"/>
    <w:uiPriority w:val="99"/>
    <w:qFormat/>
    <w:rPr>
      <w:rFonts w:ascii="宋体" w:hAnsi="Courier New" w:eastAsia="宋体"/>
      <w:sz w:val="21"/>
      <w:lang w:val="en-US" w:eastAsia="zh-CN" w:bidi="ar-SA"/>
    </w:rPr>
  </w:style>
  <w:style w:type="character" w:styleId="1180">
    <w:name w:val="正文首行缩进 2 字符"/>
    <w:next w:val="1180"/>
    <w:link w:val="995"/>
    <w:qFormat/>
    <w:rPr>
      <w:rFonts w:ascii="仿宋_GB2312" w:hAnsi="Arial" w:eastAsia="仿宋_GB2312" w:cs="Times New Roman"/>
      <w:b/>
      <w:color w:val="000000"/>
      <w:sz w:val="28"/>
      <w:szCs w:val="32"/>
      <w:lang w:val="en-US" w:eastAsia="zh-CN" w:bidi="ar-SA"/>
    </w:rPr>
  </w:style>
  <w:style w:type="character" w:styleId="1181">
    <w:name w:val="正文文本缩进 字符"/>
    <w:next w:val="1181"/>
    <w:link w:val="995"/>
    <w:uiPriority w:val="99"/>
    <w:rPr>
      <w:rFonts w:ascii="Times New Roman" w:hAnsi="Times New Roman" w:eastAsia="宋体" w:cs="Times New Roman"/>
      <w:szCs w:val="20"/>
    </w:rPr>
  </w:style>
  <w:style w:type="character" w:styleId="1182">
    <w:name w:val="正文重点 Char"/>
    <w:next w:val="1182"/>
    <w:link w:val="1183"/>
    <w:qFormat/>
    <w:rPr>
      <w:b/>
      <w:sz w:val="24"/>
    </w:rPr>
  </w:style>
  <w:style w:type="paragraph" w:styleId="1183">
    <w:name w:val="正文重点"/>
    <w:basedOn w:val="995"/>
    <w:next w:val="1183"/>
    <w:link w:val="1182"/>
    <w:qFormat/>
    <w:pPr>
      <w:ind w:firstLine="482"/>
      <w:jc w:val="left"/>
      <w:spacing w:line="360" w:lineRule="auto"/>
    </w:pPr>
    <w:rPr>
      <w:b/>
      <w:sz w:val="24"/>
      <w:szCs w:val="20"/>
    </w:rPr>
  </w:style>
  <w:style w:type="character" w:styleId="1184">
    <w:name w:val="Unresolved Mention"/>
    <w:next w:val="1184"/>
    <w:link w:val="995"/>
    <w:uiPriority w:val="99"/>
    <w:unhideWhenUsed/>
    <w:rPr>
      <w:color w:val="808080"/>
      <w:shd w:val="clear" w:color="auto" w:fill="e6e6e6"/>
    </w:rPr>
  </w:style>
  <w:style w:type="character" w:styleId="1185">
    <w:name w:val="st1"/>
    <w:next w:val="1185"/>
    <w:link w:val="995"/>
    <w:qFormat/>
  </w:style>
  <w:style w:type="character" w:styleId="1186">
    <w:name w:val="标书正文格式 Char Char"/>
    <w:next w:val="1186"/>
    <w:link w:val="995"/>
    <w:qFormat/>
    <w:rPr>
      <w:rFonts w:eastAsia="楷体_GB2312"/>
      <w:sz w:val="24"/>
      <w:szCs w:val="24"/>
      <w:lang w:bidi="ar-SA"/>
    </w:rPr>
  </w:style>
  <w:style w:type="character" w:styleId="1187">
    <w:name w:val="正文_标准 Char Char"/>
    <w:next w:val="1187"/>
    <w:link w:val="1188"/>
    <w:qFormat/>
    <w:rPr>
      <w:rFonts w:ascii="宋体" w:hAnsi="宋体"/>
      <w:sz w:val="24"/>
    </w:rPr>
  </w:style>
  <w:style w:type="paragraph" w:styleId="1188">
    <w:name w:val="正文_标准"/>
    <w:basedOn w:val="995"/>
    <w:next w:val="1188"/>
    <w:link w:val="1187"/>
    <w:qFormat/>
    <w:pPr>
      <w:ind w:firstLine="480"/>
      <w:spacing w:line="360" w:lineRule="auto"/>
    </w:pPr>
    <w:rPr>
      <w:rFonts w:ascii="宋体" w:hAnsi="宋体"/>
      <w:sz w:val="24"/>
      <w:szCs w:val="20"/>
    </w:rPr>
  </w:style>
  <w:style w:type="character" w:styleId="1189">
    <w:name w:val="成文日期 Char"/>
    <w:next w:val="1189"/>
    <w:link w:val="1190"/>
    <w:rPr>
      <w:rFonts w:ascii="仿宋_GB2312" w:eastAsia="仿宋_GB2312"/>
      <w:sz w:val="32"/>
    </w:rPr>
  </w:style>
  <w:style w:type="paragraph" w:styleId="1190">
    <w:name w:val="成文日期"/>
    <w:basedOn w:val="995"/>
    <w:next w:val="1190"/>
    <w:link w:val="1189"/>
    <w:qFormat/>
    <w:pPr>
      <w:ind w:right="400" w:firstLine="200"/>
      <w:jc w:val="right"/>
      <w:spacing w:line="570" w:lineRule="exact"/>
    </w:pPr>
    <w:rPr>
      <w:rFonts w:ascii="仿宋_GB2312" w:eastAsia="仿宋_GB2312"/>
      <w:sz w:val="32"/>
      <w:szCs w:val="20"/>
    </w:rPr>
  </w:style>
  <w:style w:type="character" w:styleId="1191">
    <w:name w:val="标题 1 字符"/>
    <w:next w:val="1191"/>
    <w:link w:val="995"/>
    <w:qFormat/>
    <w:rPr>
      <w:rFonts w:ascii="Times New Roman" w:hAnsi="Times New Roman" w:eastAsia="楷体_GB2312" w:cs="Times New Roman"/>
      <w:b/>
      <w:bCs/>
      <w:sz w:val="44"/>
      <w:szCs w:val="44"/>
    </w:rPr>
  </w:style>
  <w:style w:type="character" w:styleId="1192">
    <w:name w:val="标题 3 Char Char"/>
    <w:next w:val="1192"/>
    <w:link w:val="995"/>
    <w:qFormat/>
    <w:rPr>
      <w:rFonts w:eastAsia="宋体"/>
      <w:b/>
      <w:bCs/>
      <w:sz w:val="32"/>
      <w:szCs w:val="32"/>
      <w:lang w:val="en-US" w:eastAsia="zh-CN" w:bidi="ar-SA"/>
    </w:rPr>
  </w:style>
  <w:style w:type="character" w:styleId="1193">
    <w:name w:val="font21"/>
    <w:next w:val="1193"/>
    <w:link w:val="995"/>
    <w:qFormat/>
    <w:rPr>
      <w:rFonts w:ascii="Times New Roman" w:hAnsi="Times New Roman" w:cs="Times New Roman"/>
      <w:b/>
      <w:color w:val="000000"/>
      <w:sz w:val="20"/>
      <w:szCs w:val="20"/>
      <w:u w:val="none"/>
    </w:rPr>
  </w:style>
  <w:style w:type="character" w:styleId="1194">
    <w:name w:val="正文new Char Char"/>
    <w:next w:val="1194"/>
    <w:link w:val="1195"/>
    <w:rPr>
      <w:rFonts w:cs="宋体"/>
      <w:sz w:val="24"/>
    </w:rPr>
  </w:style>
  <w:style w:type="paragraph" w:styleId="1195">
    <w:name w:val="正文new"/>
    <w:basedOn w:val="995"/>
    <w:next w:val="1195"/>
    <w:link w:val="1194"/>
    <w:qFormat/>
    <w:pPr>
      <w:ind w:firstLine="200"/>
      <w:spacing w:line="300" w:lineRule="auto"/>
    </w:pPr>
    <w:rPr>
      <w:sz w:val="24"/>
      <w:szCs w:val="20"/>
    </w:rPr>
  </w:style>
  <w:style w:type="character" w:styleId="1196">
    <w:name w:val="prodname1"/>
    <w:next w:val="1196"/>
    <w:link w:val="995"/>
    <w:qFormat/>
    <w:rPr>
      <w:b/>
      <w:bCs/>
      <w:color w:val="347ca9"/>
      <w:sz w:val="17"/>
      <w:szCs w:val="17"/>
    </w:rPr>
  </w:style>
  <w:style w:type="character" w:styleId="1197">
    <w:name w:val="正文文本 Char1"/>
    <w:next w:val="1197"/>
    <w:link w:val="995"/>
    <w:qFormat/>
    <w:rPr>
      <w:rFonts w:ascii="宋体" w:hAnsi="宋体"/>
      <w:sz w:val="24"/>
      <w:szCs w:val="24"/>
    </w:rPr>
  </w:style>
  <w:style w:type="character" w:styleId="1198">
    <w:name w:val="正文首行缩进 Char1"/>
    <w:next w:val="1198"/>
    <w:link w:val="995"/>
    <w:uiPriority w:val="99"/>
  </w:style>
  <w:style w:type="character" w:styleId="1199">
    <w:name w:val="font51"/>
    <w:next w:val="1199"/>
    <w:link w:val="995"/>
    <w:qFormat/>
    <w:rPr>
      <w:rFonts w:hint="eastAsia" w:ascii="宋体" w:hAnsi="宋体" w:eastAsia="宋体" w:cs="宋体"/>
      <w:color w:val="000000"/>
      <w:sz w:val="18"/>
      <w:szCs w:val="18"/>
      <w:u w:val="none"/>
    </w:rPr>
  </w:style>
  <w:style w:type="character" w:styleId="1200">
    <w:name w:val="unnamed21"/>
    <w:next w:val="1200"/>
    <w:link w:val="995"/>
    <w:qFormat/>
    <w:rPr>
      <w:rFonts w:hint="eastAsia" w:ascii="宋体" w:hAnsi="宋体" w:eastAsia="宋体"/>
      <w:sz w:val="24"/>
      <w:szCs w:val="24"/>
    </w:rPr>
  </w:style>
  <w:style w:type="character" w:styleId="1201">
    <w:name w:val="引用 Char"/>
    <w:next w:val="1201"/>
    <w:link w:val="1202"/>
    <w:uiPriority w:val="29"/>
    <w:qFormat/>
    <w:rPr>
      <w:i/>
      <w:iCs/>
      <w:color w:val="000000"/>
      <w:szCs w:val="24"/>
    </w:rPr>
  </w:style>
  <w:style w:type="paragraph" w:styleId="1202">
    <w:name w:val="引用"/>
    <w:basedOn w:val="995"/>
    <w:next w:val="995"/>
    <w:link w:val="1201"/>
    <w:uiPriority w:val="29"/>
    <w:qFormat/>
    <w:rPr>
      <w:i/>
      <w:iCs/>
      <w:color w:val="000000"/>
      <w:sz w:val="20"/>
    </w:rPr>
  </w:style>
  <w:style w:type="character" w:styleId="1203">
    <w:name w:val="纯文本 字符,普通文字 Char 字符,普通文字1 字符,普通文字2 字符,普通文字3 字符,普通文字4 字符,普通文字5 字符,普通文字6 字符,普通文字11 字符,普通文字21 字符,普通文字31 字符,普通文字41 字符,普通文字7 字符,小 字符,纯文本 Char Char Char 字符,正 文 1 字符,普通文字 字符,纯文本 Char Char 字符,普通文字 Char Char 字符,Texte 字符,孙普文字 字符,普通文 字符"/>
    <w:next w:val="1203"/>
    <w:link w:val="995"/>
    <w:qFormat/>
    <w:rPr>
      <w:rFonts w:ascii="宋体" w:hAnsi="Courier New" w:eastAsia="宋体" w:cs="Times New Roman"/>
      <w:sz w:val="21"/>
      <w:szCs w:val="21"/>
      <w:lang w:val="en-US" w:eastAsia="zh-CN" w:bidi="ar-SA"/>
    </w:rPr>
  </w:style>
  <w:style w:type="character" w:styleId="1204">
    <w:name w:val="标题 2 Char Char"/>
    <w:next w:val="1204"/>
    <w:link w:val="995"/>
    <w:qFormat/>
    <w:rPr>
      <w:rFonts w:ascii="Arial" w:hAnsi="Arial" w:eastAsia="黑体"/>
      <w:b/>
      <w:bCs/>
      <w:sz w:val="32"/>
      <w:szCs w:val="32"/>
      <w:lang w:val="en-US" w:eastAsia="zh-CN" w:bidi="ar-SA"/>
    </w:rPr>
  </w:style>
  <w:style w:type="character" w:styleId="1205">
    <w:name w:val="标题 3 字符"/>
    <w:next w:val="1205"/>
    <w:link w:val="995"/>
    <w:uiPriority w:val="99"/>
    <w:qFormat/>
    <w:rPr>
      <w:rFonts w:ascii="宋体" w:hAnsi="Times New Roman" w:eastAsia="宋体" w:cs="Times New Roman"/>
      <w:b/>
      <w:sz w:val="24"/>
      <w:szCs w:val="20"/>
      <w:u w:val="single"/>
    </w:rPr>
  </w:style>
  <w:style w:type="character" w:styleId="1206">
    <w:name w:val="正文首行缩进 2 字符1"/>
    <w:next w:val="1206"/>
    <w:link w:val="995"/>
    <w:uiPriority w:val="99"/>
    <w:semiHidden/>
  </w:style>
  <w:style w:type="character" w:styleId="1207">
    <w:name w:val="标题 8 字符"/>
    <w:next w:val="1207"/>
    <w:link w:val="995"/>
    <w:qFormat/>
    <w:rPr>
      <w:rFonts w:ascii="Arial" w:hAnsi="Arial" w:eastAsia="黑体" w:cs="Times New Roman"/>
      <w:sz w:val="24"/>
      <w:szCs w:val="24"/>
    </w:rPr>
  </w:style>
  <w:style w:type="character" w:styleId="1208">
    <w:name w:val="批注主题 字符"/>
    <w:next w:val="1208"/>
    <w:link w:val="995"/>
    <w:rPr>
      <w:rFonts w:ascii="Times New Roman" w:hAnsi="Times New Roman" w:eastAsia="宋体" w:cs="Times New Roman"/>
      <w:b/>
      <w:bCs/>
      <w:sz w:val="20"/>
      <w:szCs w:val="20"/>
      <w:lang w:val="en-US" w:eastAsia="zh-CN" w:bidi="ar-SA"/>
    </w:rPr>
  </w:style>
  <w:style w:type="character" w:styleId="1209">
    <w:name w:val="引用 Char1"/>
    <w:next w:val="1209"/>
    <w:link w:val="995"/>
    <w:uiPriority w:val="29"/>
    <w:qFormat/>
    <w:rPr>
      <w:rFonts w:ascii="Times New Roman" w:hAnsi="Times New Roman" w:eastAsia="宋体" w:cs="Times New Roman"/>
      <w:i/>
      <w:iCs/>
      <w:color w:val="000000"/>
      <w:szCs w:val="24"/>
    </w:rPr>
  </w:style>
  <w:style w:type="character" w:styleId="1210">
    <w:name w:val="列出段落 Char1"/>
    <w:next w:val="1210"/>
    <w:link w:val="1211"/>
    <w:uiPriority w:val="34"/>
    <w:qFormat/>
    <w:rPr>
      <w:rFonts w:ascii="Calibri" w:hAnsi="Calibri" w:eastAsia="宋体"/>
      <w:sz w:val="21"/>
      <w:szCs w:val="22"/>
      <w:lang w:val="en-US" w:eastAsia="zh-CN" w:bidi="ar-SA"/>
    </w:rPr>
  </w:style>
  <w:style w:type="paragraph" w:styleId="1211">
    <w:name w:val="列出段落"/>
    <w:basedOn w:val="995"/>
    <w:next w:val="1211"/>
    <w:link w:val="1210"/>
    <w:uiPriority w:val="34"/>
    <w:qFormat/>
    <w:pPr>
      <w:ind w:firstLine="420"/>
    </w:pPr>
    <w:rPr>
      <w:rFonts w:ascii="Calibri" w:hAnsi="Calibri"/>
      <w:szCs w:val="22"/>
    </w:rPr>
  </w:style>
  <w:style w:type="character" w:styleId="1212">
    <w:name w:val="style21"/>
    <w:next w:val="1212"/>
    <w:link w:val="995"/>
    <w:uiPriority w:val="99"/>
    <w:qFormat/>
    <w:rPr>
      <w:color w:val="0000a0"/>
      <w:sz w:val="33"/>
      <w:szCs w:val="33"/>
    </w:rPr>
  </w:style>
  <w:style w:type="character" w:styleId="1213">
    <w:name w:val="明显强调1"/>
    <w:next w:val="1213"/>
    <w:link w:val="995"/>
    <w:uiPriority w:val="21"/>
    <w:qFormat/>
    <w:rPr>
      <w:b/>
      <w:bCs/>
      <w:i/>
      <w:iCs/>
      <w:color w:val="4f81bd"/>
    </w:rPr>
  </w:style>
  <w:style w:type="character" w:styleId="1214">
    <w:name w:val="引用 Char2"/>
    <w:next w:val="1214"/>
    <w:link w:val="995"/>
    <w:uiPriority w:val="29"/>
    <w:rPr>
      <w:i/>
      <w:iCs/>
      <w:color w:val="000000"/>
    </w:rPr>
  </w:style>
  <w:style w:type="character" w:styleId="1215">
    <w:name w:val="unnamed1"/>
    <w:next w:val="1215"/>
    <w:link w:val="995"/>
    <w:qFormat/>
  </w:style>
  <w:style w:type="character" w:styleId="1216">
    <w:name w:val="正文文本缩进 Char"/>
    <w:next w:val="1216"/>
    <w:link w:val="995"/>
    <w:uiPriority w:val="99"/>
    <w:qFormat/>
    <w:rPr>
      <w:rFonts w:eastAsia="宋体"/>
      <w:sz w:val="24"/>
      <w:szCs w:val="24"/>
      <w:lang w:val="en-US" w:eastAsia="zh-CN" w:bidi="ar-SA"/>
    </w:rPr>
  </w:style>
  <w:style w:type="character" w:styleId="1217">
    <w:name w:val="不明显参考1"/>
    <w:next w:val="1217"/>
    <w:link w:val="995"/>
    <w:uiPriority w:val="31"/>
    <w:qFormat/>
    <w:rPr>
      <w:smallCaps/>
      <w:color w:val="c0504d"/>
      <w:u w:val="single"/>
    </w:rPr>
  </w:style>
  <w:style w:type="character" w:styleId="1218">
    <w:name w:val="页眉 Char"/>
    <w:next w:val="1218"/>
    <w:link w:val="995"/>
    <w:uiPriority w:val="99"/>
    <w:qFormat/>
    <w:rPr>
      <w:rFonts w:eastAsia="宋体"/>
      <w:sz w:val="18"/>
      <w:szCs w:val="18"/>
      <w:lang w:val="en-US" w:eastAsia="zh-CN" w:bidi="ar-SA"/>
    </w:rPr>
  </w:style>
  <w:style w:type="character" w:styleId="1219">
    <w:name w:val="Plain Text Char"/>
    <w:next w:val="1219"/>
    <w:link w:val="995"/>
    <w:uiPriority w:val="99"/>
    <w:qFormat/>
    <w:rPr>
      <w:rFonts w:ascii="宋体" w:hAnsi="Courier New" w:cs="宋体"/>
      <w:sz w:val="21"/>
      <w:szCs w:val="21"/>
    </w:rPr>
  </w:style>
  <w:style w:type="character" w:styleId="1220">
    <w:name w:val="c21"/>
    <w:next w:val="1220"/>
    <w:link w:val="995"/>
    <w:qFormat/>
    <w:rPr>
      <w:rFonts w:ascii="ˎ̥" w:hAnsi="ˎ̥"/>
      <w:color w:val="000000"/>
      <w:sz w:val="20"/>
      <w:szCs w:val="20"/>
      <w:u w:val="none"/>
    </w:rPr>
  </w:style>
  <w:style w:type="character" w:styleId="1221">
    <w:name w:val="font01"/>
    <w:next w:val="1221"/>
    <w:link w:val="995"/>
    <w:qFormat/>
    <w:rPr>
      <w:rFonts w:hint="eastAsia" w:ascii="仿宋" w:hAnsi="仿宋" w:eastAsia="仿宋" w:cs="仿宋"/>
      <w:color w:val="000000"/>
      <w:sz w:val="22"/>
      <w:szCs w:val="22"/>
      <w:u w:val="none"/>
    </w:rPr>
  </w:style>
  <w:style w:type="character" w:styleId="1222">
    <w:name w:val="纯文本 Char"/>
    <w:next w:val="1222"/>
    <w:link w:val="995"/>
    <w:qFormat/>
    <w:rPr>
      <w:rFonts w:hint="eastAsia" w:ascii="宋体" w:hAnsi="Courier New" w:eastAsia="宋体" w:cs="宋体"/>
      <w:sz w:val="21"/>
    </w:rPr>
  </w:style>
  <w:style w:type="character" w:styleId="1223">
    <w:name w:val="txt"/>
    <w:next w:val="1223"/>
    <w:link w:val="995"/>
    <w:qFormat/>
  </w:style>
  <w:style w:type="character" w:styleId="1224">
    <w:name w:val="正文文本缩进 Char1"/>
    <w:next w:val="1224"/>
    <w:link w:val="1225"/>
    <w:qFormat/>
    <w:rPr>
      <w:rFonts w:ascii="宋体" w:hAnsi="宋体" w:eastAsia="宋体"/>
      <w:sz w:val="24"/>
      <w:szCs w:val="24"/>
      <w:lang w:bidi="ar-SA"/>
    </w:rPr>
  </w:style>
  <w:style w:type="paragraph" w:styleId="1225">
    <w:name w:val="正文文本缩进1"/>
    <w:basedOn w:val="995"/>
    <w:next w:val="1225"/>
    <w:link w:val="1224"/>
    <w:qFormat/>
    <w:pPr>
      <w:ind w:firstLine="480"/>
      <w:spacing w:line="480" w:lineRule="exact"/>
    </w:pPr>
    <w:rPr>
      <w:rFonts w:ascii="宋体" w:hAnsi="宋体"/>
      <w:sz w:val="24"/>
    </w:rPr>
  </w:style>
  <w:style w:type="character" w:styleId="1226">
    <w:name w:val="副标题 字符1"/>
    <w:next w:val="1226"/>
    <w:link w:val="995"/>
    <w:uiPriority w:val="11"/>
    <w:rPr>
      <w:rFonts w:ascii="等线 Light" w:hAnsi="等线 Light" w:cs="Times New Roman"/>
      <w:b/>
      <w:bCs/>
      <w:sz w:val="32"/>
      <w:szCs w:val="32"/>
    </w:rPr>
  </w:style>
  <w:style w:type="character" w:styleId="1227">
    <w:name w:val="无间隔 Char"/>
    <w:next w:val="1227"/>
    <w:link w:val="1228"/>
    <w:uiPriority w:val="1"/>
    <w:rPr>
      <w:sz w:val="21"/>
      <w:szCs w:val="24"/>
      <w:lang w:val="en-US" w:eastAsia="zh-CN" w:bidi="ar-SA"/>
    </w:rPr>
  </w:style>
  <w:style w:type="paragraph" w:styleId="1228">
    <w:name w:val="无间隔"/>
    <w:next w:val="1228"/>
    <w:link w:val="1227"/>
    <w:uiPriority w:val="1"/>
    <w:qFormat/>
    <w:pPr>
      <w:jc w:val="both"/>
      <w:widowControl w:val="off"/>
    </w:pPr>
    <w:rPr>
      <w:sz w:val="21"/>
      <w:szCs w:val="24"/>
      <w:lang w:val="en-US" w:eastAsia="zh-CN" w:bidi="ar-SA"/>
    </w:rPr>
  </w:style>
  <w:style w:type="character" w:styleId="1229">
    <w:name w:val="+正文 Char"/>
    <w:next w:val="1229"/>
    <w:link w:val="1230"/>
    <w:qFormat/>
    <w:rPr>
      <w:sz w:val="24"/>
      <w:szCs w:val="28"/>
    </w:rPr>
  </w:style>
  <w:style w:type="paragraph" w:styleId="1230">
    <w:name w:val="+正文"/>
    <w:basedOn w:val="995"/>
    <w:next w:val="1230"/>
    <w:link w:val="1229"/>
    <w:qFormat/>
    <w:pPr>
      <w:ind w:firstLine="200"/>
      <w:spacing w:line="360" w:lineRule="auto"/>
    </w:pPr>
    <w:rPr>
      <w:sz w:val="24"/>
      <w:szCs w:val="28"/>
    </w:rPr>
  </w:style>
  <w:style w:type="character" w:styleId="1231">
    <w:name w:val="txt1"/>
    <w:next w:val="1231"/>
    <w:link w:val="995"/>
    <w:qFormat/>
    <w:rPr>
      <w:color w:val="000099"/>
      <w:sz w:val="20"/>
      <w:szCs w:val="20"/>
      <w:u w:val="none"/>
    </w:rPr>
  </w:style>
  <w:style w:type="character" w:styleId="1232">
    <w:name w:val="明显引用 Char1"/>
    <w:next w:val="1232"/>
    <w:link w:val="995"/>
    <w:uiPriority w:val="30"/>
    <w:qFormat/>
    <w:rPr>
      <w:b/>
      <w:bCs/>
      <w:i/>
      <w:iCs/>
      <w:color w:val="4f81bd"/>
    </w:rPr>
  </w:style>
  <w:style w:type="character" w:styleId="1233">
    <w:name w:val="项目编号（2） Char Char"/>
    <w:next w:val="1233"/>
    <w:link w:val="1234"/>
    <w:qFormat/>
    <w:rPr>
      <w:rFonts w:cs="宋体"/>
      <w:sz w:val="24"/>
    </w:rPr>
  </w:style>
  <w:style w:type="paragraph" w:styleId="1234">
    <w:name w:val="项目编号（2）"/>
    <w:basedOn w:val="995"/>
    <w:next w:val="1234"/>
    <w:link w:val="1233"/>
    <w:qFormat/>
    <w:pPr>
      <w:ind w:left="960" w:hanging="420"/>
      <w:spacing w:line="300" w:lineRule="auto"/>
      <w:tabs>
        <w:tab w:val="left" w:pos="960" w:leader="none"/>
      </w:tabs>
    </w:pPr>
    <w:rPr>
      <w:sz w:val="24"/>
      <w:szCs w:val="20"/>
    </w:rPr>
  </w:style>
  <w:style w:type="character" w:styleId="1235">
    <w:name w:val="中等深浅网格 1 - 强调文字颜色 2 Char"/>
    <w:next w:val="1235"/>
    <w:link w:val="1236"/>
    <w:qFormat/>
    <w:rPr>
      <w:sz w:val="21"/>
      <w:szCs w:val="24"/>
      <w:lang w:val="zh-CN" w:eastAsia="zh-CN" w:bidi="ar-SA"/>
    </w:rPr>
  </w:style>
  <w:style w:type="paragraph" w:styleId="1236">
    <w:name w:val="1"/>
    <w:next w:val="1236"/>
    <w:link w:val="1235"/>
    <w:qFormat/>
    <w:rPr>
      <w:sz w:val="21"/>
      <w:szCs w:val="24"/>
      <w:lang w:val="zh-CN" w:eastAsia="zh-CN" w:bidi="ar-SA"/>
    </w:rPr>
  </w:style>
  <w:style w:type="character" w:styleId="1237">
    <w:name w:val="正文文本 3 字符"/>
    <w:next w:val="1237"/>
    <w:link w:val="995"/>
    <w:qFormat/>
    <w:rPr>
      <w:b/>
      <w:color w:val="000000"/>
      <w:sz w:val="32"/>
      <w:szCs w:val="28"/>
      <w:u w:val="single"/>
    </w:rPr>
  </w:style>
  <w:style w:type="character" w:styleId="1238">
    <w:name w:val="注释 Char"/>
    <w:next w:val="1238"/>
    <w:link w:val="1239"/>
    <w:qFormat/>
    <w:rPr>
      <w:rFonts w:ascii="宋体" w:hAnsi="宋体"/>
      <w:sz w:val="21"/>
      <w:szCs w:val="21"/>
    </w:rPr>
  </w:style>
  <w:style w:type="paragraph" w:styleId="1239">
    <w:name w:val="注释"/>
    <w:basedOn w:val="995"/>
    <w:next w:val="1239"/>
    <w:link w:val="1238"/>
    <w:qFormat/>
    <w:pPr>
      <w:ind w:left="420" w:hanging="420"/>
      <w:jc w:val="left"/>
    </w:pPr>
    <w:rPr>
      <w:rFonts w:ascii="宋体" w:hAnsi="宋体"/>
      <w:szCs w:val="21"/>
    </w:rPr>
  </w:style>
  <w:style w:type="character" w:styleId="1240">
    <w:name w:val="正文符号1 Char Char"/>
    <w:next w:val="1240"/>
    <w:link w:val="995"/>
    <w:qFormat/>
    <w:rPr>
      <w:rFonts w:eastAsia="楷体_GB2312"/>
      <w:sz w:val="28"/>
      <w:szCs w:val="24"/>
      <w:lang w:val="en-US" w:eastAsia="zh-CN" w:bidi="ar-SA"/>
    </w:rPr>
  </w:style>
  <w:style w:type="character" w:styleId="1241">
    <w:name w:val="正文文本缩进 3 字符"/>
    <w:next w:val="1241"/>
    <w:link w:val="995"/>
    <w:qFormat/>
    <w:rPr>
      <w:rFonts w:ascii="宋体" w:hAnsi="宋体" w:eastAsia="宋体" w:cs="Times New Roman"/>
      <w:color w:val="0000ff"/>
      <w:sz w:val="24"/>
      <w:szCs w:val="24"/>
    </w:rPr>
  </w:style>
  <w:style w:type="character" w:styleId="1242">
    <w:name w:val="正文文本 3 Char1"/>
    <w:next w:val="1242"/>
    <w:link w:val="995"/>
    <w:uiPriority w:val="99"/>
    <w:rPr>
      <w:sz w:val="16"/>
      <w:szCs w:val="16"/>
    </w:rPr>
  </w:style>
  <w:style w:type="character" w:styleId="1243">
    <w:name w:val="正文文本缩进 2 字符"/>
    <w:next w:val="1243"/>
    <w:link w:val="995"/>
    <w:uiPriority w:val="99"/>
    <w:qFormat/>
    <w:rPr>
      <w:rFonts w:ascii="宋体" w:hAnsi="宋体" w:eastAsia="宋体" w:cs="Times New Roman"/>
      <w:b/>
      <w:bCs/>
      <w:sz w:val="24"/>
      <w:szCs w:val="24"/>
    </w:rPr>
  </w:style>
  <w:style w:type="character" w:styleId="1244">
    <w:name w:val="chanpin拷贝"/>
    <w:next w:val="1244"/>
    <w:link w:val="995"/>
    <w:qFormat/>
  </w:style>
  <w:style w:type="character" w:styleId="1245">
    <w:name w:val="签名 字符1"/>
    <w:next w:val="1245"/>
    <w:link w:val="995"/>
    <w:uiPriority w:val="99"/>
    <w:rPr>
      <w:sz w:val="21"/>
      <w:szCs w:val="24"/>
    </w:rPr>
  </w:style>
  <w:style w:type="character" w:styleId="1246">
    <w:name w:val="Char Char111"/>
    <w:next w:val="1246"/>
    <w:link w:val="995"/>
    <w:qFormat/>
    <w:rPr>
      <w:rFonts w:ascii="宋体" w:eastAsia="宋体"/>
      <w:b/>
      <w:sz w:val="24"/>
      <w:u w:val="single"/>
      <w:lang w:val="en-US" w:eastAsia="zh-CN" w:bidi="ar-SA"/>
    </w:rPr>
  </w:style>
  <w:style w:type="character" w:styleId="1247">
    <w:name w:val="small"/>
    <w:next w:val="1247"/>
    <w:link w:val="995"/>
  </w:style>
  <w:style w:type="character" w:styleId="1248">
    <w:name w:val="批注框文本 字符"/>
    <w:next w:val="1248"/>
    <w:link w:val="995"/>
    <w:uiPriority w:val="99"/>
    <w:qFormat/>
    <w:rPr>
      <w:rFonts w:ascii="Times New Roman" w:hAnsi="Times New Roman" w:eastAsia="宋体" w:cs="Times New Roman"/>
      <w:sz w:val="18"/>
      <w:szCs w:val="18"/>
    </w:rPr>
  </w:style>
  <w:style w:type="character" w:styleId="1249">
    <w:name w:val="ca-1"/>
    <w:next w:val="1249"/>
    <w:link w:val="995"/>
    <w:qFormat/>
  </w:style>
  <w:style w:type="paragraph" w:styleId="1250">
    <w:name w:val="其他发布日期"/>
    <w:basedOn w:val="995"/>
    <w:next w:val="1250"/>
    <w:link w:val="995"/>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251">
    <w:name w:val="表格1"/>
    <w:basedOn w:val="995"/>
    <w:next w:val="1251"/>
    <w:link w:val="995"/>
    <w:qFormat/>
    <w:pPr>
      <w:ind w:firstLine="480"/>
      <w:jc w:val="center"/>
    </w:pPr>
    <w:rPr>
      <w:sz w:val="24"/>
      <w:szCs w:val="20"/>
    </w:rPr>
  </w:style>
  <w:style w:type="paragraph" w:styleId="1252">
    <w:name w:val="正文须知-2级"/>
    <w:basedOn w:val="995"/>
    <w:next w:val="1252"/>
    <w:link w:val="995"/>
    <w:qFormat/>
    <w:pPr>
      <w:numPr>
        <w:ilvl w:val="1"/>
        <w:numId w:val="2"/>
      </w:numPr>
      <w:spacing w:line="300" w:lineRule="auto"/>
    </w:pPr>
    <w:rPr>
      <w:rFonts w:ascii="宋体" w:hAnsi="Calibri"/>
      <w:sz w:val="24"/>
      <w:szCs w:val="21"/>
    </w:rPr>
  </w:style>
  <w:style w:type="paragraph" w:styleId="1253">
    <w:name w:val="1名"/>
    <w:basedOn w:val="995"/>
    <w:next w:val="1253"/>
    <w:link w:val="995"/>
    <w:qFormat/>
    <w:pPr>
      <w:numPr>
        <w:ilvl w:val="0"/>
        <w:numId w:val="3"/>
      </w:numPr>
      <w:spacing w:before="120"/>
      <w:tabs>
        <w:tab w:val="left" w:pos="360" w:leader="none"/>
      </w:tabs>
    </w:pPr>
    <w:rPr>
      <w:rFonts w:ascii="宋体"/>
      <w:sz w:val="28"/>
      <w:szCs w:val="20"/>
    </w:rPr>
  </w:style>
  <w:style w:type="paragraph" w:styleId="1254">
    <w:name w:val="xl44"/>
    <w:basedOn w:val="995"/>
    <w:next w:val="1254"/>
    <w:link w:val="9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55">
    <w:name w:val="正文文本样式 加粗"/>
    <w:basedOn w:val="1256"/>
    <w:next w:val="1255"/>
    <w:link w:val="995"/>
    <w:qFormat/>
    <w:rPr>
      <w:b/>
    </w:rPr>
  </w:style>
  <w:style w:type="paragraph" w:styleId="1256">
    <w:name w:val="正文文本样式"/>
    <w:basedOn w:val="995"/>
    <w:next w:val="1256"/>
    <w:link w:val="995"/>
    <w:qFormat/>
    <w:pPr>
      <w:ind w:firstLine="482"/>
      <w:spacing w:line="360" w:lineRule="auto"/>
    </w:pPr>
    <w:rPr>
      <w:rFonts w:cs="宋体"/>
      <w:sz w:val="24"/>
      <w:szCs w:val="20"/>
    </w:rPr>
  </w:style>
  <w:style w:type="paragraph" w:styleId="1257">
    <w:name w:val="Char1"/>
    <w:basedOn w:val="995"/>
    <w:next w:val="1257"/>
    <w:link w:val="995"/>
    <w:qFormat/>
    <w:pPr>
      <w:tabs>
        <w:tab w:val="left" w:pos="360" w:leader="none"/>
      </w:tabs>
    </w:pPr>
    <w:rPr>
      <w:sz w:val="24"/>
    </w:rPr>
  </w:style>
  <w:style w:type="paragraph" w:styleId="1258">
    <w:name w:val="项目编号3"/>
    <w:basedOn w:val="1256"/>
    <w:next w:val="1258"/>
    <w:link w:val="995"/>
    <w:qFormat/>
    <w:pPr>
      <w:numPr>
        <w:ilvl w:val="0"/>
        <w:numId w:val="4"/>
      </w:numPr>
    </w:pPr>
  </w:style>
  <w:style w:type="paragraph" w:styleId="1259">
    <w:name w:val="Char Char Char1 Char"/>
    <w:basedOn w:val="995"/>
    <w:next w:val="1259"/>
    <w:link w:val="995"/>
    <w:qFormat/>
    <w:rPr>
      <w:rFonts w:ascii="Tahoma" w:hAnsi="Tahoma"/>
      <w:sz w:val="24"/>
      <w:szCs w:val="20"/>
    </w:rPr>
  </w:style>
  <w:style w:type="paragraph" w:styleId="1260">
    <w:name w:val="Char Char Char1 Char2"/>
    <w:basedOn w:val="995"/>
    <w:next w:val="1260"/>
    <w:link w:val="995"/>
    <w:qFormat/>
    <w:rPr>
      <w:rFonts w:ascii="Tahoma" w:hAnsi="Tahoma"/>
      <w:sz w:val="24"/>
      <w:szCs w:val="20"/>
    </w:rPr>
  </w:style>
  <w:style w:type="paragraph" w:styleId="1261">
    <w:name w:val="??"/>
    <w:next w:val="1261"/>
    <w:link w:val="995"/>
    <w:qFormat/>
    <w:pPr>
      <w:jc w:val="both"/>
      <w:widowControl w:val="off"/>
    </w:pPr>
    <w:rPr>
      <w:sz w:val="21"/>
      <w:lang w:val="en-US" w:eastAsia="en-US" w:bidi="ar-SA"/>
    </w:rPr>
  </w:style>
  <w:style w:type="paragraph" w:styleId="1262">
    <w:name w:val="正文 New"/>
    <w:next w:val="1262"/>
    <w:link w:val="995"/>
    <w:qFormat/>
    <w:pPr>
      <w:jc w:val="both"/>
      <w:widowControl w:val="off"/>
    </w:pPr>
    <w:rPr>
      <w:sz w:val="21"/>
      <w:szCs w:val="24"/>
      <w:lang w:val="en-US" w:eastAsia="zh-CN" w:bidi="ar-SA"/>
    </w:rPr>
  </w:style>
  <w:style w:type="paragraph" w:styleId="1263">
    <w:name w:val="Char21"/>
    <w:basedOn w:val="995"/>
    <w:next w:val="1263"/>
    <w:link w:val="995"/>
    <w:qFormat/>
    <w:rPr>
      <w:rFonts w:ascii="Tahoma" w:hAnsi="Tahoma"/>
      <w:sz w:val="24"/>
      <w:szCs w:val="20"/>
    </w:rPr>
  </w:style>
  <w:style w:type="paragraph" w:styleId="1264">
    <w:name w:val="Char Char Char"/>
    <w:basedOn w:val="995"/>
    <w:next w:val="1264"/>
    <w:link w:val="995"/>
    <w:qFormat/>
    <w:rPr>
      <w:rFonts w:ascii="Tahoma" w:hAnsi="Tahoma"/>
      <w:sz w:val="24"/>
      <w:szCs w:val="20"/>
    </w:rPr>
  </w:style>
  <w:style w:type="paragraph" w:styleId="1265">
    <w:name w:val="Char Char Char Char Char Char Char Char Char Char2"/>
    <w:basedOn w:val="995"/>
    <w:next w:val="1265"/>
    <w:link w:val="995"/>
    <w:qFormat/>
    <w:rPr>
      <w:rFonts w:ascii="宋体" w:hAnsi="宋体" w:cs="Courier New"/>
      <w:sz w:val="32"/>
      <w:szCs w:val="32"/>
    </w:rPr>
  </w:style>
  <w:style w:type="paragraph" w:styleId="1266">
    <w:name w:val="xl35"/>
    <w:basedOn w:val="995"/>
    <w:next w:val="1266"/>
    <w:link w:val="9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7">
    <w:name w:val="正文文本1"/>
    <w:basedOn w:val="995"/>
    <w:next w:val="995"/>
    <w:link w:val="995"/>
    <w:qFormat/>
    <w:pPr>
      <w:spacing w:before="120" w:line="22" w:lineRule="atLeast"/>
      <w:tabs>
        <w:tab w:val="left" w:pos="567" w:leader="none"/>
      </w:tabs>
    </w:pPr>
    <w:rPr>
      <w:rFonts w:ascii="宋体" w:hAnsi="宋体"/>
      <w:sz w:val="24"/>
    </w:rPr>
  </w:style>
  <w:style w:type="paragraph" w:styleId="1268">
    <w:name w:val="样式2"/>
    <w:basedOn w:val="1064"/>
    <w:next w:val="1268"/>
    <w:link w:val="995"/>
    <w:qFormat/>
    <w:pPr>
      <w:jc w:val="center"/>
      <w:spacing w:line="360" w:lineRule="auto"/>
    </w:pPr>
    <w:rPr>
      <w:sz w:val="24"/>
    </w:rPr>
  </w:style>
  <w:style w:type="paragraph" w:styleId="1269">
    <w:name w:val="正文1"/>
    <w:basedOn w:val="995"/>
    <w:next w:val="1269"/>
    <w:link w:val="995"/>
    <w:pPr>
      <w:jc w:val="left"/>
      <w:spacing w:line="360" w:lineRule="atLeast"/>
    </w:pPr>
    <w:rPr>
      <w:rFonts w:ascii="宋体"/>
      <w:sz w:val="24"/>
      <w:szCs w:val="20"/>
    </w:rPr>
  </w:style>
  <w:style w:type="paragraph" w:styleId="1270">
    <w:name w:val="font5"/>
    <w:basedOn w:val="995"/>
    <w:next w:val="1270"/>
    <w:link w:val="995"/>
    <w:qFormat/>
    <w:pPr>
      <w:jc w:val="left"/>
      <w:spacing w:before="100" w:beforeAutospacing="1" w:after="100" w:afterAutospacing="1"/>
      <w:widowControl/>
    </w:pPr>
    <w:rPr>
      <w:rFonts w:ascii="宋体" w:hAnsi="宋体" w:cs="宋体"/>
      <w:sz w:val="18"/>
      <w:szCs w:val="18"/>
    </w:rPr>
  </w:style>
  <w:style w:type="paragraph" w:styleId="1271">
    <w:name w:val="xl41"/>
    <w:basedOn w:val="995"/>
    <w:next w:val="1271"/>
    <w:link w:val="99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2">
    <w:name w:val="Char1 Char Char Char1"/>
    <w:basedOn w:val="995"/>
    <w:next w:val="1272"/>
    <w:link w:val="995"/>
    <w:qFormat/>
    <w:rPr>
      <w:rFonts w:ascii="Tahoma" w:hAnsi="Tahoma" w:cs="仿宋_GB2312"/>
      <w:sz w:val="24"/>
      <w:szCs w:val="28"/>
    </w:rPr>
  </w:style>
  <w:style w:type="paragraph" w:styleId="1273">
    <w:name w:val="22222222222222"/>
    <w:basedOn w:val="995"/>
    <w:next w:val="1273"/>
    <w:link w:val="995"/>
    <w:qFormat/>
    <w:pPr>
      <w:ind w:firstLine="480"/>
      <w:jc w:val="left"/>
      <w:spacing w:line="360" w:lineRule="auto"/>
      <w:widowControl/>
    </w:pPr>
    <w:rPr>
      <w:color w:val="ff0000"/>
      <w:sz w:val="24"/>
      <w:szCs w:val="20"/>
    </w:rPr>
  </w:style>
  <w:style w:type="paragraph" w:styleId="1274">
    <w:name w:val="xl48"/>
    <w:basedOn w:val="995"/>
    <w:next w:val="1274"/>
    <w:link w:val="9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75">
    <w:name w:val="Char22"/>
    <w:basedOn w:val="995"/>
    <w:next w:val="1275"/>
    <w:link w:val="995"/>
    <w:qFormat/>
    <w:rPr>
      <w:rFonts w:ascii="Tahoma" w:hAnsi="Tahoma"/>
      <w:sz w:val="24"/>
      <w:szCs w:val="20"/>
    </w:rPr>
  </w:style>
  <w:style w:type="paragraph" w:styleId="1276">
    <w:name w:val="List Paragraph1"/>
    <w:basedOn w:val="995"/>
    <w:next w:val="1276"/>
    <w:link w:val="995"/>
    <w:qFormat/>
    <w:pPr>
      <w:ind w:firstLine="420"/>
    </w:pPr>
    <w:rPr>
      <w:rFonts w:ascii="Calibri" w:hAnsi="Calibri"/>
      <w:szCs w:val="22"/>
    </w:rPr>
  </w:style>
  <w:style w:type="paragraph" w:styleId="1277">
    <w:name w:val="缺省文本"/>
    <w:basedOn w:val="995"/>
    <w:next w:val="1277"/>
    <w:link w:val="995"/>
    <w:qFormat/>
    <w:pPr>
      <w:jc w:val="left"/>
    </w:pPr>
    <w:rPr>
      <w:sz w:val="24"/>
    </w:rPr>
  </w:style>
  <w:style w:type="paragraph" w:styleId="1278">
    <w:name w:val="xl53"/>
    <w:basedOn w:val="995"/>
    <w:next w:val="1278"/>
    <w:link w:val="9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9">
    <w:name w:val="图文"/>
    <w:basedOn w:val="995"/>
    <w:next w:val="1279"/>
    <w:link w:val="995"/>
    <w:qFormat/>
    <w:pPr>
      <w:spacing w:after="50" w:line="360" w:lineRule="auto"/>
    </w:pPr>
    <w:rPr>
      <w:sz w:val="24"/>
    </w:rPr>
  </w:style>
  <w:style w:type="paragraph" w:styleId="1280">
    <w:name w:val="正文须知-1级"/>
    <w:basedOn w:val="995"/>
    <w:next w:val="995"/>
    <w:link w:val="995"/>
    <w:qFormat/>
    <w:pPr>
      <w:numPr>
        <w:ilvl w:val="0"/>
        <w:numId w:val="2"/>
      </w:numPr>
      <w:spacing w:line="300" w:lineRule="auto"/>
    </w:pPr>
    <w:rPr>
      <w:rFonts w:ascii="宋体" w:hAnsi="Calibri"/>
      <w:sz w:val="24"/>
      <w:szCs w:val="21"/>
    </w:rPr>
  </w:style>
  <w:style w:type="paragraph" w:styleId="1281">
    <w:name w:val="Char Char4"/>
    <w:basedOn w:val="995"/>
    <w:next w:val="1281"/>
    <w:link w:val="995"/>
    <w:qFormat/>
    <w:pPr>
      <w:jc w:val="center"/>
      <w:spacing w:line="400" w:lineRule="exact"/>
      <w:widowControl/>
    </w:pPr>
  </w:style>
  <w:style w:type="paragraph" w:styleId="1282">
    <w:name w:val="修订"/>
    <w:next w:val="1282"/>
    <w:link w:val="995"/>
    <w:uiPriority w:val="99"/>
    <w:unhideWhenUsed/>
    <w:rPr>
      <w:sz w:val="21"/>
      <w:szCs w:val="24"/>
      <w:lang w:val="en-US" w:eastAsia="zh-CN" w:bidi="ar-SA"/>
    </w:rPr>
  </w:style>
  <w:style w:type="paragraph" w:styleId="1283">
    <w:name w:val="xl25"/>
    <w:basedOn w:val="995"/>
    <w:next w:val="1283"/>
    <w:link w:val="9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4">
    <w:name w:val="xl24"/>
    <w:basedOn w:val="995"/>
    <w:next w:val="1284"/>
    <w:link w:val="9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5">
    <w:name w:val="xl49"/>
    <w:basedOn w:val="995"/>
    <w:next w:val="1285"/>
    <w:link w:val="9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6">
    <w:name w:val="图中文字"/>
    <w:basedOn w:val="995"/>
    <w:next w:val="1286"/>
    <w:link w:val="995"/>
    <w:qFormat/>
    <w:pPr>
      <w:jc w:val="center"/>
      <w:spacing w:line="0" w:lineRule="atLeast"/>
    </w:pPr>
    <w:rPr>
      <w:sz w:val="24"/>
      <w:szCs w:val="20"/>
    </w:rPr>
  </w:style>
  <w:style w:type="paragraph" w:styleId="1287">
    <w:name w:val="Char3 Char Char Char"/>
    <w:basedOn w:val="995"/>
    <w:next w:val="1287"/>
    <w:link w:val="995"/>
    <w:qFormat/>
    <w:rPr>
      <w:rFonts w:ascii="Tahoma" w:hAnsi="Tahoma"/>
      <w:sz w:val="24"/>
      <w:szCs w:val="20"/>
    </w:rPr>
  </w:style>
  <w:style w:type="paragraph" w:styleId="1288">
    <w:name w:val="AA2"/>
    <w:basedOn w:val="995"/>
    <w:next w:val="1288"/>
    <w:link w:val="995"/>
    <w:pPr>
      <w:numPr>
        <w:ilvl w:val="0"/>
        <w:numId w:val="5"/>
      </w:numPr>
      <w:spacing w:line="312" w:lineRule="exact"/>
      <w:tabs>
        <w:tab w:val="left" w:pos="500" w:leader="none"/>
        <w:tab w:val="left" w:pos="780" w:leader="none"/>
      </w:tabs>
      <w:outlineLvl w:val="1"/>
    </w:pPr>
    <w:rPr>
      <w:b/>
      <w:bCs/>
      <w:szCs w:val="21"/>
    </w:rPr>
  </w:style>
  <w:style w:type="paragraph" w:styleId="1289">
    <w:name w:val="Char3 Char Char Char1"/>
    <w:basedOn w:val="995"/>
    <w:next w:val="1289"/>
    <w:link w:val="995"/>
    <w:qFormat/>
    <w:rPr>
      <w:rFonts w:ascii="Tahoma" w:hAnsi="Tahoma"/>
      <w:sz w:val="24"/>
      <w:szCs w:val="20"/>
    </w:rPr>
  </w:style>
  <w:style w:type="paragraph" w:styleId="1290">
    <w:name w:val="xl28"/>
    <w:basedOn w:val="995"/>
    <w:next w:val="1290"/>
    <w:link w:val="9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1">
    <w:name w:val="表身（左）"/>
    <w:next w:val="1291"/>
    <w:link w:val="995"/>
    <w:pPr>
      <w:spacing w:line="300" w:lineRule="auto"/>
    </w:pPr>
    <w:rPr>
      <w:sz w:val="18"/>
      <w:lang w:val="en-US" w:eastAsia="zh-CN" w:bidi="ar-SA"/>
    </w:rPr>
  </w:style>
  <w:style w:type="paragraph" w:styleId="1292">
    <w:name w:val="纯文本1"/>
    <w:basedOn w:val="995"/>
    <w:next w:val="1292"/>
    <w:link w:val="995"/>
    <w:qFormat/>
    <w:rPr>
      <w:rFonts w:ascii="宋体" w:hAnsi="Courier New" w:eastAsia="楷体_GB2312"/>
      <w:sz w:val="26"/>
      <w:szCs w:val="20"/>
    </w:rPr>
  </w:style>
  <w:style w:type="paragraph" w:styleId="1293">
    <w:name w:val="一级条标题"/>
    <w:basedOn w:val="1294"/>
    <w:next w:val="995"/>
    <w:link w:val="995"/>
    <w:qFormat/>
    <w:pPr>
      <w:numPr>
        <w:ilvl w:val="1"/>
        <w:numId w:val="6"/>
      </w:numPr>
      <w:ind w:left="0" w:hanging="840"/>
      <w:tabs>
        <w:tab w:val="left" w:pos="360" w:leader="none"/>
        <w:tab w:val="left" w:pos="840" w:leader="none"/>
      </w:tabs>
      <w:outlineLvl w:val="1"/>
    </w:pPr>
  </w:style>
  <w:style w:type="paragraph" w:styleId="1294">
    <w:name w:val="章标题"/>
    <w:next w:val="995"/>
    <w:link w:val="995"/>
    <w:qFormat/>
    <w:pPr>
      <w:numPr>
        <w:ilvl w:val="0"/>
        <w:numId w:val="6"/>
      </w:numPr>
      <w:ind w:left="0"/>
      <w:jc w:val="both"/>
      <w:spacing w:before="156" w:after="156" w:line="460" w:lineRule="exact"/>
      <w:outlineLvl w:val="0"/>
    </w:pPr>
    <w:rPr>
      <w:rFonts w:ascii="黑体" w:eastAsia="黑体"/>
      <w:b/>
      <w:sz w:val="28"/>
      <w:lang w:val="en-US" w:eastAsia="zh-CN" w:bidi="ar-SA"/>
    </w:rPr>
  </w:style>
  <w:style w:type="paragraph" w:styleId="1295">
    <w:name w:val="1 Char Char Char Char"/>
    <w:basedOn w:val="995"/>
    <w:next w:val="1295"/>
    <w:link w:val="995"/>
    <w:qFormat/>
    <w:rPr>
      <w:rFonts w:ascii="Tahoma" w:hAnsi="Tahoma"/>
      <w:sz w:val="24"/>
      <w:szCs w:val="20"/>
    </w:rPr>
  </w:style>
  <w:style w:type="paragraph" w:styleId="1296">
    <w:name w:val="Char Char1 Char Char Char Char Char Char Char Char"/>
    <w:basedOn w:val="995"/>
    <w:next w:val="1296"/>
    <w:link w:val="995"/>
    <w:qFormat/>
    <w:pPr>
      <w:jc w:val="left"/>
      <w:spacing w:after="160" w:line="240" w:lineRule="exact"/>
      <w:widowControl/>
    </w:pPr>
    <w:rPr>
      <w:rFonts w:ascii="Verdana" w:hAnsi="Verdana"/>
      <w:sz w:val="20"/>
      <w:szCs w:val="20"/>
      <w:lang w:eastAsia="en-US"/>
    </w:rPr>
  </w:style>
  <w:style w:type="paragraph" w:styleId="1297">
    <w:name w:val="Char Char Char Char Char Char Char Char Char Char"/>
    <w:basedOn w:val="995"/>
    <w:next w:val="1297"/>
    <w:link w:val="995"/>
    <w:qFormat/>
  </w:style>
  <w:style w:type="paragraph" w:styleId="1298">
    <w:name w:val="Char Char1 Char Char Char Char Char Char"/>
    <w:basedOn w:val="995"/>
    <w:next w:val="1298"/>
    <w:link w:val="995"/>
    <w:qFormat/>
    <w:pPr>
      <w:jc w:val="left"/>
      <w:spacing w:after="160" w:line="240" w:lineRule="exact"/>
      <w:widowControl/>
    </w:pPr>
    <w:rPr>
      <w:rFonts w:ascii="Verdana" w:hAnsi="Verdana" w:eastAsia="仿宋_GB2312"/>
      <w:sz w:val="24"/>
      <w:szCs w:val="20"/>
      <w:lang w:eastAsia="en-US"/>
    </w:rPr>
  </w:style>
  <w:style w:type="paragraph" w:styleId="1299">
    <w:name w:val="xl33"/>
    <w:basedOn w:val="995"/>
    <w:next w:val="1299"/>
    <w:link w:val="9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0">
    <w:name w:val="Char Char Char1 Char1"/>
    <w:basedOn w:val="995"/>
    <w:next w:val="1300"/>
    <w:link w:val="995"/>
    <w:qFormat/>
    <w:rPr>
      <w:rFonts w:ascii="Tahoma" w:hAnsi="Tahoma"/>
      <w:sz w:val="24"/>
      <w:szCs w:val="20"/>
    </w:rPr>
  </w:style>
  <w:style w:type="paragraph" w:styleId="1301">
    <w:name w:val="表项"/>
    <w:next w:val="995"/>
    <w:link w:val="995"/>
    <w:qFormat/>
    <w:pPr>
      <w:jc w:val="center"/>
      <w:keepNext/>
      <w:spacing w:line="300" w:lineRule="auto"/>
    </w:pPr>
    <w:rPr>
      <w:rFonts w:ascii="Arial" w:hAnsi="Arial" w:eastAsia="黑体"/>
      <w:sz w:val="18"/>
      <w:lang w:val="en-US" w:eastAsia="zh-CN" w:bidi="ar-SA"/>
    </w:rPr>
  </w:style>
  <w:style w:type="paragraph" w:styleId="1302">
    <w:name w:val="Char2 Char Char Char Char Char Char"/>
    <w:basedOn w:val="995"/>
    <w:next w:val="1302"/>
    <w:link w:val="995"/>
    <w:qFormat/>
    <w:pPr>
      <w:jc w:val="center"/>
      <w:spacing w:line="400" w:lineRule="exact"/>
      <w:widowControl/>
    </w:pPr>
  </w:style>
  <w:style w:type="paragraph" w:styleId="1303">
    <w:name w:val="xl23"/>
    <w:basedOn w:val="995"/>
    <w:next w:val="1303"/>
    <w:link w:val="995"/>
    <w:qFormat/>
    <w:pPr>
      <w:spacing w:before="100" w:beforeAutospacing="1" w:after="100" w:afterAutospacing="1" w:line="360" w:lineRule="auto"/>
      <w:widowControl/>
    </w:pPr>
    <w:rPr>
      <w:sz w:val="24"/>
      <w:szCs w:val="20"/>
    </w:rPr>
  </w:style>
  <w:style w:type="paragraph" w:styleId="1304">
    <w:name w:val="列出段落2"/>
    <w:basedOn w:val="995"/>
    <w:next w:val="1304"/>
    <w:link w:val="995"/>
    <w:qFormat/>
    <w:pPr>
      <w:ind w:firstLine="420"/>
    </w:pPr>
    <w:rPr>
      <w:rFonts w:ascii="Calibri" w:hAnsi="Calibri"/>
      <w:szCs w:val="22"/>
    </w:rPr>
  </w:style>
  <w:style w:type="paragraph" w:styleId="1305">
    <w:name w:val="text"/>
    <w:basedOn w:val="995"/>
    <w:next w:val="1305"/>
    <w:link w:val="995"/>
    <w:qFormat/>
    <w:pPr>
      <w:ind w:left="1049"/>
      <w:spacing w:before="240"/>
      <w:widowControl/>
      <w:tabs>
        <w:tab w:val="left" w:pos="1050" w:leader="none"/>
      </w:tabs>
    </w:pPr>
    <w:rPr>
      <w:sz w:val="24"/>
      <w:szCs w:val="20"/>
    </w:rPr>
  </w:style>
  <w:style w:type="paragraph" w:styleId="1306">
    <w:name w:val="Table Paragraph"/>
    <w:basedOn w:val="995"/>
    <w:next w:val="1306"/>
    <w:link w:val="995"/>
    <w:uiPriority w:val="1"/>
    <w:qFormat/>
    <w:pPr>
      <w:jc w:val="left"/>
    </w:pPr>
    <w:rPr>
      <w:rFonts w:ascii="宋体" w:hAnsi="宋体" w:cs="宋体"/>
      <w:sz w:val="22"/>
      <w:szCs w:val="22"/>
      <w:lang w:eastAsia="en-US"/>
    </w:rPr>
  </w:style>
  <w:style w:type="paragraph" w:styleId="1307">
    <w:name w:val="xl50"/>
    <w:basedOn w:val="995"/>
    <w:next w:val="1307"/>
    <w:link w:val="9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8">
    <w:name w:val="Char Char Char Char"/>
    <w:basedOn w:val="1021"/>
    <w:next w:val="1308"/>
    <w:link w:val="995"/>
    <w:pPr>
      <w:spacing w:line="360" w:lineRule="auto"/>
    </w:pPr>
    <w:rPr>
      <w:rFonts w:ascii="Tahoma" w:hAnsi="Tahoma"/>
      <w:sz w:val="24"/>
    </w:rPr>
  </w:style>
  <w:style w:type="paragraph" w:styleId="1309">
    <w:name w:val="字元 字元1"/>
    <w:basedOn w:val="995"/>
    <w:next w:val="1309"/>
    <w:link w:val="995"/>
    <w:qFormat/>
    <w:rPr>
      <w:rFonts w:ascii="Tahoma" w:hAnsi="Tahoma"/>
      <w:sz w:val="24"/>
      <w:szCs w:val="20"/>
    </w:rPr>
  </w:style>
  <w:style w:type="paragraph" w:styleId="1310">
    <w:name w:val="xl42"/>
    <w:basedOn w:val="995"/>
    <w:next w:val="1310"/>
    <w:link w:val="9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11">
    <w:name w:val="Revision"/>
    <w:next w:val="1311"/>
    <w:link w:val="995"/>
    <w:qFormat/>
    <w:rPr>
      <w:sz w:val="21"/>
      <w:szCs w:val="24"/>
      <w:lang w:val="en-US" w:eastAsia="zh-CN" w:bidi="ar-SA"/>
    </w:rPr>
  </w:style>
  <w:style w:type="paragraph" w:styleId="1312">
    <w:name w:val="正文列项_字母"/>
    <w:basedOn w:val="995"/>
    <w:next w:val="1312"/>
    <w:link w:val="995"/>
    <w:qFormat/>
    <w:pPr>
      <w:numPr>
        <w:ilvl w:val="6"/>
        <w:numId w:val="6"/>
      </w:numPr>
      <w:ind w:left="480" w:hanging="180"/>
      <w:spacing w:line="460" w:lineRule="exact"/>
      <w:tabs>
        <w:tab w:val="clear" w:pos="635" w:leader="none"/>
      </w:tabs>
      <w:outlineLvl w:val="6"/>
    </w:pPr>
    <w:rPr>
      <w:rFonts w:ascii="宋体"/>
      <w:sz w:val="28"/>
      <w:szCs w:val="20"/>
    </w:rPr>
  </w:style>
  <w:style w:type="paragraph" w:styleId="1313">
    <w:name w:val="(1)"/>
    <w:basedOn w:val="995"/>
    <w:next w:val="1313"/>
    <w:link w:val="995"/>
    <w:pPr>
      <w:spacing w:line="400" w:lineRule="exact"/>
    </w:pPr>
    <w:rPr>
      <w:rFonts w:ascii="楷体_GB2312" w:hAnsi="Arial" w:eastAsia="楷体_GB2312"/>
      <w:sz w:val="24"/>
    </w:rPr>
  </w:style>
  <w:style w:type="paragraph" w:styleId="1314">
    <w:name w:val="项目符号1"/>
    <w:basedOn w:val="1256"/>
    <w:next w:val="1314"/>
    <w:link w:val="995"/>
    <w:qFormat/>
    <w:pPr>
      <w:ind w:left="-25" w:firstLine="0"/>
    </w:pPr>
  </w:style>
  <w:style w:type="paragraph" w:styleId="1315">
    <w:name w:val="内文正文"/>
    <w:next w:val="1315"/>
    <w:link w:val="995"/>
    <w:qFormat/>
    <w:pPr>
      <w:ind w:firstLine="200"/>
      <w:jc w:val="both"/>
      <w:spacing w:line="400" w:lineRule="exact"/>
    </w:pPr>
    <w:rPr>
      <w:rFonts w:ascii="宋体" w:hAnsi="???|CS?o｡ﾀ?"/>
      <w:sz w:val="21"/>
      <w:szCs w:val="28"/>
      <w:lang w:val="en-US" w:eastAsia="zh-CN" w:bidi="ar-SA"/>
    </w:rPr>
  </w:style>
  <w:style w:type="paragraph" w:styleId="1316">
    <w:name w:val="Char3 Char Char Char2"/>
    <w:basedOn w:val="995"/>
    <w:next w:val="1316"/>
    <w:link w:val="995"/>
    <w:qFormat/>
    <w:rPr>
      <w:rFonts w:ascii="Tahoma" w:hAnsi="Tahoma"/>
      <w:sz w:val="24"/>
      <w:szCs w:val="20"/>
    </w:rPr>
  </w:style>
  <w:style w:type="paragraph" w:styleId="1317">
    <w:name w:val="xl52"/>
    <w:basedOn w:val="995"/>
    <w:next w:val="1317"/>
    <w:link w:val="9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18">
    <w:name w:val="xl46"/>
    <w:basedOn w:val="995"/>
    <w:next w:val="1318"/>
    <w:link w:val="99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9">
    <w:name w:val="Char2"/>
    <w:basedOn w:val="995"/>
    <w:next w:val="1319"/>
    <w:link w:val="995"/>
    <w:qFormat/>
    <w:rPr>
      <w:rFonts w:ascii="Tahoma" w:hAnsi="Tahoma"/>
      <w:sz w:val="24"/>
      <w:szCs w:val="20"/>
    </w:rPr>
  </w:style>
  <w:style w:type="paragraph" w:styleId="1320">
    <w:name w:val="Char Char1 Char Char Char Char Char Char1"/>
    <w:basedOn w:val="995"/>
    <w:next w:val="1320"/>
    <w:link w:val="995"/>
    <w:qFormat/>
    <w:pPr>
      <w:jc w:val="left"/>
      <w:spacing w:after="160" w:line="240" w:lineRule="exact"/>
      <w:widowControl/>
    </w:pPr>
    <w:rPr>
      <w:rFonts w:ascii="Verdana" w:hAnsi="Verdana" w:eastAsia="仿宋_GB2312"/>
      <w:sz w:val="24"/>
      <w:szCs w:val="20"/>
      <w:lang w:eastAsia="en-US"/>
    </w:rPr>
  </w:style>
  <w:style w:type="paragraph" w:styleId="1321">
    <w:name w:val="xl34"/>
    <w:basedOn w:val="995"/>
    <w:next w:val="1321"/>
    <w:link w:val="9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2">
    <w:name w:val="Char Char Char Char Char Char Char Char Char Char Char Char Char Char Char Char"/>
    <w:basedOn w:val="995"/>
    <w:next w:val="1322"/>
    <w:link w:val="995"/>
    <w:qFormat/>
    <w:pPr>
      <w:jc w:val="center"/>
      <w:spacing w:after="160" w:line="240" w:lineRule="exact"/>
      <w:widowControl/>
    </w:pPr>
    <w:rPr>
      <w:rFonts w:ascii="宋体" w:hAnsi="宋体"/>
      <w:b/>
      <w:sz w:val="30"/>
      <w:szCs w:val="30"/>
      <w:lang w:eastAsia="en-US"/>
    </w:rPr>
  </w:style>
  <w:style w:type="paragraph" w:styleId="1323">
    <w:name w:val="Char2 Char Char Char Char Char Char1"/>
    <w:basedOn w:val="995"/>
    <w:next w:val="1323"/>
    <w:link w:val="995"/>
    <w:qFormat/>
    <w:pPr>
      <w:jc w:val="center"/>
      <w:spacing w:line="400" w:lineRule="exact"/>
      <w:widowControl/>
    </w:pPr>
  </w:style>
  <w:style w:type="paragraph" w:styleId="1324">
    <w:name w:val="Char Char Char Char Char Char Char Char Char Char1"/>
    <w:basedOn w:val="995"/>
    <w:next w:val="1324"/>
    <w:link w:val="995"/>
    <w:qFormat/>
    <w:rPr>
      <w:rFonts w:ascii="宋体" w:hAnsi="宋体" w:cs="Courier New"/>
      <w:sz w:val="32"/>
      <w:szCs w:val="32"/>
    </w:rPr>
  </w:style>
  <w:style w:type="paragraph" w:styleId="1325">
    <w:name w:val="正文须知-3级"/>
    <w:basedOn w:val="995"/>
    <w:next w:val="1325"/>
    <w:link w:val="995"/>
    <w:qFormat/>
    <w:pPr>
      <w:numPr>
        <w:ilvl w:val="2"/>
        <w:numId w:val="2"/>
      </w:numPr>
      <w:ind w:hanging="355"/>
      <w:spacing w:line="300" w:lineRule="auto"/>
    </w:pPr>
    <w:rPr>
      <w:rFonts w:ascii="宋体" w:hAnsi="Calibri"/>
      <w:sz w:val="24"/>
      <w:szCs w:val="21"/>
    </w:rPr>
  </w:style>
  <w:style w:type="paragraph" w:styleId="1326">
    <w:name w:val="Char Char Char2"/>
    <w:basedOn w:val="995"/>
    <w:next w:val="1326"/>
    <w:link w:val="995"/>
    <w:qFormat/>
    <w:rPr>
      <w:rFonts w:ascii="Tahoma" w:hAnsi="Tahoma"/>
      <w:sz w:val="24"/>
      <w:szCs w:val="20"/>
    </w:rPr>
  </w:style>
  <w:style w:type="paragraph" w:styleId="1327">
    <w:name w:val="xl36"/>
    <w:basedOn w:val="995"/>
    <w:next w:val="1327"/>
    <w:link w:val="99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8">
    <w:name w:val="表内文字"/>
    <w:basedOn w:val="995"/>
    <w:next w:val="1328"/>
    <w:link w:val="995"/>
    <w:pPr>
      <w:spacing w:line="360" w:lineRule="auto"/>
    </w:pPr>
    <w:rPr>
      <w:rFonts w:ascii="宋体" w:hAnsi="宋体"/>
      <w:bCs/>
      <w:sz w:val="24"/>
    </w:rPr>
  </w:style>
  <w:style w:type="paragraph" w:styleId="1329">
    <w:name w:val="Char Char Char Char Char Char Char1"/>
    <w:basedOn w:val="995"/>
    <w:next w:val="1329"/>
    <w:link w:val="995"/>
    <w:qFormat/>
    <w:pPr>
      <w:ind w:firstLine="200"/>
      <w:spacing w:line="360" w:lineRule="auto"/>
    </w:pPr>
    <w:rPr>
      <w:rFonts w:eastAsia="仿宋_GB2312"/>
      <w:sz w:val="24"/>
    </w:rPr>
  </w:style>
  <w:style w:type="paragraph" w:styleId="1330">
    <w:name w:val="列出段落1"/>
    <w:basedOn w:val="995"/>
    <w:next w:val="1330"/>
    <w:link w:val="995"/>
    <w:qFormat/>
    <w:pPr>
      <w:ind w:firstLine="420"/>
    </w:pPr>
    <w:rPr>
      <w:rFonts w:ascii="Calibri" w:hAnsi="Calibri"/>
      <w:szCs w:val="22"/>
    </w:rPr>
  </w:style>
  <w:style w:type="paragraph" w:styleId="1331">
    <w:name w:val="9-表目录"/>
    <w:basedOn w:val="995"/>
    <w:next w:val="1331"/>
    <w:link w:val="995"/>
    <w:uiPriority w:val="99"/>
    <w:qFormat/>
    <w:pPr>
      <w:ind w:firstLine="480"/>
      <w:jc w:val="center"/>
      <w:spacing w:line="400" w:lineRule="exact"/>
    </w:pPr>
    <w:rPr>
      <w:rFonts w:ascii="Calibri" w:hAnsi="Calibri" w:cs="宋体"/>
      <w:sz w:val="24"/>
      <w:szCs w:val="20"/>
    </w:rPr>
  </w:style>
  <w:style w:type="paragraph" w:styleId="1332">
    <w:name w:val="Default"/>
    <w:next w:val="1332"/>
    <w:link w:val="995"/>
    <w:qFormat/>
    <w:pPr>
      <w:widowControl w:val="off"/>
    </w:pPr>
    <w:rPr>
      <w:rFonts w:ascii="Symbol" w:hAnsi="Symbol" w:cs="Symbol"/>
      <w:color w:val="000000"/>
      <w:sz w:val="24"/>
      <w:szCs w:val="24"/>
      <w:lang w:val="en-US" w:eastAsia="zh-CN" w:bidi="ar-SA"/>
    </w:rPr>
  </w:style>
  <w:style w:type="paragraph" w:styleId="1333">
    <w:name w:val="正文 + 楷体_GB2312"/>
    <w:basedOn w:val="995"/>
    <w:next w:val="1333"/>
    <w:link w:val="995"/>
    <w:qFormat/>
    <w:pPr>
      <w:jc w:val="left"/>
      <w:widowControl/>
    </w:pPr>
    <w:rPr>
      <w:rFonts w:ascii="楷体_GB2312" w:eastAsia="楷体_GB2312" w:cs="Arial"/>
      <w:sz w:val="24"/>
    </w:rPr>
  </w:style>
  <w:style w:type="paragraph" w:styleId="1334">
    <w:name w:val="正文列项_数字"/>
    <w:basedOn w:val="995"/>
    <w:next w:val="1334"/>
    <w:link w:val="995"/>
    <w:qFormat/>
    <w:pPr>
      <w:numPr>
        <w:ilvl w:val="7"/>
        <w:numId w:val="6"/>
      </w:numPr>
      <w:ind w:left="680" w:hanging="150"/>
      <w:spacing w:line="460" w:lineRule="exact"/>
      <w:tabs>
        <w:tab w:val="clear" w:pos="860" w:leader="none"/>
      </w:tabs>
      <w:outlineLvl w:val="7"/>
    </w:pPr>
    <w:rPr>
      <w:rFonts w:ascii="宋体"/>
      <w:sz w:val="28"/>
      <w:szCs w:val="20"/>
    </w:rPr>
  </w:style>
  <w:style w:type="paragraph" w:styleId="1335">
    <w:name w:val="_Style 160"/>
    <w:next w:val="1335"/>
    <w:link w:val="995"/>
    <w:qFormat/>
    <w:rPr>
      <w:sz w:val="21"/>
      <w:szCs w:val="24"/>
      <w:lang w:val="en-US" w:eastAsia="zh-CN" w:bidi="ar-SA"/>
    </w:rPr>
  </w:style>
  <w:style w:type="paragraph" w:styleId="1336">
    <w:name w:val="默认段落字体 Para Char Char Char Char"/>
    <w:basedOn w:val="995"/>
    <w:next w:val="1336"/>
    <w:link w:val="995"/>
    <w:qFormat/>
    <w:rPr>
      <w:rFonts w:ascii="Arial" w:hAnsi="Arial" w:cs="Arial"/>
      <w:szCs w:val="21"/>
    </w:rPr>
  </w:style>
  <w:style w:type="paragraph" w:styleId="1337">
    <w:name w:val="样式 宋体 五号 行距: 单倍行距"/>
    <w:basedOn w:val="995"/>
    <w:next w:val="1337"/>
    <w:link w:val="995"/>
    <w:qFormat/>
    <w:pPr>
      <w:jc w:val="left"/>
    </w:pPr>
    <w:rPr>
      <w:rFonts w:ascii="宋体" w:hAnsi="宋体"/>
      <w:szCs w:val="20"/>
    </w:rPr>
  </w:style>
  <w:style w:type="paragraph" w:styleId="1338">
    <w:name w:val="font8"/>
    <w:basedOn w:val="995"/>
    <w:next w:val="1338"/>
    <w:link w:val="995"/>
    <w:qFormat/>
    <w:pPr>
      <w:jc w:val="left"/>
      <w:spacing w:before="100" w:beforeAutospacing="1" w:after="100" w:afterAutospacing="1"/>
      <w:widowControl/>
    </w:pPr>
    <w:rPr>
      <w:sz w:val="36"/>
      <w:szCs w:val="36"/>
    </w:rPr>
  </w:style>
  <w:style w:type="paragraph" w:styleId="1339">
    <w:name w:val="表格文字"/>
    <w:basedOn w:val="1029"/>
    <w:next w:val="1339"/>
    <w:link w:val="995"/>
    <w:qFormat/>
    <w:pPr>
      <w:ind w:firstLine="0"/>
      <w:spacing w:before="20" w:after="20" w:line="240" w:lineRule="auto"/>
    </w:pPr>
    <w:rPr>
      <w:rFonts w:ascii="Century Gothic" w:hAnsi="Century Gothic"/>
      <w:sz w:val="20"/>
      <w:szCs w:val="20"/>
    </w:rPr>
  </w:style>
  <w:style w:type="paragraph" w:styleId="1340">
    <w:name w:val="正文 + 宋体"/>
    <w:basedOn w:val="995"/>
    <w:next w:val="1340"/>
    <w:link w:val="995"/>
    <w:qFormat/>
    <w:pPr>
      <w:ind w:left="360" w:hanging="360"/>
      <w:jc w:val="left"/>
      <w:widowControl/>
    </w:pPr>
    <w:rPr>
      <w:rFonts w:ascii="宋体" w:hAnsi="宋体" w:cs="宋体"/>
      <w:b/>
      <w:bCs/>
      <w:color w:val="000000"/>
      <w:sz w:val="18"/>
      <w:szCs w:val="18"/>
    </w:rPr>
  </w:style>
  <w:style w:type="paragraph" w:styleId="1341">
    <w:name w:val="xl51"/>
    <w:basedOn w:val="995"/>
    <w:next w:val="1341"/>
    <w:link w:val="9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2">
    <w:name w:val="xl26"/>
    <w:basedOn w:val="995"/>
    <w:next w:val="1342"/>
    <w:link w:val="9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43">
    <w:name w:val="Í¼±íÕýÎÄ"/>
    <w:basedOn w:val="995"/>
    <w:next w:val="1010"/>
    <w:link w:val="995"/>
    <w:qFormat/>
    <w:pPr>
      <w:ind w:firstLine="420"/>
    </w:pPr>
    <w:rPr>
      <w:sz w:val="24"/>
      <w:szCs w:val="20"/>
    </w:rPr>
  </w:style>
  <w:style w:type="paragraph" w:styleId="1344">
    <w:name w:val="Char Char Char Char Char Char Char Char Char Char Char Char Char Char Char Char1"/>
    <w:basedOn w:val="995"/>
    <w:next w:val="1344"/>
    <w:link w:val="995"/>
    <w:qFormat/>
    <w:pPr>
      <w:jc w:val="center"/>
      <w:spacing w:after="160" w:line="240" w:lineRule="exact"/>
      <w:widowControl/>
    </w:pPr>
    <w:rPr>
      <w:rFonts w:ascii="宋体" w:hAnsi="宋体"/>
      <w:b/>
      <w:sz w:val="30"/>
      <w:szCs w:val="30"/>
      <w:lang w:eastAsia="en-US"/>
    </w:rPr>
  </w:style>
  <w:style w:type="paragraph" w:styleId="1345">
    <w:name w:val="font6"/>
    <w:basedOn w:val="995"/>
    <w:next w:val="1345"/>
    <w:link w:val="995"/>
    <w:qFormat/>
    <w:pPr>
      <w:jc w:val="left"/>
      <w:spacing w:before="100" w:beforeAutospacing="1" w:after="100" w:afterAutospacing="1"/>
      <w:widowControl/>
    </w:pPr>
    <w:rPr>
      <w:rFonts w:ascii="宋体" w:hAnsi="宋体" w:cs="宋体"/>
      <w:sz w:val="20"/>
      <w:szCs w:val="20"/>
    </w:rPr>
  </w:style>
  <w:style w:type="paragraph" w:styleId="1346">
    <w:name w:val="项目编号2"/>
    <w:basedOn w:val="1347"/>
    <w:next w:val="1346"/>
    <w:link w:val="995"/>
    <w:qFormat/>
    <w:pPr>
      <w:numPr>
        <w:ilvl w:val="0"/>
        <w:numId w:val="8"/>
      </w:numPr>
    </w:pPr>
  </w:style>
  <w:style w:type="paragraph" w:styleId="1347">
    <w:name w:val="项目编号1"/>
    <w:basedOn w:val="995"/>
    <w:next w:val="1347"/>
    <w:link w:val="995"/>
    <w:qFormat/>
    <w:pPr>
      <w:numPr>
        <w:ilvl w:val="0"/>
        <w:numId w:val="7"/>
      </w:numPr>
      <w:spacing w:before="100" w:beforeAutospacing="1" w:after="100" w:afterAutospacing="1" w:line="360" w:lineRule="auto"/>
    </w:pPr>
    <w:rPr>
      <w:sz w:val="24"/>
    </w:rPr>
  </w:style>
  <w:style w:type="paragraph" w:styleId="1348">
    <w:name w:val="正文文本缩进2"/>
    <w:basedOn w:val="995"/>
    <w:next w:val="1348"/>
    <w:link w:val="995"/>
    <w:qFormat/>
    <w:pPr>
      <w:ind w:firstLine="480"/>
      <w:spacing w:line="480" w:lineRule="exact"/>
    </w:pPr>
    <w:rPr>
      <w:rFonts w:ascii="宋体" w:hAnsi="宋体"/>
      <w:sz w:val="24"/>
      <w:lang w:val="zh-CN" w:eastAsia="zh-CN"/>
    </w:rPr>
  </w:style>
  <w:style w:type="paragraph" w:styleId="1349">
    <w:name w:val="xl43"/>
    <w:basedOn w:val="995"/>
    <w:next w:val="1349"/>
    <w:link w:val="9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0">
    <w:name w:val="default"/>
    <w:basedOn w:val="995"/>
    <w:next w:val="1350"/>
    <w:link w:val="995"/>
    <w:qFormat/>
    <w:pPr>
      <w:jc w:val="left"/>
      <w:spacing w:before="100" w:beforeAutospacing="1" w:after="100" w:afterAutospacing="1"/>
      <w:widowControl/>
    </w:pPr>
    <w:rPr>
      <w:rFonts w:ascii="宋体" w:hAnsi="宋体" w:cs="宋体"/>
      <w:sz w:val="24"/>
    </w:rPr>
  </w:style>
  <w:style w:type="paragraph" w:styleId="1351">
    <w:name w:val="Char Char41"/>
    <w:basedOn w:val="995"/>
    <w:next w:val="1351"/>
    <w:link w:val="995"/>
    <w:qFormat/>
    <w:pPr>
      <w:jc w:val="center"/>
      <w:spacing w:line="400" w:lineRule="exact"/>
      <w:widowControl/>
    </w:pPr>
  </w:style>
  <w:style w:type="paragraph" w:styleId="1352">
    <w:name w:val="Char3"/>
    <w:basedOn w:val="995"/>
    <w:next w:val="1352"/>
    <w:link w:val="995"/>
    <w:qFormat/>
    <w:pPr>
      <w:tabs>
        <w:tab w:val="left" w:pos="360" w:leader="none"/>
      </w:tabs>
    </w:pPr>
    <w:rPr>
      <w:sz w:val="24"/>
    </w:rPr>
  </w:style>
  <w:style w:type="paragraph" w:styleId="1353">
    <w:name w:val="xl45"/>
    <w:basedOn w:val="995"/>
    <w:next w:val="1353"/>
    <w:link w:val="9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4">
    <w:name w:val="xl29"/>
    <w:basedOn w:val="995"/>
    <w:next w:val="1354"/>
    <w:link w:val="9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5">
    <w:name w:val="_Style 147"/>
    <w:next w:val="995"/>
    <w:link w:val="995"/>
    <w:uiPriority w:val="99"/>
    <w:unhideWhenUsed/>
    <w:qFormat/>
    <w:pPr>
      <w:jc w:val="both"/>
      <w:widowControl w:val="off"/>
    </w:pPr>
    <w:rPr>
      <w:sz w:val="21"/>
      <w:szCs w:val="24"/>
      <w:lang w:val="en-US" w:eastAsia="zh-CN" w:bidi="ar-SA"/>
    </w:rPr>
  </w:style>
  <w:style w:type="paragraph" w:styleId="1356">
    <w:name w:val="五级条标题"/>
    <w:basedOn w:val="1357"/>
    <w:next w:val="995"/>
    <w:link w:val="995"/>
    <w:qFormat/>
    <w:pPr>
      <w:numPr>
        <w:ilvl w:val="5"/>
        <w:numId w:val="6"/>
      </w:numPr>
      <w:ind w:left="0" w:hanging="840"/>
      <w:tabs>
        <w:tab w:val="left" w:pos="360" w:leader="none"/>
        <w:tab w:val="left" w:pos="840" w:leader="none"/>
      </w:tabs>
      <w:outlineLvl w:val="5"/>
    </w:pPr>
  </w:style>
  <w:style w:type="paragraph" w:styleId="1357">
    <w:name w:val="四级条标题"/>
    <w:basedOn w:val="1358"/>
    <w:next w:val="995"/>
    <w:link w:val="995"/>
    <w:qFormat/>
    <w:pPr>
      <w:numPr>
        <w:ilvl w:val="4"/>
        <w:numId w:val="6"/>
      </w:numPr>
      <w:ind w:left="0" w:hanging="840"/>
      <w:tabs>
        <w:tab w:val="left" w:pos="360" w:leader="none"/>
        <w:tab w:val="left" w:pos="840" w:leader="none"/>
      </w:tabs>
      <w:outlineLvl w:val="4"/>
    </w:pPr>
  </w:style>
  <w:style w:type="paragraph" w:styleId="1358">
    <w:name w:val="三级条标题"/>
    <w:basedOn w:val="1359"/>
    <w:next w:val="995"/>
    <w:link w:val="995"/>
    <w:qFormat/>
    <w:pPr>
      <w:numPr>
        <w:ilvl w:val="3"/>
        <w:numId w:val="6"/>
      </w:numPr>
      <w:ind w:left="0" w:hanging="840"/>
      <w:tabs>
        <w:tab w:val="left" w:pos="360" w:leader="none"/>
        <w:tab w:val="left" w:pos="840" w:leader="none"/>
      </w:tabs>
      <w:outlineLvl w:val="3"/>
    </w:pPr>
  </w:style>
  <w:style w:type="paragraph" w:styleId="1359">
    <w:name w:val="二级条标题"/>
    <w:basedOn w:val="1293"/>
    <w:next w:val="995"/>
    <w:link w:val="995"/>
    <w:qFormat/>
    <w:pPr>
      <w:numPr>
        <w:ilvl w:val="0"/>
        <w:numId w:val="0"/>
      </w:numPr>
      <w:ind w:hanging="840"/>
      <w:tabs>
        <w:tab w:val="left" w:pos="360" w:leader="none"/>
        <w:tab w:val="left" w:pos="840" w:leader="none"/>
      </w:tabs>
      <w:outlineLvl w:val="2"/>
    </w:pPr>
    <w:rPr>
      <w:rFonts w:ascii="宋体" w:eastAsia="宋体"/>
      <w:b w:val="0"/>
    </w:rPr>
  </w:style>
  <w:style w:type="paragraph" w:styleId="1360">
    <w:name w:val="字元 字元2"/>
    <w:basedOn w:val="995"/>
    <w:next w:val="1360"/>
    <w:link w:val="995"/>
    <w:qFormat/>
    <w:rPr>
      <w:rFonts w:ascii="Tahoma" w:hAnsi="Tahoma"/>
      <w:sz w:val="24"/>
      <w:szCs w:val="20"/>
    </w:rPr>
  </w:style>
  <w:style w:type="paragraph" w:styleId="1361">
    <w:name w:val="文档正文"/>
    <w:basedOn w:val="995"/>
    <w:next w:val="1361"/>
    <w:link w:val="995"/>
    <w:qFormat/>
    <w:pPr>
      <w:spacing w:before="120" w:after="120" w:line="180" w:lineRule="auto"/>
    </w:pPr>
    <w:rPr>
      <w:rFonts w:ascii="Arial" w:hAnsi="Arial"/>
      <w:szCs w:val="20"/>
    </w:rPr>
  </w:style>
  <w:style w:type="paragraph" w:styleId="1362">
    <w:name w:val="xl30"/>
    <w:basedOn w:val="995"/>
    <w:next w:val="1362"/>
    <w:link w:val="9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3">
    <w:name w:val="修订11"/>
    <w:next w:val="1363"/>
    <w:link w:val="995"/>
    <w:uiPriority w:val="99"/>
    <w:qFormat/>
    <w:rPr>
      <w:sz w:val="21"/>
      <w:szCs w:val="24"/>
      <w:lang w:val="en-US" w:eastAsia="zh-CN" w:bidi="ar-SA"/>
    </w:rPr>
  </w:style>
  <w:style w:type="paragraph" w:styleId="1364">
    <w:name w:val="xl37"/>
    <w:basedOn w:val="995"/>
    <w:next w:val="1364"/>
    <w:link w:val="9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5">
    <w:name w:val="字元 字元"/>
    <w:basedOn w:val="995"/>
    <w:next w:val="1365"/>
    <w:link w:val="995"/>
    <w:qFormat/>
    <w:rPr>
      <w:rFonts w:ascii="Tahoma" w:hAnsi="Tahoma"/>
      <w:sz w:val="24"/>
      <w:szCs w:val="20"/>
    </w:rPr>
  </w:style>
  <w:style w:type="paragraph" w:styleId="1366">
    <w:name w:val="Char Char Char Char Char Char Char"/>
    <w:basedOn w:val="995"/>
    <w:next w:val="1366"/>
    <w:link w:val="995"/>
    <w:qFormat/>
    <w:pPr>
      <w:ind w:firstLine="200"/>
      <w:spacing w:line="360" w:lineRule="auto"/>
    </w:pPr>
    <w:rPr>
      <w:rFonts w:eastAsia="仿宋_GB2312"/>
      <w:sz w:val="24"/>
    </w:rPr>
  </w:style>
  <w:style w:type="paragraph" w:styleId="1367">
    <w:name w:val="Char"/>
    <w:basedOn w:val="995"/>
    <w:next w:val="1367"/>
    <w:link w:val="995"/>
    <w:qFormat/>
    <w:pPr>
      <w:tabs>
        <w:tab w:val="left" w:pos="360" w:leader="none"/>
      </w:tabs>
    </w:pPr>
    <w:rPr>
      <w:sz w:val="24"/>
    </w:rPr>
  </w:style>
  <w:style w:type="paragraph" w:styleId="1368">
    <w:name w:val="xl31"/>
    <w:basedOn w:val="995"/>
    <w:next w:val="1368"/>
    <w:link w:val="9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9">
    <w:name w:val="附言"/>
    <w:basedOn w:val="995"/>
    <w:next w:val="995"/>
    <w:link w:val="995"/>
    <w:pPr>
      <w:jc w:val="center"/>
    </w:pPr>
    <w:rPr>
      <w:rFonts w:ascii="宋体" w:hAnsi="宋体"/>
    </w:rPr>
  </w:style>
  <w:style w:type="paragraph" w:styleId="1370">
    <w:name w:val="图例"/>
    <w:basedOn w:val="995"/>
    <w:next w:val="1370"/>
    <w:link w:val="995"/>
    <w:qFormat/>
    <w:pPr>
      <w:jc w:val="center"/>
      <w:spacing w:before="120" w:after="120" w:line="360" w:lineRule="auto"/>
    </w:pPr>
    <w:rPr>
      <w:rFonts w:eastAsia="仿宋_GB2312"/>
      <w:b/>
      <w:sz w:val="24"/>
      <w:szCs w:val="20"/>
    </w:rPr>
  </w:style>
  <w:style w:type="paragraph" w:styleId="1371">
    <w:name w:val="xl40"/>
    <w:basedOn w:val="995"/>
    <w:next w:val="1371"/>
    <w:link w:val="9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2">
    <w:name w:val="background1"/>
    <w:basedOn w:val="995"/>
    <w:next w:val="1372"/>
    <w:link w:val="995"/>
    <w:qFormat/>
    <w:pPr>
      <w:jc w:val="left"/>
      <w:spacing w:before="100" w:beforeAutospacing="1" w:after="100" w:afterAutospacing="1"/>
      <w:widowControl/>
    </w:pPr>
    <w:rPr>
      <w:rFonts w:ascii="宋体" w:hAnsi="宋体" w:cs="宋体"/>
      <w:sz w:val="24"/>
    </w:rPr>
  </w:style>
  <w:style w:type="paragraph" w:styleId="1373">
    <w:name w:val="无标题条"/>
    <w:next w:val="995"/>
    <w:link w:val="995"/>
    <w:qFormat/>
    <w:pPr>
      <w:jc w:val="both"/>
    </w:pPr>
    <w:rPr>
      <w:sz w:val="21"/>
      <w:lang w:val="en-US" w:eastAsia="zh-CN" w:bidi="ar-SA"/>
    </w:rPr>
  </w:style>
  <w:style w:type="paragraph" w:styleId="1374">
    <w:name w:val="xl47"/>
    <w:basedOn w:val="995"/>
    <w:next w:val="1374"/>
    <w:link w:val="9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5">
    <w:name w:val="xl32"/>
    <w:basedOn w:val="995"/>
    <w:next w:val="1375"/>
    <w:link w:val="9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6">
    <w:name w:val="表格侧编号"/>
    <w:next w:val="995"/>
    <w:link w:val="995"/>
    <w:qFormat/>
    <w:pPr>
      <w:jc w:val="center"/>
      <w:widowControl w:val="off"/>
      <w:tabs>
        <w:tab w:val="left" w:pos="314" w:leader="none"/>
      </w:tabs>
    </w:pPr>
    <w:rPr>
      <w:rFonts w:ascii="宋体" w:hAnsi="宋体"/>
      <w:bCs/>
      <w:color w:val="000000"/>
      <w:sz w:val="30"/>
      <w:szCs w:val="30"/>
      <w:lang w:val="en-US" w:eastAsia="zh-CN" w:bidi="ar-SA"/>
    </w:rPr>
  </w:style>
  <w:style w:type="paragraph" w:styleId="1377">
    <w:name w:val="font7"/>
    <w:basedOn w:val="995"/>
    <w:next w:val="1377"/>
    <w:link w:val="995"/>
    <w:qFormat/>
    <w:pPr>
      <w:jc w:val="left"/>
      <w:spacing w:before="100" w:beforeAutospacing="1" w:after="100" w:afterAutospacing="1"/>
      <w:widowControl/>
    </w:pPr>
    <w:rPr>
      <w:rFonts w:eastAsia="Arial Unicode MS"/>
      <w:b/>
      <w:bCs/>
      <w:color w:val="000000"/>
      <w:sz w:val="20"/>
      <w:szCs w:val="20"/>
    </w:rPr>
  </w:style>
  <w:style w:type="paragraph" w:styleId="1378">
    <w:name w:val="Char Char Char Char Char Char Char2"/>
    <w:basedOn w:val="995"/>
    <w:next w:val="1378"/>
    <w:link w:val="995"/>
    <w:qFormat/>
    <w:pPr>
      <w:ind w:firstLine="200"/>
      <w:spacing w:line="360" w:lineRule="auto"/>
    </w:pPr>
    <w:rPr>
      <w:rFonts w:eastAsia="仿宋_GB2312"/>
      <w:sz w:val="24"/>
    </w:rPr>
  </w:style>
  <w:style w:type="paragraph" w:styleId="1379">
    <w:name w:val="xl38"/>
    <w:basedOn w:val="995"/>
    <w:next w:val="1379"/>
    <w:link w:val="9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80">
    <w:name w:val="font9"/>
    <w:basedOn w:val="995"/>
    <w:next w:val="1380"/>
    <w:link w:val="995"/>
    <w:qFormat/>
    <w:pPr>
      <w:jc w:val="left"/>
      <w:spacing w:before="100" w:beforeAutospacing="1" w:after="100" w:afterAutospacing="1"/>
      <w:widowControl/>
    </w:pPr>
    <w:rPr>
      <w:rFonts w:hint="eastAsia" w:ascii="宋体" w:hAnsi="宋体" w:cs="Arial Unicode MS"/>
      <w:color w:val="000000"/>
      <w:sz w:val="20"/>
      <w:szCs w:val="20"/>
    </w:rPr>
  </w:style>
  <w:style w:type="paragraph" w:styleId="1381">
    <w:name w:val="默认段落字体 Para Char Char Char Char Char Char Char Char Char1 Char Char Char Char Char Char Char"/>
    <w:basedOn w:val="1021"/>
    <w:next w:val="1381"/>
    <w:link w:val="995"/>
    <w:rPr>
      <w:rFonts w:ascii="Tahoma" w:hAnsi="Tahoma"/>
      <w:sz w:val="24"/>
    </w:rPr>
  </w:style>
  <w:style w:type="paragraph" w:styleId="1382">
    <w:name w:val="正文缩进2"/>
    <w:basedOn w:val="995"/>
    <w:next w:val="1382"/>
    <w:link w:val="995"/>
    <w:qFormat/>
    <w:pPr>
      <w:ind w:firstLine="567"/>
      <w:spacing w:line="480" w:lineRule="exact"/>
      <w:widowControl/>
    </w:pPr>
    <w:rPr>
      <w:rFonts w:ascii="宋体"/>
      <w:color w:val="000000"/>
      <w:sz w:val="28"/>
      <w:szCs w:val="20"/>
      <w:lang w:val="zh-CN" w:eastAsia="zh-CN"/>
    </w:rPr>
  </w:style>
  <w:style w:type="paragraph" w:styleId="1383">
    <w:name w:val="xl27"/>
    <w:basedOn w:val="995"/>
    <w:next w:val="1383"/>
    <w:link w:val="9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4">
    <w:name w:val="列出段落3"/>
    <w:basedOn w:val="995"/>
    <w:next w:val="1384"/>
    <w:link w:val="995"/>
    <w:uiPriority w:val="34"/>
    <w:qFormat/>
    <w:pPr>
      <w:ind w:left="420" w:hanging="420"/>
      <w:tabs>
        <w:tab w:val="left" w:pos="425" w:leader="none"/>
      </w:tabs>
    </w:pPr>
  </w:style>
  <w:style w:type="paragraph" w:styleId="1385">
    <w:name w:val="标题1-附件"/>
    <w:basedOn w:val="996"/>
    <w:next w:val="1385"/>
    <w:link w:val="995"/>
    <w:qFormat/>
    <w:pPr>
      <w:jc w:val="left"/>
    </w:pPr>
    <w:rPr>
      <w:sz w:val="24"/>
      <w:szCs w:val="24"/>
    </w:rPr>
  </w:style>
  <w:style w:type="paragraph" w:styleId="1386">
    <w:name w:val="cjk"/>
    <w:basedOn w:val="995"/>
    <w:next w:val="1386"/>
    <w:link w:val="995"/>
    <w:pPr>
      <w:spacing w:before="100" w:beforeAutospacing="1" w:after="119"/>
      <w:widowControl/>
    </w:pPr>
    <w:rPr>
      <w:rFonts w:ascii="宋体" w:hAnsi="宋体" w:cs="宋体"/>
      <w:color w:val="000000"/>
      <w:sz w:val="28"/>
      <w:szCs w:val="28"/>
    </w:rPr>
  </w:style>
  <w:style w:type="paragraph" w:styleId="1387">
    <w:name w:val="Char Char Char1"/>
    <w:basedOn w:val="995"/>
    <w:next w:val="1387"/>
    <w:link w:val="995"/>
    <w:qFormat/>
    <w:rPr>
      <w:rFonts w:ascii="Tahoma" w:hAnsi="Tahoma"/>
      <w:sz w:val="24"/>
      <w:szCs w:val="20"/>
    </w:rPr>
  </w:style>
  <w:style w:type="paragraph" w:styleId="1388">
    <w:name w:val="xl39"/>
    <w:basedOn w:val="995"/>
    <w:next w:val="1388"/>
    <w:link w:val="9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9">
    <w:name w:val="dbchf15cgrid sbasedon0 s"/>
    <w:next w:val="1389"/>
    <w:link w:val="995"/>
    <w:qFormat/>
    <w:pPr>
      <w:jc w:val="both"/>
      <w:widowControl w:val="off"/>
    </w:pPr>
    <w:rPr>
      <w:rFonts w:ascii="宋体"/>
      <w:spacing w:val="5"/>
      <w:sz w:val="21"/>
      <w:lang w:val="en-US" w:eastAsia="zh-CN" w:bidi="ar-SA"/>
    </w:rPr>
  </w:style>
  <w:style w:type="paragraph" w:styleId="1390">
    <w:name w:val="样式 标题 2 + 宋体 五号 行距: 单倍行距"/>
    <w:basedOn w:val="997"/>
    <w:next w:val="1390"/>
    <w:link w:val="995"/>
    <w:qFormat/>
    <w:pPr>
      <w:numPr>
        <w:ilvl w:val="1"/>
        <w:numId w:val="9"/>
      </w:numPr>
      <w:jc w:val="left"/>
      <w:spacing w:before="260" w:after="260" w:line="240" w:lineRule="auto"/>
      <w:tabs>
        <w:tab w:val="left" w:pos="1188" w:leader="none"/>
      </w:tabs>
    </w:pPr>
    <w:rPr>
      <w:rFonts w:ascii="宋体" w:hAnsi="宋体" w:eastAsia="宋体"/>
      <w:bCs/>
      <w:sz w:val="21"/>
    </w:rPr>
  </w:style>
  <w:style w:type="paragraph" w:styleId="1391">
    <w:name w:val="Char Char1"/>
    <w:basedOn w:val="1021"/>
    <w:next w:val="1391"/>
    <w:link w:val="995"/>
    <w:qFormat/>
    <w:rPr>
      <w:rFonts w:ascii="Tahoma" w:hAnsi="Tahoma"/>
      <w:sz w:val="24"/>
    </w:rPr>
  </w:style>
  <w:style w:type="table" w:styleId="1392">
    <w:name w:val="Table Normal"/>
    <w:next w:val="1392"/>
    <w:link w:val="995"/>
    <w:uiPriority w:val="2"/>
    <w:unhideWhenUsed/>
    <w:qFormat/>
    <w:pPr>
      <w:widowControl w:val="off"/>
    </w:pPr>
    <w:rPr>
      <w:rFonts w:ascii="Calibri" w:hAnsi="Calibri"/>
      <w:sz w:val="22"/>
      <w:szCs w:val="22"/>
      <w:lang w:val="en-US" w:eastAsia="en-US" w:bidi="ar-SA"/>
    </w:rPr>
    <w:tblPr/>
  </w:style>
  <w:style w:type="paragraph" w:styleId="1393">
    <w:name w:val="ds-markdown-paragraph"/>
    <w:basedOn w:val="995"/>
    <w:next w:val="1393"/>
    <w:link w:val="995"/>
    <w:qFormat/>
    <w:pPr>
      <w:jc w:val="left"/>
      <w:spacing w:before="100" w:beforeAutospacing="1" w:after="100" w:afterAutospacing="1"/>
      <w:widowControl/>
    </w:pPr>
    <w:rPr>
      <w:rFonts w:ascii="宋体" w:hAnsi="宋体" w:cs="宋体"/>
      <w:sz w:val="24"/>
      <w:szCs w:val="21"/>
    </w:rPr>
  </w:style>
  <w:style w:type="paragraph" w:styleId="1394">
    <w:name w:val="纯文本11"/>
    <w:basedOn w:val="995"/>
    <w:next w:val="1394"/>
    <w:link w:val="995"/>
    <w:uiPriority w:val="99"/>
    <w:qFormat/>
    <w:rPr>
      <w:rFonts w:hint="eastAsia" w:ascii="宋体" w:hAnsi="Courier New"/>
      <w:szCs w:val="20"/>
    </w:rPr>
  </w:style>
  <w:style w:type="character" w:styleId="1395" w:default="1">
    <w:name w:val="Default Paragraph Font"/>
    <w:uiPriority w:val="1"/>
    <w:semiHidden/>
    <w:unhideWhenUsed/>
  </w:style>
  <w:style w:type="numbering" w:styleId="1396" w:default="1">
    <w:name w:val="No List"/>
    <w:uiPriority w:val="99"/>
    <w:semiHidden/>
    <w:unhideWhenUsed/>
  </w:style>
  <w:style w:type="table" w:styleId="13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6</cp:revision>
  <dcterms:created xsi:type="dcterms:W3CDTF">2026-08-04T05:18:00Z</dcterms:created>
  <dcterms:modified xsi:type="dcterms:W3CDTF">2026-08-05T03:03:51Z</dcterms:modified>
</cp:coreProperties>
</file>