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02291E">
      <w:pPr>
        <w:pStyle w:val="8"/>
        <w:widowControl/>
        <w:rPr>
          <w:color w:val="000000"/>
          <w:highlight w:val="none"/>
        </w:rPr>
      </w:pPr>
      <w:r>
        <w:rPr>
          <w:rFonts w:hint="eastAsia"/>
          <w:color w:val="000000"/>
          <w:highlight w:val="none"/>
          <w:lang w:eastAsia="zh-CN"/>
        </w:rPr>
        <w:t>南京医科大学常州校区物业服务项目</w:t>
      </w:r>
      <w:r>
        <w:rPr>
          <w:color w:val="000000"/>
          <w:highlight w:val="none"/>
        </w:rPr>
        <w:t>合同</w:t>
      </w:r>
    </w:p>
    <w:p w14:paraId="1F4FB092">
      <w:pPr>
        <w:pStyle w:val="8"/>
        <w:widowControl/>
        <w:jc w:val="left"/>
        <w:rPr>
          <w:rFonts w:hint="eastAsia" w:ascii="宋体" w:hAnsi="宋体" w:eastAsia="宋体" w:cs="宋体"/>
          <w:b/>
          <w:color w:val="000000"/>
          <w:sz w:val="24"/>
          <w:szCs w:val="24"/>
          <w:highlight w:val="none"/>
          <w:lang w:val="en-US" w:eastAsia="zh-CN"/>
        </w:rPr>
      </w:pPr>
      <w:r>
        <w:rPr>
          <w:rFonts w:hint="eastAsia" w:ascii="宋体" w:hAnsi="宋体" w:eastAsia="宋体" w:cs="宋体"/>
          <w:b/>
          <w:color w:val="000000"/>
          <w:sz w:val="24"/>
          <w:szCs w:val="24"/>
          <w:highlight w:val="none"/>
        </w:rPr>
        <w:t>甲方：</w:t>
      </w:r>
      <w:r>
        <w:rPr>
          <w:rFonts w:hint="eastAsia" w:ascii="宋体" w:hAnsi="宋体" w:eastAsia="宋体" w:cs="宋体"/>
          <w:b/>
          <w:color w:val="000000"/>
          <w:sz w:val="24"/>
          <w:szCs w:val="24"/>
          <w:highlight w:val="none"/>
          <w:lang w:val="en-US" w:eastAsia="zh-CN" w:bidi="ar-SA"/>
        </w:rPr>
        <w:t>南京医科大学</w:t>
      </w:r>
    </w:p>
    <w:p w14:paraId="593A5EBA">
      <w:pPr>
        <w:spacing w:line="440" w:lineRule="exact"/>
        <w:rPr>
          <w:rFonts w:hint="default" w:ascii="宋体" w:hAnsi="宋体" w:eastAsia="宋体" w:cs="宋体"/>
          <w:b/>
          <w:color w:val="000000"/>
          <w:sz w:val="24"/>
          <w:szCs w:val="24"/>
          <w:highlight w:val="none"/>
          <w:lang w:val="en-US" w:eastAsia="zh-CN"/>
        </w:rPr>
      </w:pPr>
      <w:r>
        <w:rPr>
          <w:rFonts w:hint="eastAsia" w:ascii="宋体" w:hAnsi="宋体" w:eastAsia="宋体" w:cs="宋体"/>
          <w:b/>
          <w:color w:val="000000"/>
          <w:sz w:val="24"/>
          <w:szCs w:val="24"/>
          <w:highlight w:val="none"/>
        </w:rPr>
        <w:t>乙方：</w:t>
      </w:r>
      <w:r>
        <w:rPr>
          <w:rFonts w:hint="eastAsia" w:ascii="宋体" w:hAnsi="宋体" w:cs="宋体"/>
          <w:b/>
          <w:color w:val="000000"/>
          <w:sz w:val="24"/>
          <w:szCs w:val="24"/>
          <w:highlight w:val="none"/>
          <w:lang w:val="en-US" w:eastAsia="zh-CN"/>
        </w:rPr>
        <w:t>东吴服务产业集团（江苏）有限公司</w:t>
      </w:r>
    </w:p>
    <w:p w14:paraId="167C827F">
      <w:pPr>
        <w:rPr>
          <w:rFonts w:hint="eastAsia" w:ascii="宋体" w:hAnsi="宋体" w:eastAsia="宋体" w:cs="宋体"/>
          <w:color w:val="000000"/>
          <w:sz w:val="24"/>
          <w:szCs w:val="24"/>
          <w:highlight w:val="none"/>
        </w:rPr>
      </w:pPr>
    </w:p>
    <w:p w14:paraId="3C2291C7">
      <w:pPr>
        <w:pStyle w:val="9"/>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根据《中华人民共和国民法典》《物业管理条例》《江苏省物业管理条例》和物业管理相关</w:t>
      </w:r>
      <w:r>
        <w:rPr>
          <w:rFonts w:hint="eastAsia" w:ascii="宋体" w:hAnsi="宋体" w:eastAsia="宋体" w:cs="宋体"/>
          <w:color w:val="000000"/>
          <w:sz w:val="24"/>
          <w:szCs w:val="24"/>
          <w:highlight w:val="none"/>
          <w:lang w:eastAsia="zh-CN"/>
        </w:rPr>
        <w:t>法律法规</w:t>
      </w:r>
      <w:r>
        <w:rPr>
          <w:rFonts w:hint="eastAsia" w:ascii="宋体" w:hAnsi="宋体" w:eastAsia="宋体" w:cs="宋体"/>
          <w:color w:val="000000"/>
          <w:sz w:val="24"/>
          <w:szCs w:val="24"/>
          <w:highlight w:val="none"/>
        </w:rPr>
        <w:t>及政策精神，在自愿、平等、协商一致的基础上，甲方南京医科大学委托乙方进行常州校区物业管理，特制定本合同。</w:t>
      </w:r>
    </w:p>
    <w:p w14:paraId="67A5C590">
      <w:pPr>
        <w:pStyle w:val="9"/>
        <w:numPr>
          <w:ilvl w:val="0"/>
          <w:numId w:val="0"/>
        </w:numPr>
        <w:tabs>
          <w:tab w:val="left" w:pos="1324"/>
        </w:tabs>
        <w:ind w:firstLine="482"/>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lang w:val="en-US" w:eastAsia="zh-CN" w:bidi="ar-SA"/>
        </w:rPr>
        <w:t>第一条</w:t>
      </w:r>
      <w:r>
        <w:rPr>
          <w:rFonts w:hint="eastAsia" w:ascii="宋体" w:hAnsi="宋体" w:eastAsia="宋体" w:cs="宋体"/>
          <w:b/>
          <w:color w:val="000000"/>
          <w:sz w:val="24"/>
          <w:szCs w:val="24"/>
          <w:highlight w:val="none"/>
        </w:rPr>
        <w:t>委托物业管理期限</w:t>
      </w:r>
    </w:p>
    <w:p w14:paraId="4BB51DBF">
      <w:pPr>
        <w:spacing w:line="440" w:lineRule="exact"/>
        <w:ind w:firstLine="48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本协议委托期限为</w:t>
      </w:r>
      <w:r>
        <w:rPr>
          <w:rFonts w:hint="eastAsia" w:ascii="宋体" w:hAnsi="宋体" w:eastAsia="宋体" w:cs="宋体"/>
          <w:color w:val="000000"/>
          <w:sz w:val="24"/>
          <w:szCs w:val="24"/>
          <w:highlight w:val="none"/>
          <w:u w:val="single"/>
          <w:lang w:val="en-US" w:eastAsia="zh-CN"/>
        </w:rPr>
        <w:t>一</w:t>
      </w:r>
      <w:r>
        <w:rPr>
          <w:rFonts w:hint="eastAsia" w:ascii="宋体" w:hAnsi="宋体" w:eastAsia="宋体" w:cs="宋体"/>
          <w:color w:val="000000"/>
          <w:sz w:val="24"/>
          <w:szCs w:val="24"/>
          <w:highlight w:val="none"/>
          <w:lang w:eastAsia="zh-CN"/>
        </w:rPr>
        <w:t>年，实际费用以进场日期开始计算，并按实结算。委托期限到期，协议自然终止。乙方在委托期限内不得向第三方转委托，否则甲方有权解除协议，如造成甲方损失的乙方应进行赔偿全部损失。</w:t>
      </w:r>
    </w:p>
    <w:p w14:paraId="7F9DE65D">
      <w:pPr>
        <w:pStyle w:val="9"/>
        <w:numPr>
          <w:ilvl w:val="0"/>
          <w:numId w:val="0"/>
        </w:numPr>
        <w:tabs>
          <w:tab w:val="left" w:pos="1324"/>
        </w:tabs>
        <w:ind w:firstLine="482"/>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lang w:val="en-US" w:eastAsia="zh-CN" w:bidi="ar-SA"/>
        </w:rPr>
        <w:t>第二条</w:t>
      </w:r>
      <w:r>
        <w:rPr>
          <w:rFonts w:hint="eastAsia" w:ascii="宋体" w:hAnsi="宋体" w:eastAsia="宋体" w:cs="宋体"/>
          <w:b/>
          <w:color w:val="000000"/>
          <w:sz w:val="24"/>
          <w:szCs w:val="24"/>
          <w:highlight w:val="none"/>
        </w:rPr>
        <w:t>合同总金额</w:t>
      </w:r>
    </w:p>
    <w:p w14:paraId="474C477E">
      <w:pPr>
        <w:spacing w:line="360" w:lineRule="auto"/>
        <w:ind w:firstLine="490"/>
        <w:rPr>
          <w:rFonts w:hint="eastAsia" w:ascii="宋体" w:hAnsi="宋体" w:eastAsia="宋体" w:cs="宋体"/>
          <w:color w:val="000000"/>
          <w:sz w:val="24"/>
          <w:szCs w:val="24"/>
          <w:highlight w:val="none"/>
          <w:lang w:eastAsia="zh-CN"/>
        </w:rPr>
      </w:pPr>
      <w:bookmarkStart w:id="0" w:name="_Toc14152"/>
      <w:bookmarkStart w:id="1" w:name="_Toc2961"/>
      <w:bookmarkStart w:id="2" w:name="_Toc28217"/>
      <w:bookmarkStart w:id="3" w:name="_Toc12499"/>
      <w:bookmarkStart w:id="4" w:name="_Toc21265"/>
      <w:bookmarkStart w:id="5" w:name="_Toc17966"/>
      <w:r>
        <w:rPr>
          <w:rFonts w:hint="eastAsia" w:ascii="宋体" w:hAnsi="宋体" w:eastAsia="宋体" w:cs="宋体"/>
          <w:color w:val="000000"/>
          <w:sz w:val="24"/>
          <w:szCs w:val="24"/>
          <w:highlight w:val="none"/>
          <w:lang w:eastAsia="zh-CN"/>
        </w:rPr>
        <w:t>1、物业管</w:t>
      </w:r>
      <w:r>
        <w:rPr>
          <w:rFonts w:hint="eastAsia" w:ascii="宋体" w:hAnsi="宋体" w:eastAsia="宋体" w:cs="宋体"/>
          <w:color w:val="000000"/>
          <w:sz w:val="24"/>
          <w:szCs w:val="24"/>
          <w:highlight w:val="none"/>
          <w:lang w:val="en-US" w:eastAsia="zh-CN"/>
        </w:rPr>
        <w:t>理总费用为</w:t>
      </w:r>
      <w:r>
        <w:rPr>
          <w:rFonts w:hint="eastAsia" w:ascii="宋体" w:hAnsi="宋体" w:eastAsia="宋体" w:cs="宋体"/>
          <w:color w:val="000000"/>
          <w:sz w:val="24"/>
          <w:szCs w:val="24"/>
          <w:highlight w:val="none"/>
          <w:lang w:eastAsia="zh-CN"/>
        </w:rPr>
        <w:t>壹佰柒拾玖万陆仟玖佰柒拾玖元捌角肆分</w:t>
      </w: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u w:val="single"/>
          <w:lang w:val="en-US" w:eastAsia="zh-CN"/>
        </w:rPr>
        <w:t>￥1796</w:t>
      </w:r>
      <w:r>
        <w:rPr>
          <w:rFonts w:hint="eastAsia" w:ascii="宋体" w:hAnsi="宋体" w:cs="宋体"/>
          <w:color w:val="000000"/>
          <w:sz w:val="24"/>
          <w:szCs w:val="24"/>
          <w:highlight w:val="none"/>
          <w:u w:val="single"/>
          <w:lang w:val="en-US" w:eastAsia="zh-CN"/>
        </w:rPr>
        <w:t>979.84</w:t>
      </w:r>
      <w:r>
        <w:rPr>
          <w:rFonts w:hint="eastAsia" w:ascii="宋体" w:hAnsi="宋体" w:eastAsia="宋体" w:cs="宋体"/>
          <w:color w:val="000000"/>
          <w:sz w:val="24"/>
          <w:szCs w:val="24"/>
          <w:highlight w:val="none"/>
          <w:lang w:eastAsia="zh-CN"/>
        </w:rPr>
        <w:t>元/年）。此项费用包括但不仅限于人员工资、相关保险、服装费、通讯费、各类消耗品费、设施设备、物业必备工具、保洁、利润及税金费等由于所委托的物业管理服务产生的全部费用。以上人员</w:t>
      </w:r>
      <w:r>
        <w:rPr>
          <w:rFonts w:hint="eastAsia" w:ascii="宋体" w:hAnsi="宋体" w:eastAsia="宋体" w:cs="宋体"/>
          <w:color w:val="000000"/>
          <w:sz w:val="24"/>
          <w:szCs w:val="24"/>
          <w:highlight w:val="none"/>
          <w:lang w:val="en-US" w:eastAsia="zh-CN"/>
        </w:rPr>
        <w:t>费用</w:t>
      </w:r>
      <w:r>
        <w:rPr>
          <w:rFonts w:hint="eastAsia" w:ascii="宋体" w:hAnsi="宋体" w:eastAsia="宋体" w:cs="宋体"/>
          <w:color w:val="000000"/>
          <w:sz w:val="24"/>
          <w:szCs w:val="24"/>
          <w:highlight w:val="none"/>
          <w:lang w:eastAsia="zh-CN"/>
        </w:rPr>
        <w:t>为</w:t>
      </w:r>
      <w:r>
        <w:rPr>
          <w:rFonts w:hint="eastAsia" w:ascii="宋体" w:hAnsi="宋体" w:eastAsia="宋体" w:cs="宋体"/>
          <w:color w:val="000000"/>
          <w:sz w:val="24"/>
          <w:szCs w:val="24"/>
          <w:highlight w:val="none"/>
          <w:lang w:val="en-US" w:eastAsia="zh-CN"/>
        </w:rPr>
        <w:t>所委托</w:t>
      </w:r>
      <w:r>
        <w:rPr>
          <w:rFonts w:hint="eastAsia" w:ascii="宋体" w:hAnsi="宋体" w:eastAsia="宋体" w:cs="宋体"/>
          <w:color w:val="000000"/>
          <w:sz w:val="24"/>
          <w:szCs w:val="24"/>
          <w:highlight w:val="none"/>
          <w:lang w:eastAsia="zh-CN"/>
        </w:rPr>
        <w:t>项目</w:t>
      </w:r>
      <w:r>
        <w:rPr>
          <w:rFonts w:hint="eastAsia" w:ascii="宋体" w:hAnsi="宋体" w:eastAsia="宋体" w:cs="宋体"/>
          <w:color w:val="000000"/>
          <w:sz w:val="24"/>
          <w:szCs w:val="24"/>
          <w:highlight w:val="none"/>
          <w:lang w:val="en-US" w:eastAsia="zh-CN"/>
        </w:rPr>
        <w:t>全部正常</w:t>
      </w:r>
      <w:r>
        <w:rPr>
          <w:rFonts w:hint="eastAsia" w:ascii="宋体" w:hAnsi="宋体" w:eastAsia="宋体" w:cs="宋体"/>
          <w:color w:val="000000"/>
          <w:sz w:val="24"/>
          <w:szCs w:val="24"/>
          <w:highlight w:val="none"/>
          <w:lang w:eastAsia="zh-CN"/>
        </w:rPr>
        <w:t>运行情况下人员</w:t>
      </w:r>
      <w:r>
        <w:rPr>
          <w:rFonts w:hint="eastAsia" w:ascii="宋体" w:hAnsi="宋体" w:eastAsia="宋体" w:cs="宋体"/>
          <w:color w:val="000000"/>
          <w:sz w:val="24"/>
          <w:szCs w:val="24"/>
          <w:highlight w:val="none"/>
          <w:lang w:val="en-US" w:eastAsia="zh-CN"/>
        </w:rPr>
        <w:t>费用</w:t>
      </w:r>
      <w:r>
        <w:rPr>
          <w:rFonts w:hint="eastAsia" w:ascii="宋体" w:hAnsi="宋体" w:eastAsia="宋体" w:cs="宋体"/>
          <w:color w:val="000000"/>
          <w:sz w:val="24"/>
          <w:szCs w:val="24"/>
          <w:highlight w:val="none"/>
          <w:lang w:eastAsia="zh-CN"/>
        </w:rPr>
        <w:t>，未启用的楼宇或楼层或相关服务可根据配备的各类岗位人数和人员综合单价核算据实减少物业服务费用</w:t>
      </w:r>
      <w:r>
        <w:rPr>
          <w:rFonts w:hint="eastAsia" w:ascii="宋体" w:hAnsi="宋体" w:eastAsia="宋体" w:cs="宋体"/>
          <w:color w:val="000000"/>
          <w:sz w:val="24"/>
          <w:szCs w:val="24"/>
          <w:highlight w:val="none"/>
          <w:lang w:val="en-US" w:eastAsia="zh-CN"/>
        </w:rPr>
        <w:t>支付。</w:t>
      </w:r>
      <w:bookmarkEnd w:id="0"/>
      <w:bookmarkEnd w:id="1"/>
      <w:bookmarkEnd w:id="2"/>
      <w:bookmarkEnd w:id="3"/>
      <w:bookmarkEnd w:id="4"/>
      <w:bookmarkEnd w:id="5"/>
    </w:p>
    <w:p w14:paraId="5602493F">
      <w:pPr>
        <w:spacing w:line="360" w:lineRule="auto"/>
        <w:ind w:firstLine="49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2、支付方式：</w:t>
      </w:r>
    </w:p>
    <w:p w14:paraId="6262DA2A">
      <w:pPr>
        <w:spacing w:line="360" w:lineRule="auto"/>
        <w:ind w:firstLine="49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2.1每三个月（每季</w:t>
      </w:r>
      <w:r>
        <w:rPr>
          <w:rFonts w:hint="eastAsia" w:ascii="宋体" w:hAnsi="宋体" w:cs="宋体"/>
          <w:color w:val="000000"/>
          <w:sz w:val="24"/>
          <w:szCs w:val="24"/>
          <w:highlight w:val="none"/>
          <w:lang w:val="en-US" w:eastAsia="zh-CN"/>
        </w:rPr>
        <w:t>度</w:t>
      </w:r>
      <w:r>
        <w:rPr>
          <w:rFonts w:hint="eastAsia" w:ascii="宋体" w:hAnsi="宋体" w:eastAsia="宋体" w:cs="宋体"/>
          <w:color w:val="000000"/>
          <w:sz w:val="24"/>
          <w:szCs w:val="24"/>
          <w:highlight w:val="none"/>
          <w:lang w:eastAsia="zh-CN"/>
        </w:rPr>
        <w:t>）经考核支付一次，季度考核分值达85分（含）以上为合格，按合同支付当季合同款，季度考核分值低于85分为不合格，每低一分扣除当季合同款的1％。一年共计支付四次。</w:t>
      </w:r>
    </w:p>
    <w:p w14:paraId="5942D6E9">
      <w:pPr>
        <w:spacing w:line="360" w:lineRule="auto"/>
        <w:ind w:firstLine="49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若因财务管理或者国库封账等需要延后的，则延期支付，具体支付时间以财务部门开账时间为准，乙方应当予以充分理解。每季度应付款项由乙方提出书面付款申请，并提供合规的发票后，经甲方审核批准后十五个工作日内，付清前季度应付款项（遇节假日顺延）。</w:t>
      </w:r>
    </w:p>
    <w:p w14:paraId="3B670781">
      <w:pPr>
        <w:spacing w:line="360" w:lineRule="auto"/>
        <w:ind w:firstLine="49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2.2上述服务费用的支付方式为汇款，乙方指定收款账户信息见合同签署页。乙方应当保证收款账户正确且有效，如因乙方收款账户异常、变动等原因，导致甲方汇款不能到账或逾期到账或汇款错误，不视为甲方违约。由此产生的损失由乙方自行承担。</w:t>
      </w:r>
    </w:p>
    <w:p w14:paraId="43C9E5D3">
      <w:pPr>
        <w:spacing w:line="360" w:lineRule="auto"/>
        <w:ind w:firstLine="49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2.3甲方付款前由乙方开具等额合规的增值税发票，甲方收到该发票后按上述约定的付款金额和时间安排付款。否则甲方有权暂不付款，而不视为违约。因乙方开具的发票不合规造成甲方损失的，由乙方承担赔偿责任。甲方开票信息见合同签署页。</w:t>
      </w:r>
    </w:p>
    <w:p w14:paraId="0BAE7F15">
      <w:pPr>
        <w:pStyle w:val="9"/>
        <w:numPr>
          <w:ilvl w:val="0"/>
          <w:numId w:val="0"/>
        </w:numPr>
        <w:tabs>
          <w:tab w:val="left" w:pos="1324"/>
        </w:tabs>
        <w:ind w:firstLine="482"/>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lang w:val="en-US" w:eastAsia="zh-CN" w:bidi="ar-SA"/>
        </w:rPr>
        <w:t>第三条</w:t>
      </w:r>
      <w:r>
        <w:rPr>
          <w:rFonts w:hint="eastAsia" w:ascii="宋体" w:hAnsi="宋体" w:eastAsia="宋体" w:cs="宋体"/>
          <w:b/>
          <w:color w:val="000000"/>
          <w:sz w:val="24"/>
          <w:szCs w:val="24"/>
          <w:highlight w:val="none"/>
        </w:rPr>
        <w:t xml:space="preserve"> 物业管理服务内容</w:t>
      </w:r>
    </w:p>
    <w:p w14:paraId="3CD6C5DD">
      <w:pPr>
        <w:spacing w:line="360" w:lineRule="auto"/>
        <w:ind w:firstLine="49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（一）服务内容</w:t>
      </w:r>
    </w:p>
    <w:p w14:paraId="3E730DC1">
      <w:pPr>
        <w:spacing w:line="360" w:lineRule="auto"/>
        <w:ind w:firstLine="48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本项目为南京医科大学常州新校区综合物业服务项目，服务内容包括但不限于</w:t>
      </w:r>
      <w:r>
        <w:rPr>
          <w:rFonts w:hint="eastAsia" w:ascii="宋体" w:hAnsi="宋体" w:eastAsia="宋体" w:cs="宋体"/>
          <w:color w:val="000000"/>
          <w:spacing w:val="0"/>
          <w:sz w:val="24"/>
          <w:szCs w:val="24"/>
          <w:highlight w:val="none"/>
          <w:lang w:eastAsia="zh-CN"/>
        </w:rPr>
        <w:t>、</w:t>
      </w:r>
      <w:r>
        <w:rPr>
          <w:rFonts w:hint="eastAsia" w:ascii="宋体" w:hAnsi="宋体" w:eastAsia="宋体" w:cs="宋体"/>
          <w:i w:val="0"/>
          <w:iCs w:val="0"/>
          <w:color w:val="000000"/>
          <w:sz w:val="24"/>
          <w:szCs w:val="24"/>
          <w:highlight w:val="none"/>
          <w:u w:val="none"/>
          <w:lang w:val="en-US" w:eastAsia="zh-CN" w:bidi="ar"/>
        </w:rPr>
        <w:t>综合楼（6、7、8、10）层、科研楼（1-3）层、工信楼、体育馆、教工公寓；校园道路、水域保洁，空置房管理。</w:t>
      </w:r>
      <w:r>
        <w:rPr>
          <w:rFonts w:hint="eastAsia" w:ascii="宋体" w:hAnsi="宋体" w:eastAsia="宋体" w:cs="宋体"/>
          <w:i w:val="0"/>
          <w:iCs w:val="0"/>
          <w:caps w:val="0"/>
          <w:color w:val="000000"/>
          <w:spacing w:val="0"/>
          <w:sz w:val="24"/>
          <w:szCs w:val="24"/>
          <w:highlight w:val="none"/>
          <w:shd w:val="clear" w:color="auto" w:fill="auto"/>
          <w:lang w:eastAsia="zh-CN"/>
        </w:rPr>
        <w:t>所提供的服务包括</w:t>
      </w:r>
      <w:r>
        <w:rPr>
          <w:rFonts w:hint="eastAsia" w:ascii="宋体" w:hAnsi="宋体" w:eastAsia="宋体" w:cs="宋体"/>
          <w:color w:val="000000"/>
          <w:spacing w:val="0"/>
          <w:sz w:val="24"/>
          <w:szCs w:val="24"/>
          <w:highlight w:val="none"/>
          <w:lang w:val="en-US" w:eastAsia="zh-CN" w:bidi="ar-SA"/>
        </w:rPr>
        <w:t>物业综合管理服务、教学科研楼宇及场馆管理服务</w:t>
      </w:r>
      <w:r>
        <w:rPr>
          <w:rFonts w:hint="eastAsia" w:ascii="宋体" w:hAnsi="宋体" w:eastAsia="宋体" w:cs="宋体"/>
          <w:i w:val="0"/>
          <w:iCs w:val="0"/>
          <w:caps w:val="0"/>
          <w:color w:val="000000"/>
          <w:spacing w:val="0"/>
          <w:sz w:val="24"/>
          <w:szCs w:val="24"/>
          <w:highlight w:val="none"/>
          <w:shd w:val="clear" w:color="auto" w:fill="auto"/>
          <w:lang w:eastAsia="zh-CN"/>
        </w:rPr>
        <w:t>（实行24小时值班制度）</w:t>
      </w:r>
      <w:r>
        <w:rPr>
          <w:rFonts w:hint="eastAsia" w:ascii="宋体" w:hAnsi="宋体" w:eastAsia="宋体" w:cs="宋体"/>
          <w:color w:val="000000"/>
          <w:spacing w:val="0"/>
          <w:sz w:val="24"/>
          <w:szCs w:val="24"/>
          <w:highlight w:val="none"/>
          <w:lang w:val="en-US" w:eastAsia="zh-CN" w:bidi="ar-SA"/>
        </w:rPr>
        <w:t>、卫生清洁服务、设施设备管理以及零星维修服务、垃圾清运服务、会务服务以及秩序维护管理、环境管理、应急管理、特殊时段（重大活动）服务等。</w:t>
      </w:r>
    </w:p>
    <w:p w14:paraId="5D7EC303">
      <w:pPr>
        <w:pStyle w:val="9"/>
        <w:numPr>
          <w:ilvl w:val="0"/>
          <w:numId w:val="0"/>
        </w:numPr>
        <w:tabs>
          <w:tab w:val="left" w:pos="1324"/>
        </w:tabs>
        <w:ind w:firstLine="482"/>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lang w:val="en-US" w:eastAsia="zh-CN" w:bidi="ar-SA"/>
        </w:rPr>
        <w:t>第四条</w:t>
      </w:r>
      <w:r>
        <w:rPr>
          <w:rFonts w:hint="eastAsia" w:ascii="宋体" w:hAnsi="宋体" w:eastAsia="宋体" w:cs="宋体"/>
          <w:b/>
          <w:color w:val="000000"/>
          <w:sz w:val="24"/>
          <w:szCs w:val="24"/>
          <w:highlight w:val="none"/>
        </w:rPr>
        <w:t xml:space="preserve"> 物业服务标准</w:t>
      </w:r>
    </w:p>
    <w:p w14:paraId="5C82EFED">
      <w:pPr>
        <w:spacing w:line="360" w:lineRule="auto"/>
        <w:ind w:firstLine="48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乙方了解并认同甲方《南京医科大学物业服务管理办法》，并承诺按照《南京医科大学物业服务管理办法》的规定标准提供物业管理服务。</w:t>
      </w:r>
    </w:p>
    <w:p w14:paraId="48C4A2CD">
      <w:pPr>
        <w:pStyle w:val="9"/>
        <w:numPr>
          <w:ilvl w:val="0"/>
          <w:numId w:val="0"/>
        </w:numPr>
        <w:tabs>
          <w:tab w:val="left" w:pos="1324"/>
        </w:tabs>
        <w:ind w:firstLine="482"/>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lang w:val="en-US" w:eastAsia="zh-CN" w:bidi="ar-SA"/>
        </w:rPr>
        <w:t>第五条</w:t>
      </w:r>
      <w:r>
        <w:rPr>
          <w:rFonts w:hint="eastAsia" w:ascii="宋体" w:hAnsi="宋体" w:eastAsia="宋体" w:cs="宋体"/>
          <w:b/>
          <w:color w:val="000000"/>
          <w:sz w:val="24"/>
          <w:szCs w:val="24"/>
          <w:highlight w:val="none"/>
          <w:lang w:val="en-US" w:eastAsia="zh-CN"/>
        </w:rPr>
        <w:t>物业从业人员要求</w:t>
      </w:r>
    </w:p>
    <w:p w14:paraId="76E98FE1">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（一）素质要求：所有工作人员必须遵守国家的</w:t>
      </w:r>
      <w:r>
        <w:rPr>
          <w:rFonts w:hint="eastAsia" w:ascii="宋体" w:hAnsi="宋体" w:eastAsia="宋体" w:cs="宋体"/>
          <w:color w:val="000000"/>
          <w:sz w:val="24"/>
          <w:szCs w:val="24"/>
          <w:highlight w:val="none"/>
          <w:lang w:eastAsia="zh-CN"/>
        </w:rPr>
        <w:t>法律法规</w:t>
      </w:r>
      <w:r>
        <w:rPr>
          <w:rFonts w:hint="eastAsia" w:ascii="宋体" w:hAnsi="宋体" w:eastAsia="宋体" w:cs="宋体"/>
          <w:color w:val="000000"/>
          <w:sz w:val="24"/>
          <w:szCs w:val="24"/>
          <w:highlight w:val="none"/>
        </w:rPr>
        <w:t>及甲方的各项规章制度；具有上岗资质，无犯罪记录，无不良嗜好；具有良好素养，爱岗敬业，责任心强，工作勤快，礼貌待人，和蔼处事；相貌端正，着装统一，身体健康（无传染性疾病）。其他具体要求如下：</w:t>
      </w:r>
    </w:p>
    <w:tbl>
      <w:tblPr>
        <w:tblStyle w:val="14"/>
        <w:tblW w:w="4997"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67"/>
        <w:gridCol w:w="2176"/>
        <w:gridCol w:w="5574"/>
      </w:tblGrid>
      <w:tr w14:paraId="3E00C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3" w:type="dxa"/>
            <w:noWrap w:val="0"/>
            <w:vAlign w:val="center"/>
          </w:tcPr>
          <w:p w14:paraId="198F6187">
            <w:pPr>
              <w:keepNext w:val="0"/>
              <w:keepLines w:val="0"/>
              <w:pageBreakBefore w:val="0"/>
              <w:widowControl w:val="0"/>
              <w:spacing w:after="0" w:line="360" w:lineRule="auto"/>
              <w:ind w:left="0" w:right="0" w:firstLine="0"/>
              <w:jc w:val="center"/>
              <w:rPr>
                <w:rFonts w:hint="eastAsia" w:ascii="宋体" w:hAnsi="宋体" w:eastAsia="宋体" w:cs="宋体"/>
                <w:b/>
                <w:bCs/>
                <w:color w:val="000000"/>
                <w:sz w:val="24"/>
                <w:szCs w:val="24"/>
                <w:highlight w:val="none"/>
                <w:lang w:val="en-US" w:eastAsia="en-US" w:bidi="ar-SA"/>
              </w:rPr>
            </w:pPr>
            <w:r>
              <w:rPr>
                <w:rFonts w:hint="eastAsia" w:ascii="宋体" w:hAnsi="宋体" w:eastAsia="宋体" w:cs="宋体"/>
                <w:b/>
                <w:bCs/>
                <w:color w:val="000000"/>
                <w:sz w:val="24"/>
                <w:szCs w:val="24"/>
                <w:highlight w:val="none"/>
                <w:lang w:val="en-US" w:eastAsia="en-US" w:bidi="ar-SA"/>
              </w:rPr>
              <w:t>序号</w:t>
            </w:r>
          </w:p>
        </w:tc>
        <w:tc>
          <w:tcPr>
            <w:tcW w:w="1296" w:type="dxa"/>
            <w:noWrap w:val="0"/>
            <w:vAlign w:val="center"/>
          </w:tcPr>
          <w:p w14:paraId="6E105317">
            <w:pPr>
              <w:keepNext w:val="0"/>
              <w:keepLines w:val="0"/>
              <w:pageBreakBefore w:val="0"/>
              <w:widowControl w:val="0"/>
              <w:spacing w:after="0" w:line="360" w:lineRule="auto"/>
              <w:ind w:left="0" w:right="0" w:firstLine="0"/>
              <w:jc w:val="center"/>
              <w:rPr>
                <w:rFonts w:hint="eastAsia" w:ascii="宋体" w:hAnsi="宋体" w:eastAsia="宋体" w:cs="宋体"/>
                <w:b/>
                <w:bCs/>
                <w:color w:val="000000"/>
                <w:sz w:val="24"/>
                <w:szCs w:val="24"/>
                <w:highlight w:val="none"/>
                <w:lang w:val="en-US" w:eastAsia="en-US" w:bidi="ar-SA"/>
              </w:rPr>
            </w:pPr>
            <w:r>
              <w:rPr>
                <w:rFonts w:hint="eastAsia" w:ascii="宋体" w:hAnsi="宋体" w:eastAsia="宋体" w:cs="宋体"/>
                <w:b/>
                <w:bCs/>
                <w:color w:val="000000"/>
                <w:sz w:val="24"/>
                <w:szCs w:val="24"/>
                <w:highlight w:val="none"/>
                <w:lang w:val="en-US" w:eastAsia="en-US" w:bidi="ar-SA"/>
              </w:rPr>
              <w:t>岗位</w:t>
            </w:r>
          </w:p>
        </w:tc>
        <w:tc>
          <w:tcPr>
            <w:tcW w:w="3319" w:type="dxa"/>
            <w:noWrap w:val="0"/>
            <w:vAlign w:val="center"/>
          </w:tcPr>
          <w:p w14:paraId="3C9D7BE4">
            <w:pPr>
              <w:keepNext w:val="0"/>
              <w:keepLines w:val="0"/>
              <w:pageBreakBefore w:val="0"/>
              <w:widowControl w:val="0"/>
              <w:spacing w:after="0" w:line="360" w:lineRule="auto"/>
              <w:ind w:left="0" w:right="0" w:firstLine="0"/>
              <w:jc w:val="center"/>
              <w:rPr>
                <w:rFonts w:hint="eastAsia" w:ascii="宋体" w:hAnsi="宋体" w:eastAsia="宋体" w:cs="宋体"/>
                <w:b/>
                <w:bCs/>
                <w:color w:val="000000"/>
                <w:sz w:val="24"/>
                <w:szCs w:val="24"/>
                <w:highlight w:val="none"/>
                <w:lang w:val="en-US" w:eastAsia="en-US" w:bidi="ar-SA"/>
              </w:rPr>
            </w:pPr>
            <w:r>
              <w:rPr>
                <w:rFonts w:hint="eastAsia" w:ascii="宋体" w:hAnsi="宋体" w:eastAsia="宋体" w:cs="宋体"/>
                <w:b/>
                <w:bCs/>
                <w:color w:val="000000"/>
                <w:sz w:val="24"/>
                <w:szCs w:val="24"/>
                <w:highlight w:val="none"/>
                <w:lang w:val="en-US" w:eastAsia="en-US" w:bidi="ar-SA"/>
              </w:rPr>
              <w:t>任职要求</w:t>
            </w:r>
          </w:p>
        </w:tc>
      </w:tr>
      <w:tr w14:paraId="3FC79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383" w:type="dxa"/>
            <w:noWrap w:val="0"/>
            <w:vAlign w:val="center"/>
          </w:tcPr>
          <w:p w14:paraId="409EE4E7">
            <w:pPr>
              <w:keepNext w:val="0"/>
              <w:keepLines w:val="0"/>
              <w:pageBreakBefore w:val="0"/>
              <w:widowControl w:val="0"/>
              <w:spacing w:after="0" w:line="360" w:lineRule="auto"/>
              <w:ind w:left="0" w:right="0" w:firstLine="0"/>
              <w:jc w:val="center"/>
              <w:rPr>
                <w:rFonts w:hint="eastAsia" w:ascii="宋体" w:hAnsi="宋体" w:eastAsia="宋体" w:cs="宋体"/>
                <w:color w:val="000000"/>
                <w:sz w:val="24"/>
                <w:szCs w:val="24"/>
                <w:highlight w:val="none"/>
                <w:lang w:val="en-US" w:eastAsia="en-US" w:bidi="ar-SA"/>
              </w:rPr>
            </w:pPr>
            <w:r>
              <w:rPr>
                <w:rFonts w:hint="eastAsia" w:ascii="宋体" w:hAnsi="宋体" w:eastAsia="宋体" w:cs="宋体"/>
                <w:color w:val="000000"/>
                <w:sz w:val="24"/>
                <w:szCs w:val="24"/>
                <w:highlight w:val="none"/>
                <w:lang w:val="en-US" w:eastAsia="en-US" w:bidi="ar-SA"/>
              </w:rPr>
              <w:t>1</w:t>
            </w:r>
          </w:p>
        </w:tc>
        <w:tc>
          <w:tcPr>
            <w:tcW w:w="1296" w:type="dxa"/>
            <w:noWrap w:val="0"/>
            <w:vAlign w:val="center"/>
          </w:tcPr>
          <w:p w14:paraId="169A71B5">
            <w:pPr>
              <w:keepNext w:val="0"/>
              <w:keepLines w:val="0"/>
              <w:pageBreakBefore w:val="0"/>
              <w:widowControl w:val="0"/>
              <w:spacing w:after="0" w:line="360" w:lineRule="auto"/>
              <w:ind w:left="0" w:right="0" w:firstLine="0"/>
              <w:jc w:val="center"/>
              <w:rPr>
                <w:rFonts w:hint="eastAsia" w:ascii="宋体" w:hAnsi="宋体" w:eastAsia="宋体" w:cs="宋体"/>
                <w:color w:val="000000"/>
                <w:sz w:val="24"/>
                <w:szCs w:val="24"/>
                <w:highlight w:val="none"/>
                <w:lang w:val="en-US" w:eastAsia="en-US" w:bidi="ar-SA"/>
              </w:rPr>
            </w:pPr>
            <w:r>
              <w:rPr>
                <w:rFonts w:hint="eastAsia" w:ascii="宋体" w:hAnsi="宋体" w:eastAsia="宋体" w:cs="宋体"/>
                <w:color w:val="000000"/>
                <w:sz w:val="24"/>
                <w:szCs w:val="24"/>
                <w:highlight w:val="none"/>
                <w:lang w:val="en-US" w:eastAsia="en-US" w:bidi="ar-SA"/>
              </w:rPr>
              <w:t>项目经理</w:t>
            </w:r>
          </w:p>
        </w:tc>
        <w:tc>
          <w:tcPr>
            <w:tcW w:w="3319" w:type="dxa"/>
            <w:noWrap w:val="0"/>
            <w:vAlign w:val="center"/>
          </w:tcPr>
          <w:p w14:paraId="14AF4594">
            <w:pPr>
              <w:keepNext w:val="0"/>
              <w:keepLines w:val="0"/>
              <w:pageBreakBefore w:val="0"/>
              <w:widowControl w:val="0"/>
              <w:spacing w:after="0" w:line="360" w:lineRule="exact"/>
              <w:ind w:left="0" w:right="0" w:firstLine="0"/>
              <w:jc w:val="both"/>
              <w:rPr>
                <w:rFonts w:hint="eastAsia" w:ascii="宋体" w:hAnsi="宋体" w:eastAsia="宋体" w:cs="宋体"/>
                <w:color w:val="000000"/>
                <w:sz w:val="24"/>
                <w:szCs w:val="24"/>
                <w:highlight w:val="none"/>
                <w:lang w:val="en-US" w:eastAsia="en-US" w:bidi="ar-SA"/>
              </w:rPr>
            </w:pPr>
            <w:r>
              <w:rPr>
                <w:rFonts w:hint="eastAsia" w:ascii="宋体" w:hAnsi="宋体" w:eastAsia="宋体" w:cs="宋体"/>
                <w:color w:val="000000"/>
                <w:sz w:val="24"/>
                <w:szCs w:val="24"/>
                <w:highlight w:val="none"/>
                <w:lang w:val="en-US" w:eastAsia="zh-CN" w:bidi="ar-SA"/>
              </w:rPr>
              <w:t>40</w:t>
            </w:r>
            <w:r>
              <w:rPr>
                <w:rFonts w:hint="eastAsia" w:ascii="宋体" w:hAnsi="宋体" w:eastAsia="宋体" w:cs="宋体"/>
                <w:color w:val="000000"/>
                <w:sz w:val="24"/>
                <w:szCs w:val="24"/>
                <w:highlight w:val="none"/>
                <w:lang w:val="en-US" w:eastAsia="en-US" w:bidi="ar-SA"/>
              </w:rPr>
              <w:t>周岁或以下，本科或以上学历，中级或以上职称，具备五年（含）以上类似物业项目经理管理经验，政治素质好，具备较强的执行力、协调能力和危机处理能力。</w:t>
            </w:r>
          </w:p>
        </w:tc>
      </w:tr>
      <w:tr w14:paraId="15869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3" w:type="dxa"/>
            <w:noWrap w:val="0"/>
            <w:vAlign w:val="center"/>
          </w:tcPr>
          <w:p w14:paraId="6AF426FB">
            <w:pPr>
              <w:keepNext w:val="0"/>
              <w:keepLines w:val="0"/>
              <w:pageBreakBefore w:val="0"/>
              <w:widowControl w:val="0"/>
              <w:spacing w:after="0" w:line="360" w:lineRule="auto"/>
              <w:ind w:left="0" w:right="0" w:firstLine="0"/>
              <w:jc w:val="center"/>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2</w:t>
            </w:r>
          </w:p>
        </w:tc>
        <w:tc>
          <w:tcPr>
            <w:tcW w:w="1296" w:type="dxa"/>
            <w:noWrap w:val="0"/>
            <w:vAlign w:val="center"/>
          </w:tcPr>
          <w:p w14:paraId="1AD0AB27">
            <w:pPr>
              <w:keepNext w:val="0"/>
              <w:keepLines w:val="0"/>
              <w:pageBreakBefore w:val="0"/>
              <w:widowControl w:val="0"/>
              <w:spacing w:after="0" w:line="360" w:lineRule="auto"/>
              <w:ind w:left="0" w:right="0" w:firstLine="0"/>
              <w:jc w:val="center"/>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en-US" w:bidi="ar-SA"/>
              </w:rPr>
              <w:t>会务服务</w:t>
            </w:r>
            <w:r>
              <w:rPr>
                <w:rFonts w:hint="eastAsia" w:ascii="宋体" w:hAnsi="宋体" w:eastAsia="宋体" w:cs="宋体"/>
                <w:color w:val="000000"/>
                <w:sz w:val="24"/>
                <w:szCs w:val="24"/>
                <w:highlight w:val="none"/>
                <w:lang w:val="en-US" w:eastAsia="zh-CN" w:bidi="ar-SA"/>
              </w:rPr>
              <w:t>员</w:t>
            </w:r>
          </w:p>
        </w:tc>
        <w:tc>
          <w:tcPr>
            <w:tcW w:w="3319" w:type="dxa"/>
            <w:noWrap w:val="0"/>
            <w:vAlign w:val="center"/>
          </w:tcPr>
          <w:p w14:paraId="082F347E">
            <w:pPr>
              <w:keepNext w:val="0"/>
              <w:keepLines w:val="0"/>
              <w:pageBreakBefore w:val="0"/>
              <w:widowControl w:val="0"/>
              <w:spacing w:after="0" w:line="360" w:lineRule="exact"/>
              <w:ind w:left="0" w:right="0" w:firstLine="0"/>
              <w:jc w:val="both"/>
              <w:rPr>
                <w:rFonts w:hint="eastAsia" w:ascii="宋体" w:hAnsi="宋体" w:eastAsia="宋体" w:cs="宋体"/>
                <w:color w:val="000000"/>
                <w:sz w:val="24"/>
                <w:szCs w:val="24"/>
                <w:highlight w:val="none"/>
                <w:lang w:val="en-US" w:eastAsia="en-US" w:bidi="ar-SA"/>
              </w:rPr>
            </w:pPr>
            <w:r>
              <w:rPr>
                <w:rFonts w:hint="eastAsia" w:ascii="宋体" w:hAnsi="宋体" w:eastAsia="宋体" w:cs="宋体"/>
                <w:color w:val="000000"/>
                <w:sz w:val="24"/>
                <w:szCs w:val="24"/>
                <w:highlight w:val="none"/>
                <w:lang w:val="en-US" w:eastAsia="en-US" w:bidi="ar-SA"/>
              </w:rPr>
              <w:t>35周岁或以下，女性。大专或以上学历，形象好气质佳、普通话清晰标准，具有会务接待相关工作经验。</w:t>
            </w:r>
          </w:p>
        </w:tc>
      </w:tr>
      <w:tr w14:paraId="13ACD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3" w:type="dxa"/>
            <w:noWrap w:val="0"/>
            <w:vAlign w:val="center"/>
          </w:tcPr>
          <w:p w14:paraId="6810DC23">
            <w:pPr>
              <w:keepNext w:val="0"/>
              <w:keepLines w:val="0"/>
              <w:pageBreakBefore w:val="0"/>
              <w:widowControl w:val="0"/>
              <w:spacing w:after="0" w:line="360" w:lineRule="auto"/>
              <w:ind w:left="0" w:right="0" w:firstLine="0"/>
              <w:jc w:val="center"/>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3</w:t>
            </w:r>
          </w:p>
        </w:tc>
        <w:tc>
          <w:tcPr>
            <w:tcW w:w="1296" w:type="dxa"/>
            <w:noWrap w:val="0"/>
            <w:vAlign w:val="center"/>
          </w:tcPr>
          <w:p w14:paraId="1787184B">
            <w:pPr>
              <w:keepNext w:val="0"/>
              <w:keepLines w:val="0"/>
              <w:pageBreakBefore w:val="0"/>
              <w:widowControl w:val="0"/>
              <w:spacing w:after="0" w:line="360" w:lineRule="auto"/>
              <w:ind w:left="0" w:right="0" w:firstLine="0"/>
              <w:jc w:val="center"/>
              <w:rPr>
                <w:rFonts w:hint="eastAsia" w:ascii="宋体" w:hAnsi="宋体" w:eastAsia="宋体" w:cs="宋体"/>
                <w:color w:val="000000"/>
                <w:sz w:val="24"/>
                <w:szCs w:val="24"/>
                <w:highlight w:val="none"/>
                <w:lang w:val="en-US" w:eastAsia="en-US" w:bidi="ar-SA"/>
              </w:rPr>
            </w:pPr>
            <w:r>
              <w:rPr>
                <w:rFonts w:hint="eastAsia" w:ascii="宋体" w:hAnsi="宋体" w:eastAsia="宋体" w:cs="宋体"/>
                <w:color w:val="000000"/>
                <w:sz w:val="24"/>
                <w:szCs w:val="24"/>
                <w:highlight w:val="none"/>
                <w:lang w:val="en-US" w:eastAsia="en-US" w:bidi="ar-SA"/>
              </w:rPr>
              <w:t>门值/巡视</w:t>
            </w:r>
          </w:p>
        </w:tc>
        <w:tc>
          <w:tcPr>
            <w:tcW w:w="3319" w:type="dxa"/>
            <w:noWrap w:val="0"/>
            <w:vAlign w:val="center"/>
          </w:tcPr>
          <w:p w14:paraId="6A16129E">
            <w:pPr>
              <w:keepNext w:val="0"/>
              <w:keepLines w:val="0"/>
              <w:pageBreakBefore w:val="0"/>
              <w:widowControl w:val="0"/>
              <w:spacing w:after="0" w:line="360" w:lineRule="exact"/>
              <w:ind w:left="0" w:right="0" w:firstLine="0"/>
              <w:jc w:val="both"/>
              <w:rPr>
                <w:rFonts w:hint="eastAsia" w:ascii="宋体" w:hAnsi="宋体" w:eastAsia="宋体" w:cs="宋体"/>
                <w:color w:val="000000"/>
                <w:sz w:val="24"/>
                <w:szCs w:val="24"/>
                <w:highlight w:val="none"/>
                <w:lang w:val="en-US" w:eastAsia="en-US" w:bidi="ar-SA"/>
              </w:rPr>
            </w:pPr>
            <w:r>
              <w:rPr>
                <w:rFonts w:hint="eastAsia" w:ascii="宋体" w:hAnsi="宋体" w:eastAsia="宋体" w:cs="宋体"/>
                <w:color w:val="000000"/>
                <w:sz w:val="24"/>
                <w:szCs w:val="24"/>
                <w:highlight w:val="none"/>
                <w:lang w:val="en-US" w:eastAsia="en-US" w:bidi="ar-SA"/>
              </w:rPr>
              <w:t>50周岁或以下，身体健康，公寓门值/巡视须为女性，有亲和力，沟通能力强。</w:t>
            </w:r>
          </w:p>
        </w:tc>
      </w:tr>
      <w:tr w14:paraId="790B4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3" w:type="dxa"/>
            <w:noWrap w:val="0"/>
            <w:vAlign w:val="center"/>
          </w:tcPr>
          <w:p w14:paraId="2CBE7E56">
            <w:pPr>
              <w:keepNext w:val="0"/>
              <w:keepLines w:val="0"/>
              <w:pageBreakBefore w:val="0"/>
              <w:widowControl w:val="0"/>
              <w:spacing w:after="0" w:line="360" w:lineRule="auto"/>
              <w:ind w:left="0" w:right="0" w:firstLine="0"/>
              <w:jc w:val="center"/>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4</w:t>
            </w:r>
          </w:p>
        </w:tc>
        <w:tc>
          <w:tcPr>
            <w:tcW w:w="1296" w:type="dxa"/>
            <w:noWrap w:val="0"/>
            <w:vAlign w:val="center"/>
          </w:tcPr>
          <w:p w14:paraId="797A88E2">
            <w:pPr>
              <w:keepNext w:val="0"/>
              <w:keepLines w:val="0"/>
              <w:pageBreakBefore w:val="0"/>
              <w:widowControl w:val="0"/>
              <w:spacing w:after="0" w:line="360" w:lineRule="auto"/>
              <w:ind w:left="0" w:right="0" w:firstLine="0"/>
              <w:jc w:val="center"/>
              <w:rPr>
                <w:rFonts w:hint="eastAsia" w:ascii="宋体" w:hAnsi="宋体" w:eastAsia="宋体" w:cs="宋体"/>
                <w:color w:val="000000"/>
                <w:sz w:val="24"/>
                <w:szCs w:val="24"/>
                <w:highlight w:val="none"/>
                <w:lang w:val="en-US" w:eastAsia="en-US" w:bidi="ar-SA"/>
              </w:rPr>
            </w:pPr>
            <w:r>
              <w:rPr>
                <w:rFonts w:hint="eastAsia" w:ascii="宋体" w:hAnsi="宋体" w:eastAsia="宋体" w:cs="宋体"/>
                <w:color w:val="000000"/>
                <w:sz w:val="24"/>
                <w:szCs w:val="24"/>
                <w:highlight w:val="none"/>
                <w:lang w:val="en-US" w:eastAsia="en-US" w:bidi="ar-SA"/>
              </w:rPr>
              <w:t>保洁员</w:t>
            </w:r>
          </w:p>
        </w:tc>
        <w:tc>
          <w:tcPr>
            <w:tcW w:w="3319" w:type="dxa"/>
            <w:noWrap w:val="0"/>
            <w:vAlign w:val="center"/>
          </w:tcPr>
          <w:p w14:paraId="4A3E5843">
            <w:pPr>
              <w:keepNext w:val="0"/>
              <w:keepLines w:val="0"/>
              <w:pageBreakBefore w:val="0"/>
              <w:widowControl w:val="0"/>
              <w:spacing w:after="0" w:line="360" w:lineRule="exact"/>
              <w:ind w:left="0" w:right="0" w:firstLine="0"/>
              <w:jc w:val="both"/>
              <w:rPr>
                <w:rFonts w:hint="eastAsia" w:ascii="宋体" w:hAnsi="宋体" w:eastAsia="宋体" w:cs="宋体"/>
                <w:color w:val="000000"/>
                <w:sz w:val="24"/>
                <w:szCs w:val="24"/>
                <w:highlight w:val="none"/>
                <w:lang w:val="en-US" w:eastAsia="en-US" w:bidi="ar-SA"/>
              </w:rPr>
            </w:pPr>
            <w:r>
              <w:rPr>
                <w:rFonts w:ascii="宋体" w:hAnsi="宋体" w:eastAsia="Arial" w:cs="Arial"/>
                <w:color w:val="000000"/>
                <w:sz w:val="24"/>
                <w:szCs w:val="24"/>
                <w:highlight w:val="none"/>
                <w:lang w:val="en-US" w:eastAsia="en-US" w:bidi="ar-SA"/>
              </w:rPr>
              <w:t>男性不超过</w:t>
            </w:r>
            <w:r>
              <w:rPr>
                <w:rFonts w:ascii="宋体" w:hAnsi="宋体" w:eastAsia="宋体" w:cs="Arial"/>
                <w:color w:val="000000"/>
                <w:sz w:val="24"/>
                <w:szCs w:val="24"/>
                <w:highlight w:val="none"/>
                <w:lang w:val="en-US" w:eastAsia="zh-CN" w:bidi="ar-SA"/>
              </w:rPr>
              <w:t>6</w:t>
            </w:r>
            <w:r>
              <w:rPr>
                <w:rFonts w:hint="eastAsia" w:ascii="宋体" w:hAnsi="宋体" w:eastAsia="宋体" w:cs="Arial"/>
                <w:color w:val="000000"/>
                <w:sz w:val="24"/>
                <w:szCs w:val="24"/>
                <w:highlight w:val="none"/>
                <w:lang w:val="en-US" w:eastAsia="zh-CN" w:bidi="ar-SA"/>
              </w:rPr>
              <w:t>0</w:t>
            </w:r>
            <w:r>
              <w:rPr>
                <w:rFonts w:ascii="宋体" w:hAnsi="宋体" w:eastAsia="Arial" w:cs="Arial"/>
                <w:color w:val="000000"/>
                <w:sz w:val="24"/>
                <w:szCs w:val="24"/>
                <w:highlight w:val="none"/>
                <w:lang w:val="en-US" w:eastAsia="en-US" w:bidi="ar-SA"/>
              </w:rPr>
              <w:t>周岁，女性</w:t>
            </w:r>
            <w:r>
              <w:rPr>
                <w:rFonts w:hint="eastAsia" w:ascii="宋体" w:hAnsi="宋体" w:eastAsia="宋体" w:cs="Arial"/>
                <w:color w:val="000000"/>
                <w:sz w:val="24"/>
                <w:szCs w:val="24"/>
                <w:highlight w:val="none"/>
                <w:lang w:val="en-US" w:eastAsia="zh-CN" w:bidi="ar-SA"/>
              </w:rPr>
              <w:t>年龄</w:t>
            </w:r>
            <w:r>
              <w:rPr>
                <w:rFonts w:hint="eastAsia" w:ascii="宋体" w:hAnsi="宋体" w:eastAsia="Arial" w:cs="Arial"/>
                <w:color w:val="000000"/>
                <w:sz w:val="24"/>
                <w:szCs w:val="24"/>
                <w:highlight w:val="none"/>
                <w:lang w:val="en-US" w:eastAsia="en-US" w:bidi="ar-SA"/>
              </w:rPr>
              <w:t>不超过</w:t>
            </w:r>
            <w:r>
              <w:rPr>
                <w:rFonts w:hint="eastAsia" w:ascii="宋体" w:hAnsi="宋体" w:eastAsia="宋体" w:cs="Arial"/>
                <w:color w:val="000000"/>
                <w:sz w:val="24"/>
                <w:szCs w:val="24"/>
                <w:highlight w:val="none"/>
                <w:lang w:val="en-US" w:eastAsia="zh-CN" w:bidi="ar-SA"/>
              </w:rPr>
              <w:t>50</w:t>
            </w:r>
            <w:r>
              <w:rPr>
                <w:rFonts w:hint="eastAsia" w:ascii="宋体" w:hAnsi="宋体" w:eastAsia="Arial" w:cs="Arial"/>
                <w:color w:val="000000"/>
                <w:sz w:val="24"/>
                <w:szCs w:val="24"/>
                <w:highlight w:val="none"/>
                <w:lang w:val="en-US" w:eastAsia="en-US" w:bidi="ar-SA"/>
              </w:rPr>
              <w:t>周岁，身体健康</w:t>
            </w:r>
            <w:r>
              <w:rPr>
                <w:rFonts w:hint="eastAsia" w:ascii="宋体" w:hAnsi="宋体" w:eastAsia="宋体" w:cs="宋体"/>
                <w:color w:val="000000"/>
                <w:sz w:val="24"/>
                <w:szCs w:val="24"/>
                <w:highlight w:val="none"/>
                <w:lang w:val="en-US" w:eastAsia="en-US" w:bidi="ar-SA"/>
              </w:rPr>
              <w:t>，具有相关工作经验。</w:t>
            </w:r>
          </w:p>
        </w:tc>
      </w:tr>
      <w:tr w14:paraId="5AA33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3" w:type="dxa"/>
            <w:noWrap w:val="0"/>
            <w:vAlign w:val="center"/>
          </w:tcPr>
          <w:p w14:paraId="2E9D6146">
            <w:pPr>
              <w:keepNext w:val="0"/>
              <w:keepLines w:val="0"/>
              <w:pageBreakBefore w:val="0"/>
              <w:widowControl w:val="0"/>
              <w:spacing w:after="0" w:line="360" w:lineRule="auto"/>
              <w:ind w:left="0" w:right="0" w:firstLine="0"/>
              <w:jc w:val="center"/>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5</w:t>
            </w:r>
          </w:p>
        </w:tc>
        <w:tc>
          <w:tcPr>
            <w:tcW w:w="1296" w:type="dxa"/>
            <w:noWrap w:val="0"/>
            <w:vAlign w:val="center"/>
          </w:tcPr>
          <w:p w14:paraId="5ACF4358">
            <w:pPr>
              <w:keepNext w:val="0"/>
              <w:keepLines w:val="0"/>
              <w:pageBreakBefore w:val="0"/>
              <w:widowControl w:val="0"/>
              <w:spacing w:after="0" w:line="360" w:lineRule="auto"/>
              <w:ind w:left="0" w:right="0" w:firstLine="0"/>
              <w:jc w:val="center"/>
              <w:rPr>
                <w:rFonts w:hint="eastAsia" w:ascii="宋体" w:hAnsi="宋体" w:eastAsia="宋体" w:cs="宋体"/>
                <w:color w:val="000000"/>
                <w:sz w:val="24"/>
                <w:szCs w:val="24"/>
                <w:highlight w:val="none"/>
                <w:lang w:val="en-US" w:eastAsia="en-US" w:bidi="ar-SA"/>
              </w:rPr>
            </w:pPr>
            <w:r>
              <w:rPr>
                <w:rFonts w:hint="eastAsia" w:ascii="宋体" w:hAnsi="宋体" w:eastAsia="宋体" w:cs="宋体"/>
                <w:color w:val="000000"/>
                <w:sz w:val="24"/>
                <w:szCs w:val="24"/>
                <w:highlight w:val="none"/>
                <w:lang w:val="en-US" w:eastAsia="en-US" w:bidi="ar-SA"/>
              </w:rPr>
              <w:t>工程</w:t>
            </w:r>
            <w:r>
              <w:rPr>
                <w:rFonts w:hint="eastAsia" w:ascii="宋体" w:hAnsi="宋体" w:eastAsia="宋体" w:cs="宋体"/>
                <w:color w:val="000000"/>
                <w:sz w:val="24"/>
                <w:szCs w:val="24"/>
                <w:highlight w:val="none"/>
                <w:lang w:val="en-US" w:eastAsia="zh-CN" w:bidi="ar-SA"/>
              </w:rPr>
              <w:t>维修</w:t>
            </w:r>
            <w:r>
              <w:rPr>
                <w:rFonts w:hint="eastAsia" w:ascii="宋体" w:hAnsi="宋体" w:eastAsia="宋体" w:cs="宋体"/>
                <w:color w:val="000000"/>
                <w:sz w:val="24"/>
                <w:szCs w:val="24"/>
                <w:highlight w:val="none"/>
                <w:lang w:val="en-US" w:eastAsia="en-US" w:bidi="ar-SA"/>
              </w:rPr>
              <w:t>技术员</w:t>
            </w:r>
          </w:p>
          <w:p w14:paraId="6606FB81">
            <w:pPr>
              <w:keepNext w:val="0"/>
              <w:keepLines w:val="0"/>
              <w:pageBreakBefore w:val="0"/>
              <w:widowControl w:val="0"/>
              <w:spacing w:after="0" w:line="360" w:lineRule="auto"/>
              <w:ind w:left="0" w:right="0" w:firstLine="0"/>
              <w:jc w:val="center"/>
              <w:rPr>
                <w:rFonts w:hint="eastAsia" w:ascii="宋体" w:hAnsi="宋体" w:eastAsia="宋体" w:cs="宋体"/>
                <w:color w:val="000000"/>
                <w:sz w:val="24"/>
                <w:szCs w:val="24"/>
                <w:highlight w:val="none"/>
                <w:lang w:val="en-US" w:eastAsia="en-US" w:bidi="ar-SA"/>
              </w:rPr>
            </w:pPr>
          </w:p>
        </w:tc>
        <w:tc>
          <w:tcPr>
            <w:tcW w:w="3319" w:type="dxa"/>
            <w:noWrap w:val="0"/>
            <w:vAlign w:val="center"/>
          </w:tcPr>
          <w:p w14:paraId="0E37CAC8">
            <w:pPr>
              <w:keepNext w:val="0"/>
              <w:keepLines w:val="0"/>
              <w:pageBreakBefore w:val="0"/>
              <w:widowControl/>
              <w:spacing w:after="0" w:line="360" w:lineRule="exact"/>
              <w:ind w:left="0" w:right="0" w:firstLine="0"/>
              <w:jc w:val="left"/>
              <w:rPr>
                <w:rFonts w:hint="eastAsia" w:ascii="宋体" w:hAnsi="宋体" w:eastAsia="宋体" w:cs="宋体"/>
                <w:color w:val="000000"/>
                <w:sz w:val="24"/>
                <w:szCs w:val="24"/>
                <w:highlight w:val="none"/>
                <w:lang w:val="en-US" w:eastAsia="en-US" w:bidi="ar-SA"/>
              </w:rPr>
            </w:pPr>
            <w:r>
              <w:rPr>
                <w:rFonts w:hint="eastAsia" w:ascii="宋体" w:hAnsi="宋体" w:eastAsia="宋体" w:cs="宋体"/>
                <w:color w:val="000000"/>
                <w:sz w:val="24"/>
                <w:szCs w:val="24"/>
                <w:highlight w:val="none"/>
              </w:rPr>
              <w:t>男，50周岁以下，具有电梯</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暖通、多媒体、土建等</w:t>
            </w:r>
            <w:r>
              <w:rPr>
                <w:rFonts w:hint="eastAsia" w:ascii="宋体" w:hAnsi="宋体" w:eastAsia="宋体" w:cs="宋体"/>
                <w:color w:val="000000"/>
                <w:sz w:val="24"/>
                <w:szCs w:val="24"/>
                <w:highlight w:val="none"/>
              </w:rPr>
              <w:t>相关</w:t>
            </w:r>
            <w:r>
              <w:rPr>
                <w:rFonts w:hint="eastAsia" w:ascii="宋体" w:hAnsi="宋体" w:eastAsia="宋体" w:cs="宋体"/>
                <w:color w:val="000000"/>
                <w:sz w:val="24"/>
                <w:szCs w:val="24"/>
                <w:highlight w:val="none"/>
                <w:lang w:val="en-US" w:eastAsia="zh-CN"/>
              </w:rPr>
              <w:t>的</w:t>
            </w:r>
            <w:r>
              <w:rPr>
                <w:rFonts w:hint="eastAsia" w:ascii="宋体" w:hAnsi="宋体" w:eastAsia="宋体" w:cs="宋体"/>
                <w:color w:val="000000"/>
                <w:sz w:val="24"/>
                <w:szCs w:val="24"/>
                <w:highlight w:val="none"/>
              </w:rPr>
              <w:t>设备安全管理和</w:t>
            </w:r>
            <w:r>
              <w:rPr>
                <w:rFonts w:hint="eastAsia" w:ascii="宋体" w:hAnsi="宋体" w:eastAsia="宋体" w:cs="宋体"/>
                <w:color w:val="000000"/>
                <w:sz w:val="24"/>
                <w:szCs w:val="24"/>
                <w:highlight w:val="none"/>
                <w:lang w:val="en-US" w:eastAsia="zh-CN"/>
              </w:rPr>
              <w:t>维修工作经验，</w:t>
            </w:r>
            <w:r>
              <w:rPr>
                <w:rFonts w:hint="eastAsia" w:ascii="宋体" w:hAnsi="宋体" w:eastAsia="宋体" w:cs="宋体"/>
                <w:color w:val="000000"/>
                <w:sz w:val="24"/>
                <w:szCs w:val="24"/>
                <w:highlight w:val="none"/>
              </w:rPr>
              <w:t>须持有特种作业操作证（</w:t>
            </w:r>
            <w:r>
              <w:rPr>
                <w:rFonts w:hint="eastAsia" w:ascii="宋体" w:hAnsi="宋体" w:eastAsia="宋体" w:cs="宋体"/>
                <w:color w:val="000000"/>
                <w:sz w:val="24"/>
                <w:szCs w:val="24"/>
                <w:highlight w:val="none"/>
                <w:lang w:val="en-US" w:eastAsia="zh-CN"/>
              </w:rPr>
              <w:t>高</w:t>
            </w:r>
            <w:r>
              <w:rPr>
                <w:rFonts w:hint="eastAsia" w:ascii="宋体" w:hAnsi="宋体" w:eastAsia="宋体" w:cs="宋体"/>
                <w:color w:val="000000"/>
                <w:sz w:val="24"/>
                <w:szCs w:val="24"/>
                <w:highlight w:val="none"/>
              </w:rPr>
              <w:t>低压）。</w:t>
            </w:r>
          </w:p>
        </w:tc>
      </w:tr>
    </w:tbl>
    <w:p w14:paraId="5BA79B40">
      <w:pPr>
        <w:pStyle w:val="9"/>
        <w:keepNext w:val="0"/>
        <w:keepLines w:val="0"/>
        <w:pageBreakBefore w:val="0"/>
        <w:widowControl/>
        <w:numPr>
          <w:ilvl w:val="0"/>
          <w:numId w:val="0"/>
        </w:numPr>
        <w:tabs>
          <w:tab w:val="left" w:pos="480"/>
        </w:tabs>
        <w:spacing w:after="0" w:line="460" w:lineRule="exact"/>
        <w:ind w:left="0" w:right="0" w:firstLine="482"/>
        <w:jc w:val="both"/>
        <w:rPr>
          <w:highlight w:val="none"/>
        </w:rPr>
      </w:pPr>
      <w:r>
        <w:rPr>
          <w:rFonts w:ascii="楷体_GB2312" w:hAnsi="Arial" w:eastAsia="楷体_GB2312"/>
          <w:sz w:val="28"/>
          <w:szCs w:val="28"/>
          <w:highlight w:val="none"/>
          <w:lang w:val="en-US" w:eastAsia="zh-CN" w:bidi="ar-SA"/>
        </w:rPr>
        <w:t>2.</w:t>
      </w:r>
      <w:r>
        <w:rPr>
          <w:rFonts w:hint="eastAsia" w:ascii="宋体" w:hAnsi="宋体" w:eastAsia="宋体" w:cs="宋体"/>
          <w:bCs w:val="0"/>
          <w:color w:val="000000"/>
          <w:sz w:val="24"/>
          <w:szCs w:val="24"/>
          <w:highlight w:val="none"/>
          <w:lang w:val="en-US" w:eastAsia="zh-CN" w:bidi="ar-SA"/>
        </w:rPr>
        <w:t>培训方案：</w:t>
      </w:r>
      <w:r>
        <w:rPr>
          <w:rFonts w:ascii="宋体" w:hAnsi="宋体" w:eastAsia="宋体" w:cs="宋体"/>
          <w:bCs w:val="0"/>
          <w:color w:val="000000"/>
          <w:sz w:val="24"/>
          <w:szCs w:val="24"/>
          <w:highlight w:val="none"/>
          <w:lang w:val="en-US" w:eastAsia="zh-CN" w:bidi="ar-SA"/>
        </w:rPr>
        <w:t>中标方应根据人员配置的具体情况，进一步明确职责分工，组织相应的培训活动，整理工作流程以及岗位规范，确保所有人员能够满足岗位要求。</w:t>
      </w:r>
    </w:p>
    <w:p w14:paraId="264DED22">
      <w:pPr>
        <w:pStyle w:val="9"/>
        <w:keepNext w:val="0"/>
        <w:keepLines w:val="0"/>
        <w:pageBreakBefore w:val="0"/>
        <w:widowControl/>
        <w:numPr>
          <w:ilvl w:val="0"/>
          <w:numId w:val="0"/>
        </w:numPr>
        <w:tabs>
          <w:tab w:val="left" w:pos="480"/>
        </w:tabs>
        <w:spacing w:after="0" w:line="460" w:lineRule="exact"/>
        <w:ind w:left="0" w:right="0" w:firstLine="482"/>
        <w:jc w:val="both"/>
        <w:rPr>
          <w:rFonts w:hint="eastAsia" w:ascii="宋体" w:hAnsi="宋体" w:eastAsia="宋体" w:cs="宋体"/>
          <w:sz w:val="24"/>
          <w:szCs w:val="24"/>
          <w:highlight w:val="none"/>
          <w:lang w:val="en-US" w:eastAsia="zh-CN"/>
        </w:rPr>
      </w:pPr>
      <w:r>
        <w:rPr>
          <w:rFonts w:hint="eastAsia" w:ascii="宋体" w:hAnsi="宋体" w:eastAsia="宋体" w:cs="宋体"/>
          <w:b/>
          <w:bCs/>
          <w:sz w:val="24"/>
          <w:szCs w:val="24"/>
          <w:highlight w:val="none"/>
          <w:lang w:val="en-US" w:eastAsia="zh-CN"/>
        </w:rPr>
        <w:t>注：</w:t>
      </w:r>
      <w:r>
        <w:rPr>
          <w:rFonts w:hint="eastAsia" w:ascii="宋体" w:hAnsi="宋体" w:eastAsia="宋体" w:cs="宋体"/>
          <w:sz w:val="24"/>
          <w:szCs w:val="24"/>
          <w:highlight w:val="none"/>
          <w:lang w:val="en-US" w:eastAsia="zh-CN"/>
        </w:rPr>
        <w:t xml:space="preserve">投标人应依据投标时所提供的项目经理、工程维修技术员、会务员配备情况作出承诺，提供承诺函并加盖公章，承诺中标后派往项目的人员与参与投标时所提供的人员保持一致。 </w:t>
      </w:r>
    </w:p>
    <w:p w14:paraId="0E4AB6E3">
      <w:pPr>
        <w:pStyle w:val="10"/>
        <w:ind w:firstLine="480"/>
        <w:rPr>
          <w:rFonts w:hint="eastAsia" w:ascii="宋体" w:hAnsi="宋体" w:eastAsia="宋体" w:cs="宋体"/>
          <w:color w:val="000000"/>
          <w:sz w:val="24"/>
          <w:szCs w:val="24"/>
          <w:highlight w:val="none"/>
          <w:lang w:eastAsia="zh-CN"/>
        </w:rPr>
      </w:pPr>
    </w:p>
    <w:p w14:paraId="502605A1">
      <w:pPr>
        <w:pStyle w:val="2"/>
        <w:keepNext w:val="0"/>
        <w:keepLines w:val="0"/>
        <w:pageBreakBefore w:val="0"/>
        <w:numPr>
          <w:ilvl w:val="0"/>
          <w:numId w:val="0"/>
        </w:numPr>
        <w:tabs>
          <w:tab w:val="left" w:pos="482"/>
        </w:tabs>
        <w:spacing w:before="0" w:after="0" w:line="360" w:lineRule="auto"/>
        <w:ind w:left="420" w:right="0" w:firstLine="0"/>
        <w:jc w:val="both"/>
        <w:rPr>
          <w:rFonts w:hint="eastAsia" w:ascii="宋体" w:hAnsi="宋体" w:eastAsia="宋体" w:cs="宋体"/>
          <w:color w:val="000000"/>
          <w:sz w:val="24"/>
          <w:szCs w:val="24"/>
          <w:highlight w:val="none"/>
        </w:rPr>
      </w:pPr>
      <w:r>
        <w:rPr>
          <w:rFonts w:hint="eastAsia" w:cs="宋体"/>
          <w:color w:val="000000"/>
          <w:sz w:val="24"/>
          <w:szCs w:val="24"/>
          <w:highlight w:val="none"/>
          <w:lang w:eastAsia="zh-CN"/>
        </w:rPr>
        <w:t>（</w:t>
      </w:r>
      <w:r>
        <w:rPr>
          <w:rFonts w:hint="eastAsia" w:cs="宋体"/>
          <w:color w:val="000000"/>
          <w:sz w:val="24"/>
          <w:szCs w:val="24"/>
          <w:highlight w:val="none"/>
          <w:lang w:val="en-US" w:eastAsia="zh-CN"/>
        </w:rPr>
        <w:t>二</w:t>
      </w:r>
      <w:r>
        <w:rPr>
          <w:rFonts w:hint="eastAsia" w:cs="宋体"/>
          <w:color w:val="000000"/>
          <w:sz w:val="24"/>
          <w:szCs w:val="24"/>
          <w:highlight w:val="none"/>
          <w:lang w:eastAsia="zh-CN"/>
        </w:rPr>
        <w:t>）</w:t>
      </w:r>
      <w:r>
        <w:rPr>
          <w:rFonts w:hint="eastAsia" w:ascii="宋体" w:hAnsi="宋体" w:eastAsia="宋体" w:cs="宋体"/>
          <w:color w:val="000000"/>
          <w:sz w:val="24"/>
          <w:szCs w:val="24"/>
          <w:highlight w:val="none"/>
        </w:rPr>
        <w:t>岗位配置及人员职责要求</w:t>
      </w:r>
    </w:p>
    <w:p w14:paraId="0C0E2501">
      <w:pPr>
        <w:pStyle w:val="3"/>
        <w:numPr>
          <w:ilvl w:val="0"/>
          <w:numId w:val="0"/>
        </w:numPr>
        <w:spacing w:after="0"/>
        <w:ind w:left="420" w:firstLine="0"/>
        <w:jc w:val="both"/>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岗位配置明细</w:t>
      </w:r>
    </w:p>
    <w:tbl>
      <w:tblPr>
        <w:tblStyle w:val="5"/>
        <w:tblW w:w="8989" w:type="dxa"/>
        <w:tblInd w:w="-1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2040"/>
        <w:gridCol w:w="1530"/>
        <w:gridCol w:w="1100"/>
        <w:gridCol w:w="1240"/>
        <w:gridCol w:w="2270"/>
      </w:tblGrid>
      <w:tr w14:paraId="49940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809" w:type="dxa"/>
            <w:vMerge w:val="restart"/>
            <w:noWrap w:val="0"/>
            <w:vAlign w:val="center"/>
          </w:tcPr>
          <w:p w14:paraId="475CB52A">
            <w:pPr>
              <w:keepNext w:val="0"/>
              <w:keepLines w:val="0"/>
              <w:widowControl/>
              <w:suppressLineNumbers w:val="0"/>
              <w:jc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sz w:val="28"/>
                <w:szCs w:val="28"/>
                <w:highlight w:val="none"/>
                <w:u w:val="none"/>
                <w:lang w:val="en-US" w:eastAsia="zh-CN" w:bidi="ar"/>
              </w:rPr>
              <w:t>序号</w:t>
            </w:r>
          </w:p>
        </w:tc>
        <w:tc>
          <w:tcPr>
            <w:tcW w:w="2040" w:type="dxa"/>
            <w:vMerge w:val="restart"/>
            <w:noWrap w:val="0"/>
            <w:vAlign w:val="center"/>
          </w:tcPr>
          <w:p w14:paraId="564CF13E">
            <w:pPr>
              <w:keepNext w:val="0"/>
              <w:keepLines w:val="0"/>
              <w:widowControl/>
              <w:suppressLineNumbers w:val="0"/>
              <w:jc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sz w:val="28"/>
                <w:szCs w:val="28"/>
                <w:highlight w:val="none"/>
                <w:u w:val="none"/>
                <w:lang w:val="en-US" w:eastAsia="zh-CN" w:bidi="ar"/>
              </w:rPr>
              <w:t>区  域</w:t>
            </w:r>
          </w:p>
        </w:tc>
        <w:tc>
          <w:tcPr>
            <w:tcW w:w="3870" w:type="dxa"/>
            <w:gridSpan w:val="3"/>
            <w:noWrap w:val="0"/>
            <w:vAlign w:val="center"/>
          </w:tcPr>
          <w:p w14:paraId="742F2C37">
            <w:pPr>
              <w:keepNext w:val="0"/>
              <w:keepLines w:val="0"/>
              <w:widowControl/>
              <w:suppressLineNumbers w:val="0"/>
              <w:jc w:val="center"/>
              <w:rPr>
                <w:rFonts w:hint="eastAsia" w:ascii="仿宋" w:hAnsi="仿宋" w:eastAsia="仿宋" w:cs="仿宋"/>
                <w:b/>
                <w:bCs/>
                <w:i w:val="0"/>
                <w:iCs w:val="0"/>
                <w:color w:val="000000"/>
                <w:sz w:val="28"/>
                <w:szCs w:val="28"/>
                <w:highlight w:val="none"/>
                <w:u w:val="none"/>
                <w:lang w:val="en-US" w:eastAsia="zh-CN"/>
              </w:rPr>
            </w:pPr>
            <w:r>
              <w:rPr>
                <w:rFonts w:hint="eastAsia" w:ascii="仿宋" w:hAnsi="仿宋" w:eastAsia="仿宋" w:cs="仿宋"/>
                <w:b/>
                <w:bCs/>
                <w:i w:val="0"/>
                <w:iCs w:val="0"/>
                <w:color w:val="000000"/>
                <w:sz w:val="28"/>
                <w:szCs w:val="28"/>
                <w:highlight w:val="none"/>
                <w:u w:val="none"/>
                <w:lang w:val="en-US" w:eastAsia="zh-CN"/>
              </w:rPr>
              <w:t>人员配置</w:t>
            </w:r>
          </w:p>
        </w:tc>
        <w:tc>
          <w:tcPr>
            <w:tcW w:w="2270" w:type="dxa"/>
            <w:vMerge w:val="restart"/>
            <w:noWrap w:val="0"/>
            <w:vAlign w:val="center"/>
          </w:tcPr>
          <w:p w14:paraId="0FA7DA94">
            <w:pPr>
              <w:keepNext w:val="0"/>
              <w:keepLines w:val="0"/>
              <w:widowControl/>
              <w:suppressLineNumbers w:val="0"/>
              <w:tabs>
                <w:tab w:val="left" w:pos="462"/>
              </w:tabs>
              <w:jc w:val="center"/>
              <w:rPr>
                <w:rFonts w:ascii="仿宋" w:hAnsi="仿宋" w:eastAsia="仿宋" w:cs="仿宋"/>
                <w:b/>
                <w:bCs/>
                <w:i w:val="0"/>
                <w:iCs w:val="0"/>
                <w:color w:val="000000"/>
                <w:sz w:val="28"/>
                <w:szCs w:val="28"/>
                <w:highlight w:val="none"/>
                <w:u w:val="none"/>
                <w:lang w:val="en-US" w:eastAsia="zh-CN"/>
              </w:rPr>
            </w:pPr>
            <w:r>
              <w:rPr>
                <w:rFonts w:hint="eastAsia" w:ascii="仿宋" w:hAnsi="仿宋" w:eastAsia="仿宋" w:cs="仿宋"/>
                <w:b/>
                <w:bCs/>
                <w:i w:val="0"/>
                <w:iCs w:val="0"/>
                <w:color w:val="000000"/>
                <w:sz w:val="28"/>
                <w:szCs w:val="28"/>
                <w:highlight w:val="none"/>
                <w:u w:val="none"/>
                <w:lang w:val="en-US" w:eastAsia="zh-CN"/>
              </w:rPr>
              <w:t>备 注</w:t>
            </w:r>
          </w:p>
        </w:tc>
      </w:tr>
      <w:tr w14:paraId="656AD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809" w:type="dxa"/>
            <w:vMerge w:val="continue"/>
            <w:noWrap w:val="0"/>
            <w:vAlign w:val="center"/>
          </w:tcPr>
          <w:p w14:paraId="3E504B31">
            <w:pPr>
              <w:keepNext w:val="0"/>
              <w:keepLines w:val="0"/>
              <w:widowControl/>
              <w:suppressLineNumbers w:val="0"/>
              <w:jc w:val="center"/>
              <w:rPr>
                <w:rFonts w:hint="eastAsia" w:ascii="仿宋" w:hAnsi="仿宋" w:eastAsia="仿宋" w:cs="仿宋"/>
                <w:b/>
                <w:bCs/>
                <w:i w:val="0"/>
                <w:iCs w:val="0"/>
                <w:color w:val="000000"/>
                <w:sz w:val="28"/>
                <w:szCs w:val="28"/>
                <w:highlight w:val="none"/>
                <w:u w:val="none"/>
                <w:lang w:val="en-US" w:eastAsia="zh-CN" w:bidi="ar"/>
              </w:rPr>
            </w:pPr>
          </w:p>
        </w:tc>
        <w:tc>
          <w:tcPr>
            <w:tcW w:w="2040" w:type="dxa"/>
            <w:vMerge w:val="continue"/>
            <w:noWrap w:val="0"/>
            <w:vAlign w:val="center"/>
          </w:tcPr>
          <w:p w14:paraId="678751F0">
            <w:pPr>
              <w:keepNext w:val="0"/>
              <w:keepLines w:val="0"/>
              <w:widowControl/>
              <w:suppressLineNumbers w:val="0"/>
              <w:jc w:val="center"/>
              <w:rPr>
                <w:rFonts w:hint="eastAsia" w:ascii="仿宋" w:hAnsi="仿宋" w:eastAsia="仿宋" w:cs="仿宋"/>
                <w:b/>
                <w:bCs/>
                <w:i w:val="0"/>
                <w:iCs w:val="0"/>
                <w:color w:val="000000"/>
                <w:sz w:val="28"/>
                <w:szCs w:val="28"/>
                <w:highlight w:val="none"/>
                <w:u w:val="none"/>
                <w:lang w:val="en-US" w:eastAsia="zh-CN" w:bidi="ar"/>
              </w:rPr>
            </w:pPr>
          </w:p>
        </w:tc>
        <w:tc>
          <w:tcPr>
            <w:tcW w:w="1530" w:type="dxa"/>
            <w:noWrap w:val="0"/>
            <w:vAlign w:val="center"/>
          </w:tcPr>
          <w:p w14:paraId="78B26F8C">
            <w:pPr>
              <w:keepNext w:val="0"/>
              <w:keepLines w:val="0"/>
              <w:widowControl/>
              <w:suppressLineNumbers w:val="0"/>
              <w:jc w:val="center"/>
              <w:rPr>
                <w:rFonts w:hint="eastAsia" w:ascii="仿宋" w:hAnsi="仿宋" w:eastAsia="仿宋" w:cs="仿宋"/>
                <w:b/>
                <w:bCs/>
                <w:i w:val="0"/>
                <w:iCs w:val="0"/>
                <w:color w:val="000000"/>
                <w:sz w:val="28"/>
                <w:szCs w:val="28"/>
                <w:highlight w:val="none"/>
                <w:u w:val="none"/>
                <w:lang w:val="en-US" w:eastAsia="zh-CN" w:bidi="ar"/>
              </w:rPr>
            </w:pPr>
            <w:r>
              <w:rPr>
                <w:rFonts w:hint="eastAsia" w:ascii="仿宋" w:hAnsi="仿宋" w:eastAsia="仿宋" w:cs="仿宋"/>
                <w:b/>
                <w:bCs/>
                <w:i w:val="0"/>
                <w:iCs w:val="0"/>
                <w:color w:val="000000"/>
                <w:sz w:val="28"/>
                <w:szCs w:val="28"/>
                <w:highlight w:val="none"/>
                <w:u w:val="none"/>
                <w:lang w:val="en-US" w:eastAsia="zh-CN" w:bidi="ar"/>
              </w:rPr>
              <w:t>门值/巡视</w:t>
            </w:r>
          </w:p>
        </w:tc>
        <w:tc>
          <w:tcPr>
            <w:tcW w:w="1100" w:type="dxa"/>
            <w:noWrap w:val="0"/>
            <w:vAlign w:val="center"/>
          </w:tcPr>
          <w:p w14:paraId="34AB98AC">
            <w:pPr>
              <w:keepNext w:val="0"/>
              <w:keepLines w:val="0"/>
              <w:widowControl/>
              <w:suppressLineNumbers w:val="0"/>
              <w:jc w:val="center"/>
              <w:rPr>
                <w:rFonts w:hint="eastAsia" w:ascii="仿宋" w:hAnsi="仿宋" w:eastAsia="仿宋" w:cs="仿宋"/>
                <w:b/>
                <w:bCs/>
                <w:i w:val="0"/>
                <w:iCs w:val="0"/>
                <w:color w:val="000000"/>
                <w:sz w:val="28"/>
                <w:szCs w:val="28"/>
                <w:highlight w:val="none"/>
                <w:u w:val="none"/>
                <w:lang w:val="en-US" w:eastAsia="zh-CN" w:bidi="ar"/>
              </w:rPr>
            </w:pPr>
            <w:r>
              <w:rPr>
                <w:rFonts w:hint="eastAsia" w:ascii="仿宋" w:hAnsi="仿宋" w:eastAsia="仿宋" w:cs="仿宋"/>
                <w:b/>
                <w:bCs/>
                <w:i w:val="0"/>
                <w:iCs w:val="0"/>
                <w:color w:val="000000"/>
                <w:sz w:val="28"/>
                <w:szCs w:val="28"/>
                <w:highlight w:val="none"/>
                <w:u w:val="none"/>
                <w:lang w:val="en-US" w:eastAsia="zh-CN" w:bidi="ar"/>
              </w:rPr>
              <w:t>保洁员</w:t>
            </w:r>
          </w:p>
        </w:tc>
        <w:tc>
          <w:tcPr>
            <w:tcW w:w="1240" w:type="dxa"/>
            <w:noWrap w:val="0"/>
            <w:vAlign w:val="center"/>
          </w:tcPr>
          <w:p w14:paraId="15ABE96B">
            <w:pPr>
              <w:keepNext w:val="0"/>
              <w:keepLines w:val="0"/>
              <w:widowControl/>
              <w:suppressLineNumbers w:val="0"/>
              <w:jc w:val="center"/>
              <w:rPr>
                <w:rFonts w:hint="eastAsia" w:ascii="仿宋" w:hAnsi="仿宋" w:eastAsia="仿宋" w:cs="仿宋"/>
                <w:b/>
                <w:bCs/>
                <w:i w:val="0"/>
                <w:iCs w:val="0"/>
                <w:color w:val="000000"/>
                <w:sz w:val="28"/>
                <w:szCs w:val="28"/>
                <w:highlight w:val="none"/>
                <w:u w:val="none"/>
                <w:lang w:val="en-US" w:eastAsia="zh-CN" w:bidi="ar"/>
              </w:rPr>
            </w:pPr>
            <w:r>
              <w:rPr>
                <w:rFonts w:hint="eastAsia" w:ascii="仿宋" w:hAnsi="仿宋" w:eastAsia="仿宋" w:cs="仿宋"/>
                <w:b/>
                <w:bCs/>
                <w:i w:val="0"/>
                <w:iCs w:val="0"/>
                <w:color w:val="000000"/>
                <w:sz w:val="28"/>
                <w:szCs w:val="28"/>
                <w:highlight w:val="none"/>
                <w:u w:val="none"/>
                <w:lang w:val="en-US" w:eastAsia="zh-CN" w:bidi="ar"/>
              </w:rPr>
              <w:t>会务员</w:t>
            </w:r>
          </w:p>
        </w:tc>
        <w:tc>
          <w:tcPr>
            <w:tcW w:w="2270" w:type="dxa"/>
            <w:vMerge w:val="continue"/>
            <w:noWrap w:val="0"/>
            <w:vAlign w:val="center"/>
          </w:tcPr>
          <w:p w14:paraId="74DCA7B5">
            <w:pPr>
              <w:keepNext w:val="0"/>
              <w:keepLines w:val="0"/>
              <w:widowControl/>
              <w:suppressLineNumbers w:val="0"/>
              <w:jc w:val="center"/>
              <w:rPr>
                <w:rFonts w:hint="eastAsia" w:ascii="仿宋" w:hAnsi="仿宋" w:eastAsia="仿宋" w:cs="仿宋"/>
                <w:b/>
                <w:bCs/>
                <w:i w:val="0"/>
                <w:iCs w:val="0"/>
                <w:color w:val="000000"/>
                <w:sz w:val="28"/>
                <w:szCs w:val="28"/>
                <w:highlight w:val="none"/>
                <w:u w:val="none"/>
                <w:lang w:val="en-US" w:eastAsia="zh-CN" w:bidi="ar"/>
              </w:rPr>
            </w:pPr>
          </w:p>
        </w:tc>
      </w:tr>
      <w:tr w14:paraId="4C19B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09" w:type="dxa"/>
            <w:noWrap w:val="0"/>
            <w:vAlign w:val="center"/>
          </w:tcPr>
          <w:p w14:paraId="118B4356">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sz w:val="28"/>
                <w:szCs w:val="28"/>
                <w:highlight w:val="none"/>
                <w:u w:val="none"/>
                <w:lang w:val="en-US" w:eastAsia="zh-CN" w:bidi="ar"/>
              </w:rPr>
              <w:t>1</w:t>
            </w:r>
          </w:p>
        </w:tc>
        <w:tc>
          <w:tcPr>
            <w:tcW w:w="2040" w:type="dxa"/>
            <w:noWrap w:val="0"/>
            <w:vAlign w:val="center"/>
          </w:tcPr>
          <w:p w14:paraId="4BB43BF7">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sz w:val="28"/>
                <w:szCs w:val="28"/>
                <w:highlight w:val="none"/>
                <w:u w:val="none"/>
                <w:lang w:val="en-US" w:eastAsia="zh-CN" w:bidi="ar"/>
              </w:rPr>
              <w:t>综合楼</w:t>
            </w:r>
          </w:p>
        </w:tc>
        <w:tc>
          <w:tcPr>
            <w:tcW w:w="1530" w:type="dxa"/>
            <w:noWrap/>
            <w:vAlign w:val="center"/>
          </w:tcPr>
          <w:p w14:paraId="336EC253">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sz w:val="28"/>
                <w:szCs w:val="28"/>
                <w:highlight w:val="none"/>
                <w:u w:val="none"/>
                <w:lang w:val="en-US" w:eastAsia="zh-CN" w:bidi="ar"/>
              </w:rPr>
              <w:t>3</w:t>
            </w:r>
          </w:p>
        </w:tc>
        <w:tc>
          <w:tcPr>
            <w:tcW w:w="1100" w:type="dxa"/>
            <w:noWrap/>
            <w:vAlign w:val="center"/>
          </w:tcPr>
          <w:p w14:paraId="5E8D2F0F">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sz w:val="28"/>
                <w:szCs w:val="28"/>
                <w:highlight w:val="none"/>
                <w:u w:val="none"/>
                <w:lang w:val="en-US" w:eastAsia="zh-CN" w:bidi="ar"/>
              </w:rPr>
              <w:t>4</w:t>
            </w:r>
          </w:p>
        </w:tc>
        <w:tc>
          <w:tcPr>
            <w:tcW w:w="1240" w:type="dxa"/>
            <w:noWrap/>
            <w:vAlign w:val="center"/>
          </w:tcPr>
          <w:p w14:paraId="4F896170">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sz w:val="28"/>
                <w:szCs w:val="28"/>
                <w:highlight w:val="none"/>
                <w:u w:val="none"/>
                <w:lang w:val="en-US" w:eastAsia="zh-CN" w:bidi="ar"/>
              </w:rPr>
              <w:t>1</w:t>
            </w:r>
          </w:p>
        </w:tc>
        <w:tc>
          <w:tcPr>
            <w:tcW w:w="2270" w:type="dxa"/>
            <w:vMerge w:val="restart"/>
            <w:noWrap/>
            <w:vAlign w:val="center"/>
          </w:tcPr>
          <w:p w14:paraId="3B403A3A">
            <w:pPr>
              <w:keepNext w:val="0"/>
              <w:keepLines w:val="0"/>
              <w:pageBreakBefore w:val="0"/>
              <w:widowControl w:val="0"/>
              <w:spacing w:line="360" w:lineRule="exact"/>
              <w:rPr>
                <w:rFonts w:ascii="仿宋" w:hAnsi="仿宋" w:eastAsia="仿宋" w:cs="仿宋"/>
                <w:i w:val="0"/>
                <w:iCs w:val="0"/>
                <w:color w:val="000000"/>
                <w:sz w:val="28"/>
                <w:szCs w:val="28"/>
                <w:highlight w:val="none"/>
                <w:u w:val="none"/>
                <w:lang w:val="en-US"/>
              </w:rPr>
            </w:pPr>
            <w:r>
              <w:rPr>
                <w:rStyle w:val="12"/>
                <w:rFonts w:hint="eastAsia"/>
                <w:b w:val="0"/>
                <w:bCs w:val="0"/>
                <w:color w:val="000000"/>
                <w:sz w:val="24"/>
                <w:szCs w:val="24"/>
                <w:highlight w:val="none"/>
                <w:lang w:val="en-US" w:eastAsia="zh-CN" w:bidi="ar"/>
              </w:rPr>
              <w:t>负责24小时值班，安全巡查、卫生保洁、日常维修、会议服务</w:t>
            </w:r>
          </w:p>
        </w:tc>
      </w:tr>
      <w:tr w14:paraId="02BB3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809" w:type="dxa"/>
            <w:noWrap w:val="0"/>
            <w:vAlign w:val="center"/>
          </w:tcPr>
          <w:p w14:paraId="5B3EAC6A">
            <w:pPr>
              <w:keepNext w:val="0"/>
              <w:keepLines w:val="0"/>
              <w:pageBreakBefore w:val="0"/>
              <w:widowControl/>
              <w:suppressLineNumbers w:val="0"/>
              <w:spacing w:line="360" w:lineRule="exact"/>
              <w:jc w:val="center"/>
              <w:rPr>
                <w:rFonts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2</w:t>
            </w:r>
          </w:p>
        </w:tc>
        <w:tc>
          <w:tcPr>
            <w:tcW w:w="2040" w:type="dxa"/>
            <w:noWrap w:val="0"/>
            <w:vAlign w:val="center"/>
          </w:tcPr>
          <w:p w14:paraId="645233A3">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lang w:val="en-US" w:eastAsia="zh-CN" w:bidi="ar-SA"/>
              </w:rPr>
            </w:pPr>
            <w:r>
              <w:rPr>
                <w:rFonts w:hint="eastAsia" w:ascii="仿宋" w:hAnsi="仿宋" w:eastAsia="仿宋" w:cs="仿宋"/>
                <w:i w:val="0"/>
                <w:iCs w:val="0"/>
                <w:color w:val="000000"/>
                <w:sz w:val="28"/>
                <w:szCs w:val="28"/>
                <w:highlight w:val="none"/>
                <w:u w:val="none"/>
                <w:lang w:val="en-US" w:eastAsia="zh-CN" w:bidi="ar"/>
              </w:rPr>
              <w:t>科研楼</w:t>
            </w:r>
          </w:p>
        </w:tc>
        <w:tc>
          <w:tcPr>
            <w:tcW w:w="1530" w:type="dxa"/>
            <w:noWrap/>
            <w:vAlign w:val="center"/>
          </w:tcPr>
          <w:p w14:paraId="71E486CF">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lang w:val="en-US" w:eastAsia="zh-CN" w:bidi="ar-SA"/>
              </w:rPr>
            </w:pPr>
            <w:r>
              <w:rPr>
                <w:rFonts w:hint="eastAsia" w:ascii="仿宋" w:hAnsi="仿宋" w:eastAsia="仿宋" w:cs="仿宋"/>
                <w:i w:val="0"/>
                <w:iCs w:val="0"/>
                <w:color w:val="000000"/>
                <w:sz w:val="28"/>
                <w:szCs w:val="28"/>
                <w:highlight w:val="none"/>
                <w:u w:val="none"/>
                <w:lang w:val="en-US" w:eastAsia="zh-CN" w:bidi="ar"/>
              </w:rPr>
              <w:t>3</w:t>
            </w:r>
          </w:p>
        </w:tc>
        <w:tc>
          <w:tcPr>
            <w:tcW w:w="1100" w:type="dxa"/>
            <w:noWrap/>
            <w:vAlign w:val="center"/>
          </w:tcPr>
          <w:p w14:paraId="7528985B">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lang w:val="en-US" w:eastAsia="zh-CN" w:bidi="ar-SA"/>
              </w:rPr>
            </w:pPr>
            <w:r>
              <w:rPr>
                <w:rFonts w:hint="eastAsia" w:ascii="仿宋" w:hAnsi="仿宋" w:eastAsia="仿宋" w:cs="仿宋"/>
                <w:i w:val="0"/>
                <w:iCs w:val="0"/>
                <w:color w:val="000000"/>
                <w:sz w:val="28"/>
                <w:szCs w:val="28"/>
                <w:highlight w:val="none"/>
                <w:u w:val="none"/>
                <w:lang w:val="en-US" w:eastAsia="zh-CN" w:bidi="ar"/>
              </w:rPr>
              <w:t>3</w:t>
            </w:r>
          </w:p>
        </w:tc>
        <w:tc>
          <w:tcPr>
            <w:tcW w:w="1240" w:type="dxa"/>
            <w:noWrap/>
            <w:vAlign w:val="center"/>
          </w:tcPr>
          <w:p w14:paraId="5A74179A">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lang w:val="en-US" w:eastAsia="zh-CN" w:bidi="ar"/>
              </w:rPr>
            </w:pPr>
          </w:p>
        </w:tc>
        <w:tc>
          <w:tcPr>
            <w:tcW w:w="2270" w:type="dxa"/>
            <w:vMerge w:val="continue"/>
            <w:noWrap/>
            <w:vAlign w:val="center"/>
          </w:tcPr>
          <w:p w14:paraId="169E84DB">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lang w:val="en-US" w:eastAsia="zh-CN" w:bidi="ar"/>
              </w:rPr>
            </w:pPr>
          </w:p>
        </w:tc>
      </w:tr>
      <w:tr w14:paraId="3FA63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809" w:type="dxa"/>
            <w:noWrap w:val="0"/>
            <w:vAlign w:val="center"/>
          </w:tcPr>
          <w:p w14:paraId="64F2275D">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sz w:val="28"/>
                <w:szCs w:val="28"/>
                <w:highlight w:val="none"/>
                <w:u w:val="none"/>
                <w:lang w:val="en-US" w:eastAsia="zh-CN" w:bidi="ar"/>
              </w:rPr>
              <w:t>3</w:t>
            </w:r>
          </w:p>
        </w:tc>
        <w:tc>
          <w:tcPr>
            <w:tcW w:w="2040" w:type="dxa"/>
            <w:noWrap w:val="0"/>
            <w:vAlign w:val="center"/>
          </w:tcPr>
          <w:p w14:paraId="0A1F4F9A">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sz w:val="28"/>
                <w:szCs w:val="28"/>
                <w:highlight w:val="none"/>
                <w:u w:val="none"/>
                <w:lang w:val="en-US" w:eastAsia="zh-CN" w:bidi="ar"/>
              </w:rPr>
              <w:t>工信楼</w:t>
            </w:r>
          </w:p>
        </w:tc>
        <w:tc>
          <w:tcPr>
            <w:tcW w:w="1530" w:type="dxa"/>
            <w:noWrap/>
            <w:vAlign w:val="center"/>
          </w:tcPr>
          <w:p w14:paraId="7492793E">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sz w:val="28"/>
                <w:szCs w:val="28"/>
                <w:highlight w:val="none"/>
                <w:u w:val="none"/>
                <w:lang w:val="en-US" w:eastAsia="zh-CN" w:bidi="ar"/>
              </w:rPr>
              <w:t>3</w:t>
            </w:r>
          </w:p>
        </w:tc>
        <w:tc>
          <w:tcPr>
            <w:tcW w:w="1100" w:type="dxa"/>
            <w:noWrap/>
            <w:vAlign w:val="center"/>
          </w:tcPr>
          <w:p w14:paraId="7A2E327C">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sz w:val="28"/>
                <w:szCs w:val="28"/>
                <w:highlight w:val="none"/>
                <w:u w:val="none"/>
                <w:lang w:val="en-US" w:eastAsia="zh-CN" w:bidi="ar"/>
              </w:rPr>
              <w:t>3</w:t>
            </w:r>
          </w:p>
        </w:tc>
        <w:tc>
          <w:tcPr>
            <w:tcW w:w="1240" w:type="dxa"/>
            <w:noWrap/>
            <w:vAlign w:val="center"/>
          </w:tcPr>
          <w:p w14:paraId="20C22269">
            <w:pPr>
              <w:keepNext w:val="0"/>
              <w:keepLines w:val="0"/>
              <w:pageBreakBefore w:val="0"/>
              <w:spacing w:line="360" w:lineRule="exact"/>
              <w:rPr>
                <w:rFonts w:hint="eastAsia" w:ascii="仿宋" w:hAnsi="仿宋" w:eastAsia="仿宋" w:cs="仿宋"/>
                <w:i w:val="0"/>
                <w:iCs w:val="0"/>
                <w:color w:val="000000"/>
                <w:sz w:val="28"/>
                <w:szCs w:val="28"/>
                <w:highlight w:val="none"/>
                <w:u w:val="none"/>
              </w:rPr>
            </w:pPr>
          </w:p>
        </w:tc>
        <w:tc>
          <w:tcPr>
            <w:tcW w:w="2270" w:type="dxa"/>
            <w:vMerge w:val="continue"/>
            <w:noWrap/>
            <w:vAlign w:val="center"/>
          </w:tcPr>
          <w:p w14:paraId="1845D549">
            <w:pPr>
              <w:keepNext w:val="0"/>
              <w:keepLines w:val="0"/>
              <w:pageBreakBefore w:val="0"/>
              <w:spacing w:line="360" w:lineRule="exact"/>
              <w:rPr>
                <w:rFonts w:hint="eastAsia" w:ascii="仿宋" w:hAnsi="仿宋" w:eastAsia="仿宋" w:cs="仿宋"/>
                <w:i w:val="0"/>
                <w:iCs w:val="0"/>
                <w:color w:val="000000"/>
                <w:sz w:val="28"/>
                <w:szCs w:val="28"/>
                <w:highlight w:val="none"/>
                <w:u w:val="none"/>
              </w:rPr>
            </w:pPr>
          </w:p>
        </w:tc>
      </w:tr>
      <w:tr w14:paraId="0DED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809" w:type="dxa"/>
            <w:noWrap w:val="0"/>
            <w:vAlign w:val="center"/>
          </w:tcPr>
          <w:p w14:paraId="4BBEE9D2">
            <w:pPr>
              <w:keepNext w:val="0"/>
              <w:keepLines w:val="0"/>
              <w:pageBreakBefore w:val="0"/>
              <w:widowControl/>
              <w:suppressLineNumbers w:val="0"/>
              <w:spacing w:line="360" w:lineRule="exact"/>
              <w:jc w:val="center"/>
              <w:rPr>
                <w:rFonts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4</w:t>
            </w:r>
          </w:p>
        </w:tc>
        <w:tc>
          <w:tcPr>
            <w:tcW w:w="2040" w:type="dxa"/>
            <w:noWrap w:val="0"/>
            <w:vAlign w:val="center"/>
          </w:tcPr>
          <w:p w14:paraId="07EE0B6E">
            <w:pPr>
              <w:keepNext w:val="0"/>
              <w:keepLines w:val="0"/>
              <w:pageBreakBefore w:val="0"/>
              <w:widowControl/>
              <w:suppressLineNumbers w:val="0"/>
              <w:spacing w:line="360" w:lineRule="exact"/>
              <w:jc w:val="center"/>
              <w:rPr>
                <w:rFonts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员工公寓楼</w:t>
            </w:r>
          </w:p>
        </w:tc>
        <w:tc>
          <w:tcPr>
            <w:tcW w:w="1530" w:type="dxa"/>
            <w:noWrap/>
            <w:vAlign w:val="center"/>
          </w:tcPr>
          <w:p w14:paraId="492C9230">
            <w:pPr>
              <w:keepNext w:val="0"/>
              <w:keepLines w:val="0"/>
              <w:pageBreakBefore w:val="0"/>
              <w:widowControl/>
              <w:suppressLineNumbers w:val="0"/>
              <w:spacing w:line="360" w:lineRule="exact"/>
              <w:jc w:val="center"/>
              <w:rPr>
                <w:rFonts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3</w:t>
            </w:r>
          </w:p>
        </w:tc>
        <w:tc>
          <w:tcPr>
            <w:tcW w:w="1100" w:type="dxa"/>
            <w:noWrap/>
            <w:vAlign w:val="center"/>
          </w:tcPr>
          <w:p w14:paraId="5C02BBBE">
            <w:pPr>
              <w:keepNext w:val="0"/>
              <w:keepLines w:val="0"/>
              <w:pageBreakBefore w:val="0"/>
              <w:widowControl/>
              <w:suppressLineNumbers w:val="0"/>
              <w:spacing w:line="360" w:lineRule="exact"/>
              <w:jc w:val="center"/>
              <w:rPr>
                <w:rFonts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 xml:space="preserve">2 </w:t>
            </w:r>
          </w:p>
        </w:tc>
        <w:tc>
          <w:tcPr>
            <w:tcW w:w="1240" w:type="dxa"/>
            <w:noWrap/>
            <w:vAlign w:val="center"/>
          </w:tcPr>
          <w:p w14:paraId="31F96823">
            <w:pPr>
              <w:keepNext w:val="0"/>
              <w:keepLines w:val="0"/>
              <w:pageBreakBefore w:val="0"/>
              <w:spacing w:line="360" w:lineRule="exact"/>
              <w:rPr>
                <w:rFonts w:hint="eastAsia" w:ascii="仿宋" w:hAnsi="仿宋" w:eastAsia="仿宋" w:cs="仿宋"/>
                <w:i w:val="0"/>
                <w:iCs w:val="0"/>
                <w:color w:val="000000"/>
                <w:sz w:val="28"/>
                <w:szCs w:val="28"/>
                <w:highlight w:val="none"/>
                <w:u w:val="none"/>
              </w:rPr>
            </w:pPr>
          </w:p>
        </w:tc>
        <w:tc>
          <w:tcPr>
            <w:tcW w:w="2270" w:type="dxa"/>
            <w:vMerge w:val="continue"/>
            <w:noWrap/>
            <w:vAlign w:val="center"/>
          </w:tcPr>
          <w:p w14:paraId="0C889913">
            <w:pPr>
              <w:keepNext w:val="0"/>
              <w:keepLines w:val="0"/>
              <w:pageBreakBefore w:val="0"/>
              <w:spacing w:line="360" w:lineRule="exact"/>
              <w:rPr>
                <w:rFonts w:hint="eastAsia" w:ascii="仿宋" w:hAnsi="仿宋" w:eastAsia="仿宋" w:cs="仿宋"/>
                <w:i w:val="0"/>
                <w:iCs w:val="0"/>
                <w:color w:val="000000"/>
                <w:sz w:val="28"/>
                <w:szCs w:val="28"/>
                <w:highlight w:val="none"/>
                <w:u w:val="none"/>
              </w:rPr>
            </w:pPr>
          </w:p>
        </w:tc>
      </w:tr>
      <w:tr w14:paraId="4F90D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809" w:type="dxa"/>
            <w:noWrap w:val="0"/>
            <w:vAlign w:val="center"/>
          </w:tcPr>
          <w:p w14:paraId="067F631E">
            <w:pPr>
              <w:keepNext w:val="0"/>
              <w:keepLines w:val="0"/>
              <w:pageBreakBefore w:val="0"/>
              <w:widowControl/>
              <w:suppressLineNumbers w:val="0"/>
              <w:spacing w:line="360" w:lineRule="exact"/>
              <w:jc w:val="center"/>
              <w:rPr>
                <w:rFonts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5</w:t>
            </w:r>
          </w:p>
        </w:tc>
        <w:tc>
          <w:tcPr>
            <w:tcW w:w="2040" w:type="dxa"/>
            <w:noWrap w:val="0"/>
            <w:vAlign w:val="center"/>
          </w:tcPr>
          <w:p w14:paraId="20117508">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体育馆</w:t>
            </w:r>
          </w:p>
        </w:tc>
        <w:tc>
          <w:tcPr>
            <w:tcW w:w="1530" w:type="dxa"/>
            <w:noWrap/>
            <w:vAlign w:val="center"/>
          </w:tcPr>
          <w:p w14:paraId="6476C93D">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2</w:t>
            </w:r>
          </w:p>
        </w:tc>
        <w:tc>
          <w:tcPr>
            <w:tcW w:w="1100" w:type="dxa"/>
            <w:noWrap/>
            <w:vAlign w:val="center"/>
          </w:tcPr>
          <w:p w14:paraId="576A7469">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2</w:t>
            </w:r>
          </w:p>
        </w:tc>
        <w:tc>
          <w:tcPr>
            <w:tcW w:w="1240" w:type="dxa"/>
            <w:noWrap/>
            <w:vAlign w:val="center"/>
          </w:tcPr>
          <w:p w14:paraId="1C6164B7">
            <w:pPr>
              <w:keepNext w:val="0"/>
              <w:keepLines w:val="0"/>
              <w:pageBreakBefore w:val="0"/>
              <w:spacing w:line="360" w:lineRule="exact"/>
              <w:rPr>
                <w:rFonts w:hint="eastAsia" w:ascii="仿宋" w:hAnsi="仿宋" w:eastAsia="仿宋" w:cs="仿宋"/>
                <w:i w:val="0"/>
                <w:iCs w:val="0"/>
                <w:color w:val="000000"/>
                <w:sz w:val="28"/>
                <w:szCs w:val="28"/>
                <w:highlight w:val="none"/>
                <w:u w:val="none"/>
              </w:rPr>
            </w:pPr>
          </w:p>
        </w:tc>
        <w:tc>
          <w:tcPr>
            <w:tcW w:w="2270" w:type="dxa"/>
            <w:noWrap/>
            <w:vAlign w:val="center"/>
          </w:tcPr>
          <w:p w14:paraId="4EA7DE66">
            <w:pPr>
              <w:keepNext w:val="0"/>
              <w:keepLines w:val="0"/>
              <w:pageBreakBefore w:val="0"/>
              <w:spacing w:line="360" w:lineRule="exact"/>
              <w:rPr>
                <w:rFonts w:hint="eastAsia" w:ascii="仿宋" w:hAnsi="仿宋" w:eastAsia="仿宋" w:cs="仿宋"/>
                <w:i w:val="0"/>
                <w:iCs w:val="0"/>
                <w:color w:val="000000"/>
                <w:sz w:val="28"/>
                <w:szCs w:val="28"/>
                <w:highlight w:val="none"/>
                <w:u w:val="none"/>
              </w:rPr>
            </w:pPr>
            <w:r>
              <w:rPr>
                <w:rStyle w:val="12"/>
                <w:rFonts w:hint="eastAsia"/>
                <w:b w:val="0"/>
                <w:bCs w:val="0"/>
                <w:color w:val="000000"/>
                <w:sz w:val="24"/>
                <w:szCs w:val="24"/>
                <w:highlight w:val="none"/>
                <w:lang w:val="en-US" w:eastAsia="zh-CN" w:bidi="ar"/>
              </w:rPr>
              <w:t>12小时值班，安全巡查、卫生保洁</w:t>
            </w:r>
          </w:p>
        </w:tc>
      </w:tr>
      <w:tr w14:paraId="66C1D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809" w:type="dxa"/>
            <w:noWrap w:val="0"/>
            <w:vAlign w:val="center"/>
          </w:tcPr>
          <w:p w14:paraId="56A25737">
            <w:pPr>
              <w:keepNext w:val="0"/>
              <w:keepLines w:val="0"/>
              <w:pageBreakBefore w:val="0"/>
              <w:widowControl/>
              <w:suppressLineNumbers w:val="0"/>
              <w:spacing w:line="360" w:lineRule="exact"/>
              <w:jc w:val="center"/>
              <w:rPr>
                <w:rFonts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6</w:t>
            </w:r>
          </w:p>
        </w:tc>
        <w:tc>
          <w:tcPr>
            <w:tcW w:w="2040" w:type="dxa"/>
            <w:noWrap w:val="0"/>
            <w:vAlign w:val="center"/>
          </w:tcPr>
          <w:p w14:paraId="338BC9E3">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校园环境保洁</w:t>
            </w:r>
          </w:p>
        </w:tc>
        <w:tc>
          <w:tcPr>
            <w:tcW w:w="1530" w:type="dxa"/>
            <w:noWrap/>
            <w:vAlign w:val="center"/>
          </w:tcPr>
          <w:p w14:paraId="3F23186A">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lang w:val="en-US" w:eastAsia="zh-CN" w:bidi="ar"/>
              </w:rPr>
            </w:pPr>
          </w:p>
        </w:tc>
        <w:tc>
          <w:tcPr>
            <w:tcW w:w="1100" w:type="dxa"/>
            <w:noWrap/>
            <w:vAlign w:val="center"/>
          </w:tcPr>
          <w:p w14:paraId="6C7FE6BD">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3</w:t>
            </w:r>
          </w:p>
        </w:tc>
        <w:tc>
          <w:tcPr>
            <w:tcW w:w="1240" w:type="dxa"/>
            <w:noWrap/>
            <w:vAlign w:val="center"/>
          </w:tcPr>
          <w:p w14:paraId="0BFD8365">
            <w:pPr>
              <w:keepNext w:val="0"/>
              <w:keepLines w:val="0"/>
              <w:pageBreakBefore w:val="0"/>
              <w:spacing w:line="360" w:lineRule="exact"/>
              <w:rPr>
                <w:rFonts w:hint="eastAsia" w:ascii="仿宋" w:hAnsi="仿宋" w:eastAsia="仿宋" w:cs="仿宋"/>
                <w:i w:val="0"/>
                <w:iCs w:val="0"/>
                <w:color w:val="000000"/>
                <w:sz w:val="28"/>
                <w:szCs w:val="28"/>
                <w:highlight w:val="none"/>
                <w:u w:val="none"/>
                <w:lang w:val="en-US" w:eastAsia="zh-CN" w:bidi="ar-SA"/>
              </w:rPr>
            </w:pPr>
          </w:p>
        </w:tc>
        <w:tc>
          <w:tcPr>
            <w:tcW w:w="2270" w:type="dxa"/>
            <w:noWrap/>
            <w:vAlign w:val="center"/>
          </w:tcPr>
          <w:p w14:paraId="5CD39C64">
            <w:pPr>
              <w:keepNext w:val="0"/>
              <w:keepLines w:val="0"/>
              <w:pageBreakBefore w:val="0"/>
              <w:spacing w:line="360" w:lineRule="exact"/>
              <w:rPr>
                <w:rFonts w:ascii="仿宋" w:hAnsi="仿宋" w:eastAsia="仿宋" w:cs="仿宋"/>
                <w:i w:val="0"/>
                <w:iCs w:val="0"/>
                <w:color w:val="000000"/>
                <w:sz w:val="28"/>
                <w:szCs w:val="28"/>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道路保洁、水系打捞、垃圾清运</w:t>
            </w:r>
          </w:p>
        </w:tc>
      </w:tr>
      <w:tr w14:paraId="140F6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809" w:type="dxa"/>
            <w:noWrap w:val="0"/>
            <w:vAlign w:val="center"/>
          </w:tcPr>
          <w:p w14:paraId="2B9EF596">
            <w:pPr>
              <w:keepNext w:val="0"/>
              <w:keepLines w:val="0"/>
              <w:pageBreakBefore w:val="0"/>
              <w:widowControl/>
              <w:suppressLineNumbers w:val="0"/>
              <w:spacing w:line="360" w:lineRule="exact"/>
              <w:jc w:val="center"/>
              <w:rPr>
                <w:rFonts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7</w:t>
            </w:r>
          </w:p>
        </w:tc>
        <w:tc>
          <w:tcPr>
            <w:tcW w:w="2040" w:type="dxa"/>
            <w:noWrap w:val="0"/>
            <w:vAlign w:val="center"/>
          </w:tcPr>
          <w:p w14:paraId="3DF6F67B">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工程维修管理</w:t>
            </w:r>
          </w:p>
        </w:tc>
        <w:tc>
          <w:tcPr>
            <w:tcW w:w="1530" w:type="dxa"/>
            <w:noWrap/>
            <w:vAlign w:val="center"/>
          </w:tcPr>
          <w:p w14:paraId="5FE2C770">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lang w:val="en-US" w:eastAsia="zh-CN" w:bidi="ar"/>
              </w:rPr>
            </w:pPr>
          </w:p>
        </w:tc>
        <w:tc>
          <w:tcPr>
            <w:tcW w:w="1100" w:type="dxa"/>
            <w:noWrap/>
            <w:vAlign w:val="center"/>
          </w:tcPr>
          <w:p w14:paraId="5231587A">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1</w:t>
            </w:r>
          </w:p>
        </w:tc>
        <w:tc>
          <w:tcPr>
            <w:tcW w:w="1240" w:type="dxa"/>
            <w:noWrap/>
            <w:vAlign w:val="center"/>
          </w:tcPr>
          <w:p w14:paraId="7CDD53E8">
            <w:pPr>
              <w:keepNext w:val="0"/>
              <w:keepLines w:val="0"/>
              <w:pageBreakBefore w:val="0"/>
              <w:spacing w:line="360" w:lineRule="exact"/>
              <w:rPr>
                <w:rFonts w:hint="eastAsia" w:ascii="仿宋" w:hAnsi="仿宋" w:eastAsia="仿宋" w:cs="仿宋"/>
                <w:i w:val="0"/>
                <w:iCs w:val="0"/>
                <w:color w:val="000000"/>
                <w:sz w:val="28"/>
                <w:szCs w:val="28"/>
                <w:highlight w:val="none"/>
                <w:u w:val="none"/>
              </w:rPr>
            </w:pPr>
          </w:p>
        </w:tc>
        <w:tc>
          <w:tcPr>
            <w:tcW w:w="2270" w:type="dxa"/>
            <w:noWrap/>
            <w:vAlign w:val="center"/>
          </w:tcPr>
          <w:p w14:paraId="087B63E9">
            <w:pPr>
              <w:keepNext w:val="0"/>
              <w:keepLines w:val="0"/>
              <w:pageBreakBefore w:val="0"/>
              <w:spacing w:line="360" w:lineRule="exact"/>
              <w:rPr>
                <w:rFonts w:ascii="仿宋" w:hAnsi="仿宋" w:eastAsia="仿宋" w:cs="仿宋"/>
                <w:i w:val="0"/>
                <w:iCs w:val="0"/>
                <w:color w:val="000000"/>
                <w:sz w:val="28"/>
                <w:szCs w:val="28"/>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设施设备巡查维修</w:t>
            </w:r>
          </w:p>
        </w:tc>
      </w:tr>
      <w:tr w14:paraId="63184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809" w:type="dxa"/>
            <w:noWrap w:val="0"/>
            <w:vAlign w:val="center"/>
          </w:tcPr>
          <w:p w14:paraId="7CBFFB6D">
            <w:pPr>
              <w:keepNext w:val="0"/>
              <w:keepLines w:val="0"/>
              <w:pageBreakBefore w:val="0"/>
              <w:widowControl/>
              <w:suppressLineNumbers w:val="0"/>
              <w:spacing w:line="360" w:lineRule="exact"/>
              <w:jc w:val="center"/>
              <w:rPr>
                <w:rFonts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8</w:t>
            </w:r>
          </w:p>
        </w:tc>
        <w:tc>
          <w:tcPr>
            <w:tcW w:w="2040" w:type="dxa"/>
            <w:noWrap w:val="0"/>
            <w:vAlign w:val="center"/>
          </w:tcPr>
          <w:p w14:paraId="498D9A33">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项目经理</w:t>
            </w:r>
          </w:p>
        </w:tc>
        <w:tc>
          <w:tcPr>
            <w:tcW w:w="1530" w:type="dxa"/>
            <w:noWrap/>
            <w:vAlign w:val="center"/>
          </w:tcPr>
          <w:p w14:paraId="769ACA84">
            <w:pPr>
              <w:keepNext w:val="0"/>
              <w:keepLines w:val="0"/>
              <w:pageBreakBefore w:val="0"/>
              <w:widowControl/>
              <w:suppressLineNumbers w:val="0"/>
              <w:spacing w:line="360" w:lineRule="exact"/>
              <w:jc w:val="center"/>
              <w:rPr>
                <w:rFonts w:hint="eastAsia" w:ascii="仿宋" w:hAnsi="仿宋" w:eastAsia="仿宋" w:cs="仿宋"/>
                <w:i w:val="0"/>
                <w:iCs w:val="0"/>
                <w:color w:val="000000"/>
                <w:sz w:val="28"/>
                <w:szCs w:val="28"/>
                <w:highlight w:val="none"/>
                <w:u w:val="none"/>
                <w:lang w:val="en-US" w:eastAsia="zh-CN" w:bidi="ar"/>
              </w:rPr>
            </w:pPr>
          </w:p>
        </w:tc>
        <w:tc>
          <w:tcPr>
            <w:tcW w:w="1100" w:type="dxa"/>
            <w:noWrap/>
            <w:vAlign w:val="center"/>
          </w:tcPr>
          <w:p w14:paraId="28F1670E">
            <w:pPr>
              <w:keepNext w:val="0"/>
              <w:keepLines w:val="0"/>
              <w:pageBreakBefore w:val="0"/>
              <w:widowControl/>
              <w:suppressLineNumbers w:val="0"/>
              <w:spacing w:line="360" w:lineRule="exact"/>
              <w:jc w:val="center"/>
              <w:rPr>
                <w:rFonts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1</w:t>
            </w:r>
          </w:p>
        </w:tc>
        <w:tc>
          <w:tcPr>
            <w:tcW w:w="1240" w:type="dxa"/>
            <w:noWrap/>
            <w:vAlign w:val="center"/>
          </w:tcPr>
          <w:p w14:paraId="0458DBEB">
            <w:pPr>
              <w:keepNext w:val="0"/>
              <w:keepLines w:val="0"/>
              <w:pageBreakBefore w:val="0"/>
              <w:spacing w:line="360" w:lineRule="exact"/>
              <w:rPr>
                <w:rFonts w:hint="eastAsia" w:ascii="仿宋" w:hAnsi="仿宋" w:eastAsia="仿宋" w:cs="仿宋"/>
                <w:i w:val="0"/>
                <w:iCs w:val="0"/>
                <w:color w:val="000000"/>
                <w:sz w:val="28"/>
                <w:szCs w:val="28"/>
                <w:highlight w:val="none"/>
                <w:u w:val="none"/>
              </w:rPr>
            </w:pPr>
          </w:p>
        </w:tc>
        <w:tc>
          <w:tcPr>
            <w:tcW w:w="2270" w:type="dxa"/>
            <w:noWrap/>
            <w:vAlign w:val="center"/>
          </w:tcPr>
          <w:p w14:paraId="61F16BCE">
            <w:pPr>
              <w:keepNext w:val="0"/>
              <w:keepLines w:val="0"/>
              <w:pageBreakBefore w:val="0"/>
              <w:spacing w:line="360" w:lineRule="exact"/>
              <w:rPr>
                <w:rFonts w:ascii="仿宋" w:hAnsi="仿宋" w:eastAsia="仿宋" w:cs="仿宋"/>
                <w:i w:val="0"/>
                <w:iCs w:val="0"/>
                <w:color w:val="000000"/>
                <w:sz w:val="28"/>
                <w:szCs w:val="28"/>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总体协调统筹</w:t>
            </w:r>
          </w:p>
        </w:tc>
      </w:tr>
      <w:tr w14:paraId="3B84D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2849" w:type="dxa"/>
            <w:gridSpan w:val="2"/>
            <w:noWrap w:val="0"/>
            <w:vAlign w:val="center"/>
          </w:tcPr>
          <w:p w14:paraId="431261A2">
            <w:pPr>
              <w:keepNext w:val="0"/>
              <w:keepLines w:val="0"/>
              <w:pageBreakBefore w:val="0"/>
              <w:widowControl/>
              <w:suppressLineNumbers w:val="0"/>
              <w:spacing w:line="360" w:lineRule="exact"/>
              <w:jc w:val="center"/>
              <w:rPr>
                <w:rFonts w:ascii="仿宋" w:hAnsi="仿宋" w:eastAsia="仿宋" w:cs="仿宋"/>
                <w:i w:val="0"/>
                <w:iCs w:val="0"/>
                <w:color w:val="000000"/>
                <w:sz w:val="28"/>
                <w:szCs w:val="28"/>
                <w:highlight w:val="none"/>
                <w:u w:val="none"/>
                <w:lang w:val="en-US" w:eastAsia="zh-CN" w:bidi="ar"/>
              </w:rPr>
            </w:pPr>
            <w:r>
              <w:rPr>
                <w:rFonts w:hint="eastAsia" w:ascii="仿宋" w:hAnsi="仿宋" w:eastAsia="仿宋" w:cs="仿宋"/>
                <w:i w:val="0"/>
                <w:iCs w:val="0"/>
                <w:color w:val="000000"/>
                <w:sz w:val="28"/>
                <w:szCs w:val="28"/>
                <w:highlight w:val="none"/>
                <w:u w:val="none"/>
                <w:lang w:val="en-US" w:eastAsia="zh-CN" w:bidi="ar"/>
              </w:rPr>
              <w:t>合  计</w:t>
            </w:r>
          </w:p>
        </w:tc>
        <w:tc>
          <w:tcPr>
            <w:tcW w:w="3870" w:type="dxa"/>
            <w:gridSpan w:val="3"/>
            <w:noWrap/>
            <w:vAlign w:val="center"/>
          </w:tcPr>
          <w:p w14:paraId="4FAF043C">
            <w:pPr>
              <w:keepNext w:val="0"/>
              <w:keepLines w:val="0"/>
              <w:pageBreakBefore w:val="0"/>
              <w:spacing w:line="360" w:lineRule="exact"/>
              <w:jc w:val="center"/>
              <w:rPr>
                <w:rFonts w:ascii="仿宋" w:hAnsi="仿宋" w:eastAsia="仿宋" w:cs="仿宋"/>
                <w:i w:val="0"/>
                <w:iCs w:val="0"/>
                <w:color w:val="000000"/>
                <w:sz w:val="28"/>
                <w:szCs w:val="28"/>
                <w:highlight w:val="none"/>
                <w:u w:val="none"/>
                <w:lang w:val="en-US" w:eastAsia="zh-CN"/>
              </w:rPr>
            </w:pPr>
            <w:r>
              <w:rPr>
                <w:rFonts w:hint="eastAsia" w:ascii="仿宋" w:hAnsi="仿宋" w:eastAsia="仿宋" w:cs="仿宋"/>
                <w:i w:val="0"/>
                <w:iCs w:val="0"/>
                <w:color w:val="000000"/>
                <w:sz w:val="28"/>
                <w:szCs w:val="28"/>
                <w:highlight w:val="none"/>
                <w:u w:val="none"/>
                <w:lang w:val="en-US" w:eastAsia="zh-CN"/>
              </w:rPr>
              <w:t>34人</w:t>
            </w:r>
          </w:p>
        </w:tc>
        <w:tc>
          <w:tcPr>
            <w:tcW w:w="2270" w:type="dxa"/>
            <w:noWrap/>
            <w:vAlign w:val="center"/>
          </w:tcPr>
          <w:p w14:paraId="0F98CB23">
            <w:pPr>
              <w:keepNext w:val="0"/>
              <w:keepLines w:val="0"/>
              <w:pageBreakBefore w:val="0"/>
              <w:spacing w:line="360" w:lineRule="exact"/>
              <w:rPr>
                <w:rFonts w:hint="eastAsia" w:ascii="仿宋" w:hAnsi="仿宋" w:eastAsia="仿宋" w:cs="仿宋"/>
                <w:i w:val="0"/>
                <w:iCs w:val="0"/>
                <w:color w:val="000000"/>
                <w:sz w:val="28"/>
                <w:szCs w:val="28"/>
                <w:highlight w:val="none"/>
                <w:u w:val="none"/>
              </w:rPr>
            </w:pPr>
          </w:p>
        </w:tc>
      </w:tr>
    </w:tbl>
    <w:p w14:paraId="7321C5D5">
      <w:pPr>
        <w:pStyle w:val="3"/>
        <w:numPr>
          <w:ilvl w:val="0"/>
          <w:numId w:val="0"/>
        </w:numPr>
        <w:spacing w:after="0"/>
        <w:jc w:val="both"/>
        <w:rPr>
          <w:rFonts w:hint="eastAsia" w:ascii="宋体" w:hAnsi="宋体" w:eastAsia="宋体" w:cs="宋体"/>
          <w:color w:val="000000"/>
          <w:sz w:val="24"/>
          <w:szCs w:val="24"/>
          <w:highlight w:val="none"/>
        </w:rPr>
      </w:pPr>
    </w:p>
    <w:p w14:paraId="76F97164">
      <w:pPr>
        <w:pStyle w:val="9"/>
        <w:keepNext w:val="0"/>
        <w:keepLines w:val="0"/>
        <w:pageBreakBefore w:val="0"/>
        <w:widowControl/>
        <w:tabs>
          <w:tab w:val="left" w:pos="480"/>
        </w:tabs>
        <w:spacing w:after="0" w:line="360" w:lineRule="auto"/>
        <w:ind w:left="0" w:right="0" w:firstLine="480"/>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en-US" w:bidi="ar-SA"/>
        </w:rPr>
        <w:t>注：以上人员配置为项目</w:t>
      </w:r>
      <w:r>
        <w:rPr>
          <w:rFonts w:hint="eastAsia" w:ascii="宋体" w:hAnsi="宋体" w:eastAsia="宋体" w:cs="宋体"/>
          <w:color w:val="000000"/>
          <w:sz w:val="24"/>
          <w:szCs w:val="24"/>
          <w:highlight w:val="none"/>
          <w:lang w:val="en-US" w:eastAsia="zh-CN" w:bidi="ar-SA"/>
        </w:rPr>
        <w:t>目前</w:t>
      </w:r>
      <w:r>
        <w:rPr>
          <w:rFonts w:hint="eastAsia" w:ascii="宋体" w:hAnsi="宋体" w:eastAsia="宋体" w:cs="宋体"/>
          <w:color w:val="000000"/>
          <w:sz w:val="24"/>
          <w:szCs w:val="24"/>
          <w:highlight w:val="none"/>
          <w:lang w:val="en-US" w:eastAsia="en-US" w:bidi="ar-SA"/>
        </w:rPr>
        <w:t>运行情况下人员配置，未启用的楼宇或楼层可根据</w:t>
      </w:r>
      <w:r>
        <w:rPr>
          <w:rFonts w:hint="eastAsia" w:ascii="宋体" w:hAnsi="宋体" w:eastAsia="宋体" w:cs="宋体"/>
          <w:color w:val="000000"/>
          <w:sz w:val="24"/>
          <w:szCs w:val="24"/>
          <w:highlight w:val="none"/>
          <w:lang w:val="en-US" w:eastAsia="zh-CN" w:bidi="ar-SA"/>
        </w:rPr>
        <w:t>实际需求</w:t>
      </w:r>
      <w:r>
        <w:rPr>
          <w:rFonts w:hint="eastAsia" w:ascii="宋体" w:hAnsi="宋体" w:eastAsia="宋体" w:cs="宋体"/>
          <w:color w:val="000000"/>
          <w:sz w:val="24"/>
          <w:szCs w:val="24"/>
          <w:highlight w:val="none"/>
          <w:lang w:val="en-US" w:eastAsia="en-US" w:bidi="ar-SA"/>
        </w:rPr>
        <w:t>配备</w:t>
      </w:r>
      <w:r>
        <w:rPr>
          <w:rFonts w:hint="eastAsia" w:ascii="宋体" w:hAnsi="宋体" w:eastAsia="宋体" w:cs="宋体"/>
          <w:color w:val="000000"/>
          <w:sz w:val="24"/>
          <w:szCs w:val="24"/>
          <w:highlight w:val="none"/>
          <w:lang w:val="en-US" w:eastAsia="zh-CN" w:bidi="ar-SA"/>
        </w:rPr>
        <w:t>相关</w:t>
      </w:r>
      <w:r>
        <w:rPr>
          <w:rFonts w:hint="eastAsia" w:ascii="宋体" w:hAnsi="宋体" w:eastAsia="宋体" w:cs="宋体"/>
          <w:color w:val="000000"/>
          <w:sz w:val="24"/>
          <w:szCs w:val="24"/>
          <w:highlight w:val="none"/>
          <w:lang w:val="en-US" w:eastAsia="en-US" w:bidi="ar-SA"/>
        </w:rPr>
        <w:t>岗位人数</w:t>
      </w:r>
      <w:r>
        <w:rPr>
          <w:rFonts w:hint="eastAsia" w:ascii="宋体" w:hAnsi="宋体" w:eastAsia="宋体" w:cs="宋体"/>
          <w:color w:val="000000"/>
          <w:sz w:val="24"/>
          <w:szCs w:val="24"/>
          <w:highlight w:val="none"/>
          <w:lang w:val="en-US" w:eastAsia="zh-CN" w:bidi="ar-SA"/>
        </w:rPr>
        <w:t>另</w:t>
      </w:r>
      <w:bookmarkStart w:id="6" w:name="_GoBack"/>
      <w:bookmarkEnd w:id="6"/>
      <w:r>
        <w:rPr>
          <w:rFonts w:hint="eastAsia" w:ascii="宋体" w:hAnsi="宋体" w:eastAsia="宋体" w:cs="宋体"/>
          <w:color w:val="000000"/>
          <w:sz w:val="24"/>
          <w:szCs w:val="24"/>
          <w:highlight w:val="none"/>
          <w:lang w:val="en-US" w:eastAsia="en-US" w:bidi="ar-SA"/>
        </w:rPr>
        <w:t>据实核算</w:t>
      </w:r>
      <w:r>
        <w:rPr>
          <w:rFonts w:hint="eastAsia" w:ascii="宋体" w:hAnsi="宋体" w:eastAsia="宋体" w:cs="宋体"/>
          <w:color w:val="000000"/>
          <w:sz w:val="24"/>
          <w:szCs w:val="24"/>
          <w:highlight w:val="none"/>
          <w:lang w:val="en-US" w:eastAsia="zh-CN" w:bidi="ar-SA"/>
        </w:rPr>
        <w:t>增加</w:t>
      </w:r>
      <w:r>
        <w:rPr>
          <w:rFonts w:hint="eastAsia" w:ascii="宋体" w:hAnsi="宋体" w:eastAsia="宋体" w:cs="宋体"/>
          <w:color w:val="000000"/>
          <w:sz w:val="24"/>
          <w:szCs w:val="24"/>
          <w:highlight w:val="none"/>
          <w:lang w:val="en-US" w:eastAsia="en-US" w:bidi="ar-SA"/>
        </w:rPr>
        <w:t>物业服务费用</w:t>
      </w:r>
      <w:r>
        <w:rPr>
          <w:rFonts w:hint="eastAsia" w:ascii="宋体" w:hAnsi="宋体" w:eastAsia="宋体" w:cs="宋体"/>
          <w:color w:val="000000"/>
          <w:sz w:val="24"/>
          <w:szCs w:val="24"/>
          <w:highlight w:val="none"/>
          <w:lang w:val="en-US" w:eastAsia="zh-CN" w:bidi="ar-SA"/>
        </w:rPr>
        <w:t>。</w:t>
      </w:r>
    </w:p>
    <w:p w14:paraId="21FDD6CD">
      <w:pPr>
        <w:pStyle w:val="10"/>
        <w:ind w:firstLine="480"/>
        <w:rPr>
          <w:rFonts w:hint="eastAsia" w:ascii="宋体" w:hAnsi="宋体" w:eastAsia="宋体" w:cs="宋体"/>
          <w:color w:val="000000"/>
          <w:sz w:val="24"/>
          <w:szCs w:val="24"/>
          <w:highlight w:val="none"/>
          <w:lang w:eastAsia="zh-CN"/>
        </w:rPr>
      </w:pPr>
    </w:p>
    <w:p w14:paraId="1174CB9C">
      <w:pPr>
        <w:pStyle w:val="9"/>
        <w:numPr>
          <w:ilvl w:val="0"/>
          <w:numId w:val="0"/>
        </w:numPr>
        <w:tabs>
          <w:tab w:val="left" w:pos="1324"/>
        </w:tabs>
        <w:ind w:firstLine="482"/>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lang w:val="en-US" w:eastAsia="zh-CN" w:bidi="ar-SA"/>
        </w:rPr>
        <w:t>第六条</w:t>
      </w:r>
      <w:r>
        <w:rPr>
          <w:rFonts w:hint="eastAsia" w:ascii="宋体" w:hAnsi="宋体" w:eastAsia="宋体" w:cs="宋体"/>
          <w:b/>
          <w:color w:val="000000"/>
          <w:sz w:val="24"/>
          <w:szCs w:val="24"/>
          <w:highlight w:val="none"/>
        </w:rPr>
        <w:t>双方的权利和义务</w:t>
      </w:r>
    </w:p>
    <w:p w14:paraId="237916AE">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（一）甲方的权利和义务</w:t>
      </w:r>
    </w:p>
    <w:p w14:paraId="78F3013A">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1、代表和维护物业产权人的合法权益。</w:t>
      </w:r>
    </w:p>
    <w:p w14:paraId="76C1A0BF">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甲方有权根据招标文件第四章物业服务需求及标准，要求乙方按照投标文件所确定的服务、管理、育人项目及承诺的质量标准，采用量化评比，定期检查与不定期抽查的方式，对乙方物业管理活动进行检查、监督和考核。</w:t>
      </w:r>
    </w:p>
    <w:p w14:paraId="530AD997">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3、因乙方原因，发生重大责任事故，给甲方造成重大经济损失或恶劣社会影响的，乙方承担全部责任并赔偿甲方和事故受害方全部损失。同时甲方有权解除本合同。</w:t>
      </w:r>
    </w:p>
    <w:p w14:paraId="3382C2B1">
      <w:pPr>
        <w:spacing w:line="360" w:lineRule="auto"/>
        <w:ind w:firstLine="48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4、根据甲方物业服务管理办法考核乙方物业管理服务工作情况，如甲方发现乙方管理工作未达到甲方的标准，甲方有权提出整改意见和整改要求，乙方应按照整改意见和整改要求及时整改并将整改结果汇报甲方审核。</w:t>
      </w:r>
    </w:p>
    <w:p w14:paraId="683CB2D3">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5、对受托的一切公共设施及设备享有所有权，并有对固定资产的保护、使用和监督权。</w:t>
      </w:r>
    </w:p>
    <w:p w14:paraId="312C6661">
      <w:pPr>
        <w:spacing w:line="360" w:lineRule="auto"/>
        <w:ind w:firstLine="48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6、帮助协调乙方与甲方内其他部门的关系</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协助乙方做好物业管理工作</w:t>
      </w:r>
      <w:r>
        <w:rPr>
          <w:rFonts w:hint="eastAsia" w:ascii="宋体" w:hAnsi="宋体" w:eastAsia="宋体" w:cs="宋体"/>
          <w:color w:val="000000"/>
          <w:sz w:val="24"/>
          <w:szCs w:val="24"/>
          <w:highlight w:val="none"/>
          <w:lang w:eastAsia="zh-CN"/>
        </w:rPr>
        <w:t>。</w:t>
      </w:r>
    </w:p>
    <w:p w14:paraId="2D585CC5">
      <w:pPr>
        <w:spacing w:line="360" w:lineRule="auto"/>
        <w:ind w:firstLine="48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7</w:t>
      </w:r>
      <w:r>
        <w:rPr>
          <w:rFonts w:hint="eastAsia" w:ascii="宋体" w:hAnsi="宋体" w:eastAsia="宋体" w:cs="宋体"/>
          <w:color w:val="000000"/>
          <w:sz w:val="24"/>
          <w:szCs w:val="24"/>
          <w:highlight w:val="none"/>
        </w:rPr>
        <w:t>、负责收集、汇总物业使用人对物业服务的意见建议，受理物业服务活动中的各类投诉。</w:t>
      </w:r>
      <w:r>
        <w:rPr>
          <w:rFonts w:hint="eastAsia" w:ascii="宋体" w:hAnsi="宋体" w:eastAsia="宋体" w:cs="宋体"/>
          <w:color w:val="000000"/>
          <w:sz w:val="24"/>
          <w:szCs w:val="24"/>
          <w:highlight w:val="none"/>
          <w:lang w:eastAsia="zh-CN"/>
        </w:rPr>
        <w:t>在日常工作中，乙方工作人员若出现服务态度不好、长期工作不认真、不遵守甲方各项规定、造成不良影响等情况，甲方有权向乙方提出改派和更换人员要求，并发出书面整改要求，乙方应在规定的时间内完成人员更换和整改。</w:t>
      </w:r>
    </w:p>
    <w:p w14:paraId="226D7548">
      <w:pPr>
        <w:spacing w:line="360" w:lineRule="auto"/>
        <w:ind w:firstLine="48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8</w:t>
      </w:r>
      <w:r>
        <w:rPr>
          <w:rFonts w:hint="eastAsia" w:ascii="宋体" w:hAnsi="宋体" w:eastAsia="宋体" w:cs="宋体"/>
          <w:color w:val="000000"/>
          <w:sz w:val="24"/>
          <w:szCs w:val="24"/>
          <w:highlight w:val="none"/>
        </w:rPr>
        <w:t>、按时向乙方支付物业管理服务费用。</w:t>
      </w:r>
      <w:r>
        <w:rPr>
          <w:rFonts w:hint="eastAsia" w:ascii="宋体" w:hAnsi="宋体" w:eastAsia="宋体" w:cs="宋体"/>
          <w:color w:val="000000"/>
          <w:sz w:val="24"/>
          <w:szCs w:val="24"/>
          <w:highlight w:val="none"/>
          <w:lang w:eastAsia="zh-CN"/>
        </w:rPr>
        <w:t>甲方发现乙方服务未达到附件及本合同要求的服务标准，并就同一项目内容连续发出两次以上（包括两次）的书面告知单或整改通知单，仍未达到有效整改效果的，甲方有权延期付款或拒绝付款。</w:t>
      </w:r>
    </w:p>
    <w:p w14:paraId="47E22380">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9、为乙方提供各楼宇的开放时间、服务要求等相关资料，履行协助义务。</w:t>
      </w:r>
    </w:p>
    <w:p w14:paraId="64DE3B05">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10、在合同生效之</w:t>
      </w:r>
      <w:r>
        <w:rPr>
          <w:rFonts w:hint="eastAsia" w:ascii="宋体" w:hAnsi="宋体" w:eastAsia="宋体" w:cs="宋体"/>
          <w:color w:val="000000"/>
          <w:sz w:val="24"/>
          <w:szCs w:val="24"/>
          <w:highlight w:val="none"/>
          <w:lang w:val="en-US" w:eastAsia="zh-CN"/>
        </w:rPr>
        <w:t>后</w:t>
      </w:r>
      <w:r>
        <w:rPr>
          <w:rFonts w:hint="eastAsia" w:ascii="宋体" w:hAnsi="宋体" w:eastAsia="宋体" w:cs="宋体"/>
          <w:color w:val="000000"/>
          <w:sz w:val="24"/>
          <w:szCs w:val="24"/>
          <w:highlight w:val="none"/>
        </w:rPr>
        <w:t>，向乙方提供管理用房（产权仍属于甲方），由乙方无偿使用，并提供水、电保障。</w:t>
      </w:r>
    </w:p>
    <w:p w14:paraId="4E06C317">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11、</w:t>
      </w:r>
      <w:r>
        <w:rPr>
          <w:rFonts w:hint="eastAsia" w:ascii="宋体" w:hAnsi="宋体" w:eastAsia="宋体" w:cs="宋体"/>
          <w:color w:val="000000"/>
          <w:sz w:val="24"/>
          <w:szCs w:val="24"/>
          <w:highlight w:val="none"/>
        </w:rPr>
        <w:t>合同期满后，甲方有权决定是否与乙方续签合同。</w:t>
      </w:r>
    </w:p>
    <w:p w14:paraId="05657E0F">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（二）乙方的权利和义务</w:t>
      </w:r>
    </w:p>
    <w:p w14:paraId="20189921">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1、根据考核结果取得相应委托管理费用的权利。</w:t>
      </w:r>
    </w:p>
    <w:p w14:paraId="6C018285">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2、根据有关法律法规及本合同的约定，制定并有效执行的物业管理制度和具体物业服务实施工作办法</w:t>
      </w:r>
      <w:r>
        <w:rPr>
          <w:rFonts w:hint="eastAsia" w:ascii="宋体" w:hAnsi="宋体" w:eastAsia="宋体" w:cs="宋体"/>
          <w:color w:val="000000"/>
          <w:sz w:val="24"/>
          <w:szCs w:val="24"/>
          <w:highlight w:val="none"/>
          <w:lang w:eastAsia="zh-CN"/>
        </w:rPr>
        <w:t>的文件。</w:t>
      </w:r>
    </w:p>
    <w:p w14:paraId="6E8A652D">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3、自主选聘各类服务人员（重要岗位人员需经甲方同意备案后方可上岗工作）。</w:t>
      </w:r>
    </w:p>
    <w:p w14:paraId="0381CC1E">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4、</w:t>
      </w:r>
      <w:r>
        <w:rPr>
          <w:rFonts w:hint="eastAsia" w:ascii="宋体" w:hAnsi="宋体" w:eastAsia="宋体" w:cs="宋体"/>
          <w:color w:val="000000"/>
          <w:sz w:val="24"/>
          <w:szCs w:val="24"/>
          <w:highlight w:val="none"/>
        </w:rPr>
        <w:t>根据有关法律法规及本合同的约定，物业服务单位是所管区域物业服务管理主体，对物业服务承担主体责任。建立和完善物业管理公司各项规章制度、各部门工作规范。自行选聘各类管理人员（人员素质水平必须符合甲方规定的要求），且必须进行岗前培训，并定期对管理人员进行相关培训，做好培训记录。把具体人员分工名单和每月（周）排班表报给甲方，加强人员管理，统一着装，</w:t>
      </w:r>
      <w:r>
        <w:rPr>
          <w:rFonts w:hint="eastAsia" w:ascii="宋体" w:hAnsi="宋体" w:eastAsia="宋体" w:cs="宋体"/>
          <w:color w:val="000000"/>
          <w:sz w:val="24"/>
          <w:szCs w:val="24"/>
          <w:highlight w:val="none"/>
          <w:lang w:eastAsia="zh-CN"/>
        </w:rPr>
        <w:t>佩戴工号牌</w:t>
      </w:r>
      <w:r>
        <w:rPr>
          <w:rFonts w:hint="eastAsia" w:ascii="宋体" w:hAnsi="宋体" w:eastAsia="宋体" w:cs="宋体"/>
          <w:color w:val="000000"/>
          <w:sz w:val="24"/>
          <w:szCs w:val="24"/>
          <w:highlight w:val="none"/>
        </w:rPr>
        <w:t>，文明礼貌服务。</w:t>
      </w:r>
    </w:p>
    <w:p w14:paraId="6A561286">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5、日常物业人事管理等必须严格按国家《中华人民共和国劳动法》和《中华人民共和国劳动合同法》规定执行，乙方所用全体工作人员的岗位职责、操作规范、人身安全、医疗、工资、五险一金、意外伤害险、工程机械、劳动工具、劳保用品、内部管理、各类纠纷等各项事宜及所涉及经费均由乙方自行负责和承担，与甲方无关。乙方聘用的物业从业人员的行为均代表乙方，任何行为或事件均由乙方负责。</w:t>
      </w:r>
      <w:r>
        <w:rPr>
          <w:rFonts w:hint="eastAsia" w:ascii="宋体" w:hAnsi="宋体" w:eastAsia="宋体" w:cs="宋体"/>
          <w:color w:val="000000"/>
          <w:sz w:val="24"/>
          <w:szCs w:val="24"/>
          <w:highlight w:val="none"/>
        </w:rPr>
        <w:t>应保持物业管理队伍的日常稳定，每月底向甲方递交当月物业员工变更情况报表。除特别约定外，站长不得多项目任职。本物业管理中心物业经理（站长）更换至少需提前15日以书面形式征求甲方意见。</w:t>
      </w:r>
    </w:p>
    <w:p w14:paraId="545EF176">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受托管理过程中与政府及社会各方面发生的相关税、费，以及行政性罚款和民事赔偿均由乙方自理，并承担委托管理期间所发生的债权和债务；员工管理、工伤、事故及劳资纠纷等由乙方负责，甲方不承担任何责任。乙方应及时支付聘用员工符合</w:t>
      </w:r>
      <w:r>
        <w:rPr>
          <w:rFonts w:hint="eastAsia" w:ascii="宋体" w:hAnsi="宋体" w:eastAsia="宋体" w:cs="宋体"/>
          <w:i w:val="0"/>
          <w:iCs w:val="0"/>
          <w:caps w:val="0"/>
          <w:color w:val="000000"/>
          <w:spacing w:val="0"/>
          <w:sz w:val="24"/>
          <w:szCs w:val="24"/>
          <w:highlight w:val="none"/>
        </w:rPr>
        <w:t>《</w:t>
      </w:r>
      <w:r>
        <w:rPr>
          <w:rFonts w:hint="eastAsia" w:ascii="宋体" w:hAnsi="宋体" w:eastAsia="宋体" w:cs="宋体"/>
          <w:i w:val="0"/>
          <w:iCs w:val="0"/>
          <w:caps w:val="0"/>
          <w:color w:val="000000"/>
          <w:spacing w:val="0"/>
          <w:sz w:val="24"/>
          <w:szCs w:val="24"/>
          <w:highlight w:val="none"/>
          <w:lang w:eastAsia="zh-CN"/>
        </w:rPr>
        <w:t>中华人民共和国劳动法</w:t>
      </w:r>
      <w:r>
        <w:rPr>
          <w:rFonts w:hint="eastAsia" w:ascii="宋体" w:hAnsi="宋体" w:eastAsia="宋体" w:cs="宋体"/>
          <w:i w:val="0"/>
          <w:iCs w:val="0"/>
          <w:caps w:val="0"/>
          <w:color w:val="000000"/>
          <w:spacing w:val="0"/>
          <w:sz w:val="24"/>
          <w:szCs w:val="24"/>
          <w:highlight w:val="none"/>
        </w:rPr>
        <w:t>》</w:t>
      </w:r>
      <w:r>
        <w:rPr>
          <w:rFonts w:hint="eastAsia" w:ascii="宋体" w:hAnsi="宋体" w:eastAsia="宋体" w:cs="宋体"/>
          <w:color w:val="000000"/>
          <w:sz w:val="24"/>
          <w:szCs w:val="24"/>
          <w:highlight w:val="none"/>
        </w:rPr>
        <w:t>的工资报酬且不得拖欠，不得影响物业服务形象。</w:t>
      </w:r>
    </w:p>
    <w:p w14:paraId="2C5C308D">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7</w:t>
      </w:r>
      <w:r>
        <w:rPr>
          <w:rFonts w:hint="eastAsia" w:ascii="宋体" w:hAnsi="宋体" w:eastAsia="宋体" w:cs="宋体"/>
          <w:color w:val="000000"/>
          <w:sz w:val="24"/>
          <w:szCs w:val="24"/>
          <w:highlight w:val="none"/>
        </w:rPr>
        <w:t>、严格遵守甲方的各项规章制度，按照甲方制定的物业服务标准和考核办法，接受甲方指导、监督和考核，听取甲方对乙方有利改善工作的安排，包括使用部门在具体使用过程中提出的物业范围内的改进意见和整改要求。乙方为师生提供必要的“便民”服务等；不得从事任何违法违规活动。</w:t>
      </w:r>
    </w:p>
    <w:p w14:paraId="73B5AB08">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8、负责楼宇值班和安全管理工作，管理范围内发生纠纷及治安安全问题，及时采取有效措施控制事态发展，报告甲方相关管理部门，积极配合处理，并做好相关记录。</w:t>
      </w:r>
    </w:p>
    <w:p w14:paraId="78BB87F5">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9、保持设施完好，负责合同范围内的设备管理和日常维修工作（详见招标文件：项目需求）。</w:t>
      </w:r>
    </w:p>
    <w:p w14:paraId="34C7AA17">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10、乙方日常办公实现网络化，关注甲方发布的与日常管理有关的通知，及时做好保障；按年度、月度制订工作计划并有月总结、年度总结；工作计划、工作总结、员工培训、维修量统计等报甲方备案。</w:t>
      </w:r>
    </w:p>
    <w:p w14:paraId="47812004">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11、针对甲方在检查考核中提出的问题在接到整改通知时及时完成整改，涉及维修方面的问题在规定的维修服务时限内完成整改并报甲方审核。</w:t>
      </w:r>
    </w:p>
    <w:p w14:paraId="2252CF80">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12、乙方不得擅自将受托事项转让给第三方管理；不得在甲方从事商品销售、代销代购等经营活动；不得将甲方场地、设备、设施出借、出租、转租。</w:t>
      </w:r>
    </w:p>
    <w:p w14:paraId="5A7CE1FE">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13、妥善使用和维护甲方固定资产，对固定资产和有关技术资料（复印件）及时建档、妥善保管并做好保密工作，确保合同期满顺利交接。</w:t>
      </w:r>
    </w:p>
    <w:p w14:paraId="7B860AFD">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14、乙方管理人员办公室所用的电费按甲方规定缴纳。</w:t>
      </w:r>
    </w:p>
    <w:p w14:paraId="44DE375E">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15、委托管理期满前，乙方必须对管理范围进行一次全面保洁和维修，并完好归还甲方所提供的一切设施、设备。</w:t>
      </w:r>
    </w:p>
    <w:p w14:paraId="1DACFFEB">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乙方在提供服务时，应严格履行安全生产责任。在合同履行期间，因乙方原因或乙方管理原因造成的安全责任事故、水电安全事故、消防事故等导致的人身财产损害由乙方承担全部法律及经济赔偿责任；如发生突发安全事件、设施设备受损、侵占、失火、停电、漏水等，乙方应及时通知甲方。因乙方拖延不报，造成损失的，乙方应承担全部责任和损失。</w:t>
      </w:r>
    </w:p>
    <w:p w14:paraId="06279153">
      <w:pPr>
        <w:spacing w:line="360" w:lineRule="auto"/>
        <w:ind w:firstLine="48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17</w:t>
      </w:r>
      <w:r>
        <w:rPr>
          <w:rFonts w:hint="eastAsia" w:ascii="宋体" w:hAnsi="宋体" w:eastAsia="宋体" w:cs="宋体"/>
          <w:color w:val="000000"/>
          <w:sz w:val="24"/>
          <w:szCs w:val="24"/>
          <w:highlight w:val="none"/>
        </w:rPr>
        <w:t>、如因管理不善，造成设施、设备损坏，乙方应承担相应的维修费或更新费，如因渎职或未尽到履职责任，给师生财物造成损失的，需进行相应的赔偿。如因管理不善，在公寓内发生严重违反校纪校规事件（如男女同宿、斗殴致伤、重大失窃事件等），乙方应负有相应管理责任。甲方有权收取乙方一定的违约金。</w:t>
      </w:r>
      <w:r>
        <w:rPr>
          <w:rFonts w:hint="eastAsia" w:ascii="宋体" w:hAnsi="宋体" w:eastAsia="宋体" w:cs="宋体"/>
          <w:color w:val="000000"/>
          <w:sz w:val="24"/>
          <w:szCs w:val="24"/>
          <w:highlight w:val="none"/>
          <w:lang w:eastAsia="zh-CN"/>
        </w:rPr>
        <w:t>如果发生因乙方工作失职造成治安、消防等重大责任事故或其他财产损失，均由乙方承担相关经济损失赔偿责任和法律责任。</w:t>
      </w:r>
    </w:p>
    <w:p w14:paraId="6A51EA72">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18</w:t>
      </w:r>
      <w:r>
        <w:rPr>
          <w:rFonts w:hint="eastAsia" w:ascii="宋体" w:hAnsi="宋体" w:eastAsia="宋体" w:cs="宋体"/>
          <w:color w:val="000000"/>
          <w:sz w:val="24"/>
          <w:szCs w:val="24"/>
          <w:highlight w:val="none"/>
        </w:rPr>
        <w:t>、服从甲方各职能部门工作的需要，协助做好相关工作，全天候服务。协助甲方做好重大活动的安全保障工作，服从甲方的统一指挥和</w:t>
      </w:r>
      <w:r>
        <w:rPr>
          <w:rFonts w:hint="eastAsia" w:ascii="宋体" w:hAnsi="宋体" w:eastAsia="宋体" w:cs="宋体"/>
          <w:color w:val="000000"/>
          <w:sz w:val="24"/>
          <w:szCs w:val="24"/>
          <w:highlight w:val="none"/>
          <w:lang w:eastAsia="zh-CN"/>
        </w:rPr>
        <w:t>调遣</w:t>
      </w:r>
      <w:r>
        <w:rPr>
          <w:rFonts w:hint="eastAsia" w:ascii="宋体" w:hAnsi="宋体" w:eastAsia="宋体" w:cs="宋体"/>
          <w:color w:val="000000"/>
          <w:sz w:val="24"/>
          <w:szCs w:val="24"/>
          <w:highlight w:val="none"/>
        </w:rPr>
        <w:t>，在处理突发事件时，首先考虑甲方利益和学生安危，维护正常的教学和生活秩序，确保甲方的稳定。按甲方要求做好</w:t>
      </w:r>
      <w:r>
        <w:rPr>
          <w:rFonts w:hint="eastAsia" w:ascii="宋体" w:hAnsi="宋体" w:eastAsia="宋体" w:cs="宋体"/>
          <w:color w:val="000000"/>
          <w:sz w:val="24"/>
          <w:szCs w:val="24"/>
          <w:highlight w:val="none"/>
          <w:lang w:eastAsia="zh-CN"/>
        </w:rPr>
        <w:t>其他</w:t>
      </w:r>
      <w:r>
        <w:rPr>
          <w:rFonts w:hint="eastAsia" w:ascii="宋体" w:hAnsi="宋体" w:eastAsia="宋体" w:cs="宋体"/>
          <w:color w:val="000000"/>
          <w:sz w:val="24"/>
          <w:szCs w:val="24"/>
          <w:highlight w:val="none"/>
        </w:rPr>
        <w:t>临时性的管理工作。自觉维护甲方的良好形象。</w:t>
      </w:r>
    </w:p>
    <w:p w14:paraId="3BE93278">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19</w:t>
      </w:r>
      <w:r>
        <w:rPr>
          <w:rFonts w:hint="eastAsia" w:ascii="宋体" w:hAnsi="宋体" w:eastAsia="宋体" w:cs="宋体"/>
          <w:color w:val="000000"/>
          <w:sz w:val="24"/>
          <w:szCs w:val="24"/>
          <w:highlight w:val="none"/>
        </w:rPr>
        <w:t>、制定各类应急预案并组织演练实施，协助相关部门做好物业服务管理区域内的安全防范工作。对于在物业管辖范围内人员违反法律法规及双方约定制度的行为，进行劝阻及制止，并及时报甲方相关部门处理。</w:t>
      </w:r>
    </w:p>
    <w:p w14:paraId="4D0C5999">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20、</w:t>
      </w:r>
      <w:r>
        <w:rPr>
          <w:rFonts w:hint="eastAsia" w:ascii="宋体" w:hAnsi="宋体" w:eastAsia="宋体" w:cs="宋体"/>
          <w:color w:val="000000"/>
          <w:sz w:val="24"/>
          <w:szCs w:val="24"/>
          <w:highlight w:val="none"/>
        </w:rPr>
        <w:t>本合同约定的甲方提供给乙方的资料最终仍归甲方所有，物业在其占用期间有保管及保密义务，其使用仅限于物业必须管理事务。对上述约定的违反构成对本合同的根本违约。委托期满，如不再续约视为合同终止，合同终止当日内乙方必须完好归还甲方提供的一切设施、设备及有关财产、全部物业管理档案及有关资料，并正常、有序、无“真空”做好各项交接工作，且乙方自行处理乙方的所有物品，合同终止7日后乙方未处理的所有物品作为自动放弃所有权，甲方有权对该物品进行处理。</w:t>
      </w:r>
    </w:p>
    <w:p w14:paraId="070DA86E">
      <w:pPr>
        <w:pStyle w:val="9"/>
        <w:numPr>
          <w:ilvl w:val="0"/>
          <w:numId w:val="0"/>
        </w:numPr>
        <w:tabs>
          <w:tab w:val="left" w:pos="1324"/>
        </w:tabs>
        <w:ind w:firstLine="482"/>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lang w:val="en-US" w:eastAsia="zh-CN" w:bidi="ar-SA"/>
        </w:rPr>
        <w:t>第七条</w:t>
      </w:r>
      <w:r>
        <w:rPr>
          <w:rFonts w:hint="eastAsia" w:ascii="宋体" w:hAnsi="宋体" w:eastAsia="宋体" w:cs="宋体"/>
          <w:b/>
          <w:color w:val="000000"/>
          <w:sz w:val="24"/>
          <w:szCs w:val="24"/>
          <w:highlight w:val="none"/>
        </w:rPr>
        <w:t>考核与奖惩</w:t>
      </w:r>
    </w:p>
    <w:p w14:paraId="397F4F91">
      <w:pPr>
        <w:widowControl w:val="0"/>
        <w:spacing w:line="360" w:lineRule="auto"/>
        <w:ind w:left="280"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甲方将依据《南京医科大学物业服务管理办法》及本合同条款，对物业管理的质量进行考核。</w:t>
      </w:r>
      <w:r>
        <w:rPr>
          <w:rFonts w:hint="eastAsia" w:ascii="宋体" w:hAnsi="宋体" w:eastAsia="宋体" w:cs="宋体"/>
          <w:color w:val="000000"/>
          <w:sz w:val="24"/>
          <w:szCs w:val="24"/>
          <w:highlight w:val="none"/>
        </w:rPr>
        <w:t>考核结果是决定是否续签合同或终止合同的重要依据；同时，考核</w:t>
      </w:r>
      <w:r>
        <w:rPr>
          <w:rFonts w:hint="eastAsia" w:ascii="宋体" w:hAnsi="宋体" w:eastAsia="宋体" w:cs="宋体"/>
          <w:color w:val="000000"/>
          <w:sz w:val="24"/>
          <w:szCs w:val="24"/>
          <w:highlight w:val="none"/>
          <w:lang w:eastAsia="zh-CN"/>
        </w:rPr>
        <w:t>按照</w:t>
      </w:r>
      <w:r>
        <w:rPr>
          <w:rFonts w:hint="eastAsia" w:ascii="宋体" w:hAnsi="宋体" w:eastAsia="宋体" w:cs="宋体"/>
          <w:color w:val="000000"/>
          <w:sz w:val="24"/>
          <w:szCs w:val="24"/>
          <w:highlight w:val="none"/>
        </w:rPr>
        <w:t>“物业考核</w:t>
      </w:r>
      <w:r>
        <w:rPr>
          <w:rFonts w:hint="eastAsia" w:ascii="宋体" w:hAnsi="宋体" w:eastAsia="宋体" w:cs="宋体"/>
          <w:color w:val="000000"/>
          <w:sz w:val="24"/>
          <w:szCs w:val="24"/>
          <w:highlight w:val="none"/>
          <w:lang w:eastAsia="zh-CN"/>
        </w:rPr>
        <w:t>办法</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eastAsia="zh-CN"/>
        </w:rPr>
        <w:t>为</w:t>
      </w:r>
      <w:r>
        <w:rPr>
          <w:rFonts w:hint="eastAsia" w:ascii="宋体" w:hAnsi="宋体" w:eastAsia="宋体" w:cs="宋体"/>
          <w:color w:val="000000"/>
          <w:sz w:val="24"/>
          <w:szCs w:val="24"/>
          <w:highlight w:val="none"/>
        </w:rPr>
        <w:t>使用依据。</w:t>
      </w:r>
    </w:p>
    <w:p w14:paraId="03146A80">
      <w:pPr>
        <w:pStyle w:val="4"/>
        <w:keepNext w:val="0"/>
        <w:keepLines w:val="0"/>
        <w:widowControl/>
        <w:suppressLineNumbers w:val="0"/>
        <w:shd w:val="clear" w:fill="FFFFFF"/>
        <w:spacing w:before="0" w:beforeAutospacing="0" w:after="137" w:afterAutospacing="0"/>
        <w:ind w:left="0" w:right="0" w:firstLine="482" w:firstLineChars="200"/>
        <w:rPr>
          <w:rFonts w:hint="eastAsia" w:ascii="宋体" w:hAnsi="宋体" w:eastAsia="宋体" w:cs="宋体"/>
          <w:b/>
          <w:color w:val="000000"/>
          <w:sz w:val="24"/>
          <w:szCs w:val="24"/>
          <w:highlight w:val="none"/>
          <w:lang w:val="en-US" w:eastAsia="zh-CN" w:bidi="ar-SA"/>
        </w:rPr>
      </w:pPr>
      <w:r>
        <w:rPr>
          <w:rFonts w:hint="default" w:ascii="宋体" w:hAnsi="宋体" w:eastAsia="宋体" w:cs="宋体"/>
          <w:b/>
          <w:color w:val="000000"/>
          <w:sz w:val="24"/>
          <w:szCs w:val="24"/>
          <w:highlight w:val="none"/>
          <w:lang w:val="en-US" w:eastAsia="zh-CN" w:bidi="ar-SA"/>
        </w:rPr>
        <w:t>第八条履约保证金约定</w:t>
      </w:r>
    </w:p>
    <w:p w14:paraId="61EB4E3D">
      <w:pPr>
        <w:widowControl w:val="0"/>
        <w:spacing w:line="360" w:lineRule="auto"/>
        <w:ind w:left="280" w:firstLine="480"/>
        <w:rPr>
          <w:rFonts w:hint="eastAsia" w:ascii="宋体" w:hAnsi="宋体" w:eastAsia="宋体" w:cs="宋体"/>
          <w:color w:val="000000"/>
          <w:sz w:val="24"/>
          <w:szCs w:val="24"/>
          <w:highlight w:val="none"/>
          <w:lang w:eastAsia="zh-CN"/>
        </w:rPr>
      </w:pPr>
      <w:r>
        <w:rPr>
          <w:rFonts w:hint="default" w:ascii="宋体" w:hAnsi="宋体" w:eastAsia="宋体" w:cs="宋体"/>
          <w:color w:val="000000"/>
          <w:sz w:val="24"/>
          <w:szCs w:val="24"/>
          <w:highlight w:val="none"/>
          <w:lang w:val="en-US" w:eastAsia="zh-CN"/>
        </w:rPr>
        <w:t>乙方应于本合同</w:t>
      </w:r>
      <w:r>
        <w:rPr>
          <w:rFonts w:hint="eastAsia" w:ascii="宋体" w:hAnsi="宋体" w:cs="宋体"/>
          <w:color w:val="000000"/>
          <w:sz w:val="24"/>
          <w:szCs w:val="24"/>
          <w:highlight w:val="none"/>
          <w:lang w:val="en-US" w:eastAsia="zh-CN"/>
        </w:rPr>
        <w:t>签订</w:t>
      </w:r>
      <w:r>
        <w:rPr>
          <w:rFonts w:hint="default" w:ascii="宋体" w:hAnsi="宋体" w:eastAsia="宋体" w:cs="宋体"/>
          <w:color w:val="000000"/>
          <w:sz w:val="24"/>
          <w:szCs w:val="24"/>
          <w:highlight w:val="none"/>
          <w:lang w:val="en-US" w:eastAsia="zh-CN"/>
        </w:rPr>
        <w:t>日起七（7）个工作日内，向甲方一次性足额缴纳金额为人民币拾伍万元（￥150,000.00）的履约保证金。</w:t>
      </w:r>
    </w:p>
    <w:p w14:paraId="054B038E">
      <w:pPr>
        <w:pStyle w:val="9"/>
        <w:numPr>
          <w:ilvl w:val="0"/>
          <w:numId w:val="0"/>
        </w:numPr>
        <w:tabs>
          <w:tab w:val="left" w:pos="1324"/>
        </w:tabs>
        <w:ind w:firstLine="482"/>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lang w:val="en-US" w:eastAsia="zh-CN" w:bidi="ar-SA"/>
        </w:rPr>
        <w:t>第九条</w:t>
      </w:r>
      <w:r>
        <w:rPr>
          <w:rFonts w:hint="eastAsia" w:ascii="宋体" w:hAnsi="宋体" w:eastAsia="宋体" w:cs="宋体"/>
          <w:b/>
          <w:color w:val="000000"/>
          <w:sz w:val="24"/>
          <w:szCs w:val="24"/>
          <w:highlight w:val="none"/>
        </w:rPr>
        <w:t>风险保证金约定</w:t>
      </w:r>
    </w:p>
    <w:p w14:paraId="54358099">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乙方向甲方缴纳</w:t>
      </w:r>
      <w:r>
        <w:rPr>
          <w:rFonts w:hint="eastAsia" w:ascii="宋体" w:hAnsi="宋体" w:eastAsia="宋体" w:cs="宋体"/>
          <w:color w:val="000000"/>
          <w:sz w:val="24"/>
          <w:szCs w:val="24"/>
          <w:highlight w:val="none"/>
          <w:lang w:val="en-US" w:eastAsia="zh-CN"/>
        </w:rPr>
        <w:t>拾伍万</w:t>
      </w:r>
      <w:r>
        <w:rPr>
          <w:rFonts w:hint="eastAsia" w:ascii="宋体" w:hAnsi="宋体" w:eastAsia="宋体" w:cs="宋体"/>
          <w:color w:val="000000"/>
          <w:sz w:val="24"/>
          <w:szCs w:val="24"/>
          <w:highlight w:val="none"/>
          <w:lang w:eastAsia="zh-CN"/>
        </w:rPr>
        <w:t>元履约保证金，合同期满如乙方未出现违约且不续约，甲方予以退还（不计息）。如因乙方管理不善而造成设施、设备损坏，甲方可以用履约保证金支出修复的扣除维修费后其余保证金无息退还给乙方，</w:t>
      </w:r>
      <w:r>
        <w:rPr>
          <w:rFonts w:hint="eastAsia" w:ascii="宋体" w:hAnsi="宋体" w:eastAsia="宋体" w:cs="宋体"/>
          <w:color w:val="000000"/>
          <w:sz w:val="24"/>
          <w:szCs w:val="24"/>
          <w:highlight w:val="none"/>
        </w:rPr>
        <w:t>不足部分，甲方有权要求乙方补足</w:t>
      </w:r>
      <w:r>
        <w:rPr>
          <w:rFonts w:hint="eastAsia" w:ascii="宋体" w:hAnsi="宋体" w:eastAsia="宋体" w:cs="宋体"/>
          <w:color w:val="000000"/>
          <w:sz w:val="24"/>
          <w:szCs w:val="24"/>
          <w:highlight w:val="none"/>
          <w:lang w:eastAsia="zh-CN"/>
        </w:rPr>
        <w:t>；设施、设备无法修复的按其原价赔偿，赔偿款在履约保证金中扣除后剩余款项退还给乙方，以保证设施和设备的完好率。</w:t>
      </w:r>
    </w:p>
    <w:p w14:paraId="7E584BA3">
      <w:pPr>
        <w:spacing w:line="360" w:lineRule="auto"/>
        <w:ind w:firstLine="48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当乙方与</w:t>
      </w:r>
      <w:r>
        <w:rPr>
          <w:rFonts w:hint="eastAsia" w:ascii="宋体" w:hAnsi="宋体" w:eastAsia="宋体" w:cs="宋体"/>
          <w:color w:val="000000"/>
          <w:sz w:val="24"/>
          <w:szCs w:val="24"/>
          <w:highlight w:val="none"/>
          <w:lang w:eastAsia="zh-CN"/>
        </w:rPr>
        <w:t>其他</w:t>
      </w:r>
      <w:r>
        <w:rPr>
          <w:rFonts w:hint="eastAsia" w:ascii="宋体" w:hAnsi="宋体" w:eastAsia="宋体" w:cs="宋体"/>
          <w:color w:val="000000"/>
          <w:sz w:val="24"/>
          <w:szCs w:val="24"/>
          <w:highlight w:val="none"/>
        </w:rPr>
        <w:t>相关单位</w:t>
      </w:r>
      <w:r>
        <w:rPr>
          <w:rFonts w:hint="eastAsia" w:ascii="宋体" w:hAnsi="宋体" w:eastAsia="宋体" w:cs="宋体"/>
          <w:color w:val="000000"/>
          <w:sz w:val="24"/>
          <w:szCs w:val="24"/>
          <w:highlight w:val="none"/>
          <w:lang w:eastAsia="zh-CN"/>
        </w:rPr>
        <w:t>或</w:t>
      </w:r>
      <w:r>
        <w:rPr>
          <w:rFonts w:hint="eastAsia" w:ascii="宋体" w:hAnsi="宋体" w:eastAsia="宋体" w:cs="宋体"/>
          <w:color w:val="000000"/>
          <w:sz w:val="24"/>
          <w:szCs w:val="24"/>
          <w:highlight w:val="none"/>
        </w:rPr>
        <w:t>个人发生经济纠纷，双方已签字确认处理结果</w:t>
      </w:r>
      <w:r>
        <w:rPr>
          <w:rFonts w:hint="eastAsia" w:ascii="宋体" w:hAnsi="宋体" w:eastAsia="宋体" w:cs="宋体"/>
          <w:color w:val="000000"/>
          <w:sz w:val="24"/>
          <w:szCs w:val="24"/>
          <w:highlight w:val="none"/>
          <w:lang w:eastAsia="zh-CN"/>
        </w:rPr>
        <w:t>或</w:t>
      </w:r>
      <w:r>
        <w:rPr>
          <w:rFonts w:hint="eastAsia" w:ascii="宋体" w:hAnsi="宋体" w:eastAsia="宋体" w:cs="宋体"/>
          <w:color w:val="000000"/>
          <w:sz w:val="24"/>
          <w:szCs w:val="24"/>
          <w:highlight w:val="none"/>
        </w:rPr>
        <w:t>经司法机构裁决后，因乙方的拒绝</w:t>
      </w:r>
      <w:r>
        <w:rPr>
          <w:rFonts w:hint="eastAsia" w:ascii="宋体" w:hAnsi="宋体" w:eastAsia="宋体" w:cs="宋体"/>
          <w:color w:val="000000"/>
          <w:sz w:val="24"/>
          <w:szCs w:val="24"/>
          <w:highlight w:val="none"/>
          <w:lang w:eastAsia="zh-CN"/>
        </w:rPr>
        <w:t>或</w:t>
      </w:r>
      <w:r>
        <w:rPr>
          <w:rFonts w:hint="eastAsia" w:ascii="宋体" w:hAnsi="宋体" w:eastAsia="宋体" w:cs="宋体"/>
          <w:color w:val="000000"/>
          <w:sz w:val="24"/>
          <w:szCs w:val="24"/>
          <w:highlight w:val="none"/>
        </w:rPr>
        <w:t>故意不履行，给甲方工作造成严重影响</w:t>
      </w:r>
      <w:r>
        <w:rPr>
          <w:rFonts w:hint="eastAsia" w:ascii="宋体" w:hAnsi="宋体" w:eastAsia="宋体" w:cs="宋体"/>
          <w:color w:val="000000"/>
          <w:sz w:val="24"/>
          <w:szCs w:val="24"/>
          <w:highlight w:val="none"/>
          <w:lang w:eastAsia="zh-CN"/>
        </w:rPr>
        <w:t>或</w:t>
      </w:r>
      <w:r>
        <w:rPr>
          <w:rFonts w:hint="eastAsia" w:ascii="宋体" w:hAnsi="宋体" w:eastAsia="宋体" w:cs="宋体"/>
          <w:color w:val="000000"/>
          <w:sz w:val="24"/>
          <w:szCs w:val="24"/>
          <w:highlight w:val="none"/>
        </w:rPr>
        <w:t>损害时，由乙方全权负责，赔偿甲方直接和间接损失。</w:t>
      </w:r>
      <w:r>
        <w:rPr>
          <w:rFonts w:hint="eastAsia" w:ascii="宋体" w:hAnsi="宋体" w:eastAsia="宋体" w:cs="宋体"/>
          <w:color w:val="000000"/>
          <w:sz w:val="24"/>
          <w:szCs w:val="24"/>
          <w:highlight w:val="none"/>
          <w:lang w:eastAsia="zh-CN"/>
        </w:rPr>
        <w:t>甲方有权暂停支付物业服务费或在物业服务费范围内扣除乙方应承担甲方的损失。</w:t>
      </w:r>
    </w:p>
    <w:p w14:paraId="30E1913B">
      <w:pPr>
        <w:pStyle w:val="9"/>
        <w:numPr>
          <w:ilvl w:val="0"/>
          <w:numId w:val="0"/>
        </w:numPr>
        <w:tabs>
          <w:tab w:val="left" w:pos="1324"/>
        </w:tabs>
        <w:ind w:firstLine="482"/>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lang w:val="en-US" w:eastAsia="zh-CN" w:bidi="ar-SA"/>
        </w:rPr>
        <w:t>第十条</w:t>
      </w:r>
      <w:r>
        <w:rPr>
          <w:rFonts w:hint="eastAsia" w:ascii="宋体" w:hAnsi="宋体" w:eastAsia="宋体" w:cs="宋体"/>
          <w:b/>
          <w:color w:val="000000"/>
          <w:sz w:val="24"/>
          <w:szCs w:val="24"/>
          <w:highlight w:val="none"/>
        </w:rPr>
        <w:t>违约责任</w:t>
      </w:r>
    </w:p>
    <w:p w14:paraId="31284525">
      <w:pPr>
        <w:pStyle w:val="9"/>
        <w:ind w:firstLine="480"/>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1、乙方合同期满时，乙方按甲方要求移交物业和退出物业场所，乙方履约保证金剩余款按合同约定予以退还。乙方未按甲方要求移交和退场的，甲方有权将乙方的未撤离滞留在场地的设备、资产等作为无主财产进行处置并不承担任何违约和侵权责任，甲方有权拒付剩余合同款，并没收剩余履约保证金。造成甲方损失的，乙方还应继续承担全部赔偿责任。</w:t>
      </w:r>
      <w:r>
        <w:rPr>
          <w:rFonts w:hint="eastAsia" w:ascii="宋体" w:hAnsi="宋体" w:eastAsia="宋体" w:cs="宋体"/>
          <w:b/>
          <w:color w:val="000000"/>
          <w:sz w:val="24"/>
          <w:szCs w:val="24"/>
          <w:highlight w:val="none"/>
        </w:rPr>
        <w:t xml:space="preserve"> </w:t>
      </w:r>
    </w:p>
    <w:p w14:paraId="1EACFAFB">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2、乙方逾期提供服务的，乙方应按逾期提供服务合同总额20%向甲方支付违约金，由甲方从待付合同款项中扣除。逾期超过约定日期10个工作日不能提供服务的，甲方可解除本合同、没收履约保证金并要求乙方无条件退场及赔偿全部损失。乙方因逾期提供服务或因其他违约行为导致甲方解除合同的，乙方应将履约保证金作为向甲方支付的违约金，如造成甲方损失超过违约金的，超出部分由乙方继续承担赔偿责任。 </w:t>
      </w:r>
    </w:p>
    <w:p w14:paraId="574FDFC0">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3、乙方所提供服务的标准不符合合同规定及招标文件规定标准的，甲方有权拒绝接受服务，并可单方面解除合同及没收履约保证金，乙方应无条件退场。</w:t>
      </w:r>
    </w:p>
    <w:p w14:paraId="7A589B53">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4、乙方违反本合同约定，或者不能完成管理目标，甲方有权要求乙方限期整改，逾期未整改或整改仍不能</w:t>
      </w:r>
      <w:r>
        <w:rPr>
          <w:rFonts w:hint="eastAsia" w:ascii="宋体" w:hAnsi="宋体" w:eastAsia="宋体" w:cs="宋体"/>
          <w:color w:val="000000"/>
          <w:sz w:val="24"/>
          <w:szCs w:val="24"/>
          <w:highlight w:val="none"/>
          <w:lang w:eastAsia="zh-CN"/>
        </w:rPr>
        <w:t>达到</w:t>
      </w:r>
      <w:r>
        <w:rPr>
          <w:rFonts w:hint="eastAsia" w:ascii="宋体" w:hAnsi="宋体" w:eastAsia="宋体" w:cs="宋体"/>
          <w:color w:val="000000"/>
          <w:sz w:val="24"/>
          <w:szCs w:val="24"/>
          <w:highlight w:val="none"/>
        </w:rPr>
        <w:t>要求的，甲方有权解除合同，没收履约保证金，乙方还应当返还已收款项；如乙方造成甲方经济损失的，乙方应给予甲方经济赔偿。</w:t>
      </w:r>
    </w:p>
    <w:p w14:paraId="1ACEC02A">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5、乙方在经营服务期间，造成甲方提供的房屋、设施、财物损坏的，应当承担赔偿责任。</w:t>
      </w:r>
    </w:p>
    <w:p w14:paraId="3197F9C5">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6、乙方在经营服务期间造成的一切安全责任事故，由其自行承担经济和法律责任。造成甲方或其他第三人损失的，还应承担赔偿责任。</w:t>
      </w:r>
    </w:p>
    <w:p w14:paraId="09D835C3">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7、如政府相关行政部门</w:t>
      </w:r>
      <w:r>
        <w:rPr>
          <w:rFonts w:hint="eastAsia" w:ascii="宋体" w:hAnsi="宋体" w:eastAsia="宋体" w:cs="宋体"/>
          <w:color w:val="000000"/>
          <w:sz w:val="24"/>
          <w:szCs w:val="24"/>
          <w:highlight w:val="none"/>
          <w:lang w:eastAsia="zh-CN"/>
        </w:rPr>
        <w:t>作出</w:t>
      </w:r>
      <w:r>
        <w:rPr>
          <w:rFonts w:hint="eastAsia" w:ascii="宋体" w:hAnsi="宋体" w:eastAsia="宋体" w:cs="宋体"/>
          <w:color w:val="000000"/>
          <w:sz w:val="24"/>
          <w:szCs w:val="24"/>
          <w:highlight w:val="none"/>
        </w:rPr>
        <w:t>行政处罚决定的乙方应自行承担相关责任及支付相关罚款。造成甲方损失的，还应承担赔偿责任。</w:t>
      </w:r>
    </w:p>
    <w:p w14:paraId="221DA103">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8、乙方不得擅自部分或全部转让其应履行的合同义务，否则一切后果由乙方承担，甲方有权解除合同，无需支付任何费用，乙方还应当赔偿物业管理费总额的20%的违约金。</w:t>
      </w:r>
    </w:p>
    <w:p w14:paraId="1EE88553">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9、合同期间，乙方擅自停止履行合同义务的，甲方有权要求乙方继续履行合同义务，乙方拒绝继续履行的，甲方有权解除合同。造成甲方损失的，乙方还应承担赔偿责任。</w:t>
      </w:r>
    </w:p>
    <w:p w14:paraId="2051EA6A">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10、合同期满，乙方未向甲方移交相关财产、物管档案资料、其他资料等影响业务交接的，乙方应承担违约责任，甲方不予退还履约保证金。造成甲方损失的，乙方还应承担赔偿责任。</w:t>
      </w:r>
    </w:p>
    <w:p w14:paraId="4E10E22F">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11、甲乙双方任何一方违反本合同约定的，除应承担上述违约责任外，违约方还应当赔偿因此给守约方造成的一切直接和间接损失，包括但不限于守约方的实际损</w:t>
      </w:r>
      <w:r>
        <w:rPr>
          <w:rFonts w:hint="eastAsia" w:ascii="宋体" w:hAnsi="宋体" w:eastAsia="宋体" w:cs="宋体"/>
          <w:color w:val="000000"/>
          <w:sz w:val="24"/>
          <w:szCs w:val="24"/>
          <w:highlight w:val="none"/>
          <w:lang w:eastAsia="zh-CN"/>
        </w:rPr>
        <w:t>失和</w:t>
      </w:r>
      <w:r>
        <w:rPr>
          <w:rFonts w:hint="eastAsia" w:ascii="宋体" w:hAnsi="宋体" w:eastAsia="宋体" w:cs="宋体"/>
          <w:color w:val="000000"/>
          <w:sz w:val="24"/>
          <w:szCs w:val="24"/>
          <w:highlight w:val="none"/>
        </w:rPr>
        <w:t>预期可得利益损失以及因实现债权而产生的诉讼费、保全费、保全保险费、物业场地清理和运输费、鉴定</w:t>
      </w:r>
      <w:r>
        <w:rPr>
          <w:rFonts w:hint="eastAsia" w:ascii="宋体" w:hAnsi="宋体" w:eastAsia="宋体" w:cs="宋体"/>
          <w:color w:val="000000"/>
          <w:sz w:val="24"/>
          <w:szCs w:val="24"/>
          <w:highlight w:val="none"/>
          <w:lang w:eastAsia="zh-CN"/>
        </w:rPr>
        <w:t>费和</w:t>
      </w:r>
      <w:r>
        <w:rPr>
          <w:rFonts w:hint="eastAsia" w:ascii="宋体" w:hAnsi="宋体" w:eastAsia="宋体" w:cs="宋体"/>
          <w:color w:val="000000"/>
          <w:sz w:val="24"/>
          <w:szCs w:val="24"/>
          <w:highlight w:val="none"/>
        </w:rPr>
        <w:t>差旅费、律师费、公证费等。</w:t>
      </w:r>
    </w:p>
    <w:p w14:paraId="60B06144">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乙方必须严格执行常州市政府用工工资标准的有关规定，并承担其雇员的劳动报酬、福利待遇、按劳动法交纳社会保险、劳动保护、工伤抚恤等用人费用，承担未正确执行劳动用工规定所产生的法律责任，维护和保障员工的合法权益。</w:t>
      </w:r>
    </w:p>
    <w:p w14:paraId="03224EA5">
      <w:pPr>
        <w:pStyle w:val="9"/>
        <w:numPr>
          <w:ilvl w:val="0"/>
          <w:numId w:val="0"/>
        </w:numPr>
        <w:tabs>
          <w:tab w:val="left" w:pos="1324"/>
        </w:tabs>
        <w:ind w:firstLine="482"/>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lang w:val="en-US" w:eastAsia="zh-CN" w:bidi="ar-SA"/>
        </w:rPr>
        <w:t>第十一条</w:t>
      </w:r>
      <w:r>
        <w:rPr>
          <w:rFonts w:hint="eastAsia" w:ascii="宋体" w:hAnsi="宋体" w:eastAsia="宋体" w:cs="宋体"/>
          <w:b/>
          <w:color w:val="000000"/>
          <w:sz w:val="24"/>
          <w:szCs w:val="24"/>
          <w:highlight w:val="none"/>
        </w:rPr>
        <w:t>不可抗力事件处理</w:t>
      </w:r>
    </w:p>
    <w:p w14:paraId="453C5A91">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1、在合同有效期内，任何一方因不可抗力事件导致不能履行合同，则合同履行期延长，其延长期与不可抗力影响期相同。</w:t>
      </w:r>
    </w:p>
    <w:p w14:paraId="1DCADB64">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2、不可抗力事件发生后，应立即通知对方，并寄送有关权威机构出具的证明。</w:t>
      </w:r>
    </w:p>
    <w:p w14:paraId="057C0A7D">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3、不可抗力事件延续 30 天以上,双方应通过友好协商确定是否继续履行合同，因不可抗力造成双方损失的，双方均不负违约责任。造成的损失由双方友好协商合理解决。</w:t>
      </w:r>
    </w:p>
    <w:p w14:paraId="027C66C3">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4、双方在执行合同中所发生的一切争议，应通过协商解决。如协商不成，可向甲方所在地法院起诉。</w:t>
      </w:r>
    </w:p>
    <w:p w14:paraId="7B782BB9">
      <w:pPr>
        <w:pStyle w:val="9"/>
        <w:tabs>
          <w:tab w:val="left" w:pos="840"/>
        </w:tabs>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5、招标文件、中标通知书和投标文件以及本合同附件是本合同不可分割的组成部分，与本合同具有同等效力。</w:t>
      </w:r>
    </w:p>
    <w:p w14:paraId="7DFB51E2">
      <w:pPr>
        <w:pStyle w:val="9"/>
        <w:numPr>
          <w:ilvl w:val="0"/>
          <w:numId w:val="0"/>
        </w:numPr>
        <w:tabs>
          <w:tab w:val="left" w:pos="1324"/>
        </w:tabs>
        <w:ind w:firstLine="482"/>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lang w:val="en-US" w:eastAsia="zh-CN" w:bidi="ar-SA"/>
        </w:rPr>
        <w:t>第十二条</w:t>
      </w:r>
      <w:r>
        <w:rPr>
          <w:rFonts w:hint="eastAsia" w:ascii="宋体" w:hAnsi="宋体" w:eastAsia="宋体" w:cs="宋体"/>
          <w:b/>
          <w:color w:val="000000"/>
          <w:sz w:val="24"/>
          <w:szCs w:val="24"/>
          <w:highlight w:val="none"/>
        </w:rPr>
        <w:t>合同生效</w:t>
      </w:r>
      <w:r>
        <w:rPr>
          <w:rFonts w:hint="eastAsia" w:ascii="宋体" w:hAnsi="宋体" w:eastAsia="宋体" w:cs="宋体"/>
          <w:b/>
          <w:color w:val="000000"/>
          <w:sz w:val="24"/>
          <w:szCs w:val="24"/>
          <w:highlight w:val="none"/>
          <w:lang w:eastAsia="zh-CN"/>
        </w:rPr>
        <w:t>及其他</w:t>
      </w:r>
    </w:p>
    <w:p w14:paraId="3D755564">
      <w:pPr>
        <w:pStyle w:val="9"/>
        <w:numPr>
          <w:ilvl w:val="0"/>
          <w:numId w:val="1"/>
        </w:numPr>
        <w:tabs>
          <w:tab w:val="left" w:pos="840"/>
        </w:tabs>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合同经双方法定代表人或授权委托代表人签字并加盖单位公章后生效。</w:t>
      </w:r>
    </w:p>
    <w:p w14:paraId="414E3BA5">
      <w:pPr>
        <w:pStyle w:val="9"/>
        <w:numPr>
          <w:ilvl w:val="0"/>
          <w:numId w:val="1"/>
        </w:numPr>
        <w:tabs>
          <w:tab w:val="left" w:pos="840"/>
        </w:tabs>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自本合同生效之日起，根据甲方委托物业管理事项，办理完交接验收手续，乙方进行物业管理。</w:t>
      </w:r>
    </w:p>
    <w:p w14:paraId="2B94E06B">
      <w:pPr>
        <w:pStyle w:val="9"/>
        <w:numPr>
          <w:ilvl w:val="0"/>
          <w:numId w:val="1"/>
        </w:numPr>
        <w:tabs>
          <w:tab w:val="left" w:pos="840"/>
        </w:tabs>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合同到期后另行签订新合同。若乙方本年度考核未通过，或甲方认为需要重新招标，或者房屋改变用途、取消物业，则期满合同终止。</w:t>
      </w:r>
    </w:p>
    <w:p w14:paraId="7F9DA349">
      <w:pPr>
        <w:pStyle w:val="9"/>
        <w:numPr>
          <w:ilvl w:val="0"/>
          <w:numId w:val="1"/>
        </w:numPr>
        <w:tabs>
          <w:tab w:val="left" w:pos="840"/>
        </w:tabs>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本合同执行期间，如遇不可抗力，致使合同无法履行时，双方应按相关法律规定及时协商处理。</w:t>
      </w:r>
    </w:p>
    <w:p w14:paraId="540069CC">
      <w:pPr>
        <w:pStyle w:val="9"/>
        <w:numPr>
          <w:ilvl w:val="0"/>
          <w:numId w:val="1"/>
        </w:numPr>
        <w:tabs>
          <w:tab w:val="left" w:pos="840"/>
        </w:tabs>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合同履行期间发生争议，双方应尽量协商解决或报请物业管理行政部门进行调解；协商调解不成的，双方同意向甲方所在地人民法院起诉。因诉讼产生的相关费用及开支（包括但不限于公证费、诉讼费、保全担保费、鉴定费、律师费、交通费用）均由败诉方承担。</w:t>
      </w:r>
    </w:p>
    <w:p w14:paraId="47308D24">
      <w:pPr>
        <w:pStyle w:val="9"/>
        <w:numPr>
          <w:ilvl w:val="0"/>
          <w:numId w:val="1"/>
        </w:numPr>
        <w:tabs>
          <w:tab w:val="left" w:pos="840"/>
        </w:tabs>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本合同未尽事宜，遵照《中华人民共和国民法典》有关条文执行。</w:t>
      </w:r>
    </w:p>
    <w:p w14:paraId="041CD107">
      <w:pPr>
        <w:pStyle w:val="9"/>
        <w:numPr>
          <w:ilvl w:val="0"/>
          <w:numId w:val="1"/>
        </w:numPr>
        <w:tabs>
          <w:tab w:val="left" w:pos="840"/>
        </w:tabs>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本合同一式柒份，甲方执伍份，乙方执贰份，具有同等法律效力。</w:t>
      </w:r>
    </w:p>
    <w:p w14:paraId="2973ED7B">
      <w:pPr>
        <w:spacing w:line="440" w:lineRule="exac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甲方：</w:t>
      </w:r>
      <w:r>
        <w:rPr>
          <w:rStyle w:val="11"/>
          <w:rFonts w:hint="eastAsia" w:ascii="宋体" w:hAnsi="宋体" w:eastAsia="宋体" w:cs="宋体"/>
          <w:color w:val="000000"/>
          <w:sz w:val="24"/>
          <w:szCs w:val="24"/>
          <w:highlight w:val="none"/>
        </w:rPr>
        <w:t>南京医科大学</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val="en-US" w:eastAsia="zh-CN"/>
        </w:rPr>
        <w:tab/>
      </w:r>
      <w:r>
        <w:rPr>
          <w:rFonts w:hint="eastAsia" w:ascii="宋体" w:hAnsi="宋体" w:eastAsia="宋体" w:cs="宋体"/>
          <w:color w:val="000000"/>
          <w:sz w:val="24"/>
          <w:szCs w:val="24"/>
          <w:highlight w:val="none"/>
        </w:rPr>
        <w:t>乙方：</w:t>
      </w:r>
      <w:r>
        <w:rPr>
          <w:rStyle w:val="11"/>
          <w:rFonts w:hint="eastAsia" w:ascii="宋体" w:hAnsi="宋体" w:eastAsia="宋体" w:cs="宋体"/>
          <w:color w:val="000000"/>
          <w:sz w:val="24"/>
          <w:szCs w:val="24"/>
          <w:highlight w:val="none"/>
          <w:lang w:val="en-US" w:eastAsia="zh-CN"/>
        </w:rPr>
        <w:t>东吴服务产业集团（江苏）有限公司</w:t>
      </w:r>
    </w:p>
    <w:p w14:paraId="59D21AD2">
      <w:pPr>
        <w:tabs>
          <w:tab w:val="left" w:pos="4410"/>
        </w:tabs>
        <w:spacing w:after="120" w:line="300" w:lineRule="auto"/>
        <w:ind w:firstLine="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甲方账户：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乙方账户：</w:t>
      </w:r>
    </w:p>
    <w:p w14:paraId="5315DB3F">
      <w:pPr>
        <w:tabs>
          <w:tab w:val="left" w:pos="4410"/>
        </w:tabs>
        <w:spacing w:after="120" w:line="300" w:lineRule="auto"/>
        <w:ind w:firstLine="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地址：</w:t>
      </w:r>
      <w:r>
        <w:rPr>
          <w:rStyle w:val="11"/>
          <w:rFonts w:hint="eastAsia" w:ascii="宋体" w:hAnsi="宋体" w:eastAsia="宋体" w:cs="宋体"/>
          <w:color w:val="000000"/>
          <w:sz w:val="24"/>
          <w:szCs w:val="24"/>
          <w:highlight w:val="none"/>
        </w:rPr>
        <w:t>江宁区龙眠大道101号</w:t>
      </w:r>
      <w:r>
        <w:rPr>
          <w:rFonts w:hint="eastAsia" w:ascii="宋体" w:hAnsi="宋体" w:eastAsia="宋体" w:cs="宋体"/>
          <w:color w:val="000000"/>
          <w:sz w:val="24"/>
          <w:szCs w:val="24"/>
          <w:highlight w:val="none"/>
        </w:rPr>
        <w:t xml:space="preserve">      地址： </w:t>
      </w:r>
    </w:p>
    <w:p w14:paraId="78178382">
      <w:pPr>
        <w:tabs>
          <w:tab w:val="left" w:pos="4410"/>
        </w:tabs>
        <w:spacing w:after="120" w:line="300" w:lineRule="auto"/>
        <w:ind w:firstLine="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法定代表人或授权代表：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法定代表人或授权代表：</w:t>
      </w:r>
    </w:p>
    <w:p w14:paraId="00C615F9">
      <w:pPr>
        <w:tabs>
          <w:tab w:val="left" w:pos="4410"/>
        </w:tabs>
        <w:spacing w:after="120" w:line="300" w:lineRule="auto"/>
        <w:ind w:firstLine="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联系电话：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联系电话：</w:t>
      </w:r>
    </w:p>
    <w:p w14:paraId="1C007E4E">
      <w:pPr>
        <w:tabs>
          <w:tab w:val="left" w:pos="4410"/>
        </w:tabs>
        <w:spacing w:after="120" w:line="300" w:lineRule="auto"/>
        <w:ind w:firstLine="0"/>
        <w:jc w:val="both"/>
      </w:pPr>
      <w:r>
        <w:rPr>
          <w:rFonts w:hint="eastAsia" w:ascii="宋体" w:hAnsi="宋体" w:eastAsia="宋体" w:cs="宋体"/>
          <w:color w:val="000000"/>
          <w:sz w:val="24"/>
          <w:szCs w:val="24"/>
          <w:highlight w:val="none"/>
        </w:rPr>
        <w:t>签订日期：      年    月  日</w:t>
      </w:r>
      <w:r>
        <w:rPr>
          <w:rFonts w:hint="eastAsia" w:ascii="宋体" w:hAnsi="宋体" w:eastAsia="宋体" w:cs="宋体"/>
          <w:color w:val="000000"/>
          <w:sz w:val="24"/>
          <w:szCs w:val="24"/>
          <w:highlight w:val="none"/>
          <w:lang w:val="en-US" w:eastAsia="zh-CN"/>
        </w:rPr>
        <w:t xml:space="preserve">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签订日期：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suff w:val="nothing"/>
      <w:lvlText w:val="%1、"/>
      <w:lvlJc w:val="left"/>
      <w:pPr>
        <w:ind w:left="0" w:firstLine="480"/>
      </w:p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E96052"/>
    <w:rsid w:val="025D6B3C"/>
    <w:rsid w:val="10D3149D"/>
    <w:rsid w:val="12D1368A"/>
    <w:rsid w:val="23CD5478"/>
    <w:rsid w:val="24D03EC8"/>
    <w:rsid w:val="27D86C6A"/>
    <w:rsid w:val="31E96052"/>
    <w:rsid w:val="33F94067"/>
    <w:rsid w:val="34565015"/>
    <w:rsid w:val="38E56968"/>
    <w:rsid w:val="3F5F46A4"/>
    <w:rsid w:val="41E6422D"/>
    <w:rsid w:val="436112E1"/>
    <w:rsid w:val="48790E7B"/>
    <w:rsid w:val="50567673"/>
    <w:rsid w:val="67717495"/>
    <w:rsid w:val="72541E8D"/>
    <w:rsid w:val="762B1157"/>
    <w:rsid w:val="776D2279"/>
    <w:rsid w:val="78342545"/>
    <w:rsid w:val="7BA45E8B"/>
    <w:rsid w:val="7E9913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3"/>
    <w:qFormat/>
    <w:uiPriority w:val="0"/>
    <w:pPr>
      <w:widowControl w:val="0"/>
      <w:jc w:val="both"/>
    </w:pPr>
    <w:rPr>
      <w:rFonts w:hint="default" w:ascii="Times New Roman" w:hAnsi="Times New Roman" w:eastAsia="宋体" w:cs="Times New Roman"/>
      <w:sz w:val="21"/>
      <w:szCs w:val="21"/>
      <w:lang w:val="en-US" w:eastAsia="zh-CN" w:bidi="ar-SA"/>
    </w:rPr>
  </w:style>
  <w:style w:type="paragraph" w:styleId="2">
    <w:name w:val="heading 1"/>
    <w:next w:val="1"/>
    <w:qFormat/>
    <w:uiPriority w:val="9"/>
    <w:pPr>
      <w:keepNext w:val="0"/>
      <w:keepLines w:val="0"/>
      <w:widowControl w:val="0"/>
      <w:spacing w:before="240" w:after="120" w:line="360" w:lineRule="auto"/>
      <w:jc w:val="left"/>
      <w:outlineLvl w:val="0"/>
    </w:pPr>
    <w:rPr>
      <w:rFonts w:hint="default" w:ascii="宋体" w:hAnsi="宋体" w:eastAsia="宋体" w:cs="宋体"/>
      <w:b/>
      <w:bCs/>
      <w:sz w:val="24"/>
      <w:szCs w:val="30"/>
    </w:rPr>
  </w:style>
  <w:style w:type="paragraph" w:styleId="3">
    <w:name w:val="heading 2"/>
    <w:next w:val="1"/>
    <w:unhideWhenUsed/>
    <w:qFormat/>
    <w:uiPriority w:val="9"/>
    <w:pPr>
      <w:keepNext w:val="0"/>
      <w:keepLines w:val="0"/>
      <w:widowControl w:val="0"/>
      <w:spacing w:beforeAutospacing="0" w:after="120" w:afterAutospacing="0" w:line="360" w:lineRule="auto"/>
      <w:jc w:val="left"/>
      <w:outlineLvl w:val="1"/>
    </w:pPr>
    <w:rPr>
      <w:rFonts w:hint="default" w:ascii="Times New Roman" w:hAnsi="Times New Roman" w:eastAsia="宋体" w:cs="Times New Roman"/>
      <w:b/>
      <w:sz w:val="2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rPr>
      <w:sz w:val="24"/>
    </w:rPr>
  </w:style>
  <w:style w:type="character" w:styleId="7">
    <w:name w:val="Strong"/>
    <w:basedOn w:val="6"/>
    <w:qFormat/>
    <w:uiPriority w:val="0"/>
    <w:rPr>
      <w:b/>
    </w:rPr>
  </w:style>
  <w:style w:type="paragraph" w:customStyle="1" w:styleId="8">
    <w:name w:val="章前标题"/>
    <w:next w:val="1"/>
    <w:qFormat/>
    <w:uiPriority w:val="0"/>
    <w:pPr>
      <w:keepNext w:val="0"/>
      <w:keepLines w:val="0"/>
      <w:pageBreakBefore w:val="0"/>
      <w:widowControl w:val="0"/>
      <w:spacing w:before="240" w:after="240" w:line="240" w:lineRule="auto"/>
      <w:jc w:val="center"/>
      <w:outlineLvl w:val="9"/>
    </w:pPr>
    <w:rPr>
      <w:rFonts w:hint="default" w:ascii="黑体" w:hAnsi="黑体" w:eastAsia="黑体" w:cs="黑体"/>
      <w:sz w:val="32"/>
      <w:szCs w:val="36"/>
    </w:rPr>
  </w:style>
  <w:style w:type="paragraph" w:customStyle="1" w:styleId="9">
    <w:name w:val="正文文本1"/>
    <w:basedOn w:val="1"/>
    <w:qFormat/>
    <w:uiPriority w:val="0"/>
    <w:rPr>
      <w:rFonts w:ascii="楷体_GB2312" w:hAnsi="Arial" w:eastAsia="楷体_GB2312"/>
      <w:sz w:val="28"/>
      <w:szCs w:val="28"/>
    </w:rPr>
  </w:style>
  <w:style w:type="paragraph" w:customStyle="1" w:styleId="10">
    <w:name w:val="批注文字1"/>
    <w:basedOn w:val="1"/>
    <w:semiHidden/>
    <w:qFormat/>
    <w:uiPriority w:val="0"/>
    <w:pPr>
      <w:jc w:val="left"/>
    </w:pPr>
  </w:style>
  <w:style w:type="character" w:customStyle="1" w:styleId="11">
    <w:name w:val="NormalCharacter1"/>
    <w:link w:val="1"/>
    <w:qFormat/>
    <w:uiPriority w:val="0"/>
    <w:rPr>
      <w:rFonts w:hint="default" w:ascii="Times New Roman" w:hAnsi="Times New Roman" w:eastAsia="宋体" w:cs="Times New Roman"/>
      <w:sz w:val="21"/>
      <w:szCs w:val="21"/>
      <w:lang w:val="en-US" w:eastAsia="zh-CN" w:bidi="ar-SA"/>
    </w:rPr>
  </w:style>
  <w:style w:type="character" w:customStyle="1" w:styleId="12">
    <w:name w:val="font31"/>
    <w:basedOn w:val="13"/>
    <w:link w:val="1"/>
    <w:qFormat/>
    <w:uiPriority w:val="0"/>
    <w:rPr>
      <w:rFonts w:hint="eastAsia" w:ascii="仿宋" w:hAnsi="仿宋" w:eastAsia="仿宋" w:cs="仿宋"/>
      <w:b/>
      <w:bCs/>
      <w:color w:val="000000"/>
      <w:sz w:val="28"/>
      <w:szCs w:val="28"/>
      <w:u w:val="none"/>
    </w:rPr>
  </w:style>
  <w:style w:type="character" w:customStyle="1" w:styleId="13">
    <w:name w:val="默认段落字体1"/>
    <w:link w:val="1"/>
    <w:unhideWhenUsed/>
    <w:qFormat/>
    <w:uiPriority w:val="1"/>
  </w:style>
  <w:style w:type="table" w:customStyle="1" w:styleId="14">
    <w:name w:val="网格型1"/>
    <w:basedOn w:val="15"/>
    <w:qFormat/>
    <w:uiPriority w:val="0"/>
    <w:pPr>
      <w:widowControl w:val="0"/>
      <w:jc w:val="both"/>
    </w:pPr>
    <w:rPr>
      <w:rFonts w:ascii="Times New Roman" w:hAnsi="Times New Roman" w:eastAsia="宋体" w:cs="Times New Roman"/>
      <w:sz w:val="20"/>
      <w:szCs w:val="20"/>
    </w:rPr>
  </w:style>
  <w:style w:type="table" w:customStyle="1" w:styleId="15">
    <w:name w:val="普通表格1"/>
    <w:unhideWhenUsed/>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6681</Words>
  <Characters>6733</Characters>
  <Lines>0</Lines>
  <Paragraphs>0</Paragraphs>
  <TotalTime>2</TotalTime>
  <ScaleCrop>false</ScaleCrop>
  <LinksUpToDate>false</LinksUpToDate>
  <CharactersWithSpaces>6840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2025-09-16T09:31:00Z</dcterms:created>
  <dc:creator>吱屋猪</dc:creator>
  <cp:lastModifiedBy>吱屋猪</cp:lastModifiedBy>
  <dcterms:modified xsi:type="dcterms:W3CDTF">2025-09-24T08:52:51Z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2A4C0108CBEF498CA81300AE30BDB0E8_11</vt:lpwstr>
  </property>
  <property fmtid="{D5CDD505-2E9C-101B-9397-08002B2CF9AE}" pid="4" name="KSOTemplateDocerSaveRecord">
    <vt:lpwstr>eyJoZGlkIjoiM2FjN2MxOGUzZWM4M2RlODUxNGJmNjVhNjM5NzhmOGQiLCJ1c2VySWQiOiIxMjYxMjAwNjM3In0=</vt:lpwstr>
  </property>
</Properties>
</file>