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hint="eastAsia"/>
          <w:b w:val="0"/>
          <w:bCs w:val="0"/>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-762634</wp:posOffset>
                </wp:positionH>
                <wp:positionV relativeFrom="paragraph">
                  <wp:posOffset>-721359</wp:posOffset>
                </wp:positionV>
                <wp:extent cx="7620635" cy="1069848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0635" cy="1069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60.0pt;mso-position-horizontal:absolute;mso-position-vertical-relative:text;margin-top:-56.8pt;mso-position-vertical:absolute;width:600.0pt;height:842.4pt;mso-wrap-distance-left:9.0pt;mso-wrap-distance-top:0.0pt;mso-wrap-distance-right:9.0pt;mso-wrap-distance-bottom:0.0pt;" stroked="f">
                <v:path textboxrect="0,0,0,0"/>
                <v:imagedata r:id="rId19" o:title=""/>
              </v:shape>
            </w:pict>
          </mc:Fallback>
        </mc:AlternateContent>
      </w:r>
      <w:r>
        <w:rPr>
          <w:rFonts w:hint="eastAsia"/>
          <w:b w:val="0"/>
          <w:bCs w:val="0"/>
          <w:sz w:val="52"/>
          <w:szCs w:val="52"/>
          <w:highlight w:val="none"/>
          <w:lang w:eastAsia="zh-CN"/>
        </w:rPr>
      </w:r>
      <w:r/>
    </w:p>
    <w:p>
      <w:pPr>
        <w:pStyle w:val="1029"/>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9"/>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9"/>
        <w:ind w:firstLine="3855"/>
        <w:jc w:val="both"/>
        <w:spacing w:line="480" w:lineRule="exact"/>
        <w:rPr>
          <w:rFonts w:hint="eastAsia" w:ascii="宋体" w:hAnsi="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1029"/>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9"/>
        <w:spacing w:line="480" w:lineRule="exact"/>
        <w:rPr>
          <w:rFonts w:ascii="宋体" w:hAnsi="宋体"/>
          <w:color w:val="000000"/>
          <w:sz w:val="28"/>
          <w:highlight w:val="none"/>
        </w:rPr>
      </w:pPr>
      <w:r>
        <w:rPr>
          <w:rFonts w:ascii="宋体" w:hAnsi="宋体"/>
          <w:color w:val="000000"/>
          <w:sz w:val="28"/>
          <w:highlight w:val="none"/>
        </w:rPr>
      </w:r>
      <w:r/>
    </w:p>
    <w:p>
      <w:pPr>
        <w:pStyle w:val="1029"/>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9"/>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9"/>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rPr>
          <w:rFonts w:hint="eastAsia" w:ascii="宋体" w:hAnsi="宋体"/>
          <w:color w:val="000000"/>
          <w:sz w:val="30"/>
          <w:highlight w:val="none"/>
        </w:rPr>
        <w:t xml:space="preserve">   </w:t>
      </w:r>
      <w:r>
        <w:rPr>
          <w:rFonts w:ascii="宋体" w:hAnsi="宋体"/>
          <w:color w:val="000000"/>
          <w:sz w:val="30"/>
          <w:highlight w:val="none"/>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1036"/>
        <w:ind w:firstLine="482"/>
        <w:rPr>
          <w:rFonts w:hint="eastAsia" w:ascii="宋体" w:hAnsi="宋体"/>
          <w:b/>
          <w:color w:val="000000"/>
          <w:sz w:val="48"/>
          <w:highlight w:val="none"/>
        </w:rPr>
      </w:pPr>
      <w:r>
        <w:rPr>
          <w:rFonts w:hint="eastAsia" w:ascii="宋体" w:hAnsi="宋体"/>
          <w:b/>
          <w:color w:val="000000"/>
          <w:sz w:val="48"/>
          <w:highlight w:val="none"/>
        </w:rPr>
      </w:r>
      <w:r/>
    </w:p>
    <w:p>
      <w:pPr>
        <w:pStyle w:val="1029"/>
        <w:rPr>
          <w:rFonts w:hint="eastAsia" w:ascii="宋体" w:hAnsi="宋体"/>
          <w:b/>
          <w:color w:val="000000"/>
          <w:sz w:val="48"/>
          <w:highlight w:val="none"/>
        </w:rPr>
      </w:pPr>
      <w:r>
        <w:rPr>
          <w:rFonts w:hint="eastAsia" w:ascii="宋体" w:hAnsi="宋体"/>
          <w:b/>
          <w:color w:val="000000"/>
          <w:sz w:val="48"/>
          <w:highlight w:val="none"/>
        </w:rPr>
      </w:r>
      <w:r/>
    </w:p>
    <w:p>
      <w:pPr>
        <w:pStyle w:val="1029"/>
        <w:rPr>
          <w:rFonts w:hint="eastAsia"/>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48"/>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9"/>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9"/>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2026-2029年建湖县残疾人意外伤害综合保险采购项目（二次）</w:t>
            </w:r>
            <w:r>
              <w:rPr>
                <w:rFonts w:hint="eastAsia" w:ascii="宋体" w:hAnsi="宋体"/>
                <w:bCs/>
                <w:color w:val="000000"/>
                <w:sz w:val="24"/>
                <w:highlight w:val="none"/>
                <w:lang w:eastAsia="zh-CN"/>
              </w:rPr>
              <w:t xml:space="preserve">JSZC-320925-JSTX-G2026-0029</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8</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27</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eastAsia="宋体" w:cs="Times New Roman"/>
          <w:bCs/>
          <w:color w:val="0000ff"/>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JSZC-320925-JSTX-G2026-0029</w:t>
      </w:r>
      <w:r>
        <w:rPr>
          <w:rFonts w:hint="eastAsia" w:ascii="宋体" w:hAnsi="宋体" w:eastAsia="宋体" w:cs="Times New Roman"/>
          <w:bCs/>
          <w:color w:val="0000ff"/>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2026-2029年建湖县残疾人意外伤害综合保险采购项目（二次）</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204万元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最高限价（如有）：/；</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eastAsia="宋体" w:cs="Arial"/>
          <w:bCs/>
          <w:color w:val="000000"/>
          <w:sz w:val="24"/>
          <w:szCs w:val="20"/>
          <w:highlight w:val="none"/>
          <w:lang w:val="en-US" w:eastAsia="zh-CN" w:bidi="ar-SA"/>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合同履行期限：三年（合同一年一签，经采购人考核合格后方可续签下一年服务合同，否则采购人有权终止合同，重新组织招标）</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9"/>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9"/>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9"/>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9"/>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9"/>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1029"/>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rPr>
          <w:rFonts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9"/>
        <w:ind w:firstLine="480"/>
        <w:jc w:val="left"/>
        <w:keepLines w:val="0"/>
        <w:keepNext w:val="0"/>
        <w:pageBreakBefore w:val="0"/>
        <w:spacing w:line="500" w:lineRule="exact"/>
        <w:widowControl/>
        <w:rPr>
          <w:rFonts w:hint="eastAsia" w:ascii="宋体" w:hAnsi="宋体" w:cs="Arial"/>
          <w:bCs/>
          <w:color w:val="000000"/>
          <w:sz w:val="24"/>
          <w:szCs w:val="24"/>
          <w:highlight w:val="none"/>
          <w:shd w:val="clear" w:color="auto" w:fill="auto"/>
        </w:rPr>
      </w:pPr>
      <w:r>
        <w:rPr>
          <w:rFonts w:hint="eastAsia" w:ascii="宋体" w:hAnsi="宋体" w:cs="Arial"/>
          <w:bCs/>
          <w:color w:val="000000"/>
          <w:sz w:val="24"/>
          <w:szCs w:val="24"/>
          <w:highlight w:val="none"/>
          <w:shd w:val="clear" w:color="auto" w:fill="auto"/>
          <w:lang w:val="en-US" w:eastAsia="zh-CN"/>
        </w:rPr>
        <w:t xml:space="preserve">3.</w:t>
      </w:r>
      <w:bookmarkStart w:id="0" w:name="OLE_LINK6"/>
      <w:r>
        <w:rPr>
          <w:rFonts w:hint="eastAsia" w:ascii="宋体" w:hAnsi="宋体" w:cs="Arial"/>
          <w:bCs/>
          <w:color w:val="000000"/>
          <w:sz w:val="24"/>
          <w:szCs w:val="24"/>
          <w:highlight w:val="none"/>
          <w:shd w:val="clear" w:color="auto" w:fill="auto"/>
          <w:lang w:val="en-US" w:eastAsia="zh-CN"/>
        </w:rPr>
        <w:t xml:space="preserve">投标申请人须为经保险业监督管理机构批准设立的中国境内保险公司，提供保险业务经营许可证；</w:t>
      </w:r>
      <w:bookmarkEnd w:id="0"/>
      <w:r>
        <w:rPr>
          <w:rFonts w:hint="eastAsia" w:ascii="宋体" w:hAnsi="宋体" w:cs="Arial"/>
          <w:bCs/>
          <w:color w:val="000000"/>
          <w:sz w:val="24"/>
          <w:szCs w:val="24"/>
          <w:highlight w:val="none"/>
          <w:shd w:val="clear" w:color="auto" w:fill="auto"/>
        </w:rPr>
      </w:r>
      <w:r/>
    </w:p>
    <w:p>
      <w:pPr>
        <w:pStyle w:val="1029"/>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27   9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9"/>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9"/>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建湖县残疾人联合会</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建湖县湖中南路399号</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15895150693</w:t>
      </w:r>
      <w:r>
        <w:rPr>
          <w:rFonts w:ascii="宋体" w:hAnsi="宋体" w:eastAsia="宋体" w:cs="宋体"/>
          <w:bCs/>
          <w:color w:val="000000"/>
          <w:sz w:val="24"/>
          <w:highlight w:val="none"/>
          <w:lang w:val="en-US" w:eastAsia="zh-CN"/>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建湖县宝龙广场天铂金街8幢二楼</w:t>
      </w:r>
      <w:r>
        <w:rPr>
          <w:rFonts w:hint="eastAsia" w:ascii="宋体" w:hAnsi="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eastAsia="宋体" w:cs="宋体"/>
          <w:b/>
          <w:color w:val="000000"/>
          <w:sz w:val="44"/>
          <w:szCs w:val="44"/>
          <w:highlight w:val="none"/>
          <w:lang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9"/>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9"/>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2026-2029年建湖县残疾人意外伤害综合保险采购项目（二次）</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9"/>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9"/>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9"/>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9"/>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谢女士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15895150693</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9"/>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9"/>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w:t>
            </w:r>
            <w:r>
              <w:rPr>
                <w:rFonts w:hint="eastAsia" w:ascii="宋体" w:hAnsi="宋体" w:cs="宋体"/>
                <w:color w:val="000000"/>
                <w:sz w:val="24"/>
                <w:highlight w:val="none"/>
                <w:lang w:eastAsia="zh-CN"/>
              </w:rPr>
              <w:t xml:space="preserve">叁万元的</w:t>
            </w:r>
            <w:r>
              <w:rPr>
                <w:rFonts w:hint="eastAsia" w:ascii="宋体" w:hAnsi="宋体" w:cs="宋体"/>
                <w:color w:val="000000"/>
                <w:sz w:val="24"/>
                <w:highlight w:val="none"/>
              </w:rPr>
              <w:t xml:space="preserve">履约保证金，于项目服务期满后退还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color w:val="000000"/>
                <w:sz w:val="24"/>
                <w:highlight w:val="none"/>
                <w:lang w:eastAsia="zh-CN"/>
              </w:rPr>
              <w:t xml:space="preserve">向</w:t>
            </w:r>
            <w:r>
              <w:rPr>
                <w:rFonts w:hint="eastAsia" w:ascii="宋体" w:hAnsi="宋体"/>
                <w:b w:val="0"/>
                <w:bCs w:val="0"/>
                <w:color w:val="000000"/>
                <w:sz w:val="24"/>
                <w:highlight w:val="none"/>
              </w:rPr>
              <w:t xml:space="preserve">采购人</w:t>
            </w:r>
            <w:r>
              <w:rPr>
                <w:rFonts w:hint="eastAsia" w:ascii="宋体" w:hAnsi="宋体"/>
                <w:b w:val="0"/>
                <w:bCs w:val="0"/>
                <w:color w:val="000000"/>
                <w:sz w:val="24"/>
                <w:highlight w:val="none"/>
                <w:lang w:eastAsia="zh-CN"/>
              </w:rPr>
              <w:t xml:space="preserve">交纳壹万伍仟元的履约保证金</w:t>
            </w:r>
            <w:r>
              <w:rPr>
                <w:rFonts w:hint="eastAsia" w:ascii="宋体" w:hAnsi="宋体" w:cs="宋体"/>
                <w:b w:val="0"/>
                <w:bCs w:val="0"/>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29"/>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合同履行期限</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9"/>
              <w:jc w:val="center"/>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t xml:space="preserve">三年（合同一年一签，经采购人考核合格后方可续签下一年服务合同，否则采购人有权终止合同，重新组织招标）</w:t>
            </w:r>
            <w:r>
              <w:rPr>
                <w:rFonts w:hint="eastAsia" w:ascii="宋体" w:hAnsi="宋体" w:eastAsia="宋体" w:cs="Arial"/>
                <w:color w:val="000000"/>
                <w:sz w:val="24"/>
                <w:highlight w:val="none"/>
                <w:lang w:val="en-US" w:eastAsia="zh-CN"/>
              </w:rPr>
              <w:t xml:space="preserve">；</w:t>
            </w:r>
            <w:r>
              <w:rPr>
                <w:rFonts w:ascii="宋体" w:hAnsi="宋体" w:eastAsia="宋体" w:cs="Arial"/>
                <w:color w:val="000000"/>
                <w:sz w:val="24"/>
                <w:highlight w:val="none"/>
                <w:lang w:val="en-US" w:eastAsia="zh-CN"/>
              </w:rPr>
            </w:r>
            <w:r/>
          </w:p>
        </w:tc>
      </w:tr>
      <w:tr>
        <w:trPr>
          <w:trHeight w:val="607" w:hRule="exact"/>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9"/>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9"/>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27日9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9"/>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27</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9"/>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9"/>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9"/>
              <w:jc w:val="left"/>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9"/>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9"/>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本项目预算金额为</w:t>
            </w:r>
            <w:r>
              <w:rPr>
                <w:rFonts w:hint="eastAsia" w:ascii="宋体" w:hAnsi="宋体" w:eastAsia="宋体"/>
                <w:b/>
                <w:bCs/>
                <w:color w:val="000000"/>
                <w:sz w:val="24"/>
                <w:highlight w:val="none"/>
                <w:lang w:val="en-US" w:eastAsia="zh-CN"/>
              </w:rPr>
              <w:t xml:space="preserve">2</w:t>
            </w:r>
            <w:r>
              <w:rPr>
                <w:rFonts w:hint="eastAsia" w:ascii="宋体" w:hAnsi="宋体" w:eastAsia="宋体"/>
                <w:b/>
                <w:bCs/>
                <w:color w:val="000000"/>
                <w:sz w:val="24"/>
                <w:highlight w:val="none"/>
                <w:lang w:val="en-US" w:eastAsia="zh-CN"/>
              </w:rPr>
              <w:t xml:space="preserve">04</w:t>
            </w:r>
            <w:r>
              <w:rPr>
                <w:rFonts w:hint="eastAsia" w:ascii="宋体" w:hAnsi="宋体" w:eastAsia="宋体"/>
                <w:b/>
                <w:bCs/>
                <w:color w:val="000000"/>
                <w:sz w:val="24"/>
                <w:highlight w:val="none"/>
                <w:lang w:val="en-US" w:eastAsia="zh-CN"/>
              </w:rPr>
              <w:t xml:space="preserve">万元</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9"/>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9"/>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w:t>
            </w:r>
            <w:r>
              <w:rPr>
                <w:rFonts w:hint="eastAsia" w:ascii="宋体" w:hAnsi="宋体" w:cs="Arial"/>
                <w:color w:val="000000"/>
                <w:sz w:val="24"/>
                <w:szCs w:val="22"/>
                <w:highlight w:val="none"/>
                <w:lang w:eastAsia="zh-CN"/>
              </w:rPr>
              <w:t xml:space="preserve">建湖县残疾人联合会</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15895150693</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29"/>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建湖县湖中南路399号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建湖县宝龙广场天铂金街8幢二楼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9"/>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9"/>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9"/>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9"/>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9"/>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9"/>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9"/>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9"/>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2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2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29"/>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29"/>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9"/>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29"/>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9"/>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42"/>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招标文件的澄清、修改及补充：</w:t>
      </w:r>
      <w:r>
        <w:rPr>
          <w:rFonts w:hint="eastAsia" w:ascii="宋体" w:hAnsi="宋体"/>
          <w:b/>
          <w:bCs/>
          <w:color w:val="000000"/>
          <w:sz w:val="24"/>
          <w:highlight w:val="none"/>
        </w:rPr>
      </w:r>
      <w:r/>
    </w:p>
    <w:p>
      <w:pPr>
        <w:pStyle w:val="1029"/>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5.1投标人在收到招标文件后，如有疑问需要澄清，应以规定的时间和方式（2026年8月24日17:00前）向采购人或代理机构提出，如在规定期限内未递交疑问或未按规定提交投标疑问的，则视为该投标人无疑问。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2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9"/>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9"/>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9"/>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2"/>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9"/>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29"/>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9"/>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204万元</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029"/>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29"/>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highlight w:val="none"/>
          <w:lang w:eastAsia="zh-CN"/>
        </w:rPr>
        <w:t xml:space="preserve">人工费</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材料费</w:t>
      </w:r>
      <w:r>
        <w:rPr>
          <w:rFonts w:ascii="宋体" w:hAnsi="宋体"/>
          <w:color w:val="000000"/>
          <w:sz w:val="24"/>
          <w:highlight w:val="none"/>
        </w:rPr>
        <w:t xml:space="preserve">、管理费、招标代理费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9"/>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29"/>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8.4招标代理服务费：中标人响应成交后</w:t>
      </w:r>
      <w:r>
        <w:rPr>
          <w:rFonts w:hint="eastAsia" w:ascii="宋体" w:hAnsi="宋体" w:cs="宋体"/>
          <w:bCs/>
          <w:color w:val="000000"/>
          <w:sz w:val="24"/>
          <w:szCs w:val="24"/>
          <w:highlight w:val="none"/>
        </w:rPr>
        <w:t xml:space="preserve">，中标人领取中标通知书签订合同后向招标代理机构交纳招标代理服务费（通过数字人民币方式交款），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为陆仟壹佰贰拾元整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42"/>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9"/>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9"/>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9"/>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9"/>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9"/>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9"/>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⑥有效的保险经营许可证原件扫描件；</w:t>
      </w:r>
      <w:r>
        <w:rPr>
          <w:rFonts w:hint="eastAsia" w:ascii="宋体" w:hAnsi="宋体"/>
          <w:b w:val="0"/>
          <w:bCs/>
          <w:color w:val="000000"/>
          <w:sz w:val="24"/>
          <w:highlight w:val="none"/>
          <w:lang w:eastAsia="zh-CN"/>
        </w:rPr>
      </w:r>
      <w:r/>
    </w:p>
    <w:p>
      <w:pPr>
        <w:pStyle w:val="1029"/>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9"/>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9"/>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9"/>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9"/>
        <w:ind w:firstLine="650"/>
        <w:jc w:val="left"/>
        <w:keepLines w:val="0"/>
        <w:keepNext w:val="0"/>
        <w:pageBreakBefore w:val="0"/>
        <w:spacing w:line="500" w:lineRule="exact"/>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⑤项目负责人任命函</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29"/>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w:t>
      </w:r>
      <w:r>
        <w:rPr>
          <w:rFonts w:hint="eastAsia" w:ascii="宋体" w:hAnsi="宋体"/>
          <w:b/>
          <w:bCs/>
          <w:color w:val="000000"/>
          <w:sz w:val="24"/>
          <w:highlight w:val="none"/>
          <w:lang w:eastAsia="zh-CN"/>
        </w:rPr>
        <w:t xml:space="preserve">要求</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《技术响应表》</w:t>
      </w:r>
      <w:r>
        <w:rPr>
          <w:rFonts w:ascii="宋体" w:hAnsi="宋体"/>
          <w:color w:val="000000"/>
          <w:sz w:val="24"/>
          <w:highlight w:val="none"/>
        </w:rPr>
      </w:r>
      <w:r/>
    </w:p>
    <w:p>
      <w:pPr>
        <w:pStyle w:val="1029"/>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ascii="宋体" w:hAnsi="宋体"/>
          <w:b w:val="0"/>
          <w:bCs/>
          <w:color w:val="000000"/>
          <w:sz w:val="24"/>
          <w:highlight w:val="none"/>
        </w:rPr>
        <w:t xml:space="preserve">.4</w:t>
      </w:r>
      <w:r>
        <w:rPr>
          <w:rFonts w:hint="eastAsia" w:ascii="宋体" w:hAnsi="宋体"/>
          <w:b w:val="0"/>
          <w:bCs/>
          <w:color w:val="000000"/>
          <w:sz w:val="24"/>
          <w:highlight w:val="none"/>
        </w:rPr>
        <w:t xml:space="preserve">企业声明函</w:t>
      </w:r>
      <w:r>
        <w:rPr>
          <w:rFonts w:hint="eastAsia" w:ascii="宋体" w:hAnsi="宋体"/>
          <w:b w:val="0"/>
          <w:bCs/>
          <w:color w:val="000000"/>
          <w:sz w:val="24"/>
          <w:highlight w:val="none"/>
        </w:rPr>
      </w:r>
      <w:r/>
    </w:p>
    <w:p>
      <w:pPr>
        <w:pStyle w:val="1029"/>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b w:val="0"/>
          <w:bCs/>
          <w:color w:val="000000"/>
          <w:sz w:val="24"/>
          <w:szCs w:val="20"/>
          <w:highlight w:val="none"/>
        </w:rPr>
      </w:r>
      <w:r/>
    </w:p>
    <w:p>
      <w:pPr>
        <w:pStyle w:val="1029"/>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2</w:t>
      </w:r>
      <w:r>
        <w:rPr>
          <w:rFonts w:hint="eastAsia" w:ascii="宋体" w:hAnsi="宋体" w:cs="Arial"/>
          <w:b w:val="0"/>
          <w:bCs/>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val="0"/>
          <w:bCs/>
          <w:color w:val="000000"/>
          <w:sz w:val="24"/>
          <w:szCs w:val="24"/>
          <w:highlight w:val="none"/>
        </w:rPr>
      </w:r>
      <w:r/>
    </w:p>
    <w:p>
      <w:pPr>
        <w:pStyle w:val="1029"/>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3</w:t>
      </w:r>
      <w:r>
        <w:rPr>
          <w:rFonts w:hint="eastAsia" w:ascii="宋体" w:hAnsi="宋体" w:cs="Arial"/>
          <w:b w:val="0"/>
          <w:bCs/>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val="0"/>
          <w:bCs/>
          <w:color w:val="000000"/>
          <w:sz w:val="24"/>
          <w:szCs w:val="24"/>
          <w:highlight w:val="none"/>
        </w:rPr>
      </w:r>
      <w:r/>
    </w:p>
    <w:p>
      <w:pPr>
        <w:pStyle w:val="1029"/>
        <w:ind w:firstLine="482"/>
        <w:jc w:val="left"/>
        <w:spacing w:line="48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rPr>
        <w:t xml:space="preserve">招标文件要求的其它证明资料和评标细则要求提供证明材料原件或复印件。</w:t>
      </w:r>
      <w:r>
        <w:rPr>
          <w:rFonts w:hint="eastAsia" w:ascii="宋体" w:hAnsi="宋体"/>
          <w:b w:val="0"/>
          <w:bCs/>
          <w:color w:val="000000"/>
          <w:sz w:val="24"/>
          <w:highlight w:val="none"/>
        </w:rPr>
      </w:r>
      <w:r/>
    </w:p>
    <w:p>
      <w:pPr>
        <w:pStyle w:val="1029"/>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注：1.投标人应对以上文件的合法性、真实性负责，</w:t>
      </w:r>
      <w:r>
        <w:rPr>
          <w:rFonts w:ascii="宋体" w:hAnsi="宋体"/>
          <w:b w:val="0"/>
          <w:bCs/>
          <w:color w:val="000000"/>
          <w:sz w:val="24"/>
          <w:highlight w:val="none"/>
        </w:rPr>
        <w:t xml:space="preserve">投标人提供的材料如有虚假，视为提供虚假材料谋取中标资格，将被</w:t>
      </w:r>
      <w:r>
        <w:rPr>
          <w:rFonts w:hint="eastAsia" w:ascii="宋体" w:hAnsi="宋体"/>
          <w:b w:val="0"/>
          <w:bCs/>
          <w:color w:val="000000"/>
          <w:sz w:val="24"/>
          <w:highlight w:val="none"/>
        </w:rPr>
        <w:t xml:space="preserve">将依法</w:t>
      </w:r>
      <w:r>
        <w:rPr>
          <w:rFonts w:ascii="宋体" w:hAnsi="宋体"/>
          <w:b w:val="0"/>
          <w:bCs/>
          <w:color w:val="000000"/>
          <w:sz w:val="24"/>
          <w:highlight w:val="none"/>
        </w:rPr>
        <w:t xml:space="preserve">处理处罚</w:t>
      </w:r>
      <w:r>
        <w:rPr>
          <w:rFonts w:hint="eastAsia" w:ascii="宋体" w:hAnsi="宋体"/>
          <w:b w:val="0"/>
          <w:bCs/>
          <w:color w:val="000000"/>
          <w:sz w:val="24"/>
          <w:highlight w:val="none"/>
        </w:rPr>
        <w:t xml:space="preserve">。</w:t>
      </w:r>
      <w:r>
        <w:rPr>
          <w:rFonts w:ascii="宋体" w:hAnsi="宋体"/>
          <w:b w:val="0"/>
          <w:bCs/>
          <w:color w:val="000000"/>
          <w:sz w:val="24"/>
          <w:highlight w:val="none"/>
        </w:rPr>
      </w:r>
      <w:r/>
    </w:p>
    <w:p>
      <w:pPr>
        <w:pStyle w:val="1029"/>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val="0"/>
          <w:bCs/>
          <w:color w:val="000000"/>
          <w:sz w:val="24"/>
          <w:highlight w:val="none"/>
        </w:rPr>
      </w:r>
      <w:r/>
    </w:p>
    <w:p>
      <w:pPr>
        <w:pStyle w:val="1029"/>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9"/>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9"/>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9"/>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29"/>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29"/>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9"/>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9"/>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29"/>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9"/>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9"/>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9"/>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9"/>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9"/>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9"/>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9"/>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9"/>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9"/>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9"/>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9"/>
        <w:ind w:firstLine="480"/>
        <w:spacing w:line="460" w:lineRule="exact"/>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19</w:t>
      </w:r>
      <w:r>
        <w:rPr>
          <w:rFonts w:ascii="宋体" w:hAnsi="宋体"/>
          <w:b w:val="0"/>
          <w:bCs w:val="0"/>
          <w:color w:val="000000"/>
          <w:sz w:val="24"/>
          <w:highlight w:val="none"/>
        </w:rPr>
        <w:t xml:space="preserve">.</w:t>
      </w:r>
      <w:r>
        <w:rPr>
          <w:rFonts w:hint="eastAsia" w:ascii="宋体" w:hAnsi="宋体"/>
          <w:b w:val="0"/>
          <w:bCs w:val="0"/>
          <w:color w:val="000000"/>
          <w:sz w:val="24"/>
          <w:highlight w:val="none"/>
        </w:rPr>
        <w:t xml:space="preserve">1</w:t>
      </w:r>
      <w:r>
        <w:rPr>
          <w:rFonts w:hint="eastAsia" w:ascii="宋体" w:hAnsi="宋体" w:cs="宋体"/>
          <w:b w:val="0"/>
          <w:bCs w:val="0"/>
          <w:color w:val="000000"/>
          <w:sz w:val="24"/>
          <w:highlight w:val="none"/>
        </w:rPr>
        <w:t xml:space="preserve">本次招标评标方法为</w:t>
      </w:r>
      <w:r>
        <w:rPr>
          <w:rFonts w:hint="eastAsia" w:ascii="宋体" w:hAnsi="宋体" w:cs="宋体"/>
          <w:b w:val="0"/>
          <w:bCs w:val="0"/>
          <w:color w:val="000000"/>
          <w:sz w:val="24"/>
          <w:highlight w:val="none"/>
          <w:lang w:eastAsia="zh-CN"/>
        </w:rPr>
        <w:t xml:space="preserve">综合评分法</w:t>
      </w:r>
      <w:r>
        <w:rPr>
          <w:rFonts w:hint="eastAsia" w:ascii="宋体" w:hAnsi="宋体" w:cs="宋体"/>
          <w:b w:val="0"/>
          <w:bCs w:val="0"/>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val="0"/>
          <w:bCs w:val="0"/>
          <w:color w:val="000000"/>
          <w:sz w:val="24"/>
          <w:highlight w:val="none"/>
        </w:rPr>
      </w:r>
      <w:r/>
    </w:p>
    <w:p>
      <w:pPr>
        <w:pStyle w:val="1070"/>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29"/>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9"/>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9"/>
        <w:numPr>
          <w:ilvl w:val="0"/>
          <w:numId w:val="0"/>
        </w:numPr>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highlight w:val="none"/>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9"/>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9"/>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宋体"/>
          <w:b/>
          <w:color w:val="000000"/>
          <w:sz w:val="24"/>
          <w:highlight w:val="none"/>
        </w:rPr>
      </w:pPr>
      <w:r/>
      <w:bookmarkStart w:id="4"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9"/>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4"/>
      <w:r>
        <w:rPr>
          <w:rFonts w:ascii="宋体" w:hAnsi="宋体" w:cs="Arial"/>
          <w:b w:val="0"/>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w:t>
      </w:r>
      <w:r>
        <w:rPr>
          <w:rFonts w:ascii="宋体" w:hAnsi="宋体" w:cs="Arial"/>
          <w:b/>
          <w:bCs w:val="0"/>
          <w:color w:val="000000"/>
          <w:sz w:val="24"/>
          <w:szCs w:val="24"/>
          <w:highlight w:val="none"/>
        </w:rPr>
        <w:t xml:space="preserve">4</w:t>
      </w:r>
      <w:r>
        <w:rPr>
          <w:rFonts w:hint="eastAsia" w:ascii="宋体" w:hAnsi="宋体" w:cs="Arial"/>
          <w:b/>
          <w:bCs w:val="0"/>
          <w:color w:val="000000"/>
          <w:sz w:val="24"/>
          <w:szCs w:val="24"/>
          <w:highlight w:val="none"/>
        </w:rPr>
        <w:t xml:space="preserve">.电子招标投标交易平台</w:t>
      </w:r>
      <w:r>
        <w:rPr>
          <w:rFonts w:ascii="宋体" w:hAnsi="宋体" w:cs="Arial"/>
          <w:b/>
          <w:bCs w:val="0"/>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hint="eastAsia" w:ascii="宋体" w:hAnsi="宋体"/>
          <w:b/>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25.1</w:t>
      </w:r>
      <w:r>
        <w:rPr>
          <w:rFonts w:hint="eastAsia" w:ascii="宋体" w:hAnsi="宋体"/>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val="0"/>
          <w:bCs/>
          <w:color w:val="000000"/>
          <w:sz w:val="24"/>
          <w:highlight w:val="none"/>
        </w:rPr>
      </w:r>
      <w:r/>
    </w:p>
    <w:p>
      <w:pPr>
        <w:pStyle w:val="102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ascii="宋体" w:hAnsi="宋体"/>
          <w:b w:val="0"/>
          <w:bCs/>
          <w:color w:val="000000"/>
          <w:sz w:val="24"/>
          <w:highlight w:val="none"/>
        </w:rPr>
        <w:t xml:space="preserve">26.1</w:t>
      </w:r>
      <w:r>
        <w:rPr>
          <w:rFonts w:hint="eastAsia" w:ascii="宋体" w:hAnsi="宋体"/>
          <w:b w:val="0"/>
          <w:bCs/>
          <w:color w:val="000000"/>
          <w:sz w:val="24"/>
          <w:highlight w:val="none"/>
        </w:rPr>
        <w:t xml:space="preserve">本项目落实预付款制度，预付款比例为</w:t>
      </w:r>
      <w:r>
        <w:rPr>
          <w:rFonts w:ascii="宋体" w:hAnsi="宋体"/>
          <w:b w:val="0"/>
          <w:bCs/>
          <w:color w:val="000000"/>
          <w:sz w:val="24"/>
          <w:highlight w:val="none"/>
          <w:u w:val="single"/>
        </w:rPr>
        <w:t xml:space="preserve">30</w:t>
      </w:r>
      <w:r>
        <w:rPr>
          <w:rFonts w:hint="eastAsia" w:ascii="宋体" w:hAnsi="宋体"/>
          <w:b w:val="0"/>
          <w:bCs/>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ascii="宋体" w:hAnsi="宋体"/>
          <w:b w:val="0"/>
          <w:bCs/>
          <w:color w:val="000000"/>
          <w:sz w:val="24"/>
          <w:highlight w:val="none"/>
        </w:rPr>
        <w:t xml:space="preserve">26.2</w:t>
      </w:r>
      <w:r>
        <w:rPr>
          <w:rFonts w:hint="eastAsia" w:ascii="宋体" w:hAnsi="宋体"/>
          <w:b w:val="0"/>
          <w:bCs/>
          <w:color w:val="000000"/>
          <w:sz w:val="24"/>
          <w:highlight w:val="none"/>
        </w:rPr>
        <w:t xml:space="preserve">确需收取履约保证金的，履约保证金的缴纳形式：</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val="0"/>
          <w:bCs/>
          <w:color w:val="000000"/>
          <w:sz w:val="24"/>
          <w:highlight w:val="none"/>
        </w:rPr>
      </w:r>
      <w:r/>
    </w:p>
    <w:p>
      <w:pPr>
        <w:pStyle w:val="1029"/>
        <w:spacing w:before="50" w:line="44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val="0"/>
          <w:bCs/>
          <w:color w:val="000000"/>
          <w:sz w:val="44"/>
          <w:szCs w:val="44"/>
          <w:highlight w:val="none"/>
        </w:rPr>
      </w:r>
      <w:r/>
    </w:p>
    <w:p>
      <w:pPr>
        <w:pStyle w:val="1060"/>
        <w:ind w:left="0" w:firstLine="0"/>
        <w:tabs>
          <w:tab w:val="left" w:pos="180" w:leader="none"/>
        </w:tabs>
        <w:rPr>
          <w:rFonts w:hint="eastAsia"/>
          <w:color w:val="000000"/>
          <w:highlight w:val="none"/>
        </w:rPr>
      </w:pPr>
      <w:r>
        <w:rPr>
          <w:rFonts w:hint="eastAsia"/>
          <w:color w:val="000000"/>
          <w:highlight w:val="none"/>
        </w:rPr>
      </w:r>
      <w:r/>
    </w:p>
    <w:p>
      <w:pPr>
        <w:pStyle w:val="1029"/>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9"/>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9"/>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1.项目属性:服务类项目</w:t>
      </w:r>
      <w:r>
        <w:rPr>
          <w:rFonts w:ascii="宋体" w:hAnsi="宋体" w:eastAsia="宋体" w:cs="宋体"/>
          <w:b w:val="0"/>
          <w:bCs/>
          <w:color w:val="000000"/>
          <w:sz w:val="24"/>
          <w:highlight w:val="none"/>
          <w:lang w:val="en-US"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2026-2029年建湖县残疾人意外伤害综合保险采购项目（二次）</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204万元</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4.采购需求：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eastAsia="宋体" w:cs="Arial"/>
          <w:bCs/>
          <w:color w:val="000000"/>
          <w:sz w:val="24"/>
          <w:szCs w:val="20"/>
          <w:highlight w:val="none"/>
          <w:lang w:val="en-US" w:eastAsia="zh-CN" w:bidi="ar-SA"/>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合同履行期限：三年（合同一年一签，经采购人考核合格后方可续签下一年服务合同，否则采购人有权终止合同，重新组织招标）</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7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29"/>
        <w:ind w:firstLine="482"/>
        <w:spacing w:line="480" w:lineRule="exact"/>
        <w:rPr>
          <w:rFonts w:hint="eastAsia" w:ascii="宋体" w:hAnsi="宋体" w:cs="宋体"/>
          <w:b/>
          <w:bCs/>
          <w:color w:val="000000"/>
          <w:sz w:val="24"/>
          <w:highlight w:val="none"/>
        </w:rPr>
      </w:pPr>
      <w:r/>
      <w:bookmarkStart w:id="5" w:name="_Toc4902_WPSOffice_Level2"/>
      <w:r/>
      <w:bookmarkStart w:id="6" w:name="_Toc31152"/>
      <w:r/>
      <w:bookmarkStart w:id="7" w:name="_Toc21013"/>
      <w:r/>
      <w:bookmarkStart w:id="8" w:name="_Toc3965"/>
      <w:r/>
      <w:bookmarkStart w:id="9" w:name="_Toc6794"/>
      <w:r/>
      <w:bookmarkStart w:id="10" w:name="_Toc20379"/>
      <w:r/>
      <w:bookmarkStart w:id="11" w:name="_Toc9552_WPSOffice_Level2"/>
      <w:r/>
      <w:bookmarkStart w:id="12" w:name="_Toc6763"/>
      <w:r/>
      <w:bookmarkStart w:id="13" w:name="_Toc32286_WPSOffice_Level2"/>
      <w:r/>
      <w:bookmarkStart w:id="14" w:name="_Toc466622976"/>
      <w:r/>
      <w:bookmarkStart w:id="15" w:name="_Toc14342"/>
      <w:r/>
      <w:bookmarkStart w:id="16" w:name="_Toc10876"/>
      <w:r/>
      <w:bookmarkStart w:id="17" w:name="_Toc18062"/>
      <w:r/>
      <w:bookmarkStart w:id="18" w:name="_Toc25832_WPSOffice_Level2"/>
      <w:r/>
      <w:bookmarkStart w:id="19" w:name="_Toc464141065"/>
      <w:r/>
      <w:bookmarkStart w:id="20" w:name="_Toc464200307"/>
      <w:r/>
      <w:bookmarkStart w:id="21" w:name="_Toc24663"/>
      <w:r/>
      <w:bookmarkStart w:id="22" w:name="_Toc509"/>
      <w:r/>
      <w:bookmarkStart w:id="23" w:name="_Toc3908"/>
      <w:r/>
      <w:bookmarkStart w:id="24" w:name="_Toc28365"/>
      <w:r/>
      <w:bookmarkStart w:id="25" w:name="_Toc463967134"/>
      <w:r/>
      <w:bookmarkStart w:id="26" w:name="_Toc467082275"/>
      <w:r/>
      <w:bookmarkStart w:id="27" w:name="_Toc464140914"/>
      <w:r/>
      <w:bookmarkStart w:id="28" w:name="_Toc20632_WPSOffice_Level2"/>
      <w:r/>
      <w:bookmarkStart w:id="29" w:name="_Toc3448"/>
      <w:r/>
      <w:bookmarkStart w:id="30" w:name="_Toc3953"/>
      <w:r/>
      <w:bookmarkStart w:id="31" w:name="_Toc21120"/>
      <w:r/>
      <w:bookmarkStart w:id="32" w:name="_Toc467082324"/>
      <w:r/>
      <w:bookmarkStart w:id="33" w:name="_Toc12791"/>
      <w:r>
        <w:rPr>
          <w:rFonts w:hint="eastAsia" w:ascii="宋体" w:hAnsi="宋体" w:cs="宋体"/>
          <w:b/>
          <w:color w:val="000000"/>
          <w:sz w:val="24"/>
          <w:highlight w:val="none"/>
        </w:rPr>
        <w:t xml:space="preserve">（一）项目</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Pr>
          <w:rFonts w:hint="eastAsia" w:ascii="宋体" w:hAnsi="宋体" w:cs="宋体"/>
          <w:b/>
          <w:color w:val="000000"/>
          <w:sz w:val="24"/>
          <w:highlight w:val="none"/>
        </w:rPr>
        <w:t xml:space="preserve">概述</w:t>
      </w:r>
      <w:r>
        <w:rPr>
          <w:rFonts w:hint="eastAsia" w:ascii="宋体" w:hAnsi="宋体" w:cs="宋体"/>
          <w:b/>
          <w:bCs/>
          <w:color w:val="000000"/>
          <w:sz w:val="24"/>
          <w:highlight w:val="none"/>
        </w:rPr>
      </w:r>
      <w:r/>
    </w:p>
    <w:p>
      <w:pPr>
        <w:pStyle w:val="1029"/>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为贯彻落实</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201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年市政府为民办实事“</w:t>
      </w:r>
      <w:r>
        <w:rPr>
          <w:rFonts w:hint="eastAsia" w:ascii="宋体" w:hAnsi="宋体" w:cs="宋体"/>
          <w:color w:val="000000"/>
          <w:sz w:val="24"/>
          <w:highlight w:val="none"/>
          <w:lang w:val="en-US" w:eastAsia="zh-CN"/>
        </w:rPr>
        <w:t xml:space="preserve">阳光助</w:t>
      </w:r>
      <w:r>
        <w:rPr>
          <w:rFonts w:hint="eastAsia" w:ascii="宋体" w:hAnsi="宋体" w:cs="宋体"/>
          <w:color w:val="000000"/>
          <w:sz w:val="24"/>
          <w:highlight w:val="none"/>
        </w:rPr>
        <w:t xml:space="preserve">残</w:t>
      </w:r>
      <w:r>
        <w:rPr>
          <w:rFonts w:hint="eastAsia" w:ascii="宋体" w:hAnsi="宋体" w:cs="宋体"/>
          <w:color w:val="000000"/>
          <w:sz w:val="24"/>
          <w:highlight w:val="none"/>
          <w:lang w:val="en-US" w:eastAsia="zh-CN"/>
        </w:rPr>
        <w:t xml:space="preserve">行动</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残疾人购买意外伤害保险项目实施方案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的通知，充分发挥商业保险的社会保障作用，帮助残疾人增强对意外伤害和疾病的抵抗能力，保障残疾人的日常生活，学习和工作秩序，提高残疾人的幸福生活指数。服务期限三年，保费预算</w:t>
      </w:r>
      <w:r>
        <w:rPr>
          <w:rFonts w:hint="eastAsia" w:ascii="宋体" w:hAnsi="宋体" w:cs="宋体"/>
          <w:color w:val="000000"/>
          <w:sz w:val="24"/>
          <w:highlight w:val="none"/>
          <w:lang w:val="en-US" w:eastAsia="zh-CN"/>
        </w:rPr>
        <w:t xml:space="preserve">204</w:t>
      </w:r>
      <w:r>
        <w:rPr>
          <w:rFonts w:hint="eastAsia" w:ascii="宋体" w:hAnsi="宋体" w:cs="Arial"/>
          <w:color w:val="000000"/>
          <w:sz w:val="24"/>
          <w:highlight w:val="none"/>
        </w:rPr>
        <w:t xml:space="preserve">万元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（二）保险方案</w:t>
      </w:r>
      <w:r>
        <w:rPr>
          <w:rFonts w:hint="eastAsia" w:ascii="宋体" w:hAnsi="宋体" w:cs="宋体"/>
          <w:b/>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1.保险责任</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具有建湖县户籍、在建湖县因学习、婚姻、就业居住一年以上，年龄在3－74周岁，持有有效期内的第二代、第三代《中华人民共和国残疾人证》，未享受政府有关部门购买意外伤害保险的各类残疾人。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在保险期间内首次罹患重大疾病、因发生意外伤害导致伤残或身故的、非意外伤害导致死亡的，保险人按照保险合同的约定负责赔偿。</w:t>
      </w:r>
      <w:r>
        <w:rPr>
          <w:rFonts w:hint="eastAsia" w:ascii="宋体" w:hAnsi="宋体" w:cs="宋体"/>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2.在保险期间内，参保对象发生下列情况，给予保险补偿：</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2.1意外死亡：赔偿限额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2.2意外或首次罹患重大疾病导致新增伤残（或原伤残等级加重）：赔偿限额</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2.3意外伤害医疗费用（包含门诊和住院）：赔偿限额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2.4首次罹患重大疾病：定额补助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highlight w:val="none"/>
        </w:rPr>
      </w:pPr>
      <w:r>
        <w:rPr>
          <w:rFonts w:hint="eastAsia" w:ascii="宋体" w:hAnsi="宋体" w:cs="宋体"/>
          <w:color w:val="000000"/>
          <w:sz w:val="24"/>
          <w:highlight w:val="none"/>
        </w:rPr>
        <w:t xml:space="preserve">2.5首次罹患重大疾病的医疗费用（包含门诊和住院）赔偿限额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按个人实付医疗费用的75%赔偿；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③在保险期间内，治疗总费用（包括门诊和住院）为8万元及以上：按个人实付医疗费用的80%赔偿。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2.6因</w:t>
      </w:r>
      <w:r>
        <w:rPr>
          <w:rFonts w:hint="eastAsia" w:ascii="宋体" w:hAnsi="宋体"/>
          <w:bCs/>
          <w:color w:val="000000"/>
          <w:sz w:val="24"/>
          <w:highlight w:val="none"/>
        </w:rPr>
        <w:t xml:space="preserve">意外、首次重疾</w:t>
      </w:r>
      <w:r>
        <w:rPr>
          <w:rFonts w:hint="eastAsia" w:ascii="宋体" w:hAnsi="宋体" w:cs="宋体"/>
          <w:color w:val="000000"/>
          <w:sz w:val="24"/>
          <w:highlight w:val="none"/>
        </w:rPr>
        <w:t xml:space="preserve">住院费用津贴：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2.7非意外伤害导致的死亡：定额补助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3.保险期限</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三年，</w:t>
      </w:r>
      <w:r>
        <w:rPr>
          <w:rFonts w:hint="eastAsia" w:ascii="宋体" w:hAnsi="宋体" w:cs="宋体"/>
          <w:color w:val="000000"/>
          <w:sz w:val="24"/>
          <w:highlight w:val="none"/>
        </w:rPr>
        <w:t xml:space="preserve">保单一年一出，保费一年一付，为保障项目的连续性，本项目的保险期限须与上一年度的保险止期接续，在此期间发生的保险事故责任均由中标单位承担。</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4.本项目保费资金来源与保险费交纳</w:t>
      </w:r>
      <w:bookmarkStart w:id="34" w:name="_Toc20684"/>
      <w:r>
        <w:rPr>
          <w:rFonts w:hint="eastAsia" w:ascii="宋体" w:hAnsi="宋体" w:cs="宋体"/>
          <w:b/>
          <w:bCs/>
          <w:color w:val="000000"/>
          <w:sz w:val="24"/>
          <w:highlight w:val="none"/>
        </w:rPr>
        <w:t xml:space="preserve">：财政列支。</w:t>
      </w:r>
      <w:r>
        <w:rPr>
          <w:rFonts w:hint="eastAsia" w:ascii="宋体" w:hAnsi="宋体" w:cs="宋体"/>
          <w:color w:val="000000"/>
          <w:sz w:val="24"/>
          <w:highlight w:val="none"/>
        </w:rPr>
      </w:r>
      <w:r/>
    </w:p>
    <w:p>
      <w:pPr>
        <w:pStyle w:val="1029"/>
        <w:ind w:firstLine="482"/>
        <w:spacing w:line="480" w:lineRule="exact"/>
        <w:rPr>
          <w:rFonts w:hint="eastAsia" w:ascii="宋体" w:hAnsi="宋体" w:eastAsia="宋体" w:cs="宋体"/>
          <w:color w:val="000000"/>
          <w:sz w:val="24"/>
          <w:highlight w:val="none"/>
          <w:lang w:eastAsia="zh-CN"/>
        </w:rPr>
      </w:pPr>
      <w:r/>
      <w:bookmarkEnd w:id="34"/>
      <w:r/>
      <w:bookmarkStart w:id="35" w:name="_Toc23588"/>
      <w:r/>
      <w:bookmarkStart w:id="36" w:name="_Toc13074"/>
      <w:r>
        <w:rPr>
          <w:rFonts w:hint="eastAsia" w:ascii="宋体" w:hAnsi="宋体" w:cs="宋体"/>
          <w:b/>
          <w:bCs/>
          <w:color w:val="000000"/>
          <w:sz w:val="24"/>
          <w:highlight w:val="none"/>
        </w:rPr>
        <w:t xml:space="preserve">5.保险</w:t>
      </w:r>
      <w:bookmarkEnd w:id="35"/>
      <w:r/>
      <w:bookmarkEnd w:id="36"/>
      <w:r>
        <w:rPr>
          <w:rFonts w:hint="eastAsia" w:ascii="宋体" w:hAnsi="宋体" w:cs="宋体"/>
          <w:b/>
          <w:bCs/>
          <w:color w:val="000000"/>
          <w:sz w:val="24"/>
          <w:highlight w:val="none"/>
        </w:rPr>
        <w:t xml:space="preserve">险种：团体意外伤害保险、重大疾病保险等</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29"/>
        <w:ind w:firstLine="482"/>
        <w:spacing w:line="480" w:lineRule="exact"/>
        <w:rPr>
          <w:rFonts w:hint="eastAsia" w:ascii="宋体" w:hAnsi="宋体" w:cs="宋体"/>
          <w:b/>
          <w:bCs/>
          <w:color w:val="000000"/>
          <w:sz w:val="24"/>
          <w:highlight w:val="none"/>
        </w:rPr>
      </w:pPr>
      <w:r/>
      <w:bookmarkStart w:id="37" w:name="_Toc12885"/>
      <w:r>
        <w:rPr>
          <w:rFonts w:hint="eastAsia" w:ascii="宋体" w:hAnsi="宋体" w:cs="宋体"/>
          <w:b/>
          <w:bCs/>
          <w:color w:val="000000"/>
          <w:sz w:val="24"/>
          <w:highlight w:val="none"/>
        </w:rPr>
        <w:t xml:space="preserve">6.特别约定</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bookmarkEnd w:id="37"/>
      <w:r>
        <w:rPr>
          <w:rFonts w:hint="eastAsia" w:ascii="宋体" w:hAnsi="宋体" w:cs="宋体"/>
          <w:color w:val="000000"/>
          <w:sz w:val="24"/>
          <w:highlight w:val="none"/>
        </w:rPr>
        <w:t xml:space="preserve">6.1关于投保人数</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参保残疾人约</w:t>
      </w:r>
      <w:r>
        <w:rPr>
          <w:rFonts w:hint="eastAsia" w:ascii="宋体" w:hAnsi="宋体" w:cs="宋体"/>
          <w:bCs/>
          <w:color w:val="000000"/>
          <w:sz w:val="24"/>
          <w:highlight w:val="none"/>
          <w:u w:val="single"/>
        </w:rPr>
        <w:t xml:space="preserve"> 1</w:t>
      </w:r>
      <w:r>
        <w:rPr>
          <w:rFonts w:hint="eastAsia" w:ascii="宋体" w:hAnsi="宋体" w:cs="宋体"/>
          <w:bCs/>
          <w:color w:val="000000"/>
          <w:sz w:val="24"/>
          <w:highlight w:val="none"/>
          <w:u w:val="single"/>
          <w:lang w:val="en-US" w:eastAsia="zh-CN"/>
        </w:rPr>
        <w:t xml:space="preserve">7</w:t>
      </w:r>
      <w:r>
        <w:rPr>
          <w:rFonts w:hint="eastAsia" w:ascii="宋体" w:hAnsi="宋体" w:cs="宋体"/>
          <w:bCs/>
          <w:color w:val="000000"/>
          <w:sz w:val="24"/>
          <w:highlight w:val="none"/>
          <w:u w:val="single"/>
        </w:rPr>
        <w:t xml:space="preserve">000 </w:t>
      </w:r>
      <w:r>
        <w:rPr>
          <w:rFonts w:hint="eastAsia" w:ascii="宋体" w:hAnsi="宋体" w:cs="宋体"/>
          <w:color w:val="000000"/>
          <w:sz w:val="24"/>
          <w:highlight w:val="none"/>
        </w:rPr>
        <w:t xml:space="preserve">人，</w:t>
      </w:r>
      <w:r>
        <w:rPr>
          <w:rFonts w:hint="eastAsia" w:ascii="宋体" w:hAnsi="宋体" w:eastAsia="宋体" w:cs="Arial"/>
          <w:bCs/>
          <w:color w:val="000000"/>
          <w:sz w:val="24"/>
          <w:szCs w:val="20"/>
          <w:highlight w:val="none"/>
          <w:lang w:val="en-US" w:eastAsia="zh-CN" w:bidi="ar-SA"/>
        </w:rPr>
        <w:t xml:space="preserve">每年具体人数以建湖县残疾人联合会实际提供人数为准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9"/>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6.2关于保险费及调整</w:t>
      </w:r>
      <w:r>
        <w:rPr>
          <w:rFonts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每人每年保费40元，投保时以实际名单人数出具保险单，保单一年一出，保费一年一付。</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6.3关于死亡、伤残、医疗费用等原始凭证复印件的认可</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保险人同意：死亡、伤残、医疗费用等原始凭证在社会医疗保险机构处理赔偿时已经留档不能分割的，该原始凭证复印件可用于本项目理赔时作为依据凭证。</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6.4医疗费用：未参加社会医疗保险人员或其他商业保险的医疗费用赔偿，在医疗费用赔偿限额内据实赔付；参加社会医疗保险或其他商业保险人员的医疗费用赔偿，在医疗费用赔偿限额内按受伤害人医疗费用自付部分据实赔付，无医保内、外限制。</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6.5被保险人需要到正规的医疗机构或保险人认可的医疗机构治疗，包括乡镇及以上医疗机构（急诊不受限制）。</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6.6伤残保险责任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保险期间内被保险人遭受意外伤害导致伤残时，按照中国保险行业协会发布的人身保险伤残程度评定与保险金给付比例标准《关于印发&lt;人身保险伤残评定标准&gt;的通知》（中保协发【2013】88号）给予伤残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（1）被保险人因同一意外伤害造成两处或两处以上伤残时，保险人根据《评定标准》规定的多处伤残评定原则给付残疾保险金。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被保险人如因本次意外伤害导致原有伤残等级加重，保险人按合并后的残疾程度在《评定标准》中所对应伤残等级的给付比例扣除原有残疾程度在《评定标准》中所对应伤残等级的给付比例，给付残疾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6.7关于重大疾病病种</w:t>
      </w:r>
      <w:r>
        <w:rPr>
          <w:rFonts w:hint="eastAsia" w:ascii="宋体" w:hAnsi="宋体" w:cs="宋体"/>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本保险所承保病种为55种重大疾病，具体病种如下：</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恶性肿瘤、急性心肌梗塞（死）、脑梗死、脑溢血、冠状动脉搭桥术（或称冠状动脉旁路移植术）、多个肢体缺失、双耳失聪、双目失明、运动神经元病、Ⅲ度烧伤、心脏瓣膜手术、主动脉手术、终末期肺病、深度昏迷、坏死性筋膜炎、心肌病、溃疡性结肠炎、终末期肾病（或称慢性肾功能衰竭尿毒症期）、先天性心脏病、耐多药肺结核、重性精神疾病、血友病、甲亢、唇裂腭</w:t>
      </w:r>
      <w:r>
        <w:rPr>
          <w:rFonts w:hint="eastAsia" w:ascii="宋体" w:hAnsi="宋体" w:cs="宋体"/>
          <w:bCs/>
          <w:color w:val="000000"/>
          <w:sz w:val="24"/>
          <w:highlight w:val="none"/>
        </w:rPr>
        <w:t xml:space="preserve">裂、1型糖尿病、艾滋病机会性感染、白血病、脑中风后遗症、重大器官移植术或造血干细胞移植术、原发性肺动脉高压、急性或亚急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 人类疯牛病）、肺源性心脏病、夹层主动脉瘤、嗜铬细胞瘤、肺淋巴管肌瘤病、原发性骨髓纤维化、慢性缩窄性心包炎、溶血性尿毒综合征、克罗恩病、神经母细胞瘤。</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6.8被保险人因患有艾滋病或感染艾滋病毒（HIV呈阳性）期间如发生保险责任内事故，保险人须按约定的保险金额予以赔付。</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6.9被保险人存在精神或行为障碍期间如发生保险责任内事故，保险人须按约定的保险金额予以赔付。</w:t>
      </w:r>
      <w:r>
        <w:rPr>
          <w:rFonts w:hint="eastAsia" w:ascii="宋体" w:hAnsi="宋体" w:cs="宋体"/>
          <w:color w:val="000000"/>
          <w:sz w:val="24"/>
          <w:highlight w:val="none"/>
        </w:rPr>
      </w:r>
      <w:r/>
    </w:p>
    <w:p>
      <w:pPr>
        <w:pStyle w:val="1066"/>
        <w:ind w:firstLine="480"/>
        <w:spacing w:after="0"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6.10被保险人在因意外出险后，从出险日开始因该事故导致的在一年内产生的医疗费用予以赔付。</w:t>
      </w:r>
      <w:r>
        <w:rPr>
          <w:rFonts w:hint="eastAsia" w:ascii="宋体" w:hAnsi="宋体" w:cs="宋体"/>
          <w:color w:val="000000"/>
          <w:sz w:val="24"/>
          <w:highlight w:val="none"/>
        </w:rPr>
      </w:r>
      <w:r/>
    </w:p>
    <w:p>
      <w:pPr>
        <w:pStyle w:val="1066"/>
        <w:ind w:firstLine="480"/>
        <w:spacing w:after="0"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6.11无重大疾病等待期，被保险人只要在保险期间内确诊为本保险承保的重大疾病病种的，按合同约定给予赔付。</w:t>
      </w:r>
      <w:r>
        <w:rPr>
          <w:rFonts w:hint="eastAsia" w:ascii="宋体" w:hAnsi="宋体" w:cs="宋体"/>
          <w:color w:val="000000"/>
          <w:sz w:val="24"/>
          <w:highlight w:val="none"/>
        </w:rPr>
      </w:r>
      <w:r/>
    </w:p>
    <w:p>
      <w:pPr>
        <w:pStyle w:val="1066"/>
        <w:ind w:firstLine="480"/>
        <w:spacing w:after="0" w:line="480" w:lineRule="exact"/>
        <w:rPr>
          <w:rFonts w:hint="eastAsia"/>
          <w:color w:val="000000"/>
          <w:highlight w:val="none"/>
        </w:rPr>
      </w:pPr>
      <w:r>
        <w:rPr>
          <w:rFonts w:hint="eastAsia" w:ascii="宋体" w:hAnsi="宋体" w:cs="宋体"/>
          <w:color w:val="000000"/>
          <w:sz w:val="24"/>
          <w:highlight w:val="none"/>
        </w:rPr>
        <w:t xml:space="preserve">6.12无住院津贴等待期，被保险人只要在保险期间内因意外或首次重大疾病导致住院的，按合同约定给予赔付。</w:t>
      </w:r>
      <w:r>
        <w:rPr>
          <w:rFonts w:hint="eastAsia"/>
          <w:color w:val="000000"/>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6.13被保险人因动物抓（咬）伤产生的医疗费用须按主责给予赔付。</w:t>
      </w:r>
      <w:r>
        <w:rPr>
          <w:rFonts w:hint="eastAsia" w:ascii="宋体" w:hAnsi="宋体" w:cs="宋体"/>
          <w:color w:val="000000"/>
          <w:sz w:val="24"/>
          <w:highlight w:val="none"/>
        </w:rPr>
      </w:r>
      <w:r/>
    </w:p>
    <w:p>
      <w:pPr>
        <w:pStyle w:val="1029"/>
        <w:ind w:firstLine="480"/>
        <w:spacing w:line="480" w:lineRule="exact"/>
        <w:rPr>
          <w:rFonts w:hint="eastAsia"/>
          <w:color w:val="000000"/>
          <w:highlight w:val="none"/>
        </w:rPr>
      </w:pPr>
      <w:r>
        <w:rPr>
          <w:rFonts w:hint="eastAsia" w:ascii="宋体" w:hAnsi="宋体" w:cs="宋体"/>
          <w:color w:val="000000"/>
          <w:sz w:val="24"/>
          <w:highlight w:val="none"/>
        </w:rPr>
        <w:t xml:space="preserve">6.14被保险人在保险期间内首次罹患重大疾病，合同到期后仍承担同一住院号下30天内的首次罹患重大疾病医疗费用。</w:t>
      </w:r>
      <w:r>
        <w:rPr>
          <w:rFonts w:hint="eastAsia"/>
          <w:color w:val="000000"/>
          <w:highlight w:val="none"/>
        </w:rPr>
      </w:r>
      <w:r/>
    </w:p>
    <w:p>
      <w:pPr>
        <w:pStyle w:val="1029"/>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6.15项目运营保障</w:t>
      </w:r>
      <w:r>
        <w:rPr>
          <w:rFonts w:hint="eastAsia" w:ascii="宋体" w:hAnsi="宋体"/>
          <w:bCs/>
          <w:color w:val="000000"/>
          <w:sz w:val="24"/>
          <w:highlight w:val="none"/>
        </w:rPr>
      </w:r>
      <w:r/>
    </w:p>
    <w:p>
      <w:pPr>
        <w:pStyle w:val="1029"/>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为保证项目平稳运行，日常宣传、培训、接报案、理赔等服务工作有序开展，恒泰保险经纪有限公司受建湖县残疾人联合会的委托，提供保险经纪服务，保险经纪费由中标单位支付。</w:t>
      </w:r>
      <w:r>
        <w:rPr>
          <w:rFonts w:hint="eastAsia" w:ascii="宋体" w:hAnsi="宋体"/>
          <w:bCs/>
          <w:color w:val="000000"/>
          <w:sz w:val="24"/>
          <w:highlight w:val="none"/>
        </w:rPr>
      </w:r>
      <w:r/>
    </w:p>
    <w:p>
      <w:pPr>
        <w:pStyle w:val="1029"/>
        <w:ind w:firstLine="480"/>
        <w:spacing w:line="48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6.16</w:t>
      </w:r>
      <w:r>
        <w:rPr>
          <w:rFonts w:hint="eastAsia" w:ascii="宋体" w:hAnsi="宋体" w:eastAsia="宋体" w:cs="Times New Roman"/>
          <w:bCs/>
          <w:color w:val="000000"/>
          <w:sz w:val="24"/>
          <w:highlight w:val="none"/>
        </w:rPr>
        <w:t xml:space="preserve">本项目定额赔付率</w:t>
      </w:r>
      <w:r>
        <w:rPr>
          <w:rFonts w:hint="eastAsia" w:ascii="宋体" w:hAnsi="宋体" w:eastAsia="宋体" w:cs="Times New Roman"/>
          <w:bCs/>
          <w:color w:val="000000"/>
          <w:sz w:val="24"/>
          <w:highlight w:val="none"/>
        </w:rPr>
      </w:r>
      <w:r/>
    </w:p>
    <w:p>
      <w:pPr>
        <w:pStyle w:val="1029"/>
        <w:ind w:firstLine="480"/>
        <w:spacing w:line="48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按照盐残发[2019]20号文件执行，如有相关政策调整，依据最新文件要求执行。</w:t>
      </w:r>
      <w:r>
        <w:rPr>
          <w:rFonts w:hint="eastAsia" w:ascii="宋体" w:hAnsi="宋体" w:eastAsia="宋体" w:cs="Times New Roman"/>
          <w:bCs/>
          <w:color w:val="000000"/>
          <w:sz w:val="24"/>
          <w:highlight w:val="none"/>
        </w:rPr>
      </w:r>
      <w:r/>
    </w:p>
    <w:p>
      <w:pPr>
        <w:pStyle w:val="1029"/>
        <w:ind w:firstLine="482"/>
        <w:spacing w:line="480" w:lineRule="exact"/>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（三）服务方案</w:t>
      </w:r>
      <w:r>
        <w:rPr>
          <w:rFonts w:hint="eastAsia" w:ascii="宋体" w:hAnsi="宋体" w:cs="宋体"/>
          <w:b/>
          <w:color w:val="000000"/>
          <w:sz w:val="28"/>
          <w:szCs w:val="28"/>
          <w:highlight w:val="none"/>
        </w:rPr>
      </w:r>
      <w:r/>
    </w:p>
    <w:p>
      <w:pPr>
        <w:pStyle w:val="1029"/>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成立专项服务小组</w:t>
      </w:r>
      <w:r>
        <w:rPr>
          <w:rFonts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了向被保险人提供高效、便捷的理赔服务，中标公司应在建湖县辖区内固有定的服务团队，人员配备充足，并成立项目服务小组，明确项目负责人和各镇（街）具体服务人员，在保险协议签署后对该项目开展一系列服务。</w:t>
      </w:r>
      <w:r>
        <w:rPr>
          <w:rFonts w:hint="eastAsia" w:ascii="宋体" w:hAnsi="宋体" w:cs="宋体"/>
          <w:color w:val="000000"/>
          <w:sz w:val="24"/>
          <w:highlight w:val="none"/>
        </w:rPr>
      </w:r>
      <w:r/>
    </w:p>
    <w:p>
      <w:pPr>
        <w:pStyle w:val="1029"/>
        <w:ind w:firstLine="480"/>
        <w:spacing w:line="4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格式附后）</w:t>
      </w:r>
      <w:r>
        <w:rPr>
          <w:rFonts w:hint="eastAsia" w:ascii="宋体" w:hAnsi="宋体" w:eastAsia="宋体" w:cs="宋体"/>
          <w:color w:val="000000"/>
          <w:sz w:val="24"/>
          <w:highlight w:val="none"/>
          <w:lang w:val="en-US" w:eastAsia="zh-CN"/>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关于报表</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中标公司按月汇总承保项目的承保及理赔数据，</w:t>
      </w:r>
      <w:r>
        <w:rPr>
          <w:rFonts w:hint="eastAsia" w:ascii="宋体" w:hAnsi="宋体" w:cs="宋体"/>
          <w:bCs/>
          <w:color w:val="000000"/>
          <w:sz w:val="24"/>
          <w:highlight w:val="none"/>
        </w:rPr>
        <w:t xml:space="preserve">于次月5日前</w:t>
      </w:r>
      <w:r>
        <w:rPr>
          <w:rFonts w:hint="eastAsia" w:ascii="宋体" w:hAnsi="宋体" w:cs="宋体"/>
          <w:color w:val="000000"/>
          <w:sz w:val="24"/>
          <w:highlight w:val="none"/>
        </w:rPr>
        <w:t xml:space="preserve">向保险经纪有限公司递交相关承保及理赔数据月报，并于保险年度结束后</w:t>
      </w:r>
      <w:r>
        <w:rPr>
          <w:rFonts w:hint="eastAsia" w:ascii="宋体" w:hAnsi="宋体" w:cs="宋体"/>
          <w:bCs/>
          <w:color w:val="000000"/>
          <w:sz w:val="24"/>
          <w:highlight w:val="none"/>
        </w:rPr>
        <w:t xml:space="preserve">10日内</w:t>
      </w:r>
      <w:r>
        <w:rPr>
          <w:rFonts w:hint="eastAsia" w:ascii="宋体" w:hAnsi="宋体" w:cs="宋体"/>
          <w:color w:val="000000"/>
          <w:sz w:val="24"/>
          <w:highlight w:val="none"/>
        </w:rPr>
        <w:t xml:space="preserve">递交承保及理赔数据年报。中标公司必须确保数据的及时性、完整性、真实性、准确性、有效性等，且已列出的理赔数据必备要素缺一不可。</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理赔数据必备要素（包括不限于）：报案时间、出险人、身份证号、身份类别、出险原因、出险时间、出险地址、出险经过、联系方式、赔付类型、赔付金额、赔付时间。</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理赔时限</w:t>
      </w:r>
      <w:r>
        <w:rPr>
          <w:rFonts w:hint="eastAsia" w:ascii="宋体" w:hAnsi="宋体" w:cs="宋体"/>
          <w:color w:val="000000"/>
          <w:sz w:val="24"/>
          <w:highlight w:val="none"/>
        </w:rPr>
      </w:r>
      <w:r/>
    </w:p>
    <w:p>
      <w:pPr>
        <w:pStyle w:val="1029"/>
        <w:ind w:firstLine="480"/>
        <w:spacing w:line="480" w:lineRule="exact"/>
        <w:tabs>
          <w:tab w:val="left" w:pos="62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中标人的理赔服务应主动、及时、准确，有明确的理赔服务流程，按照统一的赔偿标准计算金额，确保提供良好的理赔服务，中标人</w:t>
      </w:r>
      <w:r>
        <w:rPr>
          <w:rFonts w:hint="eastAsia" w:ascii="宋体" w:hAnsi="宋体" w:cs="宋体"/>
          <w:bCs/>
          <w:color w:val="000000"/>
          <w:sz w:val="24"/>
          <w:highlight w:val="none"/>
        </w:rPr>
        <w:t xml:space="preserve">收集齐理赔材料后，对属于保险责任的，应在十日内履行赔偿义务，对于经核定不属于保险责</w:t>
      </w:r>
      <w:r>
        <w:rPr>
          <w:rFonts w:hint="eastAsia" w:ascii="宋体" w:hAnsi="宋体" w:cs="宋体"/>
          <w:color w:val="000000"/>
          <w:sz w:val="24"/>
          <w:highlight w:val="none"/>
        </w:rPr>
        <w:t xml:space="preserve">任的，应当将核定结果通知被保险人或者受益人，并出具拒赔通知书。</w:t>
      </w:r>
      <w:r>
        <w:rPr>
          <w:rFonts w:hint="eastAsia" w:ascii="宋体" w:hAnsi="宋体" w:cs="宋体"/>
          <w:bCs/>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参加保险经纪有限公司组织的例会</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中标单位应按时参加保险经纪有限公司定期组织召开的保险联席会议，向建湖县残疾人联合会及保险经纪有限公司定期通报保险理赔与服务情况，就有关问题进行沟通与协商，保持良好的合作关系。</w:t>
      </w:r>
      <w:r>
        <w:rPr>
          <w:rFonts w:hint="eastAsia" w:ascii="宋体" w:hAnsi="宋体" w:cs="宋体"/>
          <w:color w:val="000000"/>
          <w:sz w:val="24"/>
          <w:highlight w:val="none"/>
        </w:rPr>
      </w:r>
      <w:r/>
    </w:p>
    <w:p>
      <w:pPr>
        <w:pStyle w:val="102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（四）其他说明</w:t>
      </w:r>
      <w:r>
        <w:rPr>
          <w:rFonts w:hint="eastAsia" w:ascii="宋体" w:hAnsi="宋体" w:cs="宋体"/>
          <w:b/>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赔偿处理</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1.1基本原则：保险人不得以任何理由推卸、拖延和拒绝被保险人索赔要求，除非有合理和足够的证据证明，否则其行为构成违约并须承担违约责任；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1.2一旦接到被保险人通知，保险人代表应尽早赶赴事故现场开始初步调查并提出处理建议；</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1.3对于虽经被保险人/经纪人努力仍无法完成的证据/证明材料提交工作，保险人须予以帮助并不得以此为由推卸、拖延和拒绝履行合同责任；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1.4对于已受理报案但拒绝赔付的案件须出具拒赔通知书。</w:t>
      </w:r>
      <w:r>
        <w:rPr>
          <w:rFonts w:hint="eastAsia" w:ascii="宋体" w:hAnsi="宋体" w:cs="宋体"/>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关于保险合同</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cs="宋体"/>
          <w:color w:val="000000"/>
          <w:sz w:val="24"/>
          <w:highlight w:val="none"/>
        </w:rPr>
      </w:r>
      <w:r/>
    </w:p>
    <w:p>
      <w:pPr>
        <w:pStyle w:val="107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本次招标活动依照中华人民共和国相关法律法规进行。</w:t>
      </w:r>
      <w:r>
        <w:rPr>
          <w:rFonts w:hint="eastAsia" w:ascii="宋体" w:hAnsi="宋体" w:cs="Arial"/>
          <w:b/>
          <w:bCs/>
          <w:color w:val="000000"/>
          <w:highlight w:val="none"/>
        </w:rPr>
      </w:r>
      <w:r/>
    </w:p>
    <w:p>
      <w:pPr>
        <w:pStyle w:val="1029"/>
        <w:ind w:firstLine="482"/>
        <w:keepLines w:val="0"/>
        <w:keepNext w:val="0"/>
        <w:pageBreakBefore w:val="0"/>
        <w:spacing w:line="460" w:lineRule="exact"/>
        <w:widowControl w:val="off"/>
        <w:rPr>
          <w:rFonts w:ascii="宋体" w:hAnsi="宋体"/>
          <w:b/>
          <w:color w:val="000000"/>
          <w:sz w:val="24"/>
          <w:szCs w:val="20"/>
          <w:highlight w:val="none"/>
        </w:rPr>
      </w:pPr>
      <w:r>
        <w:rPr>
          <w:rFonts w:hint="eastAsia" w:ascii="宋体" w:hAnsi="宋体"/>
          <w:b/>
          <w:color w:val="000000"/>
          <w:sz w:val="24"/>
          <w:szCs w:val="20"/>
          <w:highlight w:val="none"/>
        </w:rPr>
        <w:t xml:space="preserve">三、售后服务及承诺</w:t>
      </w:r>
      <w:r>
        <w:rPr>
          <w:rFonts w:ascii="宋体" w:hAnsi="宋体"/>
          <w:b/>
          <w:color w:val="000000"/>
          <w:sz w:val="24"/>
          <w:szCs w:val="20"/>
          <w:highlight w:val="none"/>
        </w:rPr>
      </w:r>
      <w:r/>
    </w:p>
    <w:p>
      <w:pPr>
        <w:pStyle w:val="1029"/>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29"/>
        <w:ind w:firstLine="480"/>
        <w:keepLines w:val="0"/>
        <w:keepNext w:val="0"/>
        <w:pageBreakBefore w:val="0"/>
        <w:spacing w:line="460" w:lineRule="exact"/>
        <w:widowControl w:val="off"/>
        <w:rPr>
          <w:rFonts w:hint="eastAsia" w:ascii="宋体" w:hAnsi="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对符合保险责任案件做到应赔尽赔、理赔做到简便快捷、理赔数据做到真实无误有效、项目保险宣传及培训工作做到细致认真。</w:t>
      </w:r>
      <w:r>
        <w:rPr>
          <w:rFonts w:hint="eastAsia" w:ascii="宋体" w:hAnsi="宋体" w:cs="宋体"/>
          <w:color w:val="000000"/>
          <w:sz w:val="24"/>
          <w:highlight w:val="none"/>
          <w:lang w:eastAsia="zh-CN"/>
        </w:rPr>
      </w:r>
      <w:r/>
    </w:p>
    <w:p>
      <w:pPr>
        <w:pStyle w:val="1029"/>
        <w:ind w:firstLine="482"/>
        <w:keepLines w:val="0"/>
        <w:keepNext w:val="0"/>
        <w:pageBreakBefore w:val="0"/>
        <w:spacing w:line="480" w:lineRule="exact"/>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四、采购标的对应的中小企业划分标准所属行业一览表</w:t>
      </w:r>
      <w:r>
        <w:rPr>
          <w:rFonts w:hint="eastAsia" w:ascii="宋体" w:hAnsi="宋体"/>
          <w:b/>
          <w:color w:val="000000"/>
          <w:sz w:val="24"/>
          <w:szCs w:val="20"/>
          <w:highlight w:val="none"/>
        </w:rPr>
      </w:r>
      <w:r/>
    </w:p>
    <w:tbl>
      <w:tblPr>
        <w:tblW w:w="9435"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145"/>
        <w:gridCol w:w="3655"/>
      </w:tblGrid>
      <w:tr>
        <w:trPr>
          <w:tblCellSpacing w:w="0" w:type="dxa"/>
          <w:trHeight w:val="642"/>
        </w:trPr>
        <w:tc>
          <w:tcPr>
            <w:tcW w:w="63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序号</w:t>
            </w:r>
            <w:r>
              <w:rPr>
                <w:color w:val="000000"/>
                <w:sz w:val="24"/>
                <w:highlight w:val="none"/>
              </w:rPr>
            </w:r>
            <w:r/>
          </w:p>
        </w:tc>
        <w:tc>
          <w:tcPr>
            <w:tcW w:w="514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采购标的</w:t>
            </w:r>
            <w:r>
              <w:rPr>
                <w:color w:val="000000"/>
                <w:sz w:val="24"/>
                <w:highlight w:val="none"/>
              </w:rPr>
            </w:r>
            <w:r/>
          </w:p>
        </w:tc>
        <w:tc>
          <w:tcPr>
            <w:tcW w:w="365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对应中小企业划分标准所属行业</w:t>
            </w:r>
            <w:r>
              <w:rPr>
                <w:color w:val="000000"/>
                <w:sz w:val="24"/>
                <w:highlight w:val="none"/>
              </w:rPr>
            </w:r>
            <w:r/>
          </w:p>
        </w:tc>
      </w:tr>
      <w:tr>
        <w:trPr>
          <w:tblCellSpacing w:w="0" w:type="dxa"/>
          <w:trHeight w:val="642"/>
        </w:trPr>
        <w:tc>
          <w:tcPr>
            <w:tcW w:w="63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tcW w:w="5145" w:type="dxa"/>
            <w:vAlign w:val="center"/>
            <w:textDirection w:val="lrTb"/>
            <w:noWrap w:val="false"/>
          </w:tcPr>
          <w:p>
            <w:pPr>
              <w:pStyle w:val="1029"/>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2026-2029年建湖县残疾人意外伤害综合保险采购项目（二次）</w:t>
            </w:r>
            <w:r>
              <w:rPr>
                <w:rFonts w:hint="eastAsia" w:ascii="宋体" w:hAnsi="宋体" w:cs="宋体"/>
                <w:color w:val="000000"/>
                <w:sz w:val="24"/>
                <w:highlight w:val="none"/>
              </w:rPr>
            </w:r>
            <w:r/>
          </w:p>
        </w:tc>
        <w:tc>
          <w:tcPr>
            <w:tcW w:w="3655" w:type="dxa"/>
            <w:vAlign w:val="center"/>
            <w:textDirection w:val="lrTb"/>
            <w:noWrap w:val="false"/>
          </w:tcPr>
          <w:p>
            <w:pPr>
              <w:pStyle w:val="1029"/>
              <w:jc w:val="center"/>
              <w:spacing w:line="0" w:lineRule="atLeast"/>
              <w:rPr>
                <w:color w:val="000000"/>
                <w:sz w:val="24"/>
                <w:highlight w:val="none"/>
              </w:rPr>
            </w:pPr>
            <w:r>
              <w:rPr>
                <w:rFonts w:ascii="宋体" w:hAnsi="宋体" w:cs="宋体"/>
                <w:color w:val="000000"/>
                <w:sz w:val="24"/>
                <w:highlight w:val="none"/>
              </w:rPr>
              <w:t xml:space="preserve">其他未列明行业</w:t>
            </w:r>
            <w:r>
              <w:rPr>
                <w:color w:val="000000"/>
                <w:sz w:val="24"/>
                <w:highlight w:val="none"/>
              </w:rPr>
            </w:r>
            <w:r/>
          </w:p>
        </w:tc>
      </w:tr>
    </w:tbl>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rPr>
          <w:rFonts w:hint="eastAsia" w:ascii="宋体" w:hAnsi="宋体"/>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总得分最高的即为中标候选人。</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1029"/>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对小型和微型企业产品最后价格给予20%的扣除，用扣除后的价格参与评审。 </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企业标准请参照《关于印发中小企业划型标准规定的通知》（工信部联企业【2011】300号）文件规定自行填写。</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以上规定未尽事项，按《政府采购促进中小企业发展管理办法》 （财库【2020】46号）等有关制度规定执行。</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本项目对残疾人福利性单位视同小型、微型企业，给予20%的价格扣除，用扣除后的价格参与评审。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残疾人福利单位需按照采购文件的要求提供《残疾人福利性单位声明函》。</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残疾人福利单位标准请参照《关于促进残疾人就业政府采购政策的通知》（财库〔2017〕</w:t>
      </w:r>
      <w:r>
        <w:rPr>
          <w:rFonts w:hint="eastAsia"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本项目对监狱和戒毒企业（简称监狱企业）视同小型、微型企业，给予20%的价格扣除，用扣除后的价格参与评审。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监狱企业标准请参照《关于政府采购支持监狱企业发展有关问题的通知》（财库[2014]68号）。</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1029"/>
        <w:ind w:firstLine="241"/>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三、评分标准（总分值为100分）</w:t>
      </w:r>
      <w:r>
        <w:rPr>
          <w:rFonts w:hint="eastAsia" w:ascii="宋体" w:hAnsi="宋体" w:cs="宋体"/>
          <w:b/>
          <w:bCs/>
          <w:color w:val="000000"/>
          <w:sz w:val="24"/>
          <w:szCs w:val="22"/>
          <w:highlight w:val="none"/>
        </w:rPr>
      </w:r>
      <w:r/>
    </w:p>
    <w:tbl>
      <w:tblPr>
        <w:tblW w:w="91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712"/>
        <w:gridCol w:w="785"/>
        <w:gridCol w:w="6995"/>
      </w:tblGrid>
      <w:tr>
        <w:trPr/>
        <w:tc>
          <w:tcPr>
            <w:tcW w:w="621"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12"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785"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6995" w:type="dxa"/>
            <w:vAlign w:val="center"/>
            <w:textDirection w:val="lrTb"/>
            <w:noWrap w:val="false"/>
          </w:tcPr>
          <w:p>
            <w:pPr>
              <w:pStyle w:val="102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57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满足招标文件要求且投标赔偿限额最高的有效投标报价为评标基准价，其价格分为满分30分。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其他投标人的价格分统一按照下列公式计算：投标报价得分=（投标报价/评标基准价）×30，结果保留两位小数（有效投标文件是指未被评标委员会判定为无效标的投标文件）。</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注：因落实政府采购政策进行价格调整的，以调整后的价格计算评标基准价和投标报价。小微企业、残疾人福利单位、监狱和戒毒企业优惠政策详见本文第四章。</w:t>
            </w:r>
            <w:r>
              <w:rPr>
                <w:rFonts w:hint="eastAsia" w:ascii="宋体" w:hAnsi="宋体" w:eastAsia="宋体" w:cs="宋体"/>
                <w:bCs/>
                <w:color w:val="000000"/>
                <w:sz w:val="24"/>
                <w:szCs w:val="24"/>
                <w:highlight w:val="none"/>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投标人自2023年1月1日以来，承接过类似保险服务业绩的有一个得3分，最多得6分。</w:t>
            </w:r>
            <w:r>
              <w:rPr>
                <w:rFonts w:hint="eastAsia" w:ascii="宋体" w:hAnsi="宋体" w:eastAsia="宋体" w:cs="宋体"/>
                <w:bCs/>
                <w:color w:val="000000"/>
                <w:sz w:val="24"/>
                <w:szCs w:val="24"/>
                <w:highlight w:val="none"/>
                <w:lang w:val="en-US" w:eastAsia="zh-CN"/>
              </w:rPr>
            </w:r>
            <w:r/>
          </w:p>
          <w:p>
            <w:pPr>
              <w:pStyle w:val="1029"/>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上述类似业绩是指与采购需求相关的类似保险项目，包括独家承保、共保方式，须提供对应的证明材料（中标通知书、保险协议等）。</w:t>
            </w:r>
            <w:r>
              <w:rPr>
                <w:rFonts w:hint="eastAsia" w:ascii="宋体" w:hAnsi="宋体" w:eastAsia="宋体" w:cs="宋体"/>
                <w:bCs/>
                <w:color w:val="000000"/>
                <w:sz w:val="24"/>
                <w:szCs w:val="24"/>
                <w:highlight w:val="none"/>
                <w:lang w:val="en-US" w:eastAsia="zh-CN"/>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风险综合评级</w:t>
            </w: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提供投标人总公司2025年第三季度的风险综合评级，投标文件中须提供国家金融监督管理总局监管信息系统评级结果截图并加盖投标人公章，否则不得分。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1）风险综合评级A级，得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（2）风险综合评级B级，得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（3）风险综合评级C级及以下</w:t>
            </w:r>
            <w:r>
              <w:rPr>
                <w:rFonts w:hint="eastAsia" w:ascii="宋体" w:hAnsi="宋体" w:eastAsia="宋体" w:cs="宋体"/>
                <w:bCs/>
                <w:color w:val="000000"/>
                <w:sz w:val="24"/>
                <w:szCs w:val="24"/>
                <w:highlight w:val="none"/>
                <w:lang w:eastAsia="zh-CN"/>
              </w:rPr>
              <w:t xml:space="preserve">得</w:t>
            </w:r>
            <w:r>
              <w:rPr>
                <w:rFonts w:hint="eastAsia" w:ascii="宋体" w:hAnsi="宋体" w:eastAsia="宋体" w:cs="宋体"/>
                <w:bCs/>
                <w:color w:val="000000"/>
                <w:sz w:val="24"/>
                <w:szCs w:val="24"/>
                <w:highlight w:val="none"/>
                <w:lang w:val="en-US" w:eastAsia="zh-CN"/>
              </w:rPr>
              <w:t xml:space="preserve">1分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ascii="宋体" w:hAnsi="宋体" w:eastAsia="宋体" w:cs="宋体"/>
                <w:color w:val="000000"/>
                <w:sz w:val="24"/>
                <w:szCs w:val="24"/>
                <w:highlight w:val="none"/>
                <w:lang w:val="en-US"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eastAsia="zh-CN"/>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44分</w:t>
            </w: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根据各投标人对本次招标技术参数要求响应情况进行评定。投标人的所有技术参数满足招标要求的得满分</w:t>
            </w:r>
            <w:r>
              <w:rPr>
                <w:rFonts w:hint="eastAsia" w:ascii="宋体" w:hAnsi="宋体" w:eastAsia="宋体" w:cs="宋体"/>
                <w:bCs/>
                <w:color w:val="000000"/>
                <w:sz w:val="24"/>
                <w:szCs w:val="24"/>
                <w:highlight w:val="none"/>
                <w:lang w:val="en-US" w:eastAsia="zh-CN"/>
              </w:rPr>
              <w:t xml:space="preserve">44</w:t>
            </w:r>
            <w:r>
              <w:rPr>
                <w:rFonts w:hint="eastAsia" w:ascii="宋体" w:hAnsi="宋体" w:eastAsia="宋体" w:cs="宋体"/>
                <w:bCs/>
                <w:color w:val="000000"/>
                <w:sz w:val="24"/>
                <w:szCs w:val="24"/>
                <w:highlight w:val="none"/>
              </w:rPr>
              <w:t xml:space="preserve">分；出现负偏离有一项扣1分。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技术参数中每一条或每一编号项的要求为一项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29"/>
              <w:spacing w:line="480" w:lineRule="exact"/>
              <w:rPr>
                <w:highlight w:val="none"/>
                <w:lang w:val="en-US" w:eastAsia="zh-CN"/>
              </w:rPr>
            </w:pPr>
            <w:r>
              <w:rPr>
                <w:rFonts w:hint="eastAsia" w:ascii="宋体" w:hAnsi="宋体" w:eastAsia="宋体" w:cs="宋体"/>
                <w:bCs/>
                <w:color w:val="000000"/>
                <w:sz w:val="24"/>
                <w:szCs w:val="24"/>
                <w:highlight w:val="none"/>
                <w:lang w:val="en-US" w:eastAsia="zh-CN"/>
              </w:rPr>
              <w:t xml:space="preserve">2.以技术响应表加盖投标单位公章为准。</w:t>
            </w:r>
            <w:r>
              <w:rPr>
                <w:highlight w:val="none"/>
                <w:lang w:val="en-US" w:eastAsia="zh-CN"/>
              </w:rPr>
            </w:r>
            <w:r/>
          </w:p>
        </w:tc>
      </w:tr>
      <w:tr>
        <w:trPr>
          <w:trHeight w:val="2080"/>
        </w:trPr>
        <w:tc>
          <w:tcPr>
            <w:tcW w:w="621" w:type="dxa"/>
            <w:vAlign w:val="center"/>
            <w:vMerge w:val="restart"/>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W w:w="712" w:type="dxa"/>
            <w:vAlign w:val="center"/>
            <w:vMerge w:val="restart"/>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785" w:type="dxa"/>
            <w:vAlign w:val="center"/>
            <w:vMerge w:val="restart"/>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16分</w:t>
            </w:r>
            <w:r>
              <w:rPr>
                <w:rFonts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cs="Arial"/>
                <w:color w:val="000000"/>
                <w:sz w:val="24"/>
                <w:highlight w:val="none"/>
              </w:rPr>
            </w:pPr>
            <w:r>
              <w:rPr>
                <w:rFonts w:hint="eastAsia" w:ascii="宋体" w:hAnsi="宋体" w:cs="Arial"/>
                <w:color w:val="000000"/>
                <w:sz w:val="24"/>
                <w:highlight w:val="none"/>
              </w:rPr>
              <w:t xml:space="preserve">（1）评标委员会根据各投标人项目实施方案中服务方案进行评定，提供有针对性的、科学有效的服务方案至少包含：①服务团队；②服务流程、管理措施；③响应机制、案件核查的配合措施。</w:t>
            </w:r>
            <w:r>
              <w:rPr>
                <w:rFonts w:ascii="宋体" w:hAnsi="宋体" w:cs="Arial"/>
                <w:color w:val="000000"/>
                <w:sz w:val="24"/>
                <w:highlight w:val="none"/>
              </w:rPr>
            </w:r>
            <w:r/>
          </w:p>
          <w:p>
            <w:pPr>
              <w:pStyle w:val="1029"/>
              <w:rPr>
                <w:rFonts w:hint="eastAsia" w:ascii="宋体" w:hAnsi="宋体" w:eastAsia="宋体" w:cs="宋体"/>
                <w:bCs/>
                <w:color w:val="000000"/>
                <w:sz w:val="24"/>
                <w:szCs w:val="24"/>
                <w:highlight w:val="none"/>
              </w:rPr>
            </w:pPr>
            <w:r>
              <w:rPr>
                <w:rFonts w:hint="eastAsia" w:ascii="宋体" w:hAnsi="宋体" w:cs="Arial"/>
                <w:color w:val="000000"/>
                <w:sz w:val="24"/>
                <w:highlight w:val="none"/>
              </w:rPr>
              <w:t xml:space="preserve">投标人应在投标文件“项目实施方案”中设置专节来对上述3项内容作出响应性说明，每项为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rPr>
                <w:rFonts w:hint="eastAsia" w:ascii="宋体" w:hAnsi="宋体" w:eastAsia="宋体" w:cs="宋体"/>
                <w:bCs/>
                <w:color w:val="000000"/>
                <w:sz w:val="24"/>
                <w:szCs w:val="24"/>
                <w:highlight w:val="none"/>
              </w:rPr>
            </w:r>
            <w:r/>
          </w:p>
        </w:tc>
      </w:tr>
      <w:tr>
        <w:trPr>
          <w:trHeight w:val="381"/>
        </w:trPr>
        <w:tc>
          <w:tcPr>
            <w:tcW w:w="621"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根据各投标人项目实施方案中理赔方案进行评定，提供有针对性的、科学有效的理赔方案至少包含：①理赔负责人、理赔团队；②独立理赔决策权、理赔时效、理赔流程、理赔数据反馈；③特殊案件理赔处理、理赔投诉案件处理机制和处理时效。</w:t>
            </w:r>
            <w:r>
              <w:rPr>
                <w:rFonts w:ascii="宋体" w:hAnsi="宋体" w:eastAsia="宋体" w:cs="宋体"/>
                <w:color w:val="000000"/>
                <w:sz w:val="24"/>
                <w:highlight w:val="none"/>
              </w:rPr>
            </w:r>
            <w:r/>
          </w:p>
          <w:p>
            <w:pPr>
              <w:pStyle w:val="1091"/>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投标人应在投标文件“项目实施方案”中设置专节来对上述3项内容作出响应性说明，每项为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szCs w:val="24"/>
                <w:highlight w:val="none"/>
              </w:rPr>
            </w:r>
            <w:r/>
          </w:p>
        </w:tc>
      </w:tr>
      <w:tr>
        <w:trPr>
          <w:trHeight w:val="2080"/>
        </w:trPr>
        <w:tc>
          <w:tcPr>
            <w:tcW w:w="621"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（3）评标委员会根据各投标人项目实施方案中</w:t>
            </w:r>
            <w:r>
              <w:rPr>
                <w:rFonts w:hint="eastAsia" w:ascii="宋体" w:hAnsi="宋体" w:cs="Arial"/>
                <w:color w:val="000000"/>
                <w:sz w:val="24"/>
                <w:highlight w:val="none"/>
              </w:rPr>
              <w:t xml:space="preserve">投诉处理方案</w:t>
            </w:r>
            <w:r>
              <w:rPr>
                <w:rFonts w:hint="eastAsia" w:ascii="宋体" w:hAnsi="宋体" w:eastAsia="宋体" w:cs="宋体"/>
                <w:color w:val="000000"/>
                <w:sz w:val="24"/>
                <w:highlight w:val="none"/>
              </w:rPr>
              <w:t xml:space="preserve">进行评定，提供有针对性的、科学有效的</w:t>
            </w:r>
            <w:r>
              <w:rPr>
                <w:rFonts w:hint="eastAsia" w:ascii="宋体" w:hAnsi="宋体" w:cs="Arial"/>
                <w:color w:val="000000"/>
                <w:sz w:val="24"/>
                <w:highlight w:val="none"/>
              </w:rPr>
              <w:t xml:space="preserve">投诉处理方案</w:t>
            </w:r>
            <w:r>
              <w:rPr>
                <w:rFonts w:hint="eastAsia" w:ascii="宋体" w:hAnsi="宋体" w:eastAsia="宋体" w:cs="宋体"/>
                <w:color w:val="000000"/>
                <w:sz w:val="24"/>
                <w:highlight w:val="none"/>
              </w:rPr>
              <w:t xml:space="preserve">至少包含：①</w:t>
            </w:r>
            <w:r>
              <w:rPr>
                <w:rFonts w:hint="eastAsia" w:ascii="宋体" w:hAnsi="宋体" w:cs="宋体"/>
                <w:bCs/>
                <w:color w:val="000000"/>
                <w:sz w:val="24"/>
                <w:highlight w:val="none"/>
              </w:rPr>
              <w:t xml:space="preserve">针对投诉案件的处理负责人</w:t>
            </w:r>
            <w:r>
              <w:rPr>
                <w:rFonts w:hint="eastAsia" w:ascii="宋体" w:hAnsi="宋体" w:eastAsia="宋体" w:cs="宋体"/>
                <w:color w:val="000000"/>
                <w:sz w:val="24"/>
                <w:highlight w:val="none"/>
              </w:rPr>
              <w:t xml:space="preserve">；②</w:t>
            </w:r>
            <w:r>
              <w:rPr>
                <w:rFonts w:hint="eastAsia" w:ascii="宋体" w:hAnsi="宋体" w:cs="宋体"/>
                <w:bCs/>
                <w:color w:val="000000"/>
                <w:sz w:val="24"/>
                <w:highlight w:val="none"/>
              </w:rPr>
              <w:t xml:space="preserve">处理机制、处理时效</w:t>
            </w:r>
            <w:r>
              <w:rPr>
                <w:rFonts w:hint="eastAsia" w:ascii="宋体" w:hAnsi="宋体" w:eastAsia="宋体" w:cs="宋体"/>
                <w:color w:val="000000"/>
                <w:sz w:val="24"/>
                <w:highlight w:val="none"/>
              </w:rPr>
              <w:t xml:space="preserve">；③</w:t>
            </w:r>
            <w:r>
              <w:rPr>
                <w:rFonts w:hint="eastAsia" w:ascii="宋体" w:hAnsi="宋体" w:cs="宋体"/>
                <w:bCs/>
                <w:color w:val="000000"/>
                <w:sz w:val="24"/>
                <w:highlight w:val="none"/>
              </w:rPr>
              <w:t xml:space="preserve">预防投诉、信访的有效措施</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t xml:space="preserve">④售后保全与理赔核心服务</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1070"/>
              <w:ind w:firstLine="0"/>
              <w:spacing w:before="0" w:after="0"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投标人应在投标文件“项目实施方案”中设置专节来对上述3项内容作出响应性说明，每项为1分共</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分，每缺一项说明或者说明内容与项目无关扣1分。</w:t>
            </w:r>
            <w:r>
              <w:rPr>
                <w:rFonts w:hint="eastAsia" w:ascii="宋体" w:hAnsi="宋体" w:eastAsia="宋体" w:cs="宋体"/>
                <w:bCs/>
                <w:color w:val="000000"/>
                <w:sz w:val="24"/>
                <w:szCs w:val="24"/>
                <w:highlight w:val="none"/>
              </w:rPr>
            </w:r>
            <w:r/>
          </w:p>
        </w:tc>
      </w:tr>
    </w:tbl>
    <w:p>
      <w:pPr>
        <w:pStyle w:val="1029"/>
        <w:ind w:firstLine="482"/>
        <w:jc w:val="left"/>
        <w:spacing w:after="0"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1029"/>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29"/>
        <w:keepLines w:val="0"/>
        <w:keepNext w:val="0"/>
        <w:pageBreakBefore w:val="0"/>
        <w:spacing w:line="440" w:lineRule="exact"/>
        <w:widowControl w:val="off"/>
        <w:rPr>
          <w:rFonts w:hint="eastAsia" w:ascii="宋体" w:hAnsi="宋体" w:eastAsia="宋体" w:cs="宋体"/>
          <w:bCs/>
          <w:color w:val="000000"/>
          <w:sz w:val="24"/>
          <w:highlight w:val="none"/>
        </w:rPr>
        <w:sectPr>
          <w:headerReference w:type="default" r:id="rId9"/>
          <w:footerReference w:type="default" r:id="rId15"/>
          <w:footnotePr/>
          <w:endnotePr/>
          <w:type w:val="nextPage"/>
          <w:pgSz w:w="11907" w:h="16840" w:orient="portrait"/>
          <w:pgMar w:top="1440" w:right="1080" w:bottom="1440" w:left="1080" w:header="624" w:footer="992" w:gutter="0"/>
          <w:pgNumType w:start="1"/>
          <w:cols w:num="1" w:sep="0" w:space="1701" w:equalWidth="1"/>
          <w:docGrid w:linePitch="360"/>
        </w:sectPr>
      </w:pPr>
      <w:r>
        <w:rPr>
          <w:rFonts w:hint="eastAsia" w:ascii="宋体" w:hAnsi="宋体" w:eastAsia="宋体" w:cs="宋体"/>
          <w:bCs/>
          <w:color w:val="000000"/>
          <w:sz w:val="24"/>
          <w:highlight w:val="none"/>
        </w:rPr>
      </w:r>
      <w:r/>
    </w:p>
    <w:p>
      <w:pPr>
        <w:pStyle w:val="1044"/>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建湖县残疾人联合会</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9"/>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2026-2029年建湖县残疾人意外伤害综合保险采购项目（二次）</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9"/>
        <w:ind w:firstLine="482"/>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一、合同标的</w:t>
      </w:r>
      <w:r>
        <w:rPr>
          <w:rFonts w:ascii="宋体" w:hAnsi="宋体"/>
          <w:b/>
          <w:color w:val="000000"/>
          <w:sz w:val="24"/>
          <w:highlight w:val="none"/>
        </w:rPr>
      </w:r>
      <w:r/>
    </w:p>
    <w:p>
      <w:pPr>
        <w:pStyle w:val="1029"/>
        <w:ind w:firstLine="470"/>
        <w:spacing w:line="480" w:lineRule="exact"/>
        <w:rPr>
          <w:rFonts w:ascii="宋体" w:hAnsi="宋体"/>
          <w:b/>
          <w:color w:val="000000"/>
          <w:sz w:val="24"/>
          <w:highlight w:val="none"/>
        </w:rPr>
      </w:pPr>
      <w:r>
        <w:rPr>
          <w:rFonts w:hint="eastAsia" w:ascii="宋体" w:hAnsi="宋体"/>
          <w:color w:val="000000"/>
          <w:sz w:val="24"/>
          <w:highlight w:val="none"/>
        </w:rPr>
        <w:t xml:space="preserve">1.中标价即为合同价。</w:t>
      </w:r>
      <w:r>
        <w:rPr>
          <w:rFonts w:ascii="宋体" w:hAnsi="宋体"/>
          <w:b/>
          <w:color w:val="000000"/>
          <w:sz w:val="24"/>
          <w:highlight w:val="none"/>
        </w:rPr>
      </w:r>
      <w:r/>
    </w:p>
    <w:p>
      <w:pPr>
        <w:pStyle w:val="1029"/>
        <w:ind w:firstLine="470"/>
        <w:spacing w:line="480" w:lineRule="exact"/>
        <w:rPr>
          <w:rFonts w:ascii="宋体" w:hAnsi="宋体" w:cs="宋体"/>
          <w:color w:val="000000"/>
          <w:sz w:val="24"/>
          <w:highlight w:val="none"/>
        </w:rPr>
      </w:pPr>
      <w:r>
        <w:rPr>
          <w:rFonts w:hint="eastAsia" w:ascii="宋体" w:hAnsi="宋体"/>
          <w:color w:val="000000"/>
          <w:sz w:val="24"/>
          <w:highlight w:val="none"/>
        </w:rPr>
        <w:t xml:space="preserve">2.合同中合同总价应是招标文件所确定招标范围内全部工作内容的价格体现，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3.履约</w:t>
      </w:r>
      <w:r>
        <w:rPr>
          <w:rFonts w:ascii="宋体" w:hAnsi="宋体"/>
          <w:color w:val="000000"/>
          <w:sz w:val="24"/>
          <w:highlight w:val="none"/>
        </w:rPr>
        <w:t xml:space="preserve">保证金</w:t>
      </w:r>
      <w:r>
        <w:rPr>
          <w:rFonts w:ascii="宋体" w:hAnsi="宋体"/>
          <w:color w:val="000000"/>
          <w:sz w:val="24"/>
          <w:highlight w:val="none"/>
        </w:rPr>
      </w:r>
      <w:r/>
    </w:p>
    <w:p>
      <w:pPr>
        <w:pStyle w:val="1029"/>
        <w:ind w:firstLine="480"/>
        <w:jc w:val="left"/>
        <w:spacing w:line="480" w:lineRule="exact"/>
        <w:rPr>
          <w:rFonts w:ascii="宋体" w:hAnsi="宋体"/>
          <w:bCs/>
          <w:color w:val="000000"/>
          <w:sz w:val="24"/>
          <w:highlight w:val="none"/>
        </w:rPr>
      </w:pPr>
      <w:r>
        <w:rPr>
          <w:rFonts w:hint="eastAsia" w:ascii="宋体" w:hAnsi="宋体"/>
          <w:color w:val="000000"/>
          <w:sz w:val="24"/>
          <w:highlight w:val="none"/>
        </w:rPr>
        <w:t xml:space="preserve">3.1乙方在签订合同时，须向甲方交纳</w:t>
      </w:r>
      <w:r>
        <w:rPr>
          <w:rFonts w:hint="eastAsia" w:ascii="宋体" w:hAnsi="宋体"/>
          <w:color w:val="000000"/>
          <w:sz w:val="24"/>
          <w:highlight w:val="none"/>
          <w:lang w:eastAsia="zh-CN"/>
        </w:rPr>
        <w:t xml:space="preserve">叁万元</w:t>
      </w:r>
      <w:r>
        <w:rPr>
          <w:rFonts w:hint="eastAsia" w:ascii="宋体" w:hAnsi="宋体"/>
          <w:color w:val="000000"/>
          <w:sz w:val="24"/>
          <w:highlight w:val="none"/>
        </w:rPr>
        <w:t xml:space="preserve">的履约保证金，</w:t>
      </w:r>
      <w:r>
        <w:rPr>
          <w:rFonts w:hint="eastAsia" w:ascii="宋体" w:hAnsi="宋体" w:cs="宋体"/>
          <w:color w:val="000000"/>
          <w:sz w:val="24"/>
          <w:szCs w:val="20"/>
          <w:highlight w:val="none"/>
        </w:rPr>
        <w:t xml:space="preserve">于项目服务期满后退还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w:t>
      </w:r>
      <w:r>
        <w:rPr>
          <w:rFonts w:hint="eastAsia" w:ascii="宋体" w:hAnsi="宋体"/>
          <w:color w:val="000000"/>
          <w:sz w:val="24"/>
          <w:highlight w:val="none"/>
          <w:lang w:eastAsia="zh-CN"/>
        </w:rPr>
        <w:t xml:space="preserve">壹万伍仟的履约保证金</w:t>
      </w:r>
      <w:r>
        <w:rPr>
          <w:rFonts w:hint="eastAsia" w:ascii="宋体" w:hAnsi="宋体"/>
          <w:color w:val="000000"/>
          <w:sz w:val="24"/>
          <w:highlight w:val="none"/>
        </w:rPr>
        <w:t xml:space="preserve">。依据《关于在全省政府采购领域推行电子履约保函（保险）的通知》，鼓励供应商自愿使用履约保函（保险）代替缴纳履约保证金。</w:t>
      </w:r>
      <w:r>
        <w:rPr>
          <w:rFonts w:ascii="宋体" w:hAnsi="宋体"/>
          <w:bCs/>
          <w:color w:val="000000"/>
          <w:sz w:val="24"/>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3.2</w:t>
      </w:r>
      <w:r>
        <w:rPr>
          <w:rFonts w:hint="eastAsia" w:ascii="宋体" w:hAnsi="宋体" w:cs="宋体"/>
          <w:color w:val="000000"/>
          <w:sz w:val="24"/>
          <w:szCs w:val="20"/>
          <w:highlight w:val="none"/>
        </w:rPr>
        <w:t xml:space="preserve">合同履行结束后，甲方应及时退还交纳的履约保证金。</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3.3</w:t>
      </w:r>
      <w:r>
        <w:rPr>
          <w:rFonts w:hint="eastAsia" w:ascii="宋体" w:hAnsi="宋体" w:cs="宋体"/>
          <w:color w:val="000000"/>
          <w:sz w:val="24"/>
          <w:szCs w:val="20"/>
          <w:highlight w:val="none"/>
        </w:rPr>
        <w:t xml:space="preserve">履约保证金的退还：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3.1方式：无息退还至投标人缴纳履约保证金的账户。如为保函，在到期时自行失效。</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3.2时间：项目服务期满后退还。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3.3条件：按合同要求全部履约完成并经甲方验收合格，且甲方收到乙方出具的发票。</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3.4不予退还情形：</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除不可抗力情况外，投标人出现下列情形之一的，其履约保证金，甲方将视情节决定不予退还或部分不予退还。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（1）乙方无正当理由拒绝签订合同的，或者在签订合同时向采购人提出附加条件或者更改合同实质性内容要求的；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（2）乙方不履行与采购人订立的合同的；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（3）乙方所供货物或服务不符合招标文件规定要求的；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highlight w:val="none"/>
        </w:rPr>
      </w:r>
      <w:r/>
    </w:p>
    <w:p>
      <w:pPr>
        <w:pStyle w:val="1029"/>
        <w:ind w:firstLine="480"/>
        <w:jc w:val="left"/>
        <w:spacing w:line="480" w:lineRule="exact"/>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项目实施期间，乙方所有的工作人员的人身安全以及乙方在实施期间产生的各类安全责任事故均由乙方自行承担。</w:t>
      </w:r>
      <w:r>
        <w:rPr>
          <w:rFonts w:ascii="宋体" w:hAnsi="宋体"/>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5. 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二、服务事项</w:t>
      </w:r>
      <w:r>
        <w:rPr>
          <w:rFonts w:ascii="宋体" w:hAnsi="宋体"/>
          <w:b/>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1.服务内容</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为建湖县境内满足规定条件的残疾人（约17000人）提供意外伤害综合保险服务，每年具体人数以建湖县残疾人联合会实际提供人数为准，在保险期间内首次罹患重大疾病、因发生意外伤害导致伤残或身故的、非意外伤害导致死亡的，保险人按照保险合同的约定负责赔偿，具体保险补偿内容详见招标要求。</w:t>
      </w:r>
      <w:r>
        <w:rPr>
          <w:rFonts w:ascii="宋体" w:hAnsi="宋体"/>
          <w:color w:val="000000"/>
          <w:sz w:val="24"/>
          <w:highlight w:val="none"/>
        </w:rPr>
      </w:r>
      <w:r/>
    </w:p>
    <w:p>
      <w:pPr>
        <w:pStyle w:val="1029"/>
        <w:ind w:firstLine="480"/>
        <w:jc w:val="left"/>
        <w:spacing w:line="480" w:lineRule="exact"/>
        <w:rPr>
          <w:rFonts w:hint="eastAsia" w:ascii="宋体" w:hAnsi="宋体"/>
          <w:color w:val="000000"/>
          <w:sz w:val="24"/>
          <w:highlight w:val="none"/>
          <w:lang w:eastAsia="zh-CN"/>
        </w:rPr>
      </w:pPr>
      <w:r>
        <w:rPr>
          <w:rFonts w:hint="eastAsia" w:ascii="宋体" w:hAnsi="宋体"/>
          <w:color w:val="000000"/>
          <w:sz w:val="24"/>
          <w:highlight w:val="none"/>
        </w:rPr>
        <w:t xml:space="preserve">2.合同履行期限：三年（合同一年一签，经采购人考核合格后方可续签下一年服务合同，否则采购人有权终止合同，重新组织招标）</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29"/>
        <w:ind w:left="2" w:firstLine="477"/>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三、</w:t>
      </w:r>
      <w:r>
        <w:rPr>
          <w:rFonts w:hint="eastAsia" w:ascii="宋体" w:hAnsi="宋体" w:cs="宋体"/>
          <w:b/>
          <w:bCs/>
          <w:color w:val="000000"/>
          <w:sz w:val="24"/>
          <w:szCs w:val="20"/>
          <w:highlight w:val="none"/>
        </w:rPr>
        <w:t xml:space="preserve">在保险期间内，参保对象发生下列情况，给予保险补偿</w:t>
      </w:r>
      <w:r>
        <w:rPr>
          <w:rFonts w:ascii="宋体" w:hAnsi="宋体"/>
          <w:color w:val="000000"/>
          <w:sz w:val="24"/>
          <w:szCs w:val="20"/>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意外死亡：赔偿限额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意外或首次罹患重大疾病导致新增伤残（或原伤残等级加重）：赔偿限额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意外伤害医疗费用（包含门诊和住院）：赔偿限额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首次罹患重大疾病：定额补助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首次罹患重大疾病的医疗费用（包含门诊和住院）赔偿限额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按个人实付医疗费用的75%赔偿；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③在保险期间内，治疗总费用（包括门诊和住院）为8万元及以上：按个人实付医疗费用的80%赔偿。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因</w:t>
      </w:r>
      <w:r>
        <w:rPr>
          <w:rFonts w:hint="eastAsia" w:ascii="宋体" w:hAnsi="宋体"/>
          <w:bCs/>
          <w:color w:val="000000"/>
          <w:sz w:val="24"/>
          <w:highlight w:val="none"/>
        </w:rPr>
        <w:t xml:space="preserve">意外、首次重疾</w:t>
      </w:r>
      <w:r>
        <w:rPr>
          <w:rFonts w:hint="eastAsia" w:ascii="宋体" w:hAnsi="宋体" w:cs="宋体"/>
          <w:color w:val="000000"/>
          <w:sz w:val="24"/>
          <w:highlight w:val="none"/>
        </w:rPr>
        <w:t xml:space="preserve">住院费用津贴：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非意外伤害导致的死亡：定额补助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四、双方权利与义务</w:t>
      </w:r>
      <w:r>
        <w:rPr>
          <w:rFonts w:ascii="宋体" w:hAnsi="宋体"/>
          <w:b/>
          <w:color w:val="000000"/>
          <w:sz w:val="24"/>
          <w:highlight w:val="none"/>
        </w:rPr>
      </w:r>
      <w:r/>
    </w:p>
    <w:p>
      <w:pPr>
        <w:pStyle w:val="1029"/>
        <w:ind w:firstLine="482"/>
        <w:spacing w:line="440" w:lineRule="exact"/>
        <w:rPr>
          <w:rFonts w:ascii="宋体" w:hAnsi="宋体" w:cs="宋体"/>
          <w:b/>
          <w:color w:val="000000"/>
          <w:sz w:val="24"/>
          <w:szCs w:val="20"/>
          <w:highlight w:val="none"/>
        </w:rPr>
      </w:pPr>
      <w:r>
        <w:rPr>
          <w:rFonts w:ascii="宋体" w:hAnsi="宋体" w:cs="宋体"/>
          <w:b/>
          <w:color w:val="000000"/>
          <w:sz w:val="24"/>
          <w:szCs w:val="20"/>
          <w:highlight w:val="none"/>
        </w:rPr>
        <w:t xml:space="preserve">1.</w:t>
      </w:r>
      <w:r>
        <w:rPr>
          <w:rFonts w:hint="eastAsia" w:ascii="宋体" w:hAnsi="宋体" w:cs="宋体"/>
          <w:b/>
          <w:color w:val="000000"/>
          <w:sz w:val="24"/>
          <w:szCs w:val="20"/>
          <w:highlight w:val="none"/>
        </w:rPr>
        <w:t xml:space="preserve">甲方权利义务</w:t>
      </w:r>
      <w:r>
        <w:rPr>
          <w:rFonts w:ascii="宋体" w:hAnsi="宋体" w:cs="宋体"/>
          <w:b/>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（1）甲方应协助提供残疾人意外伤害综合保险参保人员的投保资料。</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（2）甲方应协助乙方进行残疾人意外伤害综合保险宣传。</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（3）检查监督乙方日常工作的实施及制度的执行情况；</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（4）招标文件、投标文件及合同附件中约定的甲方其他权利义务。</w:t>
      </w:r>
      <w:r>
        <w:rPr>
          <w:rFonts w:hint="eastAsia" w:ascii="宋体" w:hAnsi="宋体" w:cs="宋体"/>
          <w:b w:val="0"/>
          <w:bCs/>
          <w:color w:val="000000"/>
          <w:sz w:val="24"/>
          <w:szCs w:val="20"/>
          <w:highlight w:val="none"/>
        </w:rPr>
      </w:r>
      <w:r/>
    </w:p>
    <w:p>
      <w:pPr>
        <w:pStyle w:val="1029"/>
        <w:ind w:firstLine="482"/>
        <w:spacing w:line="440" w:lineRule="exact"/>
        <w:rPr>
          <w:rFonts w:ascii="宋体" w:hAnsi="宋体" w:cs="宋体"/>
          <w:bCs/>
          <w:color w:val="000000"/>
          <w:sz w:val="24"/>
          <w:szCs w:val="20"/>
          <w:highlight w:val="none"/>
        </w:rPr>
      </w:pPr>
      <w:r>
        <w:rPr>
          <w:rFonts w:ascii="宋体" w:hAnsi="宋体" w:cs="宋体"/>
          <w:b/>
          <w:color w:val="000000"/>
          <w:sz w:val="24"/>
          <w:szCs w:val="20"/>
          <w:highlight w:val="none"/>
        </w:rPr>
        <w:t xml:space="preserve">2.</w:t>
      </w:r>
      <w:r>
        <w:rPr>
          <w:rFonts w:hint="eastAsia" w:ascii="宋体" w:hAnsi="宋体" w:cs="宋体"/>
          <w:b/>
          <w:color w:val="000000"/>
          <w:sz w:val="24"/>
          <w:szCs w:val="20"/>
          <w:highlight w:val="none"/>
        </w:rPr>
        <w:t xml:space="preserve">乙方权利义务</w:t>
      </w:r>
      <w:r>
        <w:rPr>
          <w:rFonts w:ascii="宋体" w:hAnsi="宋体" w:cs="宋体"/>
          <w:bCs/>
          <w:color w:val="000000"/>
          <w:sz w:val="24"/>
          <w:szCs w:val="20"/>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（1）乙方提供残疾人意外伤害综合保险基本运行和管理必需的设备、政策宣传、业务培训等服务。</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（2）乙方对甲方提供的参保人信息以及相关资料承担保密责任，不得用于其他用途，不得向第三方泄露。</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rPr>
          <w:rFonts w:hint="eastAsia" w:ascii="宋体" w:hAnsi="宋体" w:cs="宋体"/>
          <w:bCs/>
          <w:color w:val="000000"/>
          <w:sz w:val="24"/>
          <w:highlight w:val="none"/>
        </w:rPr>
      </w:r>
      <w:r/>
    </w:p>
    <w:p>
      <w:pPr>
        <w:pStyle w:val="1029"/>
        <w:ind w:left="-105" w:firstLine="525"/>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（4）招标文件、投标文件及合同附件中约定的乙方其他权利义务。</w:t>
      </w:r>
      <w:r>
        <w:rPr>
          <w:rFonts w:hint="eastAsia" w:ascii="宋体" w:hAnsi="宋体" w:cs="宋体"/>
          <w:bCs/>
          <w:color w:val="000000"/>
          <w:sz w:val="24"/>
          <w:highlight w:val="none"/>
        </w:rPr>
      </w:r>
      <w:r/>
    </w:p>
    <w:p>
      <w:pPr>
        <w:pStyle w:val="1029"/>
        <w:ind w:left="-105" w:firstLine="525"/>
        <w:spacing w:line="480" w:lineRule="exact"/>
        <w:rPr>
          <w:rFonts w:ascii="宋体" w:hAnsi="宋体"/>
          <w:b/>
          <w:color w:val="000000"/>
          <w:sz w:val="24"/>
          <w:highlight w:val="none"/>
        </w:rPr>
      </w:pPr>
      <w:r>
        <w:rPr>
          <w:rFonts w:hint="eastAsia" w:ascii="宋体" w:hAnsi="宋体"/>
          <w:b/>
          <w:color w:val="000000"/>
          <w:sz w:val="24"/>
          <w:highlight w:val="none"/>
        </w:rPr>
        <w:t xml:space="preserve">五、保费支付方法</w:t>
      </w:r>
      <w:r>
        <w:rPr>
          <w:rFonts w:ascii="宋体" w:hAnsi="宋体"/>
          <w:b/>
          <w:color w:val="000000"/>
          <w:sz w:val="24"/>
          <w:highlight w:val="none"/>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sz w:val="24"/>
          <w:highlight w:val="none"/>
        </w:rPr>
        <w:t xml:space="preserve">签订合同时，乙方明确表示无需预付款或者主动要求降低预付款比例金额，甲方可不适用该条款。</w:t>
      </w:r>
      <w:r>
        <w:rPr>
          <w:rFonts w:ascii="宋体" w:hAnsi="宋体"/>
          <w:color w:val="000000"/>
          <w:sz w:val="24"/>
          <w:highlight w:val="none"/>
        </w:rPr>
      </w:r>
      <w:r/>
    </w:p>
    <w:p>
      <w:pPr>
        <w:pStyle w:val="1029"/>
        <w:ind w:firstLine="361"/>
        <w:spacing w:line="480" w:lineRule="exact"/>
        <w:rPr>
          <w:rFonts w:ascii="宋体" w:hAnsi="宋体" w:cs="宋体"/>
          <w:b/>
          <w:bCs/>
          <w:color w:val="000000"/>
          <w:sz w:val="24"/>
          <w:highlight w:val="none"/>
          <w:lang w:bidi="ar"/>
        </w:rPr>
      </w:pPr>
      <w:r>
        <w:rPr>
          <w:rFonts w:hint="eastAsia" w:ascii="宋体" w:hAnsi="宋体"/>
          <w:b/>
          <w:bCs/>
          <w:color w:val="000000"/>
          <w:sz w:val="24"/>
          <w:highlight w:val="none"/>
        </w:rPr>
        <w:t xml:space="preserve">（</w:t>
      </w:r>
      <w:r>
        <w:rPr>
          <w:rFonts w:ascii="宋体" w:hAnsi="宋体"/>
          <w:b/>
          <w:bCs/>
          <w:color w:val="000000"/>
          <w:sz w:val="24"/>
          <w:highlight w:val="none"/>
        </w:rPr>
        <w:t xml:space="preserve">2</w:t>
      </w:r>
      <w:r>
        <w:rPr>
          <w:rFonts w:hint="eastAsia" w:ascii="宋体" w:hAnsi="宋体"/>
          <w:b/>
          <w:bCs/>
          <w:color w:val="000000"/>
          <w:sz w:val="24"/>
          <w:highlight w:val="none"/>
        </w:rPr>
        <w:t xml:space="preserve">）</w:t>
      </w:r>
      <w:r>
        <w:rPr>
          <w:rFonts w:hint="eastAsia" w:ascii="宋体" w:hAnsi="宋体" w:cs="宋体"/>
          <w:b/>
          <w:bCs/>
          <w:color w:val="000000"/>
          <w:sz w:val="24"/>
          <w:highlight w:val="none"/>
          <w:lang w:bidi="ar"/>
        </w:rPr>
        <w:t xml:space="preserve">其余按如下方式支付：</w:t>
      </w:r>
      <w:r>
        <w:rPr>
          <w:rFonts w:ascii="宋体" w:hAnsi="宋体" w:cs="宋体"/>
          <w:b/>
          <w:bCs/>
          <w:color w:val="000000"/>
          <w:sz w:val="24"/>
          <w:highlight w:val="none"/>
          <w:lang w:bidi="ar"/>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1 \* GB3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①</w:t>
      </w:r>
      <w:r>
        <w:rPr>
          <w:rFonts w:hint="eastAsia" w:ascii="宋体" w:hAnsi="宋体"/>
          <w:color w:val="000000"/>
          <w:sz w:val="24"/>
          <w:highlight w:val="none"/>
        </w:rPr>
        <w:fldChar w:fldCharType="end"/>
      </w:r>
      <w:r>
        <w:rPr>
          <w:rFonts w:hint="eastAsia" w:ascii="宋体" w:hAnsi="宋体"/>
          <w:color w:val="000000"/>
          <w:sz w:val="24"/>
          <w:highlight w:val="none"/>
        </w:rPr>
        <w:t xml:space="preserve">按实结算，按照实际参保人数，进行核对和结算；</w:t>
      </w:r>
      <w:r>
        <w:rPr>
          <w:rFonts w:ascii="宋体" w:hAnsi="宋体"/>
          <w:color w:val="000000"/>
          <w:sz w:val="24"/>
          <w:highlight w:val="none"/>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2 \* GB3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②</w:t>
      </w:r>
      <w:r>
        <w:rPr>
          <w:rFonts w:hint="eastAsia" w:ascii="宋体" w:hAnsi="宋体"/>
          <w:color w:val="000000"/>
          <w:sz w:val="24"/>
          <w:highlight w:val="none"/>
        </w:rPr>
        <w:fldChar w:fldCharType="end"/>
      </w:r>
      <w:r>
        <w:rPr>
          <w:rFonts w:hint="eastAsia" w:ascii="宋体" w:hAnsi="宋体"/>
          <w:color w:val="000000"/>
          <w:sz w:val="24"/>
          <w:highlight w:val="none"/>
        </w:rPr>
        <w:t xml:space="preserve">中标单位应按照保险协议要求及时出具保单，并在出单后开具全额发票送至建湖县残疾人联合会，建湖县残疾人联合会按照发票金额30日历天内一次性结清保费（保单一年一出，保费一年一付）（本项目采取定期结算，付款期限自甲乙双方确认结算金额之日起30日内支付相应进度款项）。</w:t>
      </w:r>
      <w:r>
        <w:rPr>
          <w:rFonts w:ascii="宋体" w:hAnsi="宋体"/>
          <w:color w:val="000000"/>
          <w:sz w:val="24"/>
          <w:highlight w:val="none"/>
        </w:rPr>
      </w:r>
      <w:r/>
    </w:p>
    <w:p>
      <w:pPr>
        <w:pStyle w:val="1029"/>
        <w:ind w:firstLine="475"/>
        <w:spacing w:line="480" w:lineRule="exact"/>
        <w:rPr>
          <w:rFonts w:ascii="宋体" w:hAnsi="宋体"/>
          <w:b/>
          <w:color w:val="000000"/>
          <w:sz w:val="24"/>
          <w:highlight w:val="none"/>
        </w:rPr>
      </w:pPr>
      <w:r>
        <w:rPr>
          <w:rFonts w:hint="eastAsia" w:ascii="宋体" w:hAnsi="宋体"/>
          <w:b/>
          <w:color w:val="000000"/>
          <w:sz w:val="24"/>
          <w:highlight w:val="none"/>
        </w:rPr>
        <w:t xml:space="preserve">六、违约责任</w:t>
      </w:r>
      <w:r>
        <w:rPr>
          <w:rFonts w:ascii="宋体" w:hAnsi="宋体"/>
          <w:b/>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甲方的违约责任</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甲方违反合同约定，造成乙方经济损失的，甲方应承担相关损失。</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2.乙方的违约责任</w:t>
      </w:r>
      <w:r>
        <w:rPr>
          <w:rFonts w:ascii="宋体" w:hAnsi="宋体"/>
          <w:color w:val="000000"/>
          <w:sz w:val="24"/>
          <w:highlight w:val="none"/>
        </w:rPr>
      </w:r>
      <w:r/>
    </w:p>
    <w:p>
      <w:pPr>
        <w:pStyle w:val="1029"/>
        <w:ind w:left="466"/>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乙方不能正常提供服务或提供的服务不能满足甲方需求从而影响甲方正常使用的，</w:t>
      </w:r>
      <w:r>
        <w:rPr>
          <w:rFonts w:ascii="宋体" w:hAnsi="宋体"/>
          <w:color w:val="000000"/>
          <w:sz w:val="24"/>
          <w:szCs w:val="20"/>
          <w:highlight w:val="none"/>
        </w:rPr>
      </w:r>
      <w:r/>
    </w:p>
    <w:p>
      <w:pPr>
        <w:pStyle w:val="102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甲方有权解除合同，乙方向甲方偿付合同总价款</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的违约金，违约金不足以补偿损失的甲方有权要求乙方补足。</w:t>
      </w:r>
      <w:r>
        <w:rPr>
          <w:rFonts w:ascii="宋体" w:hAnsi="宋体"/>
          <w:color w:val="000000"/>
          <w:sz w:val="24"/>
          <w:szCs w:val="20"/>
          <w:highlight w:val="none"/>
        </w:rPr>
      </w:r>
      <w:r/>
    </w:p>
    <w:p>
      <w:pPr>
        <w:pStyle w:val="1029"/>
        <w:ind w:firstLine="475"/>
        <w:spacing w:line="480" w:lineRule="exact"/>
        <w:rPr>
          <w:rFonts w:ascii="宋体" w:hAnsi="宋体"/>
          <w:b/>
          <w:color w:val="000000"/>
          <w:sz w:val="24"/>
          <w:highlight w:val="none"/>
        </w:rPr>
      </w:pPr>
      <w:r>
        <w:rPr>
          <w:rFonts w:hint="eastAsia" w:ascii="宋体" w:hAnsi="宋体"/>
          <w:b/>
          <w:color w:val="000000"/>
          <w:sz w:val="24"/>
          <w:highlight w:val="none"/>
        </w:rPr>
        <w:t xml:space="preserve">七、不可抗力</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八、其他事项</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九、合同争议解决方式</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十、其他</w:t>
      </w:r>
      <w:r>
        <w:rPr>
          <w:rFonts w:ascii="宋体" w:hAnsi="宋体"/>
          <w:b/>
          <w:color w:val="000000"/>
          <w:sz w:val="24"/>
          <w:highlight w:val="none"/>
        </w:rPr>
      </w:r>
      <w:r/>
    </w:p>
    <w:p>
      <w:pPr>
        <w:pStyle w:val="1029"/>
        <w:ind w:firstLine="482"/>
        <w:spacing w:line="480" w:lineRule="exact"/>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ascii="宋体" w:hAnsi="宋体"/>
          <w:color w:val="000000"/>
          <w:sz w:val="24"/>
          <w:highlight w:val="none"/>
        </w:rPr>
      </w:r>
      <w:r/>
    </w:p>
    <w:p>
      <w:pPr>
        <w:pStyle w:val="1029"/>
        <w:ind w:firstLine="482"/>
        <w:spacing w:line="480" w:lineRule="exact"/>
        <w:widowControl/>
        <w:rPr>
          <w:rFonts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rPr>
          <w:rFonts w:ascii="宋体" w:hAnsi="宋体"/>
          <w:color w:val="000000"/>
          <w:sz w:val="24"/>
          <w:highlight w:val="none"/>
        </w:rPr>
      </w:r>
      <w:r/>
    </w:p>
    <w:p>
      <w:pPr>
        <w:pStyle w:val="1029"/>
        <w:ind w:firstLine="482"/>
        <w:jc w:val="left"/>
        <w:spacing w:line="480" w:lineRule="exact"/>
        <w:rPr>
          <w:rFonts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任何一方无权在没有另一方事先书面同意的情况下，向第三方给予、授予和转   </w:t>
      </w:r>
      <w:r>
        <w:rPr>
          <w:rFonts w:ascii="宋体" w:hAnsi="宋体"/>
          <w:color w:val="000000"/>
          <w:sz w:val="24"/>
          <w:highlight w:val="none"/>
        </w:rPr>
      </w:r>
      <w:r/>
    </w:p>
    <w:p>
      <w:pPr>
        <w:pStyle w:val="1029"/>
        <w:jc w:val="left"/>
        <w:spacing w:line="480" w:lineRule="exact"/>
        <w:rPr>
          <w:rFonts w:ascii="宋体" w:hAnsi="宋体"/>
          <w:color w:val="000000"/>
          <w:sz w:val="24"/>
          <w:highlight w:val="none"/>
        </w:rPr>
      </w:pPr>
      <w:r>
        <w:rPr>
          <w:rFonts w:hint="eastAsia" w:ascii="宋体" w:hAnsi="宋体"/>
          <w:color w:val="000000"/>
          <w:sz w:val="24"/>
          <w:highlight w:val="none"/>
        </w:rPr>
        <w:t xml:space="preserve">让本合同所规定的任何权利和义务。                                              </w:t>
      </w:r>
      <w:r>
        <w:rPr>
          <w:rFonts w:ascii="宋体" w:hAnsi="宋体"/>
          <w:color w:val="000000"/>
          <w:sz w:val="24"/>
          <w:highlight w:val="none"/>
        </w:rPr>
      </w:r>
      <w:r/>
    </w:p>
    <w:p>
      <w:pPr>
        <w:pStyle w:val="1029"/>
        <w:spacing w:line="48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4.</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ascii="宋体" w:hAnsi="宋体"/>
          <w:color w:val="000000"/>
          <w:sz w:val="24"/>
          <w:highlight w:val="none"/>
        </w:rPr>
      </w:r>
      <w:r/>
    </w:p>
    <w:p>
      <w:pPr>
        <w:pStyle w:val="1029"/>
        <w:ind w:firstLine="482"/>
        <w:jc w:val="left"/>
        <w:spacing w:line="480" w:lineRule="exact"/>
        <w:widowControl/>
        <w:tabs>
          <w:tab w:val="left" w:pos="630" w:leader="none"/>
        </w:tabs>
        <w:rPr>
          <w:rFonts w:ascii="宋体" w:hAnsi="宋体"/>
          <w:color w:val="000000"/>
          <w:sz w:val="24"/>
          <w:highlight w:val="none"/>
        </w:rPr>
      </w:pPr>
      <w:r>
        <w:rPr>
          <w:rFonts w:hint="eastAsia" w:ascii="宋体" w:hAnsi="宋体"/>
          <w:b/>
          <w:color w:val="000000"/>
          <w:sz w:val="24"/>
          <w:highlight w:val="none"/>
        </w:rPr>
        <w:t xml:space="preserve">5.</w:t>
      </w:r>
      <w:r>
        <w:rPr>
          <w:rFonts w:hint="eastAsia" w:ascii="宋体" w:hAnsi="宋体"/>
          <w:color w:val="000000"/>
          <w:sz w:val="24"/>
          <w:highlight w:val="none"/>
        </w:rPr>
        <w:t xml:space="preserve">本合同附件包括：招标文件、中标通知书及投标文件。</w:t>
      </w:r>
      <w:r>
        <w:rPr>
          <w:rFonts w:ascii="宋体" w:hAnsi="宋体"/>
          <w:color w:val="000000"/>
          <w:sz w:val="24"/>
          <w:highlight w:val="none"/>
        </w:rPr>
      </w:r>
      <w:r/>
    </w:p>
    <w:p>
      <w:pPr>
        <w:pStyle w:val="1029"/>
        <w:ind w:firstLine="472"/>
        <w:spacing w:line="480" w:lineRule="exact"/>
        <w:rPr>
          <w:rFonts w:ascii="宋体" w:hAnsi="宋体"/>
          <w:b/>
          <w:bCs/>
          <w:color w:val="000000"/>
          <w:sz w:val="24"/>
          <w:szCs w:val="20"/>
          <w:highlight w:val="none"/>
        </w:rPr>
      </w:pPr>
      <w:r>
        <w:rPr>
          <w:rFonts w:ascii="宋体" w:hAnsi="宋体"/>
          <w:b/>
          <w:bCs/>
          <w:color w:val="000000"/>
          <w:sz w:val="24"/>
          <w:szCs w:val="20"/>
          <w:highlight w:val="none"/>
        </w:rPr>
        <w:t xml:space="preserve">6.该合同在签订之日起2个工作日内在江苏省政府采购网、盐城市政府采购网上予以</w:t>
      </w:r>
      <w:r>
        <w:rPr>
          <w:rFonts w:hint="eastAsia" w:ascii="宋体" w:hAnsi="宋体"/>
          <w:b/>
          <w:bCs/>
          <w:color w:val="000000"/>
          <w:sz w:val="24"/>
          <w:szCs w:val="20"/>
          <w:highlight w:val="none"/>
        </w:rPr>
        <w:t xml:space="preserve">公示</w:t>
      </w:r>
      <w:r>
        <w:rPr>
          <w:rFonts w:ascii="宋体" w:hAnsi="宋体"/>
          <w:b/>
          <w:bCs/>
          <w:color w:val="000000"/>
          <w:sz w:val="24"/>
          <w:szCs w:val="20"/>
          <w:highlight w:val="none"/>
        </w:rPr>
        <w:t xml:space="preserve">。</w:t>
      </w:r>
      <w:r>
        <w:rPr>
          <w:rFonts w:ascii="宋体" w:hAnsi="宋体"/>
          <w:b/>
          <w:bCs/>
          <w:color w:val="000000"/>
          <w:sz w:val="24"/>
          <w:szCs w:val="20"/>
          <w:highlight w:val="none"/>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numPr>
          <w:ilvl w:val="0"/>
          <w:numId w:val="0"/>
        </w:numPr>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9"/>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9"/>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9"/>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9"/>
        <w:jc w:val="left"/>
        <w:spacing w:before="100" w:beforeAutospacing="1" w:after="100" w:afterAutospacing="1"/>
        <w:widowControl/>
        <w:rPr>
          <w:rFonts w:hint="eastAsia" w:ascii="宋体" w:hAnsi="宋体" w:eastAsia="宋体" w:cs="宋体"/>
          <w:bCs/>
          <w:color w:val="000000"/>
          <w:sz w:val="24"/>
          <w:lang w:eastAsia="zh-CN"/>
        </w:rPr>
      </w:pPr>
      <w:r>
        <w:rPr>
          <w:rFonts w:hint="eastAsia" w:ascii="宋体" w:hAnsi="宋体" w:cs="微软雅黑"/>
          <w:color w:val="000000"/>
          <w:sz w:val="27"/>
          <w:szCs w:val="27"/>
        </w:rPr>
        <w:t xml:space="preserve">项目编号：</w:t>
      </w:r>
      <w:r>
        <w:rPr>
          <w:rFonts w:hint="eastAsia" w:ascii="宋体" w:hAnsi="宋体" w:cs="微软雅黑"/>
          <w:color w:val="000000"/>
          <w:sz w:val="27"/>
          <w:szCs w:val="27"/>
          <w:lang w:eastAsia="zh-CN"/>
        </w:rPr>
        <w:t xml:space="preserve">JSZC-320925-JSTX-G2026-0029</w:t>
      </w:r>
      <w:r>
        <w:rPr>
          <w:rFonts w:hint="eastAsia" w:ascii="宋体" w:hAnsi="宋体" w:eastAsia="宋体" w:cs="宋体"/>
          <w:bCs/>
          <w:color w:val="000000"/>
          <w:sz w:val="24"/>
          <w:lang w:eastAsia="zh-CN"/>
        </w:rPr>
      </w:r>
      <w:r/>
    </w:p>
    <w:p>
      <w:pPr>
        <w:pStyle w:val="1029"/>
        <w:jc w:val="left"/>
        <w:spacing w:before="100" w:beforeAutospacing="1" w:after="100" w:afterAutospacing="1"/>
        <w:widowControl/>
        <w:rPr>
          <w:rFonts w:ascii="宋体" w:hAnsi="宋体" w:cs="微软雅黑"/>
          <w:color w:val="000000"/>
          <w:sz w:val="28"/>
          <w:szCs w:val="28"/>
        </w:rPr>
      </w:pPr>
      <w:r>
        <w:rPr>
          <w:rFonts w:ascii="宋体" w:hAnsi="宋体" w:cs="微软雅黑"/>
          <w:color w:val="000000"/>
          <w:sz w:val="27"/>
          <w:szCs w:val="27"/>
        </w:rPr>
        <w:t xml:space="preserve">货币单位：人民币元</w:t>
      </w:r>
      <w:r>
        <w:rPr>
          <w:rFonts w:ascii="宋体" w:hAnsi="宋体" w:cs="微软雅黑"/>
          <w:color w:val="000000"/>
          <w:sz w:val="28"/>
          <w:szCs w:val="28"/>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29"/>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2026-2029年建湖县残疾人意外伤害综合保险采购项目（二次）</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29"/>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782"/>
        </w:trPr>
        <w:tc>
          <w:tcPr>
            <w:tcW w:w="3889" w:type="dxa"/>
            <w:vAlign w:val="center"/>
            <w:textDirection w:val="lrTb"/>
            <w:noWrap w:val="false"/>
          </w:tcPr>
          <w:p>
            <w:pPr>
              <w:pStyle w:val="1029"/>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29"/>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cs="Segoe UI"/>
                <w:color w:val="000000"/>
                <w:sz w:val="24"/>
                <w:highlight w:val="none"/>
              </w:rPr>
              <w:t xml:space="preserve">金额大写</w:t>
            </w:r>
            <w:r>
              <w:rPr>
                <w:rFonts w:hint="eastAsia" w:ascii="宋体" w:hAnsi="宋体" w:cs="Segoe UI"/>
                <w:color w:val="000000"/>
                <w:sz w:val="24"/>
                <w:highlight w:val="none"/>
              </w:rPr>
              <w:t xml:space="preserve">：</w:t>
            </w:r>
            <w:r>
              <w:rPr>
                <w:rFonts w:ascii="宋体" w:hAnsi="宋体" w:eastAsia="宋体" w:cs="Segoe UI"/>
                <w:color w:val="000000"/>
                <w:sz w:val="24"/>
                <w:highlight w:val="none"/>
                <w:lang w:val="en-US" w:eastAsia="zh-CN"/>
              </w:rPr>
            </w:r>
            <w:r/>
          </w:p>
        </w:tc>
      </w:tr>
    </w:tbl>
    <w:p>
      <w:pPr>
        <w:pStyle w:val="1059"/>
        <w:keepLines w:val="0"/>
        <w:keepNext w:val="0"/>
        <w:widowControl/>
        <w:rPr>
          <w:color w:val="000000"/>
          <w:highlight w:val="none"/>
        </w:rPr>
        <w:suppressLineNumbers w:val="0"/>
      </w:pPr>
      <w:r>
        <w:rPr>
          <w:color w:val="000000"/>
          <w:highlight w:val="none"/>
        </w:rPr>
      </w:r>
      <w:r/>
    </w:p>
    <w:p>
      <w:pPr>
        <w:pStyle w:val="1059"/>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59"/>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9"/>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highlight w:val="none"/>
        </w:rPr>
      </w:pPr>
      <w:r>
        <w:rPr>
          <w:rFonts w:hint="eastAsia"/>
          <w:highlight w:val="none"/>
        </w:rPr>
      </w:r>
      <w:r/>
    </w:p>
    <w:p>
      <w:pPr>
        <w:pStyle w:val="1048"/>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48"/>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建湖县残疾人联合会</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2026-2029年建湖县残疾人意外伤害综合保险采购项目（二次）</w:t>
      </w:r>
      <w:r>
        <w:rPr>
          <w:rFonts w:ascii="宋体" w:hAnsi="宋体"/>
          <w:color w:val="000000"/>
          <w:sz w:val="24"/>
          <w:highlight w:val="none"/>
        </w:rPr>
        <w:t xml:space="preserve">的招标文件，我单位经市场考察和研究上述项目招标文件的投标须知、相关标准及技术要求和其他有关文件后，</w:t>
      </w:r>
      <w:r>
        <w:rPr>
          <w:rFonts w:hint="eastAsia" w:ascii="宋体" w:hAnsi="宋体"/>
          <w:color w:val="000000"/>
          <w:sz w:val="24"/>
          <w:highlight w:val="none"/>
        </w:rPr>
        <w:t xml:space="preserve">我方愿以每人赔偿限额权重总价（大写）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2.一旦我方中标，我方承诺在</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三</w:t>
      </w:r>
      <w:r>
        <w:rPr>
          <w:rFonts w:hint="eastAsia" w:ascii="宋体" w:hAnsi="宋体"/>
          <w:color w:val="000000"/>
          <w:sz w:val="24"/>
          <w:highlight w:val="none"/>
          <w:u w:val="single"/>
        </w:rPr>
        <w:t xml:space="preserve">年</w:t>
      </w:r>
      <w:r>
        <w:rPr>
          <w:rFonts w:hint="eastAsia" w:ascii="宋体" w:hAnsi="宋体"/>
          <w:color w:val="000000"/>
          <w:sz w:val="24"/>
          <w:highlight w:val="none"/>
        </w:rPr>
        <w:t xml:space="preserve">内负责为建湖县境内满足规定条件的残疾人提供平安健康保险服务。</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我方接受招标文件中的货款支付条件。</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.如我方中标，我方承诺在签订合同前向采购人交纳招标文件</w:t>
      </w:r>
      <w:r>
        <w:rPr>
          <w:rFonts w:ascii="宋体" w:hAnsi="宋体"/>
          <w:color w:val="000000"/>
          <w:sz w:val="24"/>
          <w:highlight w:val="none"/>
        </w:rPr>
        <w:t xml:space="preserve">规定</w:t>
      </w:r>
      <w:r>
        <w:rPr>
          <w:rFonts w:hint="eastAsia" w:ascii="宋体" w:hAnsi="宋体"/>
          <w:color w:val="000000"/>
          <w:sz w:val="24"/>
          <w:highlight w:val="none"/>
        </w:rPr>
        <w:t xml:space="preserve">的履约保证金。</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r>
      <w:r/>
    </w:p>
    <w:p>
      <w:pPr>
        <w:pStyle w:val="1048"/>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48"/>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48"/>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9"/>
        <w:rPr>
          <w:color w:val="000000"/>
          <w:highlight w:val="none"/>
        </w:rPr>
      </w:pPr>
      <w:r>
        <w:rPr>
          <w:color w:val="000000"/>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9"/>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48"/>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建湖县残疾人联合会</w:t>
      </w:r>
      <w:r>
        <w:rPr>
          <w:rFonts w:hint="eastAsia" w:hAnsi="宋体" w:eastAsia="宋体" w:cs="Arial"/>
          <w:b/>
          <w:color w:val="000000"/>
          <w:sz w:val="24"/>
          <w:highlight w:val="none"/>
          <w:u w:val="single"/>
          <w:lang w:eastAsia="zh-CN"/>
        </w:rPr>
      </w:r>
      <w:r/>
    </w:p>
    <w:p>
      <w:pPr>
        <w:pStyle w:val="1029"/>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2026-2029年建湖县残疾人意外伤害综合保险采购项目（二次）</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9"/>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法定代表人（机构负责人）或委托代理人：(盖章或签字)</w:t>
      </w:r>
      <w:r>
        <w:rPr>
          <w:rFonts w:hint="eastAsia" w:hAnsi="宋体" w:cs="Arial"/>
          <w:bCs/>
          <w:color w:val="000000"/>
          <w:sz w:val="24"/>
          <w:highlight w:val="none"/>
        </w:rPr>
      </w:r>
      <w:r/>
    </w:p>
    <w:p>
      <w:pPr>
        <w:pStyle w:val="1048"/>
        <w:ind w:left="5250" w:firstLine="403"/>
        <w:spacing w:line="480" w:lineRule="exact"/>
        <w:rPr>
          <w:rFonts w:hAnsi="宋体"/>
          <w:color w:val="000000"/>
          <w:highlight w:val="none"/>
        </w:rPr>
      </w:pPr>
      <w:r>
        <w:rPr>
          <w:rFonts w:hAnsi="宋体"/>
          <w:color w:val="000000"/>
          <w:highlight w:val="none"/>
        </w:rPr>
      </w:r>
      <w:r/>
    </w:p>
    <w:p>
      <w:pPr>
        <w:pStyle w:val="1048"/>
        <w:ind w:left="5250" w:firstLine="403"/>
        <w:spacing w:line="480" w:lineRule="exact"/>
        <w:rPr>
          <w:rFonts w:hAnsi="宋体"/>
          <w:color w:val="000000"/>
          <w:highlight w:val="none"/>
        </w:rPr>
      </w:pPr>
      <w:r>
        <w:rPr>
          <w:rFonts w:hAnsi="宋体"/>
          <w:color w:val="000000"/>
          <w:highlight w:val="none"/>
        </w:rPr>
      </w:r>
      <w:r/>
    </w:p>
    <w:p>
      <w:pPr>
        <w:pStyle w:val="1029"/>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9"/>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9"/>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3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9"/>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36"/>
        <w:ind w:left="0" w:firstLine="0"/>
        <w:rPr>
          <w:rFonts w:hint="eastAsia"/>
          <w:color w:val="000000"/>
          <w:highlight w:val="none"/>
        </w:rPr>
      </w:pPr>
      <w:r>
        <w:rPr>
          <w:rFonts w:hint="eastAsia"/>
          <w:color w:val="000000"/>
          <w:highlight w:val="none"/>
        </w:rPr>
      </w:r>
      <w:r/>
    </w:p>
    <w:p>
      <w:pPr>
        <w:pStyle w:val="1048"/>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8"/>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（五）法定代表人（机构负责人）身份证明书</w:t>
      </w:r>
      <w:r>
        <w:rPr>
          <w:rFonts w:hint="eastAsia" w:hAnsi="宋体" w:cs="宋体"/>
          <w:b/>
          <w:color w:val="000000"/>
          <w:sz w:val="36"/>
          <w:szCs w:val="36"/>
          <w:highlight w:val="none"/>
        </w:rPr>
      </w:r>
      <w:r/>
    </w:p>
    <w:p>
      <w:pPr>
        <w:pStyle w:val="1029"/>
        <w:rPr>
          <w:rFonts w:hint="eastAsia" w:ascii="宋体" w:hAnsi="宋体"/>
          <w:color w:val="000000"/>
          <w:sz w:val="32"/>
          <w:highlight w:val="none"/>
        </w:rPr>
      </w:pPr>
      <w:r>
        <w:rPr>
          <w:rFonts w:hint="eastAsia" w:ascii="宋体" w:hAnsi="宋体"/>
          <w:color w:val="000000"/>
          <w:sz w:val="32"/>
          <w:highlight w:val="none"/>
        </w:rPr>
      </w:r>
      <w:r/>
    </w:p>
    <w:p>
      <w:pPr>
        <w:pStyle w:val="1029"/>
        <w:rPr>
          <w:rFonts w:hint="eastAsia" w:ascii="宋体" w:hAnsi="宋体"/>
          <w:color w:val="000000"/>
          <w:sz w:val="32"/>
          <w:highlight w:val="none"/>
        </w:rPr>
      </w:pPr>
      <w:r>
        <w:rPr>
          <w:rFonts w:hint="eastAsia" w:ascii="宋体" w:hAnsi="宋体"/>
          <w:color w:val="000000"/>
          <w:sz w:val="32"/>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3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48"/>
        <w:ind w:firstLine="723"/>
        <w:jc w:val="both"/>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（六）法定代表人（机构负责人）授权委托书</w:t>
      </w:r>
      <w:r>
        <w:rPr>
          <w:rFonts w:hint="eastAsia" w:hAnsi="宋体" w:cs="宋体"/>
          <w:b/>
          <w:bCs w:val="0"/>
          <w:color w:val="000000"/>
          <w:sz w:val="36"/>
          <w:szCs w:val="36"/>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9"/>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9"/>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lang w:eastAsia="zh-CN"/>
        </w:rPr>
        <w:t xml:space="preserve">（机构负责人）</w:t>
      </w:r>
      <w:r>
        <w:rPr>
          <w:rFonts w:hint="eastAsia" w:ascii="宋体" w:hAnsi="宋体"/>
          <w:color w:val="000000"/>
          <w:sz w:val="24"/>
          <w:highlight w:val="none"/>
        </w:rPr>
        <w:t xml:space="preserve">(印章或签字)：</w:t>
      </w:r>
      <w:r>
        <w:rPr>
          <w:rFonts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9"/>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9"/>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9"/>
        <w:jc w:val="left"/>
        <w:spacing w:line="480" w:lineRule="exact"/>
        <w:rPr>
          <w:rFonts w:ascii="宋体" w:hAnsi="宋体"/>
          <w:color w:val="000000"/>
          <w:sz w:val="24"/>
          <w:highlight w:val="none"/>
        </w:rPr>
      </w:pPr>
      <w:r>
        <w:rPr>
          <w:rFonts w:ascii="宋体" w:hAnsi="宋体"/>
          <w:color w:val="000000"/>
          <w:sz w:val="24"/>
          <w:highlight w:val="none"/>
        </w:rPr>
      </w:r>
      <w:r/>
    </w:p>
    <w:p>
      <w:pPr>
        <w:pStyle w:val="1029"/>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lang w:eastAsia="zh-CN"/>
        </w:rPr>
        <w:t xml:space="preserve">（机构负责人）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9"/>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9"/>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38" w:name="_GoBack"/>
      <w:r/>
      <w:bookmarkEnd w:id="38"/>
      <w:r>
        <w:rPr>
          <w:rFonts w:hint="eastAsia" w:ascii="宋体" w:hAnsi="宋体"/>
          <w:bCs/>
          <w:color w:val="000000"/>
          <w:sz w:val="24"/>
          <w:highlight w:val="none"/>
        </w:rPr>
      </w:r>
      <w:r/>
    </w:p>
    <w:p>
      <w:pPr>
        <w:pStyle w:val="1029"/>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9"/>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olor w:val="000000"/>
          <w:sz w:val="24"/>
          <w:szCs w:val="22"/>
          <w:highlight w:val="none"/>
          <w:lang w:eastAsia="zh-CN"/>
        </w:rPr>
        <w:t xml:space="preserve">（机构负责人）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9"/>
        <w:jc w:val="right"/>
        <w:spacing w:line="500" w:lineRule="exact"/>
        <w:widowControl/>
        <w:rPr>
          <w:rFonts w:hint="eastAsia" w:ascii="宋体" w:hAnsi="宋体"/>
          <w:color w:val="000000"/>
          <w:sz w:val="24"/>
          <w:szCs w:val="22"/>
          <w:highlight w:val="none"/>
          <w:lang w:eastAsia="zh-CN"/>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宋体" w:hAnsi="宋体"/>
          <w:color w:val="000000"/>
          <w:sz w:val="24"/>
          <w:szCs w:val="22"/>
          <w:highlight w:val="none"/>
          <w:lang w:eastAsia="zh-CN"/>
        </w:rPr>
      </w:r>
      <w:r/>
    </w:p>
    <w:p>
      <w:pPr>
        <w:pStyle w:val="1036"/>
        <w:rPr>
          <w:rFonts w:hint="eastAsia"/>
          <w:highlight w:val="none"/>
        </w:rPr>
      </w:pPr>
      <w:r>
        <w:rPr>
          <w:rFonts w:hint="eastAsia"/>
          <w:highlight w:val="none"/>
        </w:rPr>
      </w:r>
      <w:r/>
    </w:p>
    <w:p>
      <w:pPr>
        <w:pStyle w:val="1029"/>
        <w:jc w:val="center"/>
        <w:spacing w:line="440" w:lineRule="exact"/>
        <w:rPr>
          <w:rFonts w:ascii="宋体" w:hAnsi="宋体" w:cs="宋体"/>
          <w:b/>
          <w:color w:val="000000"/>
          <w:sz w:val="32"/>
          <w:szCs w:val="32"/>
          <w:highlight w:val="none"/>
        </w:rPr>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九</w:t>
      </w:r>
      <w:r>
        <w:rPr>
          <w:rFonts w:hint="eastAsia" w:ascii="宋体" w:hAnsi="宋体"/>
          <w:b/>
          <w:color w:val="000000"/>
          <w:sz w:val="32"/>
          <w:szCs w:val="32"/>
          <w:highlight w:val="none"/>
        </w:rPr>
        <w:t xml:space="preserve">）</w:t>
      </w:r>
      <w:r>
        <w:rPr>
          <w:rFonts w:hint="eastAsia" w:ascii="宋体" w:hAnsi="宋体"/>
          <w:b/>
          <w:bCs/>
          <w:color w:val="000000"/>
          <w:sz w:val="32"/>
          <w:szCs w:val="32"/>
          <w:highlight w:val="none"/>
        </w:rPr>
        <w:t xml:space="preserve">中小企业声明函（服务）</w:t>
      </w:r>
      <w:r>
        <w:rPr>
          <w:rFonts w:ascii="宋体" w:hAnsi="宋体" w:cs="宋体"/>
          <w:b/>
          <w:color w:val="000000"/>
          <w:sz w:val="32"/>
          <w:szCs w:val="3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highlight w:val="none"/>
          <w:u w:val="single"/>
          <w:lang w:bidi="ar"/>
        </w:rPr>
        <w:t xml:space="preserve">            </w:t>
      </w:r>
      <w:r>
        <w:rPr>
          <w:rFonts w:hint="eastAsia" w:ascii="宋体" w:hAnsi="宋体" w:cs="宋体"/>
          <w:color w:val="000000"/>
          <w:sz w:val="24"/>
          <w:szCs w:val="22"/>
          <w:highlight w:val="none"/>
          <w:u w:val="single"/>
          <w:lang w:bidi="ar"/>
        </w:rPr>
        <w:t xml:space="preserve">（单位名称）    </w:t>
      </w:r>
      <w:r>
        <w:rPr>
          <w:rFonts w:hint="eastAsia" w:ascii="宋体" w:hAnsi="宋体" w:cs="宋体"/>
          <w:color w:val="000000"/>
          <w:sz w:val="24"/>
          <w:szCs w:val="22"/>
          <w:highlight w:val="none"/>
          <w:lang w:bidi="ar"/>
        </w:rPr>
        <w:t xml:space="preserve">的</w:t>
      </w:r>
      <w:r>
        <w:rPr>
          <w:rFonts w:hint="eastAsia" w:ascii="宋体" w:hAnsi="宋体" w:cs="宋体"/>
          <w:color w:val="000000"/>
          <w:sz w:val="24"/>
          <w:szCs w:val="22"/>
          <w:highlight w:val="none"/>
          <w:u w:val="single"/>
          <w:lang w:bidi="ar"/>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（项目名称）  </w:t>
      </w:r>
      <w:r>
        <w:rPr>
          <w:rFonts w:hint="eastAsia" w:ascii="宋体" w:hAnsi="宋体" w:cs="宋体"/>
          <w:color w:val="000000"/>
          <w:sz w:val="24"/>
          <w:szCs w:val="22"/>
          <w:highlight w:val="none"/>
          <w:lang w:bidi="ar"/>
        </w:rPr>
        <w:t xml:space="preserve">采购活动，服务全部由符合政策要求的中小企业承接。相关企业（联合体中的中小企业、签订分包意向协议的中小企业）的具体情况如下：</w:t>
      </w:r>
      <w:r>
        <w:rPr>
          <w:rFonts w:ascii="宋体" w:hAnsi="宋体" w:cs="宋体"/>
          <w:color w:val="000000"/>
          <w:sz w:val="24"/>
          <w:szCs w:val="22"/>
          <w:highlight w:val="none"/>
        </w:rPr>
      </w:r>
      <w:r/>
    </w:p>
    <w:p>
      <w:pPr>
        <w:pStyle w:val="1029"/>
        <w:ind w:firstLine="723"/>
        <w:spacing w:line="780" w:lineRule="exact"/>
        <w:widowControl/>
        <w:rPr>
          <w:rFonts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；承接企业为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ascii="宋体" w:hAnsi="宋体" w:cs="宋体"/>
          <w:color w:val="000000"/>
          <w:sz w:val="24"/>
          <w:szCs w:val="2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rPr>
          <w:rFonts w:ascii="宋体" w:hAnsi="宋体" w:cs="宋体"/>
          <w:color w:val="000000"/>
          <w:sz w:val="24"/>
          <w:szCs w:val="22"/>
          <w:highlight w:val="none"/>
        </w:rPr>
      </w:r>
      <w:r/>
    </w:p>
    <w:p>
      <w:pPr>
        <w:pStyle w:val="1029"/>
        <w:ind w:firstLine="4080"/>
        <w:spacing w:before="482"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rPr>
          <w:rFonts w:ascii="宋体" w:hAnsi="宋体" w:cs="宋体"/>
          <w:color w:val="000000"/>
          <w:sz w:val="24"/>
          <w:szCs w:val="22"/>
          <w:highlight w:val="none"/>
        </w:rPr>
      </w:r>
      <w:r/>
    </w:p>
    <w:p>
      <w:pPr>
        <w:pStyle w:val="1029"/>
        <w:ind w:firstLine="4080"/>
        <w:spacing w:before="120"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rPr>
          <w:rFonts w:ascii="宋体" w:hAnsi="宋体" w:cs="宋体"/>
          <w:color w:val="000000"/>
          <w:sz w:val="24"/>
          <w:szCs w:val="22"/>
          <w:highlight w:val="none"/>
        </w:rPr>
      </w:r>
      <w:r/>
    </w:p>
    <w:p>
      <w:pPr>
        <w:pStyle w:val="1029"/>
        <w:ind w:firstLine="435"/>
        <w:jc w:val="left"/>
        <w:spacing w:line="480" w:lineRule="exact"/>
        <w:rPr>
          <w:rFonts w:ascii="宋体" w:hAnsi="宋体"/>
          <w:color w:val="000000"/>
          <w:sz w:val="24"/>
          <w:szCs w:val="22"/>
          <w:highlight w:val="none"/>
        </w:rPr>
      </w:pPr>
      <w:r>
        <w:rPr>
          <w:rFonts w:ascii="宋体" w:hAnsi="宋体"/>
          <w:color w:val="000000"/>
          <w:sz w:val="24"/>
          <w:szCs w:val="22"/>
          <w:highlight w:val="none"/>
        </w:rPr>
      </w:r>
      <w:r/>
    </w:p>
    <w:p>
      <w:pPr>
        <w:pStyle w:val="1029"/>
        <w:ind w:left="1446" w:hanging="1446"/>
        <w:jc w:val="center"/>
        <w:spacing w:line="360" w:lineRule="auto"/>
        <w:rPr>
          <w:rFonts w:ascii="宋体" w:hAnsi="宋体"/>
          <w:color w:val="000000"/>
          <w:sz w:val="24"/>
          <w:highlight w:val="none"/>
        </w:rPr>
      </w:pPr>
      <w:r>
        <w:rPr>
          <w:rFonts w:ascii="宋体" w:hAnsi="宋体"/>
          <w:color w:val="000000"/>
          <w:sz w:val="24"/>
          <w:highlight w:val="none"/>
        </w:rPr>
      </w:r>
      <w:r/>
    </w:p>
    <w:p>
      <w:pPr>
        <w:pStyle w:val="1029"/>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注：供应商如不提供此声明函或不提供证明材料的，投标报价将不做相应扣除。</w:t>
      </w:r>
      <w:r>
        <w:rPr>
          <w:rFonts w:ascii="宋体" w:hAnsi="宋体"/>
          <w:b/>
          <w:color w:val="000000"/>
          <w:sz w:val="24"/>
          <w:highlight w:val="none"/>
        </w:rPr>
      </w:r>
      <w:r/>
    </w:p>
    <w:p>
      <w:pPr>
        <w:pStyle w:val="1029"/>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29"/>
        <w:rPr>
          <w:color w:val="000000"/>
          <w:highlight w:val="none"/>
          <w:u w:val="single"/>
        </w:rPr>
      </w:pPr>
      <w:r>
        <w:rPr>
          <w:rFonts w:hint="eastAsia"/>
          <w:color w:val="000000"/>
          <w:highlight w:val="none"/>
          <w:u w:val="single"/>
        </w:rPr>
        <w:t xml:space="preserve">                                  </w:t>
      </w:r>
      <w:r>
        <w:rPr>
          <w:color w:val="000000"/>
          <w:highlight w:val="none"/>
          <w:u w:val="single"/>
        </w:rPr>
      </w:r>
      <w:r/>
    </w:p>
    <w:p>
      <w:pPr>
        <w:pStyle w:val="1029"/>
        <w:rPr>
          <w:color w:val="000000"/>
          <w:highlight w:val="none"/>
          <w:u w:val="singl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u w:val="single"/>
        </w:rPr>
      </w:r>
      <w:r/>
    </w:p>
    <w:p>
      <w:pPr>
        <w:pStyle w:val="1032"/>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6"/>
        <w:shd w:val="clear" w:color="auto" w:fill="auto"/>
        <w:rPr>
          <w:rFonts w:hint="eastAsia"/>
          <w:color w:val="000000"/>
          <w:highlight w:val="none"/>
        </w:rPr>
      </w:pPr>
      <w:r>
        <w:rPr>
          <w:rFonts w:hint="eastAsia"/>
          <w:color w:val="000000"/>
          <w:highlight w:val="none"/>
        </w:rPr>
      </w:r>
      <w:r/>
    </w:p>
    <w:p>
      <w:pPr>
        <w:pStyle w:val="1029"/>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32"/>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4"/>
        <w:ind w:left="1454"/>
        <w:spacing w:before="75" w:line="190" w:lineRule="auto"/>
        <w:rPr>
          <w:b/>
          <w:bCs/>
          <w:spacing w:val="-3"/>
          <w:sz w:val="36"/>
          <w:szCs w:val="36"/>
          <w:highlight w:val="none"/>
        </w:rPr>
        <w:outlineLvl w:val="0"/>
      </w:pPr>
      <w:r>
        <w:rPr>
          <w:b/>
          <w:bCs/>
          <w:spacing w:val="-3"/>
          <w:sz w:val="36"/>
          <w:szCs w:val="36"/>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32"/>
        <w:jc w:val="center"/>
        <w:rPr>
          <w:rFonts w:ascii="宋体" w:hAnsi="宋体"/>
          <w:color w:val="000000"/>
          <w:sz w:val="24"/>
          <w:szCs w:val="24"/>
          <w:highlight w:val="none"/>
        </w:rPr>
      </w:pPr>
      <w:r>
        <w:rPr>
          <w:rFonts w:ascii="宋体" w:hAnsi="宋体"/>
          <w:color w:val="000000"/>
          <w:sz w:val="24"/>
          <w:szCs w:val="24"/>
          <w:highlight w:val="none"/>
        </w:rPr>
      </w:r>
      <w:r/>
    </w:p>
    <w:p>
      <w:pPr>
        <w:pStyle w:val="1029"/>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9"/>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9"/>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9"/>
        <w:spacing w:line="600" w:lineRule="exact"/>
        <w:rPr>
          <w:rFonts w:ascii="宋体" w:hAnsi="宋体"/>
          <w:bCs/>
          <w:color w:val="000000"/>
          <w:sz w:val="24"/>
          <w:highlight w:val="none"/>
        </w:rPr>
      </w:pPr>
      <w:r>
        <w:rPr>
          <w:rFonts w:ascii="宋体" w:hAnsi="宋体"/>
          <w:bCs/>
          <w:color w:val="000000"/>
          <w:sz w:val="24"/>
          <w:highlight w:val="none"/>
        </w:rPr>
      </w:r>
      <w:r/>
    </w:p>
    <w:p>
      <w:pPr>
        <w:pStyle w:val="1029"/>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9"/>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9"/>
        <w:spacing w:line="460" w:lineRule="exact"/>
        <w:rPr>
          <w:rFonts w:ascii="宋体" w:hAnsi="宋体"/>
          <w:bCs/>
          <w:color w:val="000000"/>
          <w:sz w:val="24"/>
          <w:highlight w:val="none"/>
        </w:rPr>
      </w:pPr>
      <w:r>
        <w:rPr>
          <w:rFonts w:ascii="宋体" w:hAnsi="宋体"/>
          <w:bCs/>
          <w:color w:val="000000"/>
          <w:sz w:val="24"/>
          <w:highlight w:val="none"/>
        </w:rPr>
      </w:r>
      <w:r/>
    </w:p>
    <w:p>
      <w:pPr>
        <w:pStyle w:val="1032"/>
        <w:jc w:val="center"/>
        <w:rPr>
          <w:rFonts w:ascii="宋体" w:hAnsi="宋体"/>
          <w:bCs w:val="0"/>
          <w:color w:val="000000"/>
          <w:sz w:val="24"/>
          <w:highlight w:val="none"/>
        </w:rPr>
      </w:pPr>
      <w:r>
        <w:rPr>
          <w:rFonts w:ascii="宋体" w:hAnsi="宋体"/>
          <w:bCs w:val="0"/>
          <w:color w:val="000000"/>
          <w:sz w:val="24"/>
          <w:highlight w:val="none"/>
        </w:rPr>
      </w:r>
      <w:r/>
    </w:p>
    <w:p>
      <w:pPr>
        <w:pStyle w:val="1032"/>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6"/>
        <w:ind w:firstLine="21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jc w:val="both"/>
        <w:spacing w:line="400" w:lineRule="exact"/>
        <w:rPr>
          <w:rFonts w:ascii="宋体" w:hAnsi="宋体"/>
          <w:color w:val="000000"/>
          <w:sz w:val="24"/>
          <w:highlight w:val="none"/>
          <w:lang w:val="en-US"/>
        </w:rPr>
      </w:pPr>
      <w:r>
        <w:rPr>
          <w:rFonts w:ascii="宋体" w:hAnsi="宋体"/>
          <w:color w:val="000000"/>
          <w:sz w:val="24"/>
          <w:highlight w:val="none"/>
          <w:lang w:val="en-US"/>
        </w:rPr>
      </w:r>
      <w:r/>
    </w:p>
    <w:p>
      <w:pPr>
        <w:pStyle w:val="1036"/>
        <w:rPr>
          <w:rFonts w:ascii="宋体" w:hAnsi="宋体"/>
          <w:color w:val="000000"/>
          <w:sz w:val="24"/>
          <w:highlight w:val="none"/>
          <w:lang w:val="en-US"/>
        </w:rPr>
      </w:pPr>
      <w:r>
        <w:rPr>
          <w:rFonts w:ascii="宋体" w:hAnsi="宋体"/>
          <w:color w:val="000000"/>
          <w:sz w:val="24"/>
          <w:highlight w:val="none"/>
          <w:lang w:val="en-US"/>
        </w:rPr>
      </w:r>
      <w:r/>
    </w:p>
    <w:p>
      <w:pPr>
        <w:pStyle w:val="1029"/>
        <w:rPr>
          <w:rFonts w:ascii="宋体" w:hAnsi="宋体"/>
          <w:color w:val="000000"/>
          <w:sz w:val="24"/>
          <w:highlight w:val="none"/>
          <w:lang w:val="en-US"/>
        </w:rPr>
      </w:pPr>
      <w:r>
        <w:rPr>
          <w:rFonts w:ascii="宋体" w:hAnsi="宋体"/>
          <w:color w:val="000000"/>
          <w:sz w:val="24"/>
          <w:highlight w:val="none"/>
          <w:lang w:val="en-US"/>
        </w:rPr>
      </w:r>
      <w:r/>
    </w:p>
    <w:p>
      <w:pPr>
        <w:pStyle w:val="1029"/>
        <w:jc w:val="center"/>
        <w:spacing w:line="600" w:lineRule="exact"/>
        <w:rPr>
          <w:b/>
          <w:bCs/>
          <w:color w:val="000000"/>
          <w:sz w:val="32"/>
          <w:szCs w:val="32"/>
          <w:highlight w:val="none"/>
        </w:rPr>
      </w:pPr>
      <w:r>
        <w:rPr>
          <w:rFonts w:hint="eastAsia"/>
          <w:b/>
          <w:color w:val="000000"/>
          <w:sz w:val="32"/>
          <w:szCs w:val="32"/>
          <w:highlight w:val="none"/>
        </w:rPr>
        <w:t xml:space="preserve">（十二）</w:t>
      </w:r>
      <w:r>
        <w:rPr>
          <w:rFonts w:hint="eastAsia"/>
          <w:b/>
          <w:color w:val="000000"/>
          <w:sz w:val="32"/>
          <w:szCs w:val="32"/>
          <w:highlight w:val="none"/>
          <w:lang w:val="en-US" w:eastAsia="zh-CN"/>
        </w:rPr>
        <w:t xml:space="preserve">2026-2029年建湖县残疾人意外伤害综合保险采购项目（二次）</w:t>
      </w:r>
      <w:r>
        <w:rPr>
          <w:b/>
          <w:bCs/>
          <w:color w:val="000000"/>
          <w:sz w:val="32"/>
          <w:szCs w:val="32"/>
          <w:highlight w:val="none"/>
        </w:rPr>
      </w:r>
      <w:r/>
    </w:p>
    <w:p>
      <w:pPr>
        <w:pStyle w:val="1029"/>
        <w:jc w:val="center"/>
        <w:spacing w:line="600" w:lineRule="exact"/>
        <w:rPr>
          <w:b/>
          <w:bCs/>
          <w:color w:val="000000"/>
          <w:sz w:val="36"/>
          <w:szCs w:val="36"/>
          <w:highlight w:val="none"/>
        </w:rPr>
      </w:pPr>
      <w:r>
        <w:rPr>
          <w:rFonts w:hint="eastAsia"/>
          <w:b/>
          <w:bCs/>
          <w:color w:val="000000"/>
          <w:sz w:val="36"/>
          <w:szCs w:val="36"/>
          <w:highlight w:val="none"/>
        </w:rPr>
        <w:t xml:space="preserve">项目负责人任命函（格式）</w:t>
      </w:r>
      <w:r>
        <w:rPr>
          <w:b/>
          <w:bCs/>
          <w:color w:val="000000"/>
          <w:sz w:val="36"/>
          <w:szCs w:val="36"/>
          <w:highlight w:val="none"/>
        </w:rPr>
      </w:r>
      <w:r/>
    </w:p>
    <w:p>
      <w:pPr>
        <w:pStyle w:val="1029"/>
        <w:spacing w:line="360" w:lineRule="auto"/>
        <w:rPr>
          <w:b/>
          <w:bCs/>
          <w:color w:val="000000"/>
          <w:sz w:val="24"/>
          <w:szCs w:val="24"/>
          <w:highlight w:val="none"/>
        </w:rPr>
      </w:pPr>
      <w:r>
        <w:rPr>
          <w:b/>
          <w:bCs/>
          <w:color w:val="000000"/>
          <w:sz w:val="24"/>
          <w:szCs w:val="24"/>
          <w:highlight w:val="none"/>
        </w:rPr>
      </w:r>
      <w:r/>
    </w:p>
    <w:p>
      <w:pPr>
        <w:pStyle w:val="1029"/>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建湖县残疾人联合会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9"/>
        <w:ind w:firstLine="561"/>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经我司研究决定，任命</w:t>
      </w:r>
      <w:r>
        <w:rPr>
          <w:rFonts w:hint="eastAsia" w:ascii="宋体" w:hAnsi="宋体" w:eastAsia="宋体" w:cs="宋体"/>
          <w:color w:val="000000"/>
          <w:sz w:val="24"/>
          <w:szCs w:val="24"/>
          <w:highlight w:val="none"/>
          <w:u w:val="single"/>
        </w:rPr>
        <w:t xml:space="preserve">   （姓名）   （身份证号      ）</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u w:val="single"/>
          <w:lang w:val="en-US" w:eastAsia="zh-CN"/>
        </w:rPr>
        <w:t xml:space="preserve">2026-2029年建湖县残疾人意外伤害综合保险采购项目（二次）</w:t>
      </w:r>
      <w:r>
        <w:rPr>
          <w:rFonts w:hint="eastAsia" w:ascii="宋体" w:hAnsi="宋体" w:eastAsia="宋体" w:cs="宋体"/>
          <w:color w:val="000000"/>
          <w:sz w:val="24"/>
          <w:szCs w:val="24"/>
          <w:highlight w:val="none"/>
        </w:rPr>
        <w:t xml:space="preserve">项目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rPr>
          <w:rFonts w:hint="eastAsia" w:ascii="宋体" w:hAnsi="宋体" w:eastAsia="宋体" w:cs="宋体"/>
          <w:color w:val="000000"/>
          <w:sz w:val="24"/>
          <w:szCs w:val="24"/>
          <w:highlight w:val="none"/>
        </w:rPr>
      </w:r>
      <w:r/>
    </w:p>
    <w:p>
      <w:pPr>
        <w:pStyle w:val="1029"/>
        <w:rPr>
          <w:color w:val="000000"/>
          <w:sz w:val="28"/>
          <w:szCs w:val="36"/>
          <w:highlight w:val="none"/>
        </w:rPr>
      </w:pPr>
      <w:r>
        <w:rPr>
          <w:color w:val="000000"/>
          <w:sz w:val="28"/>
          <w:szCs w:val="36"/>
          <w:highlight w:val="none"/>
        </w:rPr>
      </w:r>
      <w:r/>
    </w:p>
    <w:p>
      <w:pPr>
        <w:pStyle w:val="1029"/>
        <w:rPr>
          <w:color w:val="000000"/>
          <w:sz w:val="28"/>
          <w:szCs w:val="36"/>
          <w:highlight w:val="none"/>
        </w:rPr>
      </w:pPr>
      <w:r>
        <w:rPr>
          <w:color w:val="000000"/>
          <w:sz w:val="28"/>
          <w:szCs w:val="36"/>
          <w:highlight w:val="none"/>
        </w:rPr>
      </w:r>
      <w:r/>
    </w:p>
    <w:p>
      <w:pPr>
        <w:pStyle w:val="1029"/>
        <w:spacing w:line="560" w:lineRule="exact"/>
        <w:rPr>
          <w:color w:val="000000"/>
          <w:sz w:val="28"/>
          <w:szCs w:val="36"/>
          <w:highlight w:val="none"/>
        </w:rPr>
      </w:pPr>
      <w:r>
        <w:rPr>
          <w:color w:val="000000"/>
          <w:sz w:val="28"/>
          <w:szCs w:val="36"/>
          <w:highlight w:val="none"/>
        </w:rPr>
      </w:r>
      <w:r/>
    </w:p>
    <w:p>
      <w:pPr>
        <w:pStyle w:val="1029"/>
        <w:ind w:right="560" w:firstLine="5760"/>
        <w:jc w:val="both"/>
        <w:spacing w:line="560" w:lineRule="exact"/>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1036"/>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36"/>
        <w:jc w:val="center"/>
        <w:rPr>
          <w:sz w:val="24"/>
          <w:szCs w:val="24"/>
          <w:highlight w:val="none"/>
          <w:lang w:val="en-US"/>
        </w:rPr>
        <w:sectPr>
          <w:headerReference w:type="default" r:id="rId10"/>
          <w:footerReference w:type="default" r:id="rId16"/>
          <w:footnotePr/>
          <w:endnotePr/>
          <w:type w:val="nextPage"/>
          <w:pgSz w:w="11906" w:h="16838" w:orient="portrait"/>
          <w:pgMar w:top="1497" w:right="1080" w:bottom="1440" w:left="1140" w:header="0" w:footer="992" w:gutter="0"/>
          <w:pgNumType w:start="1"/>
          <w:cols w:num="1" w:sep="0" w:space="1701" w:equalWidth="1"/>
          <w:docGrid w:linePitch="360"/>
        </w:sect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   期：    年    月    日</w:t>
      </w:r>
      <w:r>
        <w:rPr>
          <w:sz w:val="24"/>
          <w:szCs w:val="24"/>
          <w:highlight w:val="none"/>
          <w:lang w:val="en-US"/>
        </w:rPr>
      </w:r>
      <w:r/>
    </w:p>
    <w:p>
      <w:pPr>
        <w:pStyle w:val="1029"/>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9"/>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建湖县残疾人联合会</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9"/>
        <w:ind w:firstLine="480"/>
        <w:jc w:val="righ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我单位愿意按照招标文件的要求和下面的报价提供所需服务，并保证服务为优质服务。                          单位： 人民币元</w:t>
      </w:r>
      <w:r>
        <w:rPr>
          <w:rFonts w:hint="eastAsia" w:ascii="宋体" w:hAnsi="宋体"/>
          <w:color w:val="000000"/>
          <w:sz w:val="24"/>
          <w:highlight w:val="none"/>
        </w:rPr>
      </w:r>
      <w:r/>
    </w:p>
    <w:tbl>
      <w:tblPr>
        <w:tblW w:w="1058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72"/>
        <w:gridCol w:w="2765"/>
        <w:gridCol w:w="1471"/>
        <w:gridCol w:w="1354"/>
        <w:gridCol w:w="2418"/>
      </w:tblGrid>
      <w:tr>
        <w:trPr>
          <w:trHeight w:val="921"/>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tc>
        <w:tc>
          <w:tcPr>
            <w:tcW w:w="1471"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实际赔偿限额（元/人）</w:t>
            </w:r>
            <w:r>
              <w:rPr>
                <w:rFonts w:hint="eastAsia" w:ascii="宋体" w:hAnsi="宋体"/>
                <w:color w:val="000000"/>
                <w:sz w:val="24"/>
                <w:highlight w:val="none"/>
              </w:rPr>
            </w:r>
            <w:r/>
          </w:p>
        </w:tc>
        <w:tc>
          <w:tcPr>
            <w:tcW w:w="1354"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权重系数</w:t>
            </w:r>
            <w:r>
              <w:rPr>
                <w:rFonts w:hint="eastAsia" w:ascii="宋体" w:hAnsi="宋体"/>
                <w:color w:val="000000"/>
                <w:sz w:val="24"/>
                <w:highlight w:val="none"/>
              </w:rPr>
            </w:r>
            <w:r/>
          </w:p>
        </w:tc>
        <w:tc>
          <w:tcPr>
            <w:tcW w:w="2418" w:type="dxa"/>
            <w:vAlign w:val="center"/>
            <w:textDirection w:val="lrTb"/>
            <w:noWrap w:val="false"/>
          </w:tcPr>
          <w:p>
            <w:pPr>
              <w:pStyle w:val="1029"/>
              <w:jc w:val="center"/>
              <w:spacing w:line="280" w:lineRule="exact"/>
              <w:widowControl/>
              <w:rPr>
                <w:rFonts w:hint="eastAsia" w:ascii="宋体" w:hAnsi="宋体"/>
                <w:color w:val="000000"/>
                <w:sz w:val="24"/>
                <w:highlight w:val="none"/>
              </w:rPr>
            </w:pPr>
            <w:r>
              <w:rPr>
                <w:rFonts w:hint="eastAsia" w:ascii="宋体" w:hAnsi="宋体"/>
                <w:color w:val="000000"/>
                <w:sz w:val="24"/>
                <w:highlight w:val="none"/>
              </w:rPr>
              <w:t xml:space="preserve">权重价</w:t>
            </w:r>
            <w:r>
              <w:rPr>
                <w:rFonts w:hint="eastAsia" w:ascii="宋体" w:hAnsi="宋体"/>
                <w:color w:val="000000"/>
                <w:sz w:val="24"/>
                <w:highlight w:val="none"/>
              </w:rPr>
            </w:r>
            <w:r/>
          </w:p>
          <w:p>
            <w:pPr>
              <w:pStyle w:val="1029"/>
              <w:jc w:val="center"/>
              <w:spacing w:line="280" w:lineRule="exact"/>
              <w:widowControl/>
              <w:rPr>
                <w:rFonts w:ascii="宋体" w:hAnsi="宋体"/>
                <w:color w:val="000000"/>
                <w:sz w:val="24"/>
                <w:highlight w:val="none"/>
              </w:rPr>
            </w:pPr>
            <w:r>
              <w:rPr>
                <w:rFonts w:hint="eastAsia" w:ascii="宋体" w:hAnsi="宋体"/>
                <w:color w:val="000000"/>
                <w:sz w:val="24"/>
                <w:highlight w:val="none"/>
              </w:rPr>
              <w:t xml:space="preserve">(元/人)</w:t>
            </w:r>
            <w:r>
              <w:rPr>
                <w:rFonts w:ascii="宋体" w:hAnsi="宋体"/>
                <w:color w:val="000000"/>
                <w:sz w:val="24"/>
                <w:highlight w:val="none"/>
              </w:rPr>
            </w:r>
            <w:r/>
          </w:p>
          <w:p>
            <w:pPr>
              <w:pStyle w:val="1070"/>
              <w:ind w:firstLine="0"/>
              <w:spacing w:before="0" w:after="0" w:line="280" w:lineRule="exact"/>
              <w:rPr>
                <w:rFonts w:hint="eastAsia"/>
                <w:color w:val="000000"/>
                <w:highlight w:val="none"/>
              </w:rPr>
            </w:pPr>
            <w:r>
              <w:rPr>
                <w:rFonts w:hint="eastAsia"/>
                <w:b/>
                <w:color w:val="000000"/>
                <w:highlight w:val="none"/>
              </w:rPr>
              <w:t xml:space="preserve">注</w:t>
            </w:r>
            <w:r>
              <w:rPr>
                <w:b/>
                <w:color w:val="000000"/>
                <w:highlight w:val="none"/>
              </w:rPr>
              <w:t xml:space="preserve">：</w:t>
            </w:r>
            <w:r>
              <w:rPr>
                <w:rFonts w:hint="eastAsia"/>
                <w:b/>
                <w:color w:val="000000"/>
                <w:highlight w:val="none"/>
              </w:rPr>
              <w:t xml:space="preserve">权重价= 实际赔偿限额*权重系数</w:t>
            </w:r>
            <w:r>
              <w:rPr>
                <w:rFonts w:hint="eastAsia"/>
                <w:color w:val="000000"/>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意外死亡：赔偿限额不得</w:t>
            </w:r>
            <w:r>
              <w:rPr>
                <w:rFonts w:ascii="宋体" w:hAnsi="宋体" w:cs="宋体"/>
                <w:color w:val="000000"/>
                <w:sz w:val="24"/>
                <w:highlight w:val="none"/>
              </w:rPr>
              <w:t xml:space="preserve">低于</w:t>
            </w:r>
            <w:r>
              <w:rPr>
                <w:rFonts w:ascii="宋体" w:hAnsi="宋体" w:cs="宋体"/>
                <w:color w:val="000000"/>
                <w:sz w:val="24"/>
                <w:highlight w:val="none"/>
                <w:u w:val="single"/>
              </w:rPr>
              <w:t xml:space="preserve">5000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意外或首次罹患重大疾病导致新增伤残（或原伤残等级加重）：赔偿限额不得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意外伤害医疗费用（包含门诊和住院）：赔偿限额不得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gridSpan w:val="2"/>
            <w:tcW w:w="4637" w:type="dxa"/>
            <w:vAlign w:val="center"/>
            <w:textDirection w:val="lrTb"/>
            <w:noWrap w:val="false"/>
          </w:tcPr>
          <w:p>
            <w:pPr>
              <w:pStyle w:val="1070"/>
              <w:ind w:firstLine="0"/>
              <w:jc w:val="center"/>
              <w:spacing w:before="0" w:after="0" w:line="360" w:lineRule="exact"/>
              <w:rPr>
                <w:rFonts w:ascii="宋体" w:hAnsi="宋体" w:cs="宋体"/>
                <w:color w:val="000000"/>
                <w:highlight w:val="none"/>
              </w:rPr>
            </w:pPr>
            <w:r>
              <w:rPr>
                <w:rFonts w:hint="eastAsia" w:ascii="宋体" w:hAnsi="宋体" w:cs="宋体"/>
                <w:color w:val="000000"/>
                <w:highlight w:val="none"/>
              </w:rPr>
              <w:t xml:space="preserve">首次罹患重大疾病：定额补助</w:t>
            </w:r>
            <w:r>
              <w:rPr>
                <w:rFonts w:ascii="宋体" w:hAnsi="宋体" w:cs="宋体"/>
                <w:color w:val="000000"/>
                <w:highlight w:val="none"/>
              </w:rPr>
            </w:r>
            <w:r/>
          </w:p>
          <w:p>
            <w:pPr>
              <w:pStyle w:val="1070"/>
              <w:ind w:firstLine="0"/>
              <w:jc w:val="center"/>
              <w:spacing w:before="0" w:after="0" w:line="360" w:lineRule="exact"/>
              <w:rPr>
                <w:rFonts w:hint="eastAsia"/>
                <w:color w:val="000000"/>
                <w:highlight w:val="none"/>
              </w:rPr>
            </w:pPr>
            <w:r>
              <w:rPr>
                <w:rFonts w:hint="eastAsia" w:ascii="宋体" w:hAnsi="宋体" w:cs="宋体"/>
                <w:color w:val="000000"/>
                <w:highlight w:val="none"/>
              </w:rPr>
              <w:t xml:space="preserve">不得</w:t>
            </w:r>
            <w:r>
              <w:rPr>
                <w:rFonts w:ascii="宋体" w:hAnsi="宋体" w:cs="宋体"/>
                <w:color w:val="000000"/>
                <w:highlight w:val="none"/>
              </w:rPr>
              <w:t xml:space="preserve">低于</w:t>
            </w:r>
            <w:r>
              <w:rPr>
                <w:rFonts w:hint="eastAsia" w:ascii="宋体" w:hAnsi="宋体" w:cs="宋体"/>
                <w:bCs/>
                <w:color w:val="000000"/>
                <w:highlight w:val="none"/>
                <w:u w:val="single"/>
              </w:rPr>
              <w:t xml:space="preserve">5000</w:t>
            </w:r>
            <w:r>
              <w:rPr>
                <w:rFonts w:hint="eastAsia" w:ascii="宋体" w:hAnsi="宋体" w:cs="宋体"/>
                <w:color w:val="000000"/>
                <w:highlight w:val="none"/>
              </w:rPr>
              <w:t xml:space="preserve">元/人</w:t>
            </w:r>
            <w:r>
              <w:rPr>
                <w:rFonts w:hint="eastAsia"/>
                <w:color w:val="000000"/>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highlight w:val="none"/>
              </w:rPr>
            </w:pPr>
            <w:r>
              <w:rPr>
                <w:rFonts w:hint="eastAsia" w:ascii="宋体" w:hAnsi="宋体" w:cs="宋体"/>
                <w:color w:val="000000"/>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2438"/>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gridSpan w:val="2"/>
            <w:tcW w:w="4637" w:type="dxa"/>
            <w:vAlign w:val="center"/>
            <w:textDirection w:val="lrTb"/>
            <w:noWrap w:val="false"/>
          </w:tcPr>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首次罹患重大疾病的医疗费用（包含门诊和住院）：赔偿限额不得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①在保险期间内，治疗总费用（包括门诊和住院）为2-5万元（含2万）：按个人实付医疗费用的70%赔偿；</w:t>
            </w:r>
            <w:r>
              <w:rPr>
                <w:rFonts w:hint="eastAsia" w:ascii="宋体" w:hAnsi="宋体" w:cs="宋体"/>
                <w:color w:val="000000"/>
                <w:sz w:val="24"/>
                <w:highlight w:val="none"/>
              </w:rPr>
            </w:r>
            <w:r/>
          </w:p>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②在保险期间内，治疗总费用（包括门诊和住院）为5-8万元（含5万）：按个人实付医疗费用的75%赔偿；</w:t>
            </w:r>
            <w:r>
              <w:rPr>
                <w:rFonts w:hint="eastAsia" w:ascii="宋体" w:hAnsi="宋体" w:cs="宋体"/>
                <w:color w:val="000000"/>
                <w:sz w:val="24"/>
                <w:highlight w:val="none"/>
              </w:rPr>
            </w:r>
            <w:r/>
          </w:p>
          <w:p>
            <w:pPr>
              <w:pStyle w:val="1070"/>
              <w:ind w:firstLine="0"/>
              <w:spacing w:before="0" w:after="0" w:line="360" w:lineRule="exact"/>
              <w:rPr>
                <w:rFonts w:hint="eastAsia"/>
                <w:color w:val="000000"/>
                <w:highlight w:val="none"/>
              </w:rPr>
            </w:pPr>
            <w:r>
              <w:rPr>
                <w:rFonts w:hint="eastAsia" w:ascii="宋体" w:hAnsi="宋体" w:cs="宋体"/>
                <w:color w:val="000000"/>
                <w:highlight w:val="none"/>
              </w:rPr>
              <w:t xml:space="preserve">③在保险期间内，治疗总费用（包括门诊和住院）为8万元及以上：按个人实付医疗费用的80%赔偿。</w:t>
            </w:r>
            <w:r>
              <w:rPr>
                <w:rFonts w:hint="eastAsia"/>
                <w:color w:val="000000"/>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因意外、首次重疾住院费用津贴不得</w:t>
            </w:r>
            <w:r>
              <w:rPr>
                <w:rFonts w:ascii="宋体" w:hAnsi="宋体" w:cs="宋体"/>
                <w:color w:val="000000"/>
                <w:sz w:val="24"/>
                <w:highlight w:val="none"/>
              </w:rPr>
              <w:t xml:space="preserve">低于</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非意外伤害导致的死亡：定额补助不得</w:t>
            </w:r>
            <w:r>
              <w:rPr>
                <w:rFonts w:ascii="宋体" w:hAnsi="宋体" w:cs="宋体"/>
                <w:color w:val="000000"/>
                <w:sz w:val="24"/>
                <w:highlight w:val="none"/>
              </w:rPr>
              <w:t xml:space="preserve">低于</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00</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1557"/>
        </w:trPr>
        <w:tc>
          <w:tcPr>
            <w:gridSpan w:val="2"/>
            <w:tcW w:w="2581" w:type="dxa"/>
            <w:vAlign w:val="center"/>
            <w:textDirection w:val="lrTb"/>
            <w:noWrap w:val="false"/>
          </w:tcPr>
          <w:p>
            <w:pPr>
              <w:pStyle w:val="1029"/>
              <w:jc w:val="center"/>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权重总价</w:t>
            </w:r>
            <w:r>
              <w:rPr>
                <w:rFonts w:hint="eastAsia" w:ascii="宋体" w:hAnsi="宋体" w:cs="宋体"/>
                <w:b/>
                <w:bCs/>
                <w:color w:val="000000"/>
                <w:sz w:val="24"/>
                <w:highlight w:val="none"/>
              </w:rPr>
            </w:r>
            <w:r/>
          </w:p>
          <w:p>
            <w:pPr>
              <w:pStyle w:val="1029"/>
              <w:jc w:val="center"/>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（与开标一览表</w:t>
            </w:r>
            <w:r>
              <w:rPr>
                <w:rFonts w:hint="eastAsia" w:ascii="宋体" w:hAnsi="宋体" w:cs="宋体"/>
                <w:b/>
                <w:bCs/>
                <w:color w:val="000000"/>
                <w:sz w:val="24"/>
                <w:highlight w:val="none"/>
              </w:rPr>
            </w:r>
            <w:r/>
          </w:p>
          <w:p>
            <w:pPr>
              <w:pStyle w:val="1029"/>
              <w:jc w:val="center"/>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报价一致）</w:t>
            </w:r>
            <w:r>
              <w:rPr>
                <w:rFonts w:hint="eastAsia" w:ascii="宋体" w:hAnsi="宋体" w:cs="宋体"/>
                <w:color w:val="000000"/>
                <w:sz w:val="24"/>
                <w:highlight w:val="none"/>
              </w:rPr>
            </w:r>
            <w:r/>
          </w:p>
        </w:tc>
        <w:tc>
          <w:tcPr>
            <w:tcW w:w="2765" w:type="dxa"/>
            <w:vAlign w:val="center"/>
            <w:textDirection w:val="lrTb"/>
            <w:noWrap w:val="false"/>
          </w:tcPr>
          <w:p>
            <w:pPr>
              <w:pStyle w:val="1029"/>
              <w:jc w:val="center"/>
              <w:spacing w:line="3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1-7项权重合价</w:t>
            </w:r>
            <w:r>
              <w:rPr>
                <w:rFonts w:ascii="宋体" w:hAnsi="宋体" w:cs="宋体"/>
                <w:b/>
                <w:bCs/>
                <w:color w:val="000000"/>
                <w:sz w:val="24"/>
                <w:highlight w:val="none"/>
              </w:rPr>
            </w:r>
            <w:r/>
          </w:p>
        </w:tc>
        <w:tc>
          <w:tcPr>
            <w:gridSpan w:val="3"/>
            <w:tcW w:w="5243" w:type="dxa"/>
            <w:vAlign w:val="center"/>
            <w:textDirection w:val="lrTb"/>
            <w:noWrap w:val="false"/>
          </w:tcPr>
          <w:p>
            <w:pPr>
              <w:pStyle w:val="1029"/>
              <w:jc w:val="left"/>
              <w:spacing w:line="36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29"/>
              <w:spacing w:line="360" w:lineRule="exact"/>
              <w:widowControl/>
              <w:rPr>
                <w:rFonts w:hint="eastAsia" w:ascii="宋体" w:hAnsi="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olor w:val="000000"/>
                <w:sz w:val="24"/>
                <w:highlight w:val="none"/>
              </w:rPr>
            </w:r>
            <w:r/>
          </w:p>
        </w:tc>
      </w:tr>
    </w:tbl>
    <w:p>
      <w:pPr>
        <w:pStyle w:val="1029"/>
        <w:spacing w:line="440" w:lineRule="exact"/>
        <w:rPr>
          <w:rFonts w:hint="eastAsia" w:ascii="宋体" w:hAnsi="宋体"/>
          <w:color w:val="000000"/>
          <w:sz w:val="24"/>
          <w:highlight w:val="none"/>
        </w:rPr>
      </w:pPr>
      <w:r>
        <w:rPr>
          <w:rFonts w:hint="eastAsia" w:ascii="宋体" w:hAnsi="宋体"/>
          <w:b/>
          <w:color w:val="000000"/>
          <w:sz w:val="24"/>
          <w:highlight w:val="none"/>
        </w:rPr>
        <w:t xml:space="preserve">注：</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投标报价应是招标文件所确定招标范围内全部工作内容的价格体现，报价明细表中的报价应包括</w:t>
      </w:r>
      <w:r>
        <w:rPr>
          <w:rFonts w:hint="eastAsia" w:ascii="宋体" w:hAnsi="宋体"/>
          <w:color w:val="000000"/>
          <w:sz w:val="24"/>
          <w:highlight w:val="none"/>
          <w:lang w:eastAsia="zh-CN"/>
        </w:rPr>
        <w:t xml:space="preserve">人工费</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材料费</w:t>
      </w:r>
      <w:r>
        <w:rPr>
          <w:rFonts w:hint="eastAsia" w:ascii="宋体" w:hAnsi="宋体"/>
          <w:color w:val="000000"/>
          <w:sz w:val="24"/>
          <w:highlight w:val="none"/>
        </w:rPr>
        <w:t xml:space="preserve">、管理费、招标代理费、利润、税金和文件规定的其他各项应有的全部费用（综合报价）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z w:val="24"/>
          <w:highlight w:val="none"/>
        </w:rPr>
      </w:r>
      <w:r/>
    </w:p>
    <w:p>
      <w:pPr>
        <w:pStyle w:val="1029"/>
        <w:ind w:firstLine="463"/>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保险责任限额不得低于下列赔偿限额对应项，</w:t>
      </w:r>
      <w:r>
        <w:rPr>
          <w:rFonts w:hint="eastAsia" w:ascii="宋体" w:hAnsi="宋体" w:cs="宋体"/>
          <w:b/>
          <w:bCs/>
          <w:color w:val="000000"/>
          <w:sz w:val="24"/>
          <w:highlight w:val="none"/>
        </w:rPr>
        <w:t xml:space="preserve">低于赔偿限额的作无效标处理</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2.1意外死亡赔偿限额5000元/人；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2.2意外或首次罹患重大疾病导致新增伤残（或原伤残等级加重）赔偿限额20000元/年/人；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2.3意外伤害医疗费用（包括门诊和住院）赔偿限额20000元/人；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2.4首次罹患重大疾病定额补助5000元/人；</w:t>
      </w:r>
      <w:r>
        <w:rPr>
          <w:rFonts w:hint="eastAsia" w:ascii="宋体" w:hAnsi="宋体"/>
          <w:bCs/>
          <w:color w:val="000000"/>
          <w:sz w:val="24"/>
          <w:highlight w:val="none"/>
        </w:rPr>
      </w:r>
      <w:r/>
    </w:p>
    <w:p>
      <w:pPr>
        <w:pStyle w:val="1029"/>
        <w:ind w:firstLine="461"/>
        <w:spacing w:line="440" w:lineRule="exact"/>
        <w:rPr>
          <w:rFonts w:ascii="宋体" w:hAnsi="宋体"/>
          <w:bCs/>
          <w:color w:val="000000"/>
          <w:sz w:val="24"/>
          <w:highlight w:val="none"/>
        </w:rPr>
      </w:pPr>
      <w:r>
        <w:rPr>
          <w:rFonts w:hint="eastAsia" w:ascii="宋体" w:hAnsi="宋体"/>
          <w:bCs/>
          <w:color w:val="000000"/>
          <w:sz w:val="24"/>
          <w:highlight w:val="none"/>
        </w:rPr>
        <w:t xml:space="preserve">2.5首次罹患重大疾病的医疗费用（包括门诊和住院）赔偿限额20000元/人：</w:t>
      </w:r>
      <w:r>
        <w:rPr>
          <w:rFonts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①在保险期间内，治疗总费用（包括门诊和住院）为2-5万元（含2万）：按个人实付医疗费用的70%赔偿；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②在保险期间内，治疗总费用（包括门诊和住院）为5-8万元（含5万）：按个人实付医疗费用的75%赔偿；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③在保险期间内，治疗总费用（包括门诊和住院）为8万元及以上：按个人实付医疗费用的80%赔偿。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w:t>
      </w:r>
      <w:r>
        <w:rPr>
          <w:rFonts w:hint="eastAsia" w:ascii="宋体" w:hAnsi="宋体" w:cs="宋体"/>
          <w:color w:val="000000"/>
          <w:sz w:val="24"/>
          <w:highlight w:val="none"/>
        </w:rPr>
        <w:t xml:space="preserve">因意外、首次重疾</w:t>
      </w:r>
      <w:r>
        <w:rPr>
          <w:rFonts w:hint="eastAsia" w:ascii="宋体" w:hAnsi="宋体"/>
          <w:bCs/>
          <w:color w:val="000000"/>
          <w:sz w:val="24"/>
          <w:highlight w:val="none"/>
        </w:rPr>
        <w:t xml:space="preserve">住院费用津贴80元/人/天，共计90天。</w:t>
      </w:r>
      <w:r>
        <w:rPr>
          <w:rFonts w:hint="eastAsia" w:ascii="宋体" w:hAnsi="宋体"/>
          <w:bCs/>
          <w:color w:val="000000"/>
          <w:sz w:val="24"/>
          <w:highlight w:val="none"/>
        </w:rPr>
      </w:r>
      <w:r/>
    </w:p>
    <w:p>
      <w:pPr>
        <w:pStyle w:val="1070"/>
        <w:spacing w:before="0" w:after="0" w:line="440" w:lineRule="exact"/>
        <w:rPr>
          <w:color w:val="000000"/>
          <w:highlight w:val="none"/>
        </w:rPr>
      </w:pPr>
      <w:r>
        <w:rPr>
          <w:rFonts w:hint="eastAsia" w:ascii="宋体" w:hAnsi="宋体"/>
          <w:bCs/>
          <w:color w:val="000000"/>
          <w:highlight w:val="none"/>
        </w:rPr>
        <w:t xml:space="preserve">2.7</w:t>
      </w:r>
      <w:r>
        <w:rPr>
          <w:rFonts w:hint="eastAsia" w:ascii="宋体" w:hAnsi="宋体" w:cs="宋体"/>
          <w:color w:val="000000"/>
          <w:highlight w:val="none"/>
        </w:rPr>
        <w:t xml:space="preserve">非意外伤害导致死亡的定额补助500元/人。</w:t>
      </w:r>
      <w:r>
        <w:rPr>
          <w:color w:val="000000"/>
          <w:highlight w:val="none"/>
        </w:rPr>
      </w:r>
      <w:r/>
    </w:p>
    <w:p>
      <w:pPr>
        <w:pStyle w:val="1029"/>
        <w:ind w:firstLine="482"/>
        <w:spacing w:line="440" w:lineRule="exact"/>
        <w:rPr>
          <w:rFonts w:hint="eastAsia" w:ascii="宋体" w:hAnsi="宋体" w:cs="宋体"/>
          <w:color w:val="000000"/>
          <w:spacing w:val="-2"/>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权重价= 实际赔偿限额*权重系数。</w:t>
      </w:r>
      <w:r>
        <w:rPr>
          <w:rFonts w:hint="eastAsia" w:ascii="宋体" w:hAnsi="宋体"/>
          <w:b/>
          <w:color w:val="000000"/>
          <w:sz w:val="24"/>
          <w:highlight w:val="none"/>
        </w:rPr>
        <w:t xml:space="preserve">项目报价表中的权重总价仅用于招标评分，最终投标以实际赔偿限额为准。</w:t>
      </w:r>
      <w:r>
        <w:rPr>
          <w:rFonts w:hint="eastAsia" w:ascii="宋体" w:hAnsi="宋体" w:cs="宋体"/>
          <w:color w:val="000000"/>
          <w:spacing w:val="-2"/>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t xml:space="preserve">法定代表人（机构负责人）或委托代理人：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9"/>
        <w:jc w:val="right"/>
        <w:spacing w:line="400" w:lineRule="exact"/>
        <w:rPr>
          <w:rFonts w:ascii="宋体" w:hAnsi="宋体"/>
          <w:color w:val="000000"/>
          <w:sz w:val="24"/>
          <w:highlight w:val="none"/>
        </w:rPr>
      </w:pPr>
      <w:r>
        <w:rPr>
          <w:rFonts w:ascii="宋体" w:hAnsi="宋体"/>
          <w:color w:val="000000"/>
          <w:sz w:val="24"/>
          <w:highlight w:val="none"/>
        </w:rPr>
      </w:r>
      <w:r/>
    </w:p>
    <w:p>
      <w:pPr>
        <w:pStyle w:val="1029"/>
        <w:jc w:val="right"/>
        <w:spacing w:line="400" w:lineRule="exact"/>
        <w:rPr>
          <w:rFonts w:hint="eastAsia"/>
          <w:color w:val="000000"/>
          <w:highlight w:val="none"/>
          <w:lang w:eastAsia="zh-CN"/>
        </w:rPr>
        <w:sectPr>
          <w:headerReference w:type="default" r:id="rId11"/>
          <w:footerReference w:type="default" r:id="rId17"/>
          <w:footnotePr/>
          <w:endnotePr/>
          <w:type w:val="nextPage"/>
          <w:pgSz w:w="11906" w:h="16838" w:orient="portrait"/>
          <w:pgMar w:top="1440" w:right="1080" w:bottom="1440" w:left="1080" w:header="0" w:footer="992" w:gutter="0"/>
          <w:pgNumType w:start="1"/>
          <w:cols w:num="1" w:sep="0" w:space="1701" w:equalWidth="1"/>
          <w:docGrid w:linePitch="360"/>
        </w:sectPr>
      </w:pPr>
      <w:r>
        <w:rPr>
          <w:rFonts w:ascii="宋体" w:hAnsi="宋体"/>
          <w:color w:val="000000"/>
          <w:sz w:val="24"/>
          <w:highlight w:val="none"/>
        </w:rPr>
        <w:t xml:space="preserve">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eastAsia="zh-CN"/>
        </w:rPr>
        <w:t xml:space="preserve">日</w:t>
      </w:r>
      <w:r>
        <w:rPr>
          <w:rFonts w:hint="eastAsia"/>
          <w:color w:val="000000"/>
          <w:highlight w:val="none"/>
          <w:lang w:eastAsia="zh-CN"/>
        </w:rPr>
      </w:r>
      <w:r/>
    </w:p>
    <w:p>
      <w:pPr>
        <w:pStyle w:val="1029"/>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217"/>
      </w:tblGrid>
      <w:tr>
        <w:trPr>
          <w:trHeight w:val="3840"/>
        </w:trPr>
        <w:tc>
          <w:tcPr>
            <w:tcW w:w="2405" w:type="dxa"/>
            <w:vAlign w:val="center"/>
            <w:textDirection w:val="lrTb"/>
            <w:noWrap w:val="false"/>
          </w:tcPr>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217" w:type="dxa"/>
            <w:vAlign w:val="top"/>
            <w:textDirection w:val="lrTb"/>
            <w:noWrap w:val="false"/>
          </w:tcPr>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3.供应商对符合保险责任案件做到应赔尽赔、理赔做到简便快捷、理赔数据做到真实无误有效、项目保险宣传及培训工作做到细致认真。</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r>
            <w:r/>
          </w:p>
        </w:tc>
      </w:tr>
      <w:tr>
        <w:trPr>
          <w:trHeight w:val="3266"/>
        </w:trPr>
        <w:tc>
          <w:tcPr>
            <w:tcW w:w="2405" w:type="dxa"/>
            <w:vAlign w:val="center"/>
            <w:textDirection w:val="lrTb"/>
            <w:noWrap w:val="false"/>
          </w:tcPr>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217" w:type="dxa"/>
            <w:vAlign w:val="top"/>
            <w:textDirection w:val="lrTb"/>
            <w:noWrap w:val="false"/>
          </w:tcPr>
          <w:p>
            <w:pPr>
              <w:pStyle w:val="1029"/>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29"/>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法定代表人（机构负责人）或委托代理人：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9"/>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1029"/>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9"/>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9"/>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9"/>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70"/>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注：1.投标人应根据投标技术要求及相关说明的指标、对照招标文件</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招标内容及要求  </w:t>
      </w: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lang w:eastAsia="zh-CN"/>
        </w:rPr>
        <w:t xml:space="preserve">”</w:t>
      </w:r>
      <w:r>
        <w:rPr>
          <w:rFonts w:hint="eastAsia" w:ascii="宋体"/>
          <w:b/>
          <w:bCs/>
          <w:color w:val="000000"/>
          <w:spacing w:val="-2"/>
          <w:sz w:val="24"/>
          <w:highlight w:val="none"/>
        </w:rPr>
        <w:t xml:space="preserve">要求在“偏离情况”栏注明“正偏离”或“无偏离”，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1029"/>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hint="eastAsia" w:ascii="宋体"/>
          <w:b/>
          <w:bCs/>
          <w:color w:val="000000"/>
          <w:spacing w:val="-2"/>
          <w:sz w:val="24"/>
          <w:highlight w:val="none"/>
          <w:lang w:val="en-US" w:eastAsia="zh-CN"/>
        </w:rPr>
        <w:t xml:space="preserve">.</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29"/>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29"/>
        <w:ind w:firstLine="480"/>
        <w:jc w:val="left"/>
        <w:spacing w:line="460" w:lineRule="exact"/>
        <w:widowControl/>
        <w:rPr>
          <w:rFonts w:hint="eastAsia"/>
          <w:color w:val="000000"/>
          <w:highlight w:val="none"/>
        </w:rPr>
      </w:pPr>
      <w:r>
        <w:rPr>
          <w:rFonts w:hint="eastAsia"/>
          <w:color w:val="000000"/>
          <w:sz w:val="24"/>
          <w:szCs w:val="24"/>
          <w:highlight w:val="none"/>
        </w:rPr>
        <w:t xml:space="preserve">法定代表人（机构负责人）或委托代理人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29"/>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9"/>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2"/>
          <w:footerReference w:type="default" r:id="rId18"/>
          <w:footnotePr/>
          <w:endnotePr/>
          <w:type w:val="nextPage"/>
          <w:pgSz w:w="11906" w:h="16838" w:orient="portrait"/>
          <w:pgMar w:top="1440" w:right="1080" w:bottom="1440" w:left="1080" w:header="0" w:footer="992" w:gutter="0"/>
          <w:pgNumType w:start="1"/>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pPr>
        <w:pStyle w:val="1029"/>
        <w:jc w:val="center"/>
        <w:rPr>
          <w:b/>
          <w:bCs/>
          <w:color w:val="000000"/>
          <w:sz w:val="36"/>
          <w:szCs w:val="36"/>
          <w:highlight w:val="none"/>
        </w:rPr>
      </w:pPr>
      <w:r>
        <w:rPr>
          <w:rFonts w:hint="eastAsia"/>
          <w:b/>
          <w:bCs/>
          <w:color w:val="000000"/>
          <w:sz w:val="36"/>
          <w:szCs w:val="36"/>
          <w:highlight w:val="none"/>
        </w:rPr>
        <w:t xml:space="preserve">（十六）实施方案</w:t>
      </w:r>
      <w:r>
        <w:rPr>
          <w:b/>
          <w:bCs/>
          <w:color w:val="000000"/>
          <w:sz w:val="36"/>
          <w:szCs w:val="36"/>
          <w:highlight w:val="none"/>
        </w:rPr>
      </w:r>
      <w:r/>
    </w:p>
    <w:p>
      <w:pPr>
        <w:pStyle w:val="1029"/>
        <w:jc w:val="center"/>
        <w:rPr>
          <w:color w:val="000000"/>
          <w:highlight w:val="none"/>
        </w:rPr>
      </w:pPr>
      <w:r>
        <w:rPr>
          <w:rFonts w:hint="eastAsia"/>
          <w:color w:val="000000"/>
          <w:sz w:val="24"/>
          <w:highlight w:val="none"/>
        </w:rPr>
        <w:t xml:space="preserve">（投标人根据评标细则中的相关要求自行编制，格式自制）</w:t>
      </w:r>
      <w:r>
        <w:rPr>
          <w:color w:val="000000"/>
          <w:highlight w:val="none"/>
        </w:rPr>
      </w:r>
      <w:r/>
    </w:p>
    <w:p>
      <w:pPr>
        <w:pStyle w:val="1029"/>
        <w:jc w:val="both"/>
        <w:spacing w:before="100" w:beforeAutospacing="1" w:after="100" w:afterAutospacing="1" w:line="460" w:lineRule="exact"/>
        <w:rPr>
          <w:color w:val="000000"/>
          <w:highlight w:val="none"/>
        </w:rPr>
      </w:pPr>
      <w:r>
        <w:rPr>
          <w:color w:val="000000"/>
          <w:highlight w:val="none"/>
        </w:rPr>
      </w:r>
      <w:r/>
    </w:p>
    <w:p>
      <w:pPr>
        <w:pStyle w:val="1029"/>
        <w:rPr>
          <w:sz w:val="21"/>
          <w:highlight w:val="none"/>
          <w:lang w:val="en-US" w:eastAsia="zh-CN" w:bidi="ar-SA"/>
        </w:rPr>
      </w:pPr>
      <w:r>
        <w:rPr>
          <w:sz w:val="21"/>
          <w:highlight w:val="none"/>
          <w:lang w:val="en-US" w:eastAsia="zh-CN" w:bidi="ar-SA"/>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sectPr>
      <w:footnotePr/>
      <w:endnotePr/>
      <w:type w:val="nextPage"/>
      <w:pgSz w:w="11906" w:h="16838" w:orient="portrait"/>
      <w:pgMar w:top="1134" w:right="1219" w:bottom="1134" w:left="1219" w:header="851" w:footer="992" w:gutter="284"/>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ourier New">
    <w:panose1 w:val="02070309020205020404"/>
  </w:font>
  <w:font w:name="Tahoma">
    <w:panose1 w:val="020B06040305040402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1063"/>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9"/>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9"/>
                    </w:pPr>
                    <w:r/>
                    <w:r/>
                  </w:p>
                </w:txbxContent>
              </v:textbox>
            </v:shape>
          </w:pict>
        </mc:Fallback>
      </mc:AlternateContent>
    </w:r>
    <w:r>
      <w:rPr>
        <w:rStyle w:val="1063"/>
        <w:rFonts w:hint="eastAsia"/>
      </w:rPr>
    </w:r>
    <w:r/>
  </w:p>
  <w:p>
    <w:pPr>
      <w:pStyle w:val="1051"/>
      <w:ind w:right="360"/>
      <w:jc w:val="center"/>
      <w:tabs>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1" o:spid="_x0000_s1"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3" o:spid="_x0000_s3"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29"/>
    <w:next w:val="1029"/>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1029"/>
    <w:next w:val="1029"/>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1029"/>
    <w:next w:val="1029"/>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1029"/>
    <w:next w:val="1029"/>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1029"/>
    <w:next w:val="1029"/>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1029"/>
    <w:next w:val="1029"/>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1029"/>
    <w:next w:val="1029"/>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1029"/>
    <w:next w:val="1029"/>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1029"/>
    <w:next w:val="1029"/>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List Paragraph"/>
    <w:basedOn w:val="1029"/>
    <w:uiPriority w:val="34"/>
    <w:qFormat/>
    <w:pPr>
      <w:contextualSpacing/>
      <w:ind w:left="720"/>
    </w:pPr>
  </w:style>
  <w:style w:type="paragraph" w:styleId="872">
    <w:name w:val="Title"/>
    <w:basedOn w:val="1029"/>
    <w:next w:val="1029"/>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29"/>
    <w:next w:val="1029"/>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29"/>
    <w:next w:val="1029"/>
    <w:link w:val="877"/>
    <w:uiPriority w:val="29"/>
    <w:qFormat/>
    <w:pPr>
      <w:ind w:left="720" w:right="720"/>
    </w:pPr>
    <w:rPr>
      <w:i/>
    </w:rPr>
  </w:style>
  <w:style w:type="character" w:styleId="877">
    <w:name w:val="Quote Char"/>
    <w:link w:val="876"/>
    <w:uiPriority w:val="29"/>
    <w:rPr>
      <w:i/>
    </w:rPr>
  </w:style>
  <w:style w:type="paragraph" w:styleId="878">
    <w:name w:val="Intense Quote"/>
    <w:basedOn w:val="1029"/>
    <w:next w:val="1029"/>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29"/>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29"/>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29"/>
    <w:next w:val="1029"/>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1">
    <w:name w:val="Hyperlink"/>
    <w:uiPriority w:val="99"/>
    <w:unhideWhenUsed/>
    <w:rPr>
      <w:color w:val="0000ff" w:themeColor="hyperlink"/>
      <w:u w:val="single"/>
    </w:rPr>
  </w:style>
  <w:style w:type="paragraph" w:styleId="1012">
    <w:name w:val="footnote text"/>
    <w:basedOn w:val="1029"/>
    <w:link w:val="1013"/>
    <w:uiPriority w:val="99"/>
    <w:semiHidden/>
    <w:unhideWhenUsed/>
    <w:pPr>
      <w:spacing w:after="40" w:line="240" w:lineRule="auto"/>
    </w:pPr>
    <w:rPr>
      <w:sz w:val="18"/>
    </w:rPr>
  </w:style>
  <w:style w:type="character" w:styleId="1013">
    <w:name w:val="Footnote Text Char"/>
    <w:link w:val="1012"/>
    <w:uiPriority w:val="99"/>
    <w:rPr>
      <w:sz w:val="18"/>
    </w:rPr>
  </w:style>
  <w:style w:type="character" w:styleId="1014">
    <w:name w:val="footnote reference"/>
    <w:uiPriority w:val="99"/>
    <w:unhideWhenUsed/>
    <w:rPr>
      <w:vertAlign w:val="superscript"/>
    </w:rPr>
  </w:style>
  <w:style w:type="paragraph" w:styleId="1015">
    <w:name w:val="endnote text"/>
    <w:basedOn w:val="1029"/>
    <w:link w:val="1016"/>
    <w:uiPriority w:val="99"/>
    <w:semiHidden/>
    <w:unhideWhenUsed/>
    <w:pPr>
      <w:spacing w:after="0" w:line="240" w:lineRule="auto"/>
    </w:pPr>
    <w:rPr>
      <w:sz w:val="20"/>
    </w:rPr>
  </w:style>
  <w:style w:type="character" w:styleId="1016">
    <w:name w:val="Endnote Text Char"/>
    <w:link w:val="1015"/>
    <w:uiPriority w:val="99"/>
    <w:rPr>
      <w:sz w:val="20"/>
    </w:rPr>
  </w:style>
  <w:style w:type="character" w:styleId="1017">
    <w:name w:val="endnote reference"/>
    <w:uiPriority w:val="99"/>
    <w:semiHidden/>
    <w:unhideWhenUsed/>
    <w:rPr>
      <w:vertAlign w:val="superscript"/>
    </w:rPr>
  </w:style>
  <w:style w:type="paragraph" w:styleId="1018">
    <w:name w:val="toc 1"/>
    <w:basedOn w:val="1029"/>
    <w:next w:val="1029"/>
    <w:uiPriority w:val="39"/>
    <w:unhideWhenUsed/>
    <w:pPr>
      <w:ind w:left="0" w:right="0" w:firstLine="0"/>
      <w:spacing w:after="57"/>
    </w:pPr>
  </w:style>
  <w:style w:type="paragraph" w:styleId="1019">
    <w:name w:val="toc 2"/>
    <w:basedOn w:val="1029"/>
    <w:next w:val="1029"/>
    <w:uiPriority w:val="39"/>
    <w:unhideWhenUsed/>
    <w:pPr>
      <w:ind w:left="283" w:right="0" w:firstLine="0"/>
      <w:spacing w:after="57"/>
    </w:pPr>
  </w:style>
  <w:style w:type="paragraph" w:styleId="1020">
    <w:name w:val="toc 3"/>
    <w:basedOn w:val="1029"/>
    <w:next w:val="1029"/>
    <w:uiPriority w:val="39"/>
    <w:unhideWhenUsed/>
    <w:pPr>
      <w:ind w:left="567" w:right="0" w:firstLine="0"/>
      <w:spacing w:after="57"/>
    </w:pPr>
  </w:style>
  <w:style w:type="paragraph" w:styleId="1021">
    <w:name w:val="toc 4"/>
    <w:basedOn w:val="1029"/>
    <w:next w:val="1029"/>
    <w:uiPriority w:val="39"/>
    <w:unhideWhenUsed/>
    <w:pPr>
      <w:ind w:left="850" w:right="0" w:firstLine="0"/>
      <w:spacing w:after="57"/>
    </w:pPr>
  </w:style>
  <w:style w:type="paragraph" w:styleId="1022">
    <w:name w:val="toc 5"/>
    <w:basedOn w:val="1029"/>
    <w:next w:val="1029"/>
    <w:uiPriority w:val="39"/>
    <w:unhideWhenUsed/>
    <w:pPr>
      <w:ind w:left="1134" w:right="0" w:firstLine="0"/>
      <w:spacing w:after="57"/>
    </w:pPr>
  </w:style>
  <w:style w:type="paragraph" w:styleId="1023">
    <w:name w:val="toc 6"/>
    <w:basedOn w:val="1029"/>
    <w:next w:val="1029"/>
    <w:uiPriority w:val="39"/>
    <w:unhideWhenUsed/>
    <w:pPr>
      <w:ind w:left="1417" w:right="0" w:firstLine="0"/>
      <w:spacing w:after="57"/>
    </w:pPr>
  </w:style>
  <w:style w:type="paragraph" w:styleId="1024">
    <w:name w:val="toc 7"/>
    <w:basedOn w:val="1029"/>
    <w:next w:val="1029"/>
    <w:uiPriority w:val="39"/>
    <w:unhideWhenUsed/>
    <w:pPr>
      <w:ind w:left="1701" w:right="0" w:firstLine="0"/>
      <w:spacing w:after="57"/>
    </w:pPr>
  </w:style>
  <w:style w:type="paragraph" w:styleId="1025">
    <w:name w:val="toc 8"/>
    <w:basedOn w:val="1029"/>
    <w:next w:val="1029"/>
    <w:uiPriority w:val="39"/>
    <w:unhideWhenUsed/>
    <w:pPr>
      <w:ind w:left="1984" w:right="0" w:firstLine="0"/>
      <w:spacing w:after="57"/>
    </w:pPr>
  </w:style>
  <w:style w:type="paragraph" w:styleId="1026">
    <w:name w:val="toc 9"/>
    <w:basedOn w:val="1029"/>
    <w:next w:val="1029"/>
    <w:uiPriority w:val="39"/>
    <w:unhideWhenUsed/>
    <w:pPr>
      <w:ind w:left="2268" w:right="0" w:firstLine="0"/>
      <w:spacing w:after="57"/>
    </w:p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next w:val="1036"/>
    <w:link w:val="1029"/>
    <w:qFormat/>
    <w:pPr>
      <w:jc w:val="both"/>
      <w:widowControl w:val="off"/>
    </w:pPr>
    <w:rPr>
      <w:sz w:val="21"/>
      <w:lang w:val="en-US" w:eastAsia="zh-CN" w:bidi="ar-SA"/>
    </w:rPr>
  </w:style>
  <w:style w:type="paragraph" w:styleId="1030">
    <w:name w:val="标题 1"/>
    <w:basedOn w:val="1029"/>
    <w:next w:val="1029"/>
    <w:link w:val="1029"/>
    <w:uiPriority w:val="9"/>
    <w:qFormat/>
    <w:pPr>
      <w:keepLines/>
      <w:keepNext/>
      <w:spacing w:before="340" w:after="330" w:line="578" w:lineRule="auto"/>
      <w:outlineLvl w:val="0"/>
    </w:pPr>
    <w:rPr>
      <w:b/>
      <w:bCs/>
      <w:sz w:val="44"/>
      <w:szCs w:val="44"/>
    </w:rPr>
  </w:style>
  <w:style w:type="paragraph" w:styleId="1031">
    <w:name w:val="标题 2"/>
    <w:basedOn w:val="1029"/>
    <w:next w:val="1029"/>
    <w:link w:val="1029"/>
    <w:qFormat/>
    <w:pPr>
      <w:jc w:val="left"/>
      <w:spacing w:beforeAutospacing="1" w:afterAutospacing="1"/>
      <w:widowControl/>
      <w:outlineLvl w:val="1"/>
    </w:pPr>
    <w:rPr>
      <w:rFonts w:hint="eastAsia" w:ascii="宋体" w:hAnsi="宋体" w:eastAsia="宋体" w:cs="Times New Roman"/>
      <w:b/>
      <w:bCs/>
      <w:sz w:val="36"/>
      <w:szCs w:val="36"/>
    </w:rPr>
  </w:style>
  <w:style w:type="paragraph" w:styleId="1032">
    <w:name w:val="标题 3"/>
    <w:basedOn w:val="1029"/>
    <w:next w:val="1029"/>
    <w:link w:val="1029"/>
    <w:uiPriority w:val="9"/>
    <w:qFormat/>
    <w:pPr>
      <w:keepLines/>
      <w:keepNext/>
      <w:spacing w:before="260" w:after="260" w:line="416" w:lineRule="auto"/>
      <w:outlineLvl w:val="2"/>
    </w:pPr>
    <w:rPr>
      <w:b/>
      <w:bCs/>
      <w:sz w:val="32"/>
      <w:szCs w:val="32"/>
    </w:rPr>
  </w:style>
  <w:style w:type="paragraph" w:styleId="1033">
    <w:name w:val="标题 4"/>
    <w:basedOn w:val="1029"/>
    <w:next w:val="1029"/>
    <w:link w:val="1029"/>
    <w:uiPriority w:val="9"/>
    <w:qFormat/>
    <w:pPr>
      <w:keepLines/>
      <w:keepNext/>
      <w:spacing w:before="120" w:after="120"/>
      <w:outlineLvl w:val="3"/>
    </w:pPr>
    <w:rPr>
      <w:rFonts w:ascii="Arial" w:hAnsi="Arial" w:eastAsia="黑体"/>
      <w:b/>
      <w:sz w:val="20"/>
      <w:szCs w:val="20"/>
    </w:rPr>
  </w:style>
  <w:style w:type="character" w:styleId="1034">
    <w:name w:val="默认段落字体"/>
    <w:next w:val="1034"/>
    <w:link w:val="1029"/>
    <w:uiPriority w:val="1"/>
    <w:unhideWhenUsed/>
  </w:style>
  <w:style w:type="table" w:styleId="1035">
    <w:name w:val="普通表格"/>
    <w:next w:val="1035"/>
    <w:link w:val="1029"/>
    <w:uiPriority w:val="99"/>
    <w:unhideWhenUsed/>
    <w:qFormat/>
    <w:tblPr/>
  </w:style>
  <w:style w:type="paragraph" w:styleId="1036">
    <w:name w:val="正文首行缩进"/>
    <w:basedOn w:val="1037"/>
    <w:next w:val="1029"/>
    <w:link w:val="1029"/>
    <w:qFormat/>
    <w:pPr>
      <w:ind w:firstLine="420"/>
    </w:pPr>
  </w:style>
  <w:style w:type="paragraph" w:styleId="1037">
    <w:name w:val="正文文本113"/>
    <w:basedOn w:val="1029"/>
    <w:next w:val="1038"/>
    <w:link w:val="1029"/>
    <w:qFormat/>
    <w:pPr>
      <w:spacing w:after="120"/>
    </w:pPr>
    <w:rPr>
      <w:sz w:val="28"/>
    </w:rPr>
  </w:style>
  <w:style w:type="paragraph" w:styleId="1038">
    <w:name w:val="一级条标题"/>
    <w:basedOn w:val="1039"/>
    <w:next w:val="1040"/>
    <w:link w:val="102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9">
    <w:name w:val="章标题"/>
    <w:next w:val="1029"/>
    <w:link w:val="102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0">
    <w:name w:val="段"/>
    <w:next w:val="1041"/>
    <w:link w:val="1029"/>
    <w:qFormat/>
    <w:pPr>
      <w:ind w:firstLine="200"/>
      <w:jc w:val="both"/>
      <w:widowControl w:val="off"/>
    </w:pPr>
    <w:rPr>
      <w:rFonts w:ascii="宋体" w:hAnsi="宋体" w:cs="宋体"/>
      <w:color w:val="000000"/>
      <w:sz w:val="21"/>
      <w:szCs w:val="21"/>
      <w:lang w:val="en-US" w:eastAsia="zh-CN" w:bidi="ar-SA"/>
    </w:rPr>
  </w:style>
  <w:style w:type="paragraph" w:styleId="1041">
    <w:name w:val="正文 A"/>
    <w:next w:val="1040"/>
    <w:link w:val="1029"/>
    <w:qFormat/>
    <w:pPr>
      <w:jc w:val="both"/>
      <w:widowControl w:val="off"/>
    </w:pPr>
    <w:rPr>
      <w:rFonts w:ascii="Calibri" w:hAnsi="Calibri" w:eastAsia="Calibri" w:cs="Calibri"/>
      <w:color w:val="000000"/>
      <w:sz w:val="21"/>
      <w:szCs w:val="21"/>
      <w:lang w:val="en-US" w:eastAsia="zh-CN" w:bidi="ar-SA"/>
    </w:rPr>
  </w:style>
  <w:style w:type="paragraph" w:styleId="1042">
    <w:name w:val="正文缩进"/>
    <w:basedOn w:val="1029"/>
    <w:next w:val="1042"/>
    <w:link w:val="1029"/>
    <w:qFormat/>
    <w:pPr>
      <w:ind w:firstLine="420"/>
    </w:pPr>
    <w:rPr>
      <w:szCs w:val="24"/>
    </w:rPr>
  </w:style>
  <w:style w:type="paragraph" w:styleId="1043">
    <w:name w:val="批注文字"/>
    <w:basedOn w:val="1029"/>
    <w:next w:val="1043"/>
    <w:link w:val="1029"/>
    <w:qFormat/>
    <w:pPr>
      <w:jc w:val="left"/>
    </w:pPr>
    <w:rPr>
      <w:sz w:val="21"/>
    </w:rPr>
  </w:style>
  <w:style w:type="paragraph" w:styleId="1044">
    <w:name w:val="正文文本"/>
    <w:basedOn w:val="1029"/>
    <w:next w:val="1044"/>
    <w:link w:val="1029"/>
    <w:qFormat/>
    <w:rPr>
      <w:rFonts w:ascii="Tahoma" w:hAnsi="Tahoma"/>
      <w:szCs w:val="24"/>
    </w:rPr>
  </w:style>
  <w:style w:type="paragraph" w:styleId="1045">
    <w:name w:val="正文文本缩进"/>
    <w:basedOn w:val="1029"/>
    <w:next w:val="1046"/>
    <w:link w:val="1029"/>
    <w:qFormat/>
    <w:pPr>
      <w:ind w:firstLine="480"/>
      <w:tabs>
        <w:tab w:val="left" w:pos="180" w:leader="none"/>
      </w:tabs>
    </w:pPr>
    <w:rPr>
      <w:rFonts w:ascii="Tahoma" w:hAnsi="Tahoma"/>
      <w:sz w:val="24"/>
    </w:rPr>
  </w:style>
  <w:style w:type="paragraph" w:styleId="1046">
    <w:name w:val="寄信人地址"/>
    <w:basedOn w:val="1029"/>
    <w:next w:val="1046"/>
    <w:link w:val="1029"/>
    <w:qFormat/>
    <w:rPr>
      <w:rFonts w:ascii="Arial" w:hAnsi="Arial"/>
    </w:rPr>
  </w:style>
  <w:style w:type="paragraph" w:styleId="1047">
    <w:name w:val="索引 4"/>
    <w:basedOn w:val="1029"/>
    <w:next w:val="1029"/>
    <w:link w:val="1029"/>
    <w:qFormat/>
    <w:pPr>
      <w:ind w:left="600"/>
      <w:spacing w:line="440" w:lineRule="exact"/>
    </w:pPr>
  </w:style>
  <w:style w:type="paragraph" w:styleId="1048">
    <w:name w:val="纯文本"/>
    <w:basedOn w:val="1029"/>
    <w:next w:val="1029"/>
    <w:link w:val="1029"/>
    <w:qFormat/>
    <w:rPr>
      <w:rFonts w:ascii="宋体" w:hAnsi="Courier New"/>
    </w:rPr>
  </w:style>
  <w:style w:type="paragraph" w:styleId="1049">
    <w:name w:val="批注框文本"/>
    <w:basedOn w:val="1029"/>
    <w:next w:val="1049"/>
    <w:link w:val="1050"/>
    <w:rPr>
      <w:sz w:val="18"/>
      <w:szCs w:val="18"/>
    </w:rPr>
  </w:style>
  <w:style w:type="character" w:styleId="1050">
    <w:name w:val="批注框文本 Char"/>
    <w:next w:val="1050"/>
    <w:link w:val="1049"/>
    <w:rPr>
      <w:sz w:val="18"/>
      <w:szCs w:val="18"/>
    </w:rPr>
  </w:style>
  <w:style w:type="paragraph" w:styleId="1051">
    <w:name w:val="页脚"/>
    <w:basedOn w:val="1029"/>
    <w:next w:val="1051"/>
    <w:link w:val="1029"/>
    <w:uiPriority w:val="99"/>
    <w:unhideWhenUsed/>
    <w:qFormat/>
    <w:pPr>
      <w:jc w:val="left"/>
      <w:tabs>
        <w:tab w:val="center" w:pos="4153" w:leader="none"/>
        <w:tab w:val="right" w:pos="8306" w:leader="none"/>
      </w:tabs>
    </w:pPr>
    <w:rPr>
      <w:sz w:val="18"/>
      <w:szCs w:val="18"/>
    </w:rPr>
  </w:style>
  <w:style w:type="paragraph" w:styleId="1052">
    <w:name w:val="页眉"/>
    <w:basedOn w:val="1029"/>
    <w:next w:val="1052"/>
    <w:link w:val="1053"/>
    <w:pPr>
      <w:jc w:val="center"/>
      <w:tabs>
        <w:tab w:val="center" w:pos="4153" w:leader="none"/>
        <w:tab w:val="right" w:pos="8306" w:leader="none"/>
      </w:tabs>
      <w:pBdr>
        <w:bottom w:val="single" w:color="000000" w:sz="6" w:space="1"/>
      </w:pBdr>
    </w:pPr>
    <w:rPr>
      <w:sz w:val="18"/>
      <w:szCs w:val="18"/>
    </w:rPr>
  </w:style>
  <w:style w:type="character" w:styleId="1053">
    <w:name w:val="页眉 Char"/>
    <w:next w:val="1053"/>
    <w:link w:val="1052"/>
    <w:rPr>
      <w:rFonts w:ascii="Times New Roman" w:hAnsi="Times New Roman" w:eastAsia="宋体" w:cs="Times New Roman"/>
      <w:sz w:val="18"/>
      <w:szCs w:val="18"/>
    </w:rPr>
  </w:style>
  <w:style w:type="paragraph" w:styleId="1054">
    <w:name w:val="索引标题"/>
    <w:basedOn w:val="1029"/>
    <w:next w:val="1055"/>
    <w:link w:val="1029"/>
    <w:uiPriority w:val="99"/>
    <w:unhideWhenUsed/>
    <w:qFormat/>
    <w:pPr>
      <w:spacing w:line="500" w:lineRule="exact"/>
    </w:pPr>
    <w:rPr>
      <w:rFonts w:ascii="仿宋_GB2312" w:hAnsi="Calibri"/>
      <w:sz w:val="28"/>
    </w:rPr>
  </w:style>
  <w:style w:type="paragraph" w:styleId="1055">
    <w:name w:val="索引 1"/>
    <w:basedOn w:val="1029"/>
    <w:next w:val="1029"/>
    <w:link w:val="1029"/>
    <w:uiPriority w:val="99"/>
    <w:unhideWhenUsed/>
    <w:qFormat/>
  </w:style>
  <w:style w:type="paragraph" w:styleId="1056">
    <w:name w:val="列表"/>
    <w:basedOn w:val="1029"/>
    <w:next w:val="1056"/>
    <w:link w:val="1029"/>
    <w:qFormat/>
    <w:pPr>
      <w:ind w:left="420" w:hanging="420"/>
    </w:pPr>
  </w:style>
  <w:style w:type="paragraph" w:styleId="1057">
    <w:name w:val="正文文本缩进 3"/>
    <w:basedOn w:val="1029"/>
    <w:next w:val="1057"/>
    <w:link w:val="1029"/>
    <w:qFormat/>
    <w:pPr>
      <w:ind w:firstLine="480"/>
      <w:spacing w:line="400" w:lineRule="exact"/>
    </w:pPr>
    <w:rPr>
      <w:sz w:val="24"/>
    </w:rPr>
  </w:style>
  <w:style w:type="paragraph" w:styleId="1058">
    <w:name w:val="目录 2"/>
    <w:basedOn w:val="1029"/>
    <w:next w:val="1029"/>
    <w:link w:val="1029"/>
    <w:uiPriority w:val="39"/>
    <w:unhideWhenUsed/>
    <w:qFormat/>
    <w:pPr>
      <w:ind w:left="283" w:right="0" w:firstLine="0"/>
      <w:spacing w:after="57"/>
    </w:pPr>
  </w:style>
  <w:style w:type="paragraph" w:styleId="1059">
    <w:name w:val="普通(网站)"/>
    <w:basedOn w:val="1029"/>
    <w:next w:val="1059"/>
    <w:link w:val="1029"/>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60">
    <w:name w:val="正文首行缩进 2"/>
    <w:basedOn w:val="1045"/>
    <w:next w:val="1060"/>
    <w:link w:val="1029"/>
    <w:qFormat/>
    <w:pPr>
      <w:ind w:left="420" w:firstLine="420"/>
      <w:tabs>
        <w:tab w:val="left" w:pos="180" w:leader="none"/>
      </w:tabs>
    </w:pPr>
    <w:rPr>
      <w:rFonts w:ascii="Times New Roman" w:hAnsi="Times New Roman"/>
      <w:szCs w:val="24"/>
    </w:rPr>
  </w:style>
  <w:style w:type="table" w:styleId="1061">
    <w:name w:val="网格型"/>
    <w:basedOn w:val="1035"/>
    <w:next w:val="1061"/>
    <w:link w:val="1029"/>
    <w:uiPriority w:val="99"/>
    <w:qFormat/>
    <w:rPr>
      <w:rFonts w:ascii="Calibri" w:hAnsi="Calibri" w:eastAsia="宋体" w:cs="Times New Roman"/>
      <w:sz w:val="20"/>
      <w:szCs w:val="20"/>
    </w:rPr>
    <w:tblPr/>
  </w:style>
  <w:style w:type="character" w:styleId="1062">
    <w:name w:val="要点"/>
    <w:next w:val="1062"/>
    <w:link w:val="1029"/>
    <w:qFormat/>
    <w:rPr>
      <w:b/>
      <w:bCs/>
    </w:rPr>
  </w:style>
  <w:style w:type="character" w:styleId="1063">
    <w:name w:val="页码"/>
    <w:basedOn w:val="1034"/>
    <w:next w:val="1063"/>
    <w:link w:val="1029"/>
    <w:qFormat/>
    <w:rPr>
      <w:rFonts w:ascii="Times New Roman" w:hAnsi="Times New Roman" w:eastAsia="宋体" w:cs="Times New Roman"/>
    </w:rPr>
  </w:style>
  <w:style w:type="character" w:styleId="1064">
    <w:name w:val="超链接"/>
    <w:next w:val="1064"/>
    <w:link w:val="1029"/>
    <w:rPr>
      <w:color w:val="0000ff"/>
      <w:u w:val="single"/>
    </w:rPr>
  </w:style>
  <w:style w:type="paragraph" w:styleId="1065">
    <w:name w:val="正文首行缩进1"/>
    <w:basedOn w:val="1066"/>
    <w:next w:val="1029"/>
    <w:link w:val="1029"/>
    <w:qFormat/>
    <w:pPr>
      <w:ind w:firstLine="420"/>
    </w:pPr>
  </w:style>
  <w:style w:type="paragraph" w:styleId="1066">
    <w:name w:val="正文文本1"/>
    <w:basedOn w:val="1029"/>
    <w:next w:val="1029"/>
    <w:link w:val="1029"/>
    <w:qFormat/>
    <w:rPr>
      <w:rFonts w:ascii="Tahoma" w:hAnsi="Tahoma"/>
      <w:szCs w:val="24"/>
    </w:rPr>
  </w:style>
  <w:style w:type="paragraph" w:styleId="1067">
    <w:name w:val="列出段落"/>
    <w:basedOn w:val="1029"/>
    <w:next w:val="1067"/>
    <w:link w:val="1029"/>
    <w:uiPriority w:val="34"/>
    <w:qFormat/>
    <w:pPr>
      <w:ind w:firstLine="420"/>
    </w:pPr>
  </w:style>
  <w:style w:type="paragraph" w:styleId="1068">
    <w:name w:val="标题 3111"/>
    <w:basedOn w:val="1029"/>
    <w:next w:val="1029"/>
    <w:link w:val="1029"/>
    <w:uiPriority w:val="9"/>
    <w:qFormat/>
    <w:pPr>
      <w:keepLines/>
      <w:keepNext/>
      <w:spacing w:before="320" w:after="200"/>
      <w:outlineLvl w:val="2"/>
    </w:pPr>
    <w:rPr>
      <w:rFonts w:ascii="Arial" w:hAnsi="Arial" w:eastAsia="Arial"/>
      <w:sz w:val="30"/>
      <w:szCs w:val="30"/>
    </w:rPr>
  </w:style>
  <w:style w:type="paragraph" w:styleId="1069">
    <w:name w:val="TOC 标题1"/>
    <w:basedOn w:val="1030"/>
    <w:next w:val="1029"/>
    <w:link w:val="1029"/>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70">
    <w:name w:val="普通正文"/>
    <w:next w:val="1070"/>
    <w:link w:val="1029"/>
    <w:qFormat/>
    <w:pPr>
      <w:ind w:firstLine="480"/>
      <w:spacing w:before="120" w:after="120" w:line="360" w:lineRule="auto"/>
      <w:widowControl w:val="off"/>
    </w:pPr>
    <w:rPr>
      <w:rFonts w:ascii="Arial" w:hAnsi="Arial"/>
      <w:sz w:val="24"/>
      <w:szCs w:val="24"/>
      <w:lang w:val="en-US" w:eastAsia="zh-CN" w:bidi="ar-SA"/>
    </w:rPr>
  </w:style>
  <w:style w:type="paragraph" w:styleId="1071">
    <w:name w:val="Default"/>
    <w:next w:val="1071"/>
    <w:link w:val="1029"/>
    <w:qFormat/>
    <w:pPr>
      <w:widowControl w:val="off"/>
    </w:pPr>
    <w:rPr>
      <w:rFonts w:ascii="宋体"/>
      <w:color w:val="000000"/>
      <w:sz w:val="24"/>
      <w:szCs w:val="24"/>
      <w:lang w:val="en-US" w:eastAsia="zh-CN" w:bidi="ar-SA"/>
    </w:rPr>
  </w:style>
  <w:style w:type="paragraph" w:styleId="1072">
    <w:name w:val="标题 31"/>
    <w:basedOn w:val="1029"/>
    <w:next w:val="1029"/>
    <w:link w:val="1029"/>
    <w:uiPriority w:val="9"/>
    <w:qFormat/>
    <w:pPr>
      <w:keepLines/>
      <w:keepNext/>
      <w:spacing w:before="260" w:after="260" w:line="416" w:lineRule="auto"/>
      <w:outlineLvl w:val="2"/>
    </w:pPr>
    <w:rPr>
      <w:rFonts w:ascii="Calibri" w:hAnsi="Calibri"/>
      <w:b/>
      <w:bCs/>
      <w:sz w:val="32"/>
      <w:szCs w:val="32"/>
    </w:rPr>
  </w:style>
  <w:style w:type="paragraph" w:styleId="1073">
    <w:name w:val="正文1"/>
    <w:basedOn w:val="1029"/>
    <w:next w:val="1073"/>
    <w:link w:val="1029"/>
    <w:qFormat/>
    <w:pPr>
      <w:ind w:right="-167"/>
      <w:spacing w:line="440" w:lineRule="exact"/>
      <w:widowControl/>
    </w:pPr>
    <w:rPr>
      <w:b/>
    </w:rPr>
  </w:style>
  <w:style w:type="paragraph" w:styleId="1074">
    <w:name w:val="msolistparagraph"/>
    <w:basedOn w:val="1029"/>
    <w:next w:val="1074"/>
    <w:link w:val="1029"/>
    <w:qFormat/>
    <w:pPr>
      <w:ind w:firstLine="420"/>
    </w:pPr>
    <w:rPr>
      <w:rFonts w:ascii="Calibri" w:hAnsi="Calibri" w:eastAsia="宋体" w:cs="Times New Roman"/>
    </w:rPr>
  </w:style>
  <w:style w:type="paragraph" w:styleId="1075">
    <w:name w:val="179"/>
    <w:basedOn w:val="1029"/>
    <w:next w:val="1075"/>
    <w:link w:val="1029"/>
    <w:qFormat/>
    <w:pPr>
      <w:ind w:firstLine="420"/>
      <w:widowControl/>
    </w:pPr>
    <w:rPr>
      <w:rFonts w:ascii="Calibri" w:hAnsi="Calibri"/>
    </w:rPr>
  </w:style>
  <w:style w:type="character" w:styleId="1076">
    <w:name w:val="NormalCharacter1"/>
    <w:next w:val="1076"/>
    <w:link w:val="1029"/>
    <w:semiHidden/>
    <w:qFormat/>
  </w:style>
  <w:style w:type="paragraph" w:styleId="1077">
    <w:name w:val="Heading21"/>
    <w:basedOn w:val="1029"/>
    <w:next w:val="1029"/>
    <w:link w:val="1029"/>
    <w:qFormat/>
    <w:pPr>
      <w:keepLines/>
      <w:keepNext/>
      <w:spacing w:before="260" w:after="260" w:line="412" w:lineRule="auto"/>
      <w:widowControl/>
    </w:pPr>
    <w:rPr>
      <w:rFonts w:ascii="Arial" w:hAnsi="Arial" w:eastAsia="黑体"/>
      <w:sz w:val="32"/>
      <w:szCs w:val="32"/>
    </w:rPr>
  </w:style>
  <w:style w:type="table" w:styleId="1078">
    <w:name w:val="Plain Table 1"/>
    <w:next w:val="1078"/>
    <w:link w:val="1029"/>
    <w:uiPriority w:val="41"/>
    <w:qFormat/>
    <w:rPr>
      <w:lang w:val="en-US" w:eastAsia="zh-CN" w:bidi="ar-SA"/>
    </w:rPr>
    <w:tblPr/>
  </w:style>
  <w:style w:type="paragraph" w:styleId="1079">
    <w:name w:val="列表段落1"/>
    <w:basedOn w:val="1029"/>
    <w:next w:val="1079"/>
    <w:link w:val="1029"/>
    <w:uiPriority w:val="34"/>
    <w:qFormat/>
    <w:pPr>
      <w:ind w:firstLine="420"/>
    </w:pPr>
    <w:rPr>
      <w:rFonts w:ascii="Times New Roman" w:hAnsi="Times New Roman" w:eastAsia="宋体" w:cs="Times New Roman"/>
      <w:szCs w:val="21"/>
    </w:rPr>
  </w:style>
  <w:style w:type="paragraph" w:styleId="1080">
    <w:name w:val="表格文字"/>
    <w:basedOn w:val="1029"/>
    <w:next w:val="1044"/>
    <w:link w:val="1029"/>
    <w:qFormat/>
    <w:pPr>
      <w:jc w:val="left"/>
      <w:spacing w:before="25" w:after="25"/>
    </w:pPr>
    <w:rPr>
      <w:bCs/>
      <w:spacing w:val="10"/>
      <w:sz w:val="24"/>
      <w:szCs w:val="20"/>
    </w:rPr>
  </w:style>
  <w:style w:type="paragraph" w:styleId="1081">
    <w:name w:val="列出段落1"/>
    <w:basedOn w:val="1029"/>
    <w:next w:val="1081"/>
    <w:link w:val="1029"/>
    <w:qFormat/>
    <w:pPr>
      <w:ind w:firstLine="420"/>
    </w:pPr>
  </w:style>
  <w:style w:type="character" w:styleId="1082">
    <w:name w:val="font21"/>
    <w:basedOn w:val="1034"/>
    <w:next w:val="1082"/>
    <w:link w:val="1029"/>
    <w:qFormat/>
    <w:rPr>
      <w:rFonts w:ascii="方正仿宋_GBK" w:hAnsi="方正仿宋_GBK" w:eastAsia="方正仿宋_GBK" w:cs="方正仿宋_GBK"/>
      <w:color w:val="000000"/>
      <w:sz w:val="22"/>
      <w:szCs w:val="22"/>
      <w:u w:val="none"/>
    </w:rPr>
  </w:style>
  <w:style w:type="character" w:styleId="1083">
    <w:name w:val="font51"/>
    <w:basedOn w:val="1034"/>
    <w:next w:val="1083"/>
    <w:link w:val="1029"/>
    <w:qFormat/>
    <w:rPr>
      <w:rFonts w:ascii="Times New Roman" w:hAnsi="Times New Roman" w:cs="Times New Roman"/>
      <w:color w:val="000000"/>
      <w:sz w:val="20"/>
      <w:szCs w:val="20"/>
      <w:u w:val="none"/>
    </w:rPr>
  </w:style>
  <w:style w:type="character" w:styleId="1084">
    <w:name w:val="font101"/>
    <w:basedOn w:val="1034"/>
    <w:next w:val="1084"/>
    <w:link w:val="1029"/>
    <w:qFormat/>
    <w:rPr>
      <w:rFonts w:ascii="方正仿宋_GBK" w:hAnsi="方正仿宋_GBK" w:eastAsia="方正仿宋_GBK" w:cs="方正仿宋_GBK"/>
      <w:color w:val="000000"/>
      <w:sz w:val="20"/>
      <w:szCs w:val="20"/>
      <w:u w:val="none"/>
    </w:rPr>
  </w:style>
  <w:style w:type="character" w:styleId="1085">
    <w:name w:val="font131"/>
    <w:basedOn w:val="1034"/>
    <w:next w:val="1085"/>
    <w:link w:val="1029"/>
    <w:qFormat/>
    <w:rPr>
      <w:rFonts w:ascii="方正仿宋_GBK" w:hAnsi="方正仿宋_GBK" w:eastAsia="方正仿宋_GBK" w:cs="方正仿宋_GBK"/>
      <w:color w:val="000000"/>
      <w:sz w:val="20"/>
      <w:szCs w:val="20"/>
      <w:u w:val="none"/>
    </w:rPr>
  </w:style>
  <w:style w:type="character" w:styleId="1086">
    <w:name w:val="font111"/>
    <w:basedOn w:val="1034"/>
    <w:next w:val="1086"/>
    <w:link w:val="1029"/>
    <w:qFormat/>
    <w:rPr>
      <w:rFonts w:ascii="仿宋" w:hAnsi="仿宋" w:eastAsia="仿宋" w:cs="仿宋"/>
      <w:color w:val="000000"/>
      <w:sz w:val="24"/>
      <w:szCs w:val="24"/>
      <w:u w:val="none"/>
    </w:rPr>
  </w:style>
  <w:style w:type="character" w:styleId="1087">
    <w:name w:val="font151"/>
    <w:basedOn w:val="1034"/>
    <w:next w:val="1087"/>
    <w:link w:val="1029"/>
    <w:qFormat/>
    <w:rPr>
      <w:rFonts w:ascii="仿宋" w:hAnsi="仿宋" w:eastAsia="仿宋" w:cs="仿宋"/>
      <w:color w:val="000000"/>
      <w:sz w:val="24"/>
      <w:szCs w:val="24"/>
      <w:u w:val="none"/>
    </w:rPr>
  </w:style>
  <w:style w:type="paragraph" w:styleId="1088">
    <w:name w:val="No Spacing"/>
    <w:next w:val="1088"/>
    <w:link w:val="1029"/>
    <w:uiPriority w:val="1"/>
    <w:qFormat/>
    <w:pPr>
      <w:spacing w:before="0" w:after="0" w:line="240" w:lineRule="auto"/>
    </w:pPr>
    <w:rPr>
      <w:rFonts w:ascii="Times New Roman" w:hAnsi="Times New Roman" w:eastAsia="宋体" w:cs="Times New Roman"/>
    </w:rPr>
  </w:style>
  <w:style w:type="paragraph" w:styleId="1089">
    <w:name w:val="_正文段落"/>
    <w:basedOn w:val="1029"/>
    <w:next w:val="1089"/>
    <w:link w:val="1029"/>
    <w:qFormat/>
    <w:pPr>
      <w:ind w:firstLine="200"/>
      <w:spacing w:line="560" w:lineRule="exact"/>
    </w:pPr>
    <w:rPr>
      <w:rFonts w:ascii="Calibri" w:hAnsi="Calibri" w:eastAsia="仿宋_GB2312"/>
      <w:color w:val="000000"/>
      <w:sz w:val="32"/>
      <w:szCs w:val="24"/>
    </w:rPr>
  </w:style>
  <w:style w:type="table" w:styleId="1090">
    <w:name w:val="Table Normal"/>
    <w:next w:val="1090"/>
    <w:link w:val="1029"/>
    <w:unhideWhenUsed/>
    <w:qFormat/>
    <w:tblPr/>
  </w:style>
  <w:style w:type="paragraph" w:styleId="1091">
    <w:name w:val="Table Text"/>
    <w:basedOn w:val="1029"/>
    <w:next w:val="1091"/>
    <w:link w:val="1029"/>
    <w:semiHidden/>
    <w:qFormat/>
    <w:rPr>
      <w:rFonts w:ascii="微软雅黑" w:hAnsi="微软雅黑" w:eastAsia="微软雅黑" w:cs="微软雅黑"/>
      <w:sz w:val="31"/>
      <w:szCs w:val="31"/>
      <w:lang w:val="en-US" w:eastAsia="en-US" w:bidi="ar-SA"/>
    </w:rPr>
  </w:style>
  <w:style w:type="paragraph" w:styleId="1092">
    <w:name w:val="正文缩进1"/>
    <w:basedOn w:val="1029"/>
    <w:next w:val="1066"/>
    <w:link w:val="1029"/>
    <w:qFormat/>
    <w:pPr>
      <w:ind w:firstLine="420"/>
    </w:pPr>
    <w:rPr>
      <w:rFonts w:ascii="Times New Roman" w:hAnsi="Times New Roman"/>
      <w:sz w:val="20"/>
      <w:szCs w:val="21"/>
    </w:rPr>
  </w:style>
  <w:style w:type="paragraph" w:styleId="1093">
    <w:name w:val="Plain Text1"/>
    <w:basedOn w:val="1029"/>
    <w:next w:val="1093"/>
    <w:link w:val="1029"/>
    <w:qFormat/>
    <w:rPr>
      <w:rFonts w:ascii="宋体" w:hAnsi="Courier New" w:eastAsia="楷体_GB2312"/>
      <w:sz w:val="28"/>
      <w:szCs w:val="20"/>
    </w:rPr>
  </w:style>
  <w:style w:type="paragraph" w:styleId="1094">
    <w:name w:val="普通(网站)111"/>
    <w:basedOn w:val="1029"/>
    <w:next w:val="1094"/>
    <w:link w:val="1029"/>
    <w:uiPriority w:val="99"/>
    <w:unhideWhenUsed/>
    <w:qFormat/>
    <w:pPr>
      <w:jc w:val="left"/>
      <w:spacing w:before="100" w:beforeAutospacing="1" w:after="100" w:afterAutospacing="1"/>
    </w:pPr>
    <w:rPr>
      <w:sz w:val="24"/>
    </w:rPr>
  </w:style>
  <w:style w:type="paragraph" w:styleId="1095">
    <w:name w:val="cas_content"/>
    <w:basedOn w:val="1029"/>
    <w:next w:val="1095"/>
    <w:link w:val="1029"/>
    <w:qFormat/>
    <w:pPr>
      <w:jc w:val="left"/>
      <w:spacing w:before="100" w:beforeAutospacing="1" w:after="100" w:afterAutospacing="1"/>
      <w:widowControl/>
    </w:pPr>
    <w:rPr>
      <w:rFonts w:ascii="宋体" w:hAnsi="宋体" w:cs="宋体"/>
      <w:sz w:val="24"/>
    </w:rPr>
  </w:style>
  <w:style w:type="paragraph" w:styleId="1096">
    <w:name w:val="正文首行缩进 2121"/>
    <w:basedOn w:val="1097"/>
    <w:next w:val="1096"/>
    <w:link w:val="1029"/>
    <w:qFormat/>
    <w:pPr>
      <w:ind w:left="420" w:firstLine="420"/>
      <w:tabs>
        <w:tab w:val="left" w:pos="180" w:leader="none"/>
      </w:tabs>
    </w:pPr>
    <w:rPr>
      <w:rFonts w:ascii="Times New Roman" w:hAnsi="Times New Roman"/>
    </w:rPr>
  </w:style>
  <w:style w:type="paragraph" w:styleId="1097">
    <w:name w:val="正文文本缩进111"/>
    <w:basedOn w:val="1029"/>
    <w:next w:val="1098"/>
    <w:link w:val="1029"/>
    <w:uiPriority w:val="99"/>
    <w:qFormat/>
    <w:pPr>
      <w:ind w:firstLine="480"/>
      <w:tabs>
        <w:tab w:val="left" w:pos="180" w:leader="none"/>
      </w:tabs>
    </w:pPr>
    <w:rPr>
      <w:rFonts w:ascii="Tahoma" w:hAnsi="Tahoma"/>
      <w:sz w:val="24"/>
    </w:rPr>
  </w:style>
  <w:style w:type="paragraph" w:styleId="1098">
    <w:name w:val="寄信人地址111"/>
    <w:basedOn w:val="1029"/>
    <w:next w:val="1098"/>
    <w:link w:val="1029"/>
    <w:qFormat/>
    <w:rPr>
      <w:rFonts w:ascii="Arial" w:hAnsi="Arial"/>
    </w:rPr>
  </w:style>
  <w:style w:type="paragraph" w:styleId="1099">
    <w:name w:val="彩色列表1"/>
    <w:basedOn w:val="1029"/>
    <w:next w:val="1099"/>
    <w:link w:val="1029"/>
    <w:qFormat/>
    <w:pPr>
      <w:ind w:firstLine="420"/>
    </w:pPr>
    <w:rPr>
      <w:rFonts w:ascii="Times New Roman" w:hAnsi="Times New Roman" w:eastAsia="宋体" w:cs="Times New Roman"/>
    </w:rPr>
  </w:style>
  <w:style w:type="paragraph" w:styleId="1100">
    <w:name w:val="003标题三"/>
    <w:basedOn w:val="1029"/>
    <w:next w:val="1100"/>
    <w:link w:val="1029"/>
    <w:pPr>
      <w:jc w:val="center"/>
      <w:spacing w:before="120" w:after="120" w:line="300" w:lineRule="auto"/>
      <w:outlineLvl w:val="2"/>
    </w:pPr>
    <w:rPr>
      <w:rFonts w:hint="eastAsia" w:ascii="仿宋" w:hAnsi="仿宋" w:eastAsia="仿宋" w:cs="仿宋"/>
      <w:b/>
      <w:color w:val="000000"/>
      <w:sz w:val="30"/>
      <w:szCs w:val="30"/>
    </w:rPr>
  </w:style>
  <w:style w:type="paragraph" w:styleId="1101">
    <w:name w:val="普通(网站)1"/>
    <w:basedOn w:val="1029"/>
    <w:next w:val="1101"/>
    <w:link w:val="1029"/>
    <w:uiPriority w:val="99"/>
    <w:qFormat/>
    <w:pPr>
      <w:jc w:val="left"/>
      <w:spacing w:beforeAutospacing="1" w:afterAutospacing="1"/>
    </w:pPr>
    <w:rPr>
      <w:rFonts w:cs="Times New Roman"/>
      <w:sz w:val="24"/>
    </w:rPr>
  </w:style>
  <w:style w:type="character" w:styleId="1102">
    <w:name w:val="强调1"/>
    <w:next w:val="1102"/>
    <w:link w:val="1029"/>
    <w:qFormat/>
    <w:rPr>
      <w:i/>
    </w:rPr>
  </w:style>
  <w:style w:type="paragraph" w:styleId="1103">
    <w:name w:val="正文首行缩进11"/>
    <w:basedOn w:val="1037"/>
    <w:next w:val="1029"/>
    <w:link w:val="1029"/>
    <w:qFormat/>
    <w:pPr>
      <w:ind w:firstLine="200"/>
      <w:spacing w:line="360" w:lineRule="auto"/>
    </w:pPr>
    <w:rPr>
      <w:rFonts w:ascii="仿宋_GB2312" w:eastAsia="仿宋_GB2312"/>
      <w:sz w:val="30"/>
      <w:szCs w:val="30"/>
    </w:rPr>
  </w:style>
  <w:style w:type="paragraph" w:styleId="1104">
    <w:name w:val="纯文本11"/>
    <w:basedOn w:val="1029"/>
    <w:next w:val="1104"/>
    <w:link w:val="1029"/>
    <w:qFormat/>
    <w:pPr>
      <w:spacing w:before="156" w:after="156" w:line="400" w:lineRule="exact"/>
    </w:pPr>
    <w:rPr>
      <w:rFonts w:ascii="宋体" w:hAnsi="Courier New"/>
      <w:sz w:val="24"/>
    </w:rPr>
  </w:style>
  <w:style w:type="paragraph" w:styleId="1105">
    <w:name w:val="标题 31111"/>
    <w:basedOn w:val="1029"/>
    <w:next w:val="1029"/>
    <w:link w:val="1029"/>
    <w:uiPriority w:val="9"/>
    <w:qFormat/>
    <w:pPr>
      <w:keepLines/>
      <w:keepNext/>
      <w:spacing w:before="320" w:after="200"/>
      <w:outlineLvl w:val="2"/>
    </w:pPr>
    <w:rPr>
      <w:rFonts w:ascii="Arial" w:hAnsi="Arial" w:eastAsia="Arial"/>
      <w:sz w:val="30"/>
      <w:szCs w:val="30"/>
    </w:rPr>
  </w:style>
  <w:style w:type="character" w:styleId="1106" w:default="1">
    <w:name w:val="Default Paragraph Font"/>
    <w:uiPriority w:val="1"/>
    <w:semiHidden/>
    <w:unhideWhenUsed/>
  </w:style>
  <w:style w:type="numbering" w:styleId="1107" w:default="1">
    <w:name w:val="No List"/>
    <w:uiPriority w:val="99"/>
    <w:semiHidden/>
    <w:unhideWhenUsed/>
  </w:style>
  <w:style w:type="table" w:styleId="11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3</cp:revision>
  <dcterms:created xsi:type="dcterms:W3CDTF">2024-03-08T16:57:00Z</dcterms:created>
  <dcterms:modified xsi:type="dcterms:W3CDTF">2026-08-06T01:51:02Z</dcterms:modified>
</cp:coreProperties>
</file>