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1"/>
        <w:ind w:left="0" w:firstLine="0"/>
        <w:jc w:val="center"/>
        <w:rPr>
          <w:rFonts w:hint="eastAsia" w:ascii="宋体" w:hAnsi="宋体" w:cs="宋体"/>
          <w:b/>
          <w:color w:val="auto"/>
          <w:spacing w:val="-20"/>
          <w:sz w:val="52"/>
          <w:szCs w:val="52"/>
          <w:highlight w:val="none"/>
        </w:rPr>
      </w:pPr>
      <w:r>
        <w:rPr>
          <w:rFonts w:hint="eastAsia" w:ascii="宋体" w:hAnsi="宋体" w:cs="宋体"/>
          <w:b/>
          <w:color w:val="auto"/>
          <w:spacing w:val="-20"/>
          <w:sz w:val="52"/>
          <w:szCs w:val="52"/>
          <w:highlight w:val="none"/>
        </w:rPr>
      </w:r>
      <w:r/>
    </w:p>
    <w:p>
      <w:pPr>
        <w:pStyle w:val="751"/>
        <w:ind w:left="0" w:firstLine="0"/>
        <w:jc w:val="center"/>
        <w:rPr>
          <w:color w:val="auto"/>
          <w:sz w:val="72"/>
          <w:szCs w:val="72"/>
          <w:highlight w:val="none"/>
        </w:rPr>
      </w:pPr>
      <w:r>
        <w:rPr>
          <w:rFonts w:hint="eastAsia" w:ascii="宋体" w:hAnsi="宋体" w:cs="宋体"/>
          <w:b/>
          <w:color w:val="auto"/>
          <w:spacing w:val="-20"/>
          <w:sz w:val="52"/>
          <w:szCs w:val="52"/>
          <w:highlight w:val="none"/>
        </w:rPr>
        <w:t xml:space="preserve">狮子坝隧道和红山路隧道养护项目</w:t>
      </w:r>
      <w:r/>
    </w:p>
    <w:p>
      <w:pPr>
        <w:pStyle w:val="727"/>
        <w:rPr>
          <w:color w:val="auto"/>
          <w:sz w:val="72"/>
          <w:szCs w:val="72"/>
          <w:highlight w:val="none"/>
        </w:rPr>
      </w:pPr>
      <w:r>
        <w:rPr>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t xml:space="preserve">招标文件</w:t>
      </w:r>
      <w:r/>
    </w:p>
    <w:p>
      <w:pPr>
        <w:jc w:val="center"/>
        <w:spacing w:line="360" w:lineRule="auto"/>
        <w:widowControl/>
        <w:rPr>
          <w:rFonts w:hint="eastAsia" w:ascii="Arial" w:hAnsi="宋体" w:eastAsia="宋体" w:cs="Arial"/>
          <w:b/>
          <w:color w:val="auto"/>
          <w:sz w:val="32"/>
          <w:szCs w:val="32"/>
          <w:highlight w:val="none"/>
          <w:lang w:eastAsia="zh-CN"/>
        </w:rPr>
      </w:pPr>
      <w:r>
        <w:rPr>
          <w:rFonts w:ascii="Arial" w:hAnsi="宋体" w:cs="Arial"/>
          <w:b/>
          <w:color w:val="auto"/>
          <w:sz w:val="32"/>
          <w:szCs w:val="32"/>
          <w:highlight w:val="none"/>
        </w:rPr>
        <w:t xml:space="preserve">项目编号：JSZC-320100-JTGS-G2026-0026</w:t>
      </w:r>
      <w:r/>
    </w:p>
    <w:p>
      <w:pPr>
        <w:pStyle w:val="904"/>
        <w:rPr>
          <w:color w:val="auto"/>
          <w:highlight w:val="none"/>
        </w:rPr>
      </w:pPr>
      <w:r>
        <w:rPr>
          <w:color w:val="auto"/>
          <w:highlight w:val="none"/>
        </w:rPr>
      </w:r>
      <w:r/>
    </w:p>
    <w:p>
      <w:pPr>
        <w:pStyle w:val="904"/>
        <w:rPr>
          <w:color w:val="auto"/>
          <w:highlight w:val="none"/>
        </w:rPr>
      </w:pPr>
      <w:r>
        <w:rPr>
          <w:color w:val="auto"/>
          <w:highlight w:val="none"/>
        </w:rPr>
      </w:r>
      <w:r/>
    </w:p>
    <w:p>
      <w:pPr>
        <w:pStyle w:val="904"/>
        <w:rPr>
          <w:color w:val="auto"/>
          <w:highlight w:val="none"/>
        </w:rPr>
      </w:pPr>
      <w:r>
        <w:rPr>
          <w:color w:val="auto"/>
          <w:highlight w:val="none"/>
        </w:rPr>
      </w:r>
      <w:r/>
    </w:p>
    <w:p>
      <w:pPr>
        <w:pStyle w:val="904"/>
        <w:rPr>
          <w:color w:val="auto"/>
          <w:highlight w:val="none"/>
        </w:rPr>
      </w:pPr>
      <w:r>
        <w:rPr>
          <w:color w:val="auto"/>
          <w:highlight w:val="none"/>
        </w:rPr>
      </w:r>
      <w:r/>
    </w:p>
    <w:p>
      <w:pPr>
        <w:pStyle w:val="904"/>
        <w:ind w:firstLine="0"/>
        <w:rPr>
          <w:color w:val="auto"/>
          <w:highlight w:val="none"/>
        </w:rPr>
      </w:pPr>
      <w:r>
        <w:rPr>
          <w:color w:val="auto"/>
          <w:highlight w:val="none"/>
        </w:rPr>
      </w:r>
      <w:r/>
    </w:p>
    <w:p>
      <w:pPr>
        <w:pStyle w:val="904"/>
        <w:ind w:firstLine="0"/>
        <w:rPr>
          <w:color w:val="auto"/>
          <w:highlight w:val="none"/>
        </w:rPr>
      </w:pPr>
      <w:r>
        <w:rPr>
          <w:color w:val="auto"/>
          <w:highlight w:val="none"/>
        </w:rPr>
      </w:r>
      <w:r/>
    </w:p>
    <w:p>
      <w:pPr>
        <w:pStyle w:val="904"/>
        <w:ind w:firstLine="0"/>
        <w:rPr>
          <w:color w:val="auto"/>
          <w:highlight w:val="none"/>
        </w:rPr>
      </w:pPr>
      <w:r>
        <w:rPr>
          <w:color w:val="auto"/>
          <w:highlight w:val="none"/>
        </w:rPr>
      </w:r>
      <w:r/>
    </w:p>
    <w:p>
      <w:pPr>
        <w:pStyle w:val="904"/>
        <w:ind w:firstLine="0"/>
        <w:rPr>
          <w:color w:val="auto"/>
          <w:highlight w:val="none"/>
        </w:rPr>
      </w:pPr>
      <w:r>
        <w:rPr>
          <w:color w:val="auto"/>
          <w:highlight w:val="none"/>
        </w:rPr>
      </w:r>
      <w:r/>
    </w:p>
    <w:p>
      <w:pPr>
        <w:pStyle w:val="904"/>
        <w:ind w:firstLine="0"/>
        <w:rPr>
          <w:color w:val="auto"/>
          <w:highlight w:val="none"/>
        </w:rPr>
      </w:pPr>
      <w:r>
        <w:rPr>
          <w:color w:val="auto"/>
          <w:highlight w:val="none"/>
        </w:rPr>
      </w:r>
      <w:r/>
    </w:p>
    <w:p>
      <w:pPr>
        <w:pStyle w:val="904"/>
        <w:ind w:firstLine="0"/>
        <w:rPr>
          <w:color w:val="auto"/>
          <w:highlight w:val="none"/>
        </w:rPr>
      </w:pPr>
      <w:r>
        <w:rPr>
          <w:color w:val="auto"/>
          <w:highlight w:val="none"/>
        </w:rPr>
      </w:r>
      <w:r/>
    </w:p>
    <w:p>
      <w:pPr>
        <w:pStyle w:val="904"/>
        <w:ind w:firstLine="0"/>
        <w:rPr>
          <w:color w:val="auto"/>
          <w:highlight w:val="none"/>
        </w:rPr>
      </w:pPr>
      <w:r>
        <w:rPr>
          <w:color w:val="auto"/>
          <w:highlight w:val="none"/>
        </w:rPr>
      </w:r>
      <w:r/>
    </w:p>
    <w:p>
      <w:pPr>
        <w:spacing w:line="360" w:lineRule="auto"/>
        <w:shd w:val="clear" w:color="auto" w:fill="ffffff"/>
        <w:widowControl/>
        <w:rPr>
          <w:rFonts w:ascii="Arial" w:hAnsi="Arial" w:cs="Arial"/>
          <w:b/>
          <w:color w:val="auto"/>
          <w:sz w:val="36"/>
          <w:szCs w:val="36"/>
          <w:highlight w:val="none"/>
        </w:rPr>
      </w:pPr>
      <w:r>
        <w:rPr>
          <w:rFonts w:ascii="Arial" w:hAnsi="Arial" w:cs="Arial"/>
          <w:color w:val="auto"/>
          <w:sz w:val="32"/>
          <w:szCs w:val="32"/>
          <w:highlight w:val="none"/>
        </w:rPr>
        <w:t xml:space="preserve">  </w:t>
      </w:r>
      <w:r/>
    </w:p>
    <w:p>
      <w:pPr>
        <w:pStyle w:val="727"/>
        <w:rPr>
          <w:color w:val="auto"/>
          <w:highlight w:val="none"/>
        </w:rPr>
      </w:pPr>
      <w:r>
        <w:rPr>
          <w:color w:val="auto"/>
          <w:highlight w:val="none"/>
        </w:rPr>
      </w:r>
      <w:r/>
    </w:p>
    <w:p>
      <w:pPr>
        <w:pStyle w:val="727"/>
        <w:rPr>
          <w:color w:val="auto"/>
          <w:highlight w:val="none"/>
        </w:rPr>
      </w:pPr>
      <w:r>
        <w:rPr>
          <w:color w:val="auto"/>
          <w:highlight w:val="none"/>
        </w:rPr>
      </w:r>
      <w:r/>
    </w:p>
    <w:p>
      <w:pPr>
        <w:jc w:val="center"/>
        <w:spacing w:line="360" w:lineRule="auto"/>
        <w:shd w:val="clear" w:color="auto" w:fill="ffffff"/>
        <w:widowControl/>
        <w:rPr>
          <w:rFonts w:ascii="Arial" w:hAnsi="宋体" w:cs="Arial"/>
          <w:b/>
          <w:color w:val="auto"/>
          <w:sz w:val="36"/>
          <w:szCs w:val="36"/>
          <w:highlight w:val="none"/>
        </w:rPr>
      </w:pPr>
      <w:r>
        <w:rPr>
          <w:rFonts w:hint="eastAsia" w:ascii="Arial" w:hAnsi="宋体" w:cs="Arial"/>
          <w:b/>
          <w:color w:val="auto"/>
          <w:sz w:val="36"/>
          <w:szCs w:val="36"/>
          <w:highlight w:val="none"/>
        </w:rPr>
        <w:t xml:space="preserve">采购人:南京市城市道路管理中心</w:t>
      </w:r>
      <w:r/>
    </w:p>
    <w:p>
      <w:pPr>
        <w:jc w:val="center"/>
        <w:spacing w:line="360" w:lineRule="auto"/>
        <w:shd w:val="clear" w:color="auto" w:fill="ffffff"/>
        <w:widowControl/>
        <w:rPr>
          <w:rFonts w:ascii="Arial" w:hAnsi="Arial" w:cs="Arial"/>
          <w:b/>
          <w:color w:val="auto"/>
          <w:sz w:val="36"/>
          <w:szCs w:val="36"/>
          <w:highlight w:val="none"/>
        </w:rPr>
      </w:pPr>
      <w:r>
        <w:rPr>
          <w:rFonts w:hint="eastAsia" w:ascii="Arial" w:hAnsi="宋体" w:cs="Arial"/>
          <w:b/>
          <w:color w:val="auto"/>
          <w:sz w:val="36"/>
          <w:szCs w:val="36"/>
          <w:highlight w:val="none"/>
        </w:rPr>
        <w:t xml:space="preserve">202</w:t>
      </w:r>
      <w:r>
        <w:rPr>
          <w:rFonts w:hint="eastAsia" w:ascii="Arial" w:hAnsi="宋体" w:cs="Arial"/>
          <w:b/>
          <w:color w:val="auto"/>
          <w:sz w:val="36"/>
          <w:szCs w:val="36"/>
          <w:highlight w:val="none"/>
          <w:lang w:val="en-US" w:eastAsia="zh-CN"/>
        </w:rPr>
        <w:t xml:space="preserve">6</w:t>
      </w:r>
      <w:r>
        <w:rPr>
          <w:rFonts w:ascii="Arial" w:hAnsi="宋体" w:cs="Arial"/>
          <w:b/>
          <w:color w:val="auto"/>
          <w:sz w:val="36"/>
          <w:szCs w:val="36"/>
          <w:highlight w:val="none"/>
        </w:rPr>
        <w:t xml:space="preserve">年</w:t>
      </w:r>
      <w:r>
        <w:rPr>
          <w:rFonts w:hint="eastAsia" w:ascii="Arial" w:hAnsi="宋体" w:cs="Arial"/>
          <w:b/>
          <w:color w:val="auto"/>
          <w:sz w:val="36"/>
          <w:szCs w:val="36"/>
          <w:highlight w:val="none"/>
          <w:lang w:val="en-US" w:eastAsia="zh-CN"/>
        </w:rPr>
        <w:t xml:space="preserve">7</w:t>
      </w:r>
      <w:r>
        <w:rPr>
          <w:rFonts w:ascii="Arial" w:hAnsi="宋体" w:cs="Arial"/>
          <w:b/>
          <w:color w:val="auto"/>
          <w:sz w:val="36"/>
          <w:szCs w:val="36"/>
          <w:highlight w:val="none"/>
        </w:rPr>
        <w:t xml:space="preserve">月</w:t>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688"/>
        <w:rPr>
          <w:color w:val="auto"/>
          <w:highlight w:val="none"/>
        </w:rPr>
      </w:pPr>
      <w:r>
        <w:rPr>
          <w:color w:val="auto"/>
          <w:highlight w:val="none"/>
        </w:rPr>
      </w:r>
      <w:r/>
    </w:p>
    <w:p>
      <w:pPr>
        <w:rPr>
          <w:rFonts w:ascii="Arial" w:hAnsi="Arial" w:cs="Arial"/>
          <w:b/>
          <w:color w:val="auto"/>
          <w:sz w:val="36"/>
          <w:szCs w:val="36"/>
          <w:highlight w:val="none"/>
        </w:rPr>
      </w:pPr>
      <w:r>
        <w:rPr>
          <w:rFonts w:ascii="Arial" w:hAnsi="Arial" w:cs="Arial"/>
          <w:b/>
          <w:color w:val="auto"/>
          <w:sz w:val="36"/>
          <w:szCs w:val="36"/>
          <w:highlight w:val="none"/>
        </w:rPr>
      </w:r>
      <w:r/>
    </w:p>
    <w:p>
      <w:pPr>
        <w:pStyle w:val="688"/>
        <w:rPr>
          <w:color w:val="auto"/>
          <w:highlight w:val="none"/>
        </w:rPr>
      </w:pPr>
      <w:r>
        <w:rPr>
          <w:color w:val="auto"/>
          <w:highlight w:val="none"/>
        </w:rPr>
      </w:r>
      <w:r/>
    </w:p>
    <w:p>
      <w:pPr>
        <w:pStyle w:val="756"/>
        <w:ind w:firstLine="1807"/>
        <w:rPr>
          <w:rFonts w:hint="default" w:eastAsia="黑体"/>
          <w:color w:val="auto"/>
          <w:highlight w:val="none"/>
          <w:lang w:val="en-US" w:eastAsia="zh-CN"/>
        </w:rPr>
      </w:pPr>
      <w:r>
        <w:rPr>
          <w:rFonts w:hint="eastAsia" w:ascii="Arial" w:hAnsi="Arial" w:cs="Arial"/>
          <w:color w:val="auto"/>
          <w:sz w:val="36"/>
          <w:szCs w:val="36"/>
          <w:highlight w:val="none"/>
          <w:shd w:val="clear" w:color="auto" w:fill="ffffff"/>
          <w:lang w:val="en-US" w:eastAsia="zh-CN"/>
        </w:rPr>
        <w:t xml:space="preserve">第一章     招标公告</w:t>
      </w:r>
      <w:r/>
    </w:p>
    <w:p>
      <w:pPr>
        <w:ind w:firstLine="525"/>
        <w:jc w:val="left"/>
        <w:keepLines w:val="0"/>
        <w:keepNext w:val="0"/>
        <w:pageBreakBefore w:val="0"/>
        <w:spacing w:line="440" w:lineRule="exact"/>
        <w:rPr>
          <w:rFonts w:ascii="宋体" w:hAnsi="宋体"/>
          <w:b/>
          <w:bCs/>
          <w:color w:val="auto"/>
          <w:sz w:val="21"/>
          <w:szCs w:val="21"/>
          <w:highlight w:val="none"/>
        </w:rPr>
      </w:pPr>
      <w:r>
        <w:rPr>
          <w:rFonts w:ascii="宋体" w:hAnsi="宋体"/>
          <w:b/>
          <w:bCs/>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224155</wp:posOffset>
                </wp:positionV>
                <wp:extent cx="1828800" cy="1056640"/>
                <wp:effectExtent l="4445" t="4445" r="10795" b="5715"/>
                <wp:wrapSquare wrapText="bothSides"/>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05664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40"/>
                            </w:pPr>
                            <w:r>
                              <w:rPr>
                                <w:rFonts w:hint="eastAsia"/>
                              </w:rPr>
                              <w:t xml:space="preserve">项目概况 </w:t>
                            </w:r>
                            <w:r/>
                          </w:p>
                          <w:p>
                            <w:pPr>
                              <w:pStyle w:val="732"/>
                              <w:ind w:firstLine="452"/>
                              <w:spacing w:after="240" w:line="440" w:lineRule="exact"/>
                              <w:rPr>
                                <w:rFonts w:ascii="Arial" w:hAnsi="Arial" w:cs="Arial"/>
                                <w:spacing w:val="8"/>
                                <w:szCs w:val="21"/>
                                <w:highlight w:val="none"/>
                              </w:rPr>
                            </w:pPr>
                            <w:r>
                              <w:rPr>
                                <w:rFonts w:hint="eastAsia" w:ascii="宋体" w:hAnsi="宋体" w:eastAsia="宋体" w:cs="Times New Roman"/>
                                <w:sz w:val="21"/>
                                <w:szCs w:val="21"/>
                                <w:lang w:val="en-US" w:eastAsia="zh-CN"/>
                              </w:rPr>
                              <w:t xml:space="preserve">狮子坝隧道和红山路隧道养护项目</w:t>
                            </w:r>
                            <w:r>
                              <w:rPr>
                                <w:rFonts w:hint="eastAsia" w:ascii="Arial" w:hAnsi="Arial" w:cs="Arial"/>
                                <w:spacing w:val="8"/>
                                <w:szCs w:val="21"/>
                                <w:highlight w:val="none"/>
                              </w:rPr>
                              <w:t xml:space="preserve">的潜在投标人应在江苏政府采购网获取招标文件，并于202</w:t>
                            </w:r>
                            <w:r>
                              <w:rPr>
                                <w:rFonts w:hint="eastAsia" w:ascii="Arial" w:hAnsi="Arial" w:cs="Arial"/>
                                <w:spacing w:val="8"/>
                                <w:szCs w:val="21"/>
                                <w:highlight w:val="none"/>
                                <w:lang w:val="en-US" w:eastAsia="zh-CN"/>
                              </w:rPr>
                              <w:t xml:space="preserve">6</w:t>
                            </w:r>
                            <w:r>
                              <w:rPr>
                                <w:rFonts w:hint="eastAsia" w:ascii="Arial" w:hAnsi="Arial" w:cs="Arial"/>
                                <w:spacing w:val="8"/>
                                <w:szCs w:val="21"/>
                                <w:highlight w:val="none"/>
                              </w:rPr>
                              <w:t xml:space="preserve">年</w:t>
                            </w:r>
                            <w:r>
                              <w:rPr>
                                <w:rFonts w:hint="eastAsia" w:ascii="Arial" w:hAnsi="Arial" w:cs="Arial"/>
                                <w:spacing w:val="8"/>
                                <w:szCs w:val="21"/>
                                <w:highlight w:val="none"/>
                                <w:lang w:val="en-US" w:eastAsia="zh-CN"/>
                              </w:rPr>
                              <w:t xml:space="preserve">8</w:t>
                            </w:r>
                            <w:r>
                              <w:rPr>
                                <w:rFonts w:hint="eastAsia" w:ascii="Arial" w:hAnsi="Arial" w:cs="Arial"/>
                                <w:spacing w:val="8"/>
                                <w:szCs w:val="21"/>
                                <w:highlight w:val="none"/>
                              </w:rPr>
                              <w:t xml:space="preserve">月</w:t>
                            </w:r>
                            <w:r>
                              <w:rPr>
                                <w:rFonts w:hint="eastAsia" w:ascii="Arial" w:hAnsi="Arial" w:cs="Arial"/>
                                <w:spacing w:val="8"/>
                                <w:szCs w:val="21"/>
                                <w:highlight w:val="none"/>
                                <w:lang w:val="en-US" w:eastAsia="zh-CN"/>
                              </w:rPr>
                              <w:t xml:space="preserve">18</w:t>
                            </w:r>
                            <w:r>
                              <w:rPr>
                                <w:rFonts w:hint="eastAsia" w:ascii="Arial" w:hAnsi="Arial" w:cs="Arial"/>
                                <w:spacing w:val="8"/>
                                <w:szCs w:val="21"/>
                                <w:highlight w:val="none"/>
                              </w:rPr>
                              <w:t xml:space="preserve">日</w:t>
                            </w:r>
                            <w:r>
                              <w:rPr>
                                <w:rFonts w:hint="eastAsia" w:ascii="Arial" w:hAnsi="Arial" w:cs="Arial"/>
                                <w:spacing w:val="8"/>
                                <w:szCs w:val="21"/>
                                <w:highlight w:val="none"/>
                                <w:lang w:eastAsia="zh-CN"/>
                              </w:rPr>
                              <w:t xml:space="preserve">上</w:t>
                            </w:r>
                            <w:r>
                              <w:rPr>
                                <w:rFonts w:hint="eastAsia" w:ascii="Arial" w:hAnsi="Arial" w:cs="Arial"/>
                                <w:spacing w:val="8"/>
                                <w:szCs w:val="21"/>
                                <w:highlight w:val="none"/>
                              </w:rPr>
                              <w:t xml:space="preserve">午</w:t>
                            </w:r>
                            <w:r>
                              <w:rPr>
                                <w:rFonts w:hint="eastAsia" w:ascii="Arial" w:hAnsi="Arial" w:cs="Arial"/>
                                <w:spacing w:val="8"/>
                                <w:szCs w:val="21"/>
                                <w:highlight w:val="none"/>
                                <w:lang w:val="en-US" w:eastAsia="zh-CN"/>
                              </w:rPr>
                              <w:t xml:space="preserve">9</w:t>
                            </w:r>
                            <w:r>
                              <w:rPr>
                                <w:rFonts w:hint="eastAsia" w:ascii="Arial" w:hAnsi="Arial" w:cs="Arial"/>
                                <w:spacing w:val="8"/>
                                <w:szCs w:val="21"/>
                                <w:highlight w:val="none"/>
                              </w:rPr>
                              <w:t xml:space="preserve">点</w:t>
                            </w:r>
                            <w:r>
                              <w:rPr>
                                <w:rFonts w:hint="eastAsia" w:ascii="Arial" w:hAnsi="Arial" w:cs="Arial"/>
                                <w:spacing w:val="8"/>
                                <w:szCs w:val="21"/>
                                <w:highlight w:val="none"/>
                                <w:lang w:val="en-US" w:eastAsia="zh-CN"/>
                              </w:rPr>
                              <w:t xml:space="preserve">00</w:t>
                            </w:r>
                            <w:r>
                              <w:rPr>
                                <w:rFonts w:hint="eastAsia" w:ascii="Arial" w:hAnsi="Arial" w:cs="Arial"/>
                                <w:spacing w:val="8"/>
                                <w:szCs w:val="21"/>
                                <w:highlight w:val="none"/>
                              </w:rPr>
                              <w:t xml:space="preserve">分（北京时间）前递交投标文件。</w:t>
                            </w:r>
                            <w:r/>
                          </w:p>
                        </w:txbxContent>
                      </wps:txbx>
                      <wps:bodyPr wrap="none" upright="1"/>
                    </wps:wsp>
                  </a:graphicData>
                </a:graphic>
              </wp:anchor>
            </w:drawing>
          </mc:Choice>
          <mc:Fallback>
            <w:pict>
              <v:shape id="shape 0" o:spid="_x0000_s0" o:spt="202" type="#_x0000_t202" style="position:absolute;z-index:251659264;o:allowoverlap:true;o:allowincell:true;mso-position-horizontal-relative:text;margin-left:11.3pt;mso-position-horizontal:absolute;mso-position-vertical-relative:text;margin-top:17.6pt;mso-position-vertical:absolute;width:144.0pt;height:83.2pt;mso-wrap-distance-left:9.0pt;mso-wrap-distance-top:0.0pt;mso-wrap-distance-right:9.0pt;mso-wrap-distance-bottom:0.0pt;visibility:visible;" fillcolor="#FFFFFF" strokecolor="#000000" strokeweight="0.75pt">
                <v:stroke dashstyle="solid"/>
                <w10:wrap type="square"/>
                <v:textbox inset="0,0,0,0">
                  <w:txbxContent>
                    <w:p>
                      <w:pPr>
                        <w:ind w:firstLine="840"/>
                      </w:pPr>
                      <w:r>
                        <w:rPr>
                          <w:rFonts w:hint="eastAsia"/>
                        </w:rPr>
                        <w:t xml:space="preserve">项目概况 </w:t>
                      </w:r>
                      <w:r/>
                    </w:p>
                    <w:p>
                      <w:pPr>
                        <w:pStyle w:val="732"/>
                        <w:ind w:firstLine="452"/>
                        <w:spacing w:after="240" w:line="440" w:lineRule="exact"/>
                        <w:rPr>
                          <w:rFonts w:ascii="Arial" w:hAnsi="Arial" w:cs="Arial"/>
                          <w:spacing w:val="8"/>
                          <w:szCs w:val="21"/>
                          <w:highlight w:val="none"/>
                        </w:rPr>
                      </w:pPr>
                      <w:r>
                        <w:rPr>
                          <w:rFonts w:hint="eastAsia" w:ascii="宋体" w:hAnsi="宋体" w:eastAsia="宋体" w:cs="Times New Roman"/>
                          <w:sz w:val="21"/>
                          <w:szCs w:val="21"/>
                          <w:lang w:val="en-US" w:eastAsia="zh-CN"/>
                        </w:rPr>
                        <w:t xml:space="preserve">狮子坝隧道和红山路隧道养护项目</w:t>
                      </w:r>
                      <w:r>
                        <w:rPr>
                          <w:rFonts w:hint="eastAsia" w:ascii="Arial" w:hAnsi="Arial" w:cs="Arial"/>
                          <w:spacing w:val="8"/>
                          <w:szCs w:val="21"/>
                          <w:highlight w:val="none"/>
                        </w:rPr>
                        <w:t xml:space="preserve">的潜在投标人应在江苏政府采购网获取招标文件，并于202</w:t>
                      </w:r>
                      <w:r>
                        <w:rPr>
                          <w:rFonts w:hint="eastAsia" w:ascii="Arial" w:hAnsi="Arial" w:cs="Arial"/>
                          <w:spacing w:val="8"/>
                          <w:szCs w:val="21"/>
                          <w:highlight w:val="none"/>
                          <w:lang w:val="en-US" w:eastAsia="zh-CN"/>
                        </w:rPr>
                        <w:t xml:space="preserve">6</w:t>
                      </w:r>
                      <w:r>
                        <w:rPr>
                          <w:rFonts w:hint="eastAsia" w:ascii="Arial" w:hAnsi="Arial" w:cs="Arial"/>
                          <w:spacing w:val="8"/>
                          <w:szCs w:val="21"/>
                          <w:highlight w:val="none"/>
                        </w:rPr>
                        <w:t xml:space="preserve">年</w:t>
                      </w:r>
                      <w:r>
                        <w:rPr>
                          <w:rFonts w:hint="eastAsia" w:ascii="Arial" w:hAnsi="Arial" w:cs="Arial"/>
                          <w:spacing w:val="8"/>
                          <w:szCs w:val="21"/>
                          <w:highlight w:val="none"/>
                          <w:lang w:val="en-US" w:eastAsia="zh-CN"/>
                        </w:rPr>
                        <w:t xml:space="preserve">8</w:t>
                      </w:r>
                      <w:r>
                        <w:rPr>
                          <w:rFonts w:hint="eastAsia" w:ascii="Arial" w:hAnsi="Arial" w:cs="Arial"/>
                          <w:spacing w:val="8"/>
                          <w:szCs w:val="21"/>
                          <w:highlight w:val="none"/>
                        </w:rPr>
                        <w:t xml:space="preserve">月</w:t>
                      </w:r>
                      <w:r>
                        <w:rPr>
                          <w:rFonts w:hint="eastAsia" w:ascii="Arial" w:hAnsi="Arial" w:cs="Arial"/>
                          <w:spacing w:val="8"/>
                          <w:szCs w:val="21"/>
                          <w:highlight w:val="none"/>
                          <w:lang w:val="en-US" w:eastAsia="zh-CN"/>
                        </w:rPr>
                        <w:t xml:space="preserve">18</w:t>
                      </w:r>
                      <w:r>
                        <w:rPr>
                          <w:rFonts w:hint="eastAsia" w:ascii="Arial" w:hAnsi="Arial" w:cs="Arial"/>
                          <w:spacing w:val="8"/>
                          <w:szCs w:val="21"/>
                          <w:highlight w:val="none"/>
                        </w:rPr>
                        <w:t xml:space="preserve">日</w:t>
                      </w:r>
                      <w:r>
                        <w:rPr>
                          <w:rFonts w:hint="eastAsia" w:ascii="Arial" w:hAnsi="Arial" w:cs="Arial"/>
                          <w:spacing w:val="8"/>
                          <w:szCs w:val="21"/>
                          <w:highlight w:val="none"/>
                          <w:lang w:eastAsia="zh-CN"/>
                        </w:rPr>
                        <w:t xml:space="preserve">上</w:t>
                      </w:r>
                      <w:r>
                        <w:rPr>
                          <w:rFonts w:hint="eastAsia" w:ascii="Arial" w:hAnsi="Arial" w:cs="Arial"/>
                          <w:spacing w:val="8"/>
                          <w:szCs w:val="21"/>
                          <w:highlight w:val="none"/>
                        </w:rPr>
                        <w:t xml:space="preserve">午</w:t>
                      </w:r>
                      <w:r>
                        <w:rPr>
                          <w:rFonts w:hint="eastAsia" w:ascii="Arial" w:hAnsi="Arial" w:cs="Arial"/>
                          <w:spacing w:val="8"/>
                          <w:szCs w:val="21"/>
                          <w:highlight w:val="none"/>
                          <w:lang w:val="en-US" w:eastAsia="zh-CN"/>
                        </w:rPr>
                        <w:t xml:space="preserve">9</w:t>
                      </w:r>
                      <w:r>
                        <w:rPr>
                          <w:rFonts w:hint="eastAsia" w:ascii="Arial" w:hAnsi="Arial" w:cs="Arial"/>
                          <w:spacing w:val="8"/>
                          <w:szCs w:val="21"/>
                          <w:highlight w:val="none"/>
                        </w:rPr>
                        <w:t xml:space="preserve">点</w:t>
                      </w:r>
                      <w:r>
                        <w:rPr>
                          <w:rFonts w:hint="eastAsia" w:ascii="Arial" w:hAnsi="Arial" w:cs="Arial"/>
                          <w:spacing w:val="8"/>
                          <w:szCs w:val="21"/>
                          <w:highlight w:val="none"/>
                          <w:lang w:val="en-US" w:eastAsia="zh-CN"/>
                        </w:rPr>
                        <w:t xml:space="preserve">00</w:t>
                      </w:r>
                      <w:r>
                        <w:rPr>
                          <w:rFonts w:hint="eastAsia" w:ascii="Arial" w:hAnsi="Arial" w:cs="Arial"/>
                          <w:spacing w:val="8"/>
                          <w:szCs w:val="21"/>
                          <w:highlight w:val="none"/>
                        </w:rPr>
                        <w:t xml:space="preserve">分（北京时间）前递交投标文件。</w:t>
                      </w:r>
                      <w:r/>
                    </w:p>
                  </w:txbxContent>
                </v:textbox>
              </v:shape>
            </w:pict>
          </mc:Fallback>
        </mc:AlternateContent>
      </w:r>
      <w:r>
        <w:rPr>
          <w:rFonts w:ascii="宋体" w:hAnsi="宋体"/>
          <w:b/>
          <w:bCs/>
          <w:color w:val="auto"/>
          <w:sz w:val="21"/>
          <w:szCs w:val="21"/>
          <w:highlight w:val="none"/>
        </w:rPr>
        <w:t xml:space="preserve">一、项目基本情况</w:t>
      </w:r>
      <w:r/>
    </w:p>
    <w:p>
      <w:pPr>
        <w:jc w:val="left"/>
        <w:keepLines w:val="0"/>
        <w:keepNext w:val="0"/>
        <w:pageBreakBefore w:val="0"/>
        <w:spacing w:line="440" w:lineRule="exact"/>
        <w:widowControl/>
        <w:rPr>
          <w:rFonts w:hint="eastAsia" w:ascii="Arial" w:hAnsi="宋体" w:eastAsia="宋体" w:cs="Arial"/>
          <w:bCs/>
          <w:color w:val="auto"/>
          <w:highlight w:val="none"/>
          <w:lang w:val="en-US" w:eastAsia="zh-CN"/>
        </w:rPr>
      </w:pPr>
      <w:r>
        <w:rPr>
          <w:rFonts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 项目编号：</w:t>
      </w:r>
      <w:r>
        <w:rPr>
          <w:rFonts w:ascii="Segoe UI" w:hAnsi="Segoe UI" w:eastAsia="Segoe UI" w:cs="Segoe UI"/>
          <w:i w:val="0"/>
          <w:iCs w:val="0"/>
          <w:caps w:val="0"/>
          <w:spacing w:val="0"/>
          <w:sz w:val="21"/>
          <w:szCs w:val="21"/>
          <w:highlight w:val="none"/>
          <w:shd w:val="clear" w:color="auto" w:fill="ffffff"/>
        </w:rPr>
        <w:t xml:space="preserve">JSZC-320100-JTGS-G2026-0026</w:t>
      </w:r>
      <w:r>
        <w:rPr>
          <w:rFonts w:hint="eastAsia" w:ascii="Arial" w:hAnsi="Arial" w:eastAsia="宋体" w:cs="Arial"/>
          <w:color w:val="auto"/>
          <w:sz w:val="21"/>
          <w:highlight w:val="none"/>
          <w:lang w:val="en-US" w:eastAsia="zh-CN"/>
        </w:rPr>
        <w:t xml:space="preserve"> </w:t>
      </w:r>
      <w:r/>
    </w:p>
    <w:p>
      <w:pPr>
        <w:pStyle w:val="751"/>
        <w:ind w:left="0" w:firstLine="630"/>
        <w:keepLines w:val="0"/>
        <w:keepNext w:val="0"/>
        <w:pageBreakBefore w:val="0"/>
        <w:spacing w:line="440" w:lineRule="exac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项目名称：</w:t>
      </w:r>
      <w:r>
        <w:rPr>
          <w:rFonts w:hint="eastAsia" w:ascii="宋体" w:hAnsi="宋体" w:eastAsia="宋体" w:cs="Times New Roman"/>
          <w:color w:val="auto"/>
          <w:sz w:val="21"/>
          <w:szCs w:val="21"/>
          <w:highlight w:val="none"/>
          <w:lang w:val="en-US" w:eastAsia="zh-CN"/>
        </w:rPr>
        <w:t xml:space="preserve">狮子坝隧道和红山路隧道养护项目</w:t>
      </w:r>
      <w:r/>
    </w:p>
    <w:p>
      <w:pPr>
        <w:ind w:firstLine="525"/>
        <w:jc w:val="left"/>
        <w:keepLines w:val="0"/>
        <w:keepNext w:val="0"/>
        <w:pageBreakBefore w:val="0"/>
        <w:spacing w:line="440" w:lineRule="exac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预算金额：</w:t>
      </w:r>
      <w:r>
        <w:rPr>
          <w:rFonts w:hint="eastAsia" w:ascii="宋体" w:hAnsi="宋体" w:cs="Times New Roman"/>
          <w:color w:val="auto"/>
          <w:sz w:val="21"/>
          <w:szCs w:val="21"/>
          <w:highlight w:val="none"/>
          <w:lang w:val="en-US" w:eastAsia="zh-CN"/>
        </w:rPr>
        <w:t xml:space="preserve">2274</w:t>
      </w:r>
      <w:r>
        <w:rPr>
          <w:rFonts w:hint="eastAsia" w:ascii="宋体" w:hAnsi="宋体" w:eastAsia="宋体" w:cs="Times New Roman"/>
          <w:color w:val="auto"/>
          <w:sz w:val="21"/>
          <w:szCs w:val="21"/>
          <w:highlight w:val="none"/>
        </w:rPr>
        <w:t xml:space="preserve">万元</w:t>
      </w:r>
      <w:r/>
    </w:p>
    <w:p>
      <w:pPr>
        <w:ind w:firstLine="525"/>
        <w:jc w:val="left"/>
        <w:keepLines w:val="0"/>
        <w:keepNext w:val="0"/>
        <w:pageBreakBefore w:val="0"/>
        <w:spacing w:line="440" w:lineRule="exact"/>
        <w:rPr>
          <w:rFonts w:hint="default" w:ascii="宋体" w:hAnsi="宋体"/>
          <w:color w:val="auto"/>
          <w:sz w:val="21"/>
          <w:szCs w:val="21"/>
          <w:highlight w:val="none"/>
        </w:rPr>
      </w:pPr>
      <w:r>
        <w:rPr>
          <w:rFonts w:hint="eastAsia" w:ascii="宋体" w:hAnsi="宋体"/>
          <w:color w:val="auto"/>
          <w:sz w:val="21"/>
          <w:szCs w:val="21"/>
          <w:highlight w:val="none"/>
        </w:rPr>
        <w:t xml:space="preserve">最高限价：采购人设定</w:t>
      </w: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rPr>
        <w:t xml:space="preserve">年的最高限价为人民币</w:t>
      </w:r>
      <w:r>
        <w:rPr>
          <w:rFonts w:hint="eastAsia" w:ascii="宋体" w:hAnsi="宋体"/>
          <w:color w:val="auto"/>
          <w:sz w:val="21"/>
          <w:szCs w:val="21"/>
          <w:highlight w:val="none"/>
          <w:lang w:val="en-US" w:eastAsia="zh-CN"/>
        </w:rPr>
        <w:t xml:space="preserve">2274</w:t>
      </w:r>
      <w:r>
        <w:rPr>
          <w:rFonts w:hint="eastAsia" w:ascii="宋体" w:hAnsi="宋体"/>
          <w:color w:val="auto"/>
          <w:sz w:val="21"/>
          <w:szCs w:val="21"/>
          <w:highlight w:val="none"/>
        </w:rPr>
        <w:t xml:space="preserve">万元，</w:t>
      </w:r>
      <w:r>
        <w:rPr>
          <w:rFonts w:hint="eastAsia" w:ascii="宋体" w:hAnsi="宋体"/>
          <w:color w:val="auto"/>
          <w:sz w:val="21"/>
          <w:szCs w:val="21"/>
          <w:highlight w:val="none"/>
          <w:lang w:val="en-US" w:eastAsia="zh-CN"/>
        </w:rPr>
        <w:t xml:space="preserve">758</w:t>
      </w:r>
      <w:r>
        <w:rPr>
          <w:rFonts w:hint="eastAsia" w:ascii="宋体" w:hAnsi="宋体"/>
          <w:color w:val="auto"/>
          <w:sz w:val="21"/>
          <w:szCs w:val="21"/>
          <w:highlight w:val="none"/>
        </w:rPr>
        <w:t xml:space="preserve">万元/年，其中</w:t>
      </w:r>
      <w:r>
        <w:rPr>
          <w:rFonts w:hint="eastAsia" w:ascii="宋体" w:hAnsi="宋体"/>
          <w:color w:val="auto"/>
          <w:szCs w:val="21"/>
          <w:highlight w:val="none"/>
        </w:rPr>
        <w:t xml:space="preserve">其中狮子坝隧道</w:t>
      </w:r>
      <w:r>
        <w:rPr>
          <w:rFonts w:ascii="宋体" w:hAnsi="宋体"/>
          <w:color w:val="auto"/>
          <w:szCs w:val="21"/>
          <w:highlight w:val="none"/>
        </w:rPr>
        <w:t xml:space="preserve">175</w:t>
      </w:r>
      <w:r>
        <w:rPr>
          <w:rFonts w:hint="eastAsia" w:ascii="宋体" w:hAnsi="宋体"/>
          <w:color w:val="auto"/>
          <w:szCs w:val="21"/>
          <w:highlight w:val="none"/>
        </w:rPr>
        <w:t xml:space="preserve">万元/年，红山路隧道</w:t>
      </w:r>
      <w:r>
        <w:rPr>
          <w:rFonts w:ascii="宋体" w:hAnsi="宋体"/>
          <w:color w:val="auto"/>
          <w:szCs w:val="21"/>
          <w:highlight w:val="none"/>
        </w:rPr>
        <w:t xml:space="preserve">583</w:t>
      </w:r>
      <w:r>
        <w:rPr>
          <w:rFonts w:hint="eastAsia" w:ascii="宋体" w:hAnsi="宋体"/>
          <w:color w:val="auto"/>
          <w:szCs w:val="21"/>
          <w:highlight w:val="none"/>
        </w:rPr>
        <w:t xml:space="preserve">万元/年</w:t>
      </w:r>
      <w:r>
        <w:rPr>
          <w:rFonts w:hint="eastAsia" w:ascii="宋体" w:hAnsi="宋体"/>
          <w:color w:val="auto"/>
          <w:sz w:val="21"/>
          <w:szCs w:val="21"/>
          <w:highlight w:val="none"/>
        </w:rPr>
        <w:t xml:space="preserve">，服务期</w:t>
      </w: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rPr>
        <w:t xml:space="preserve">年。供应商超过最高限价</w:t>
      </w:r>
      <w:r>
        <w:rPr>
          <w:rFonts w:hint="eastAsia" w:ascii="宋体" w:hAnsi="宋体"/>
          <w:color w:val="auto"/>
          <w:sz w:val="21"/>
          <w:szCs w:val="21"/>
          <w:highlight w:val="none"/>
          <w:lang w:eastAsia="zh-CN"/>
        </w:rPr>
        <w:t xml:space="preserve">（单价及总价）</w:t>
      </w:r>
      <w:r>
        <w:rPr>
          <w:rFonts w:hint="eastAsia" w:ascii="宋体" w:hAnsi="宋体"/>
          <w:color w:val="auto"/>
          <w:sz w:val="21"/>
          <w:szCs w:val="21"/>
          <w:highlight w:val="none"/>
        </w:rPr>
        <w:t xml:space="preserve">的为无效报价，按照无效投标处理。</w:t>
      </w:r>
      <w:r/>
    </w:p>
    <w:p>
      <w:pPr>
        <w:ind w:firstLine="525"/>
        <w:jc w:val="left"/>
        <w:keepLines w:val="0"/>
        <w:keepNext w:val="0"/>
        <w:pageBreakBefore w:val="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需求：本项目养护范围为狮子坝隧道和红山路隧道土建设施、机电设施、附属设施及隧道安全保护区域，总面积约4.258万平方米，其中狮子坝隧道面积1.001万m2，红山路隧道面积3.257万m2。养护内容主要包括：依据相关规范和管理要求，开展日常巡查、定期检测、养护维修、应急处置（含安全事故、防汛、防台、防冻等）、节假日及重大活动保障、投诉处理、指令性任务、设施安全防护管理以及养护技术档案管理等工作，确保隧道设施运行安全、平稳、有序。</w:t>
      </w:r>
      <w:r/>
    </w:p>
    <w:p>
      <w:pPr>
        <w:ind w:firstLine="525"/>
        <w:jc w:val="left"/>
        <w:keepLines w:val="0"/>
        <w:keepNext w:val="0"/>
        <w:pageBreakBefore w:val="0"/>
        <w:spacing w:line="440" w:lineRule="exact"/>
        <w:rPr>
          <w:rFonts w:ascii="宋体" w:hAnsi="宋体"/>
          <w:color w:val="auto"/>
          <w:sz w:val="21"/>
          <w:szCs w:val="21"/>
          <w:highlight w:val="none"/>
        </w:rPr>
      </w:pPr>
      <w:r>
        <w:rPr>
          <w:rFonts w:ascii="宋体" w:hAnsi="宋体" w:eastAsia="宋体" w:cs="宋体"/>
          <w:color w:val="auto"/>
          <w:sz w:val="21"/>
          <w:highlight w:val="none"/>
        </w:rPr>
        <w:t xml:space="preserve">合同履行期限：自本项目合同签订之日起三年。</w:t>
      </w:r>
      <w:r/>
    </w:p>
    <w:p>
      <w:pPr>
        <w:ind w:firstLine="525"/>
        <w:jc w:val="left"/>
        <w:keepLines w:val="0"/>
        <w:keepNext w:val="0"/>
        <w:pageBreakBefore w:val="0"/>
        <w:spacing w:line="44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本项目（是/否）接受联合体投标：</w:t>
      </w:r>
      <w:r>
        <w:rPr>
          <w:rFonts w:hint="eastAsia" w:ascii="宋体" w:hAnsi="宋体"/>
          <w:color w:val="auto"/>
          <w:sz w:val="21"/>
          <w:szCs w:val="21"/>
          <w:highlight w:val="none"/>
          <w:lang w:val="en-US" w:eastAsia="zh-CN"/>
        </w:rPr>
        <w:t xml:space="preserve">否</w:t>
      </w:r>
      <w:r/>
    </w:p>
    <w:p>
      <w:pPr>
        <w:ind w:firstLine="422"/>
        <w:jc w:val="left"/>
        <w:keepLines w:val="0"/>
        <w:keepNext w:val="0"/>
        <w:pageBreakBefore w:val="0"/>
        <w:spacing w:line="440" w:lineRule="exact"/>
        <w:rPr>
          <w:rFonts w:ascii="宋体" w:hAnsi="宋体"/>
          <w:color w:val="auto"/>
          <w:sz w:val="21"/>
          <w:szCs w:val="21"/>
          <w:highlight w:val="none"/>
        </w:rPr>
      </w:pPr>
      <w:r>
        <w:rPr>
          <w:rFonts w:ascii="宋体" w:hAnsi="宋体"/>
          <w:b/>
          <w:bCs/>
          <w:color w:val="auto"/>
          <w:sz w:val="21"/>
          <w:szCs w:val="21"/>
          <w:highlight w:val="none"/>
        </w:rPr>
        <w:t xml:space="preserve">二、申请人的资格要求：</w:t>
      </w:r>
      <w:r/>
    </w:p>
    <w:p>
      <w:pPr>
        <w:ind w:firstLine="454"/>
        <w:jc w:val="left"/>
        <w:keepLines w:val="0"/>
        <w:keepNext w:val="0"/>
        <w:pageBreakBefore w:val="0"/>
        <w:spacing w:line="440" w:lineRule="exact"/>
        <w:rPr>
          <w:rFonts w:ascii="Arial" w:hAnsi="Arial" w:cs="Arial"/>
          <w:b/>
          <w:color w:val="auto"/>
          <w:spacing w:val="8"/>
          <w:sz w:val="21"/>
          <w:szCs w:val="21"/>
          <w:highlight w:val="none"/>
        </w:rPr>
      </w:pPr>
      <w:r>
        <w:rPr>
          <w:rFonts w:ascii="Arial" w:hAnsi="Arial" w:cs="Arial"/>
          <w:b/>
          <w:color w:val="auto"/>
          <w:spacing w:val="8"/>
          <w:sz w:val="21"/>
          <w:szCs w:val="21"/>
          <w:highlight w:val="none"/>
        </w:rPr>
        <w:t xml:space="preserve">2.1满足《中华人民共和国政府采购法》第二十二条规定；</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（1）具有独立承担民事责任的能力（提供法人或者其他组织的营业执照；投标人为自然人的，提供其身份证）；</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（2）具有良好的商业信誉和健全的财务会计制度（提供</w:t>
      </w:r>
      <w:r>
        <w:rPr>
          <w:rFonts w:hint="eastAsia" w:ascii="Arial" w:hAnsi="Arial" w:cs="Arial"/>
          <w:bCs/>
          <w:color w:val="auto"/>
          <w:sz w:val="21"/>
          <w:szCs w:val="21"/>
          <w:highlight w:val="none"/>
          <w:lang w:val="en-US" w:eastAsia="zh-CN"/>
        </w:rPr>
        <w:t xml:space="preserve">2024年度或</w:t>
      </w:r>
      <w:r>
        <w:rPr>
          <w:rFonts w:hint="eastAsia" w:ascii="Arial" w:hAnsi="Arial" w:cs="Arial"/>
          <w:bCs/>
          <w:color w:val="auto"/>
          <w:sz w:val="21"/>
          <w:szCs w:val="21"/>
          <w:highlight w:val="none"/>
        </w:rPr>
        <w:t xml:space="preserve">202</w:t>
      </w:r>
      <w:r>
        <w:rPr>
          <w:rFonts w:hint="eastAsia" w:ascii="Arial" w:hAnsi="Arial" w:cs="Arial"/>
          <w:bCs/>
          <w:color w:val="auto"/>
          <w:sz w:val="21"/>
          <w:szCs w:val="21"/>
          <w:highlight w:val="none"/>
          <w:lang w:val="en-US" w:eastAsia="zh-CN"/>
        </w:rPr>
        <w:t xml:space="preserve">5</w:t>
      </w:r>
      <w:r>
        <w:rPr>
          <w:rFonts w:hint="eastAsia" w:ascii="Arial" w:hAnsi="Arial" w:cs="Arial"/>
          <w:bCs/>
          <w:color w:val="auto"/>
          <w:sz w:val="21"/>
          <w:szCs w:val="21"/>
          <w:highlight w:val="none"/>
        </w:rPr>
        <w:t xml:space="preserve">年度经审计的财务报告，或投标截止时间前六个月内银行出具的资信证明，或财政部门认可的政府采购专业担保机构出具的投标担保函，或提供《南京市政府采购供应商信用记录表暨信用承诺书》）；</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（3）具有履行合同所必需的设备和专业技术能力（投标人根据履行采购项目合同需</w:t>
      </w:r>
      <w:r>
        <w:rPr>
          <w:rFonts w:hint="eastAsia" w:ascii="Arial" w:hAnsi="Arial" w:cs="Arial"/>
          <w:bCs/>
          <w:color w:val="auto"/>
          <w:sz w:val="21"/>
          <w:szCs w:val="21"/>
          <w:highlight w:val="none"/>
          <w:lang w:val="en-US" w:eastAsia="zh-CN"/>
        </w:rPr>
        <w:t xml:space="preserve">求</w:t>
      </w:r>
      <w:r>
        <w:rPr>
          <w:rFonts w:hint="eastAsia" w:ascii="Arial" w:hAnsi="Arial" w:cs="Arial"/>
          <w:bCs/>
          <w:color w:val="auto"/>
          <w:sz w:val="21"/>
          <w:szCs w:val="21"/>
          <w:highlight w:val="none"/>
        </w:rPr>
        <w:t xml:space="preserve">，提供履行合同所必需的设备和专业技术能力的证明材料，或提供《南京市政府采购供应商信用记录表暨信用承诺书》）；</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4）具有依法缴纳税收和社会保障资金的良好记录（提供参加本次政府采购活动前半年内至少一个月缴纳增值税或营业税或企业所得税的凭据并提供缴纳社会保险的凭据（专用收据或社会保险缴纳清单），或提供《南京市政府采购供应商信用记录表暨信用承诺书》）；</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5）参加政府采购活动前三年内，在经营活动中没有重大违法记录（提供参加本次政府采购活动前3年内在经营活动中没有重大违法记录的书面声明，或提供《南京市政府采购供应商信用记录表暨信用承诺书》）；</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（6）提供《南京市政府采购供应商信用记录表暨信用承诺书》。</w:t>
      </w:r>
      <w:r/>
    </w:p>
    <w:p>
      <w:pPr>
        <w:ind w:firstLine="424"/>
        <w:keepLines w:val="0"/>
        <w:keepNext w:val="0"/>
        <w:pageBreakBefore w:val="0"/>
        <w:spacing w:line="440" w:lineRule="exact"/>
        <w:rPr>
          <w:rFonts w:hint="default" w:ascii="Arial" w:hAnsi="Arial" w:eastAsia="宋体" w:cs="Arial"/>
          <w:bCs/>
          <w:color w:val="auto"/>
          <w:sz w:val="21"/>
          <w:szCs w:val="21"/>
          <w:highlight w:val="none"/>
          <w:lang w:val="en-US" w:eastAsia="zh-CN"/>
        </w:rPr>
      </w:pPr>
      <w:r>
        <w:rPr>
          <w:rFonts w:hint="eastAsia" w:ascii="Arial" w:hAnsi="Arial" w:cs="Arial"/>
          <w:bCs/>
          <w:color w:val="auto"/>
          <w:sz w:val="21"/>
          <w:szCs w:val="21"/>
          <w:highlight w:val="none"/>
          <w:lang w:eastAsia="zh-CN"/>
        </w:rPr>
        <w:t xml:space="preserve">（</w:t>
      </w:r>
      <w:r>
        <w:rPr>
          <w:rFonts w:hint="eastAsia" w:ascii="Arial" w:hAnsi="Arial" w:cs="Arial"/>
          <w:bCs/>
          <w:color w:val="auto"/>
          <w:sz w:val="21"/>
          <w:szCs w:val="21"/>
          <w:highlight w:val="none"/>
          <w:lang w:val="en-US" w:eastAsia="zh-CN"/>
        </w:rPr>
        <w:t xml:space="preserve">7）</w:t>
      </w:r>
      <w:r>
        <w:rPr>
          <w:rFonts w:ascii="Segoe UI" w:hAnsi="Segoe UI" w:eastAsia="Segoe UI" w:cs="Segoe UI"/>
          <w:i w:val="0"/>
          <w:iCs w:val="0"/>
          <w:caps w:val="0"/>
          <w:spacing w:val="0"/>
          <w:sz w:val="21"/>
          <w:szCs w:val="21"/>
          <w:shd w:val="clear" w:color="auto" w:fill="fafafa"/>
        </w:rPr>
        <w:t xml:space="preserve">未被“信用中国”网站列入失信被执行人、重大税收违法案件当事人名单、政府采购严重失信行为记录名单。</w:t>
      </w:r>
      <w:r/>
    </w:p>
    <w:p>
      <w:pPr>
        <w:ind w:firstLine="424"/>
        <w:keepLines w:val="0"/>
        <w:keepNext w:val="0"/>
        <w:pageBreakBefore w:val="0"/>
        <w:spacing w:line="440" w:lineRule="exact"/>
        <w:rPr>
          <w:rFonts w:ascii="Arial" w:hAnsi="Arial" w:cs="Arial"/>
          <w:bCs/>
          <w:color w:val="auto"/>
          <w:sz w:val="21"/>
          <w:szCs w:val="21"/>
          <w:highlight w:val="none"/>
        </w:rPr>
      </w:pPr>
      <w:r>
        <w:rPr>
          <w:rFonts w:hint="eastAsia" w:ascii="Arial" w:hAnsi="Arial" w:cs="Arial"/>
          <w:bCs/>
          <w:color w:val="auto"/>
          <w:sz w:val="21"/>
          <w:szCs w:val="21"/>
          <w:highlight w:val="none"/>
        </w:rPr>
        <w:t xml:space="preserve">注：第（</w:t>
      </w:r>
      <w:r>
        <w:rPr>
          <w:rFonts w:hint="eastAsia" w:ascii="Arial" w:hAnsi="Arial" w:cs="Arial"/>
          <w:bCs/>
          <w:color w:val="auto"/>
          <w:sz w:val="21"/>
          <w:szCs w:val="21"/>
          <w:highlight w:val="none"/>
          <w:lang w:val="en-US" w:eastAsia="zh-CN"/>
        </w:rPr>
        <w:t xml:space="preserve">5</w:t>
      </w:r>
      <w:r>
        <w:rPr>
          <w:rFonts w:hint="eastAsia" w:ascii="Arial" w:hAnsi="Arial" w:cs="Arial"/>
          <w:bCs/>
          <w:color w:val="auto"/>
          <w:sz w:val="21"/>
          <w:szCs w:val="21"/>
          <w:highlight w:val="none"/>
        </w:rPr>
        <w:t xml:space="preserve">）条所称重大违法记录，是指供应商因违法经营受到刑事处罚或者责令停产停业、吊销许可证或者执照、较大数额罚款等行政处罚。 </w:t>
      </w:r>
      <w:r/>
    </w:p>
    <w:p>
      <w:pPr>
        <w:ind w:firstLine="454"/>
        <w:jc w:val="left"/>
        <w:keepLines w:val="0"/>
        <w:keepNext w:val="0"/>
        <w:pageBreakBefore w:val="0"/>
        <w:spacing w:line="440" w:lineRule="exact"/>
        <w:rPr>
          <w:rFonts w:ascii="Arial" w:hAnsi="Arial" w:cs="Arial"/>
          <w:b/>
          <w:color w:val="auto"/>
          <w:spacing w:val="8"/>
          <w:sz w:val="21"/>
          <w:szCs w:val="21"/>
          <w:highlight w:val="none"/>
        </w:rPr>
      </w:pPr>
      <w:r>
        <w:rPr>
          <w:rFonts w:ascii="Arial" w:hAnsi="Arial" w:cs="Arial"/>
          <w:b/>
          <w:color w:val="auto"/>
          <w:spacing w:val="8"/>
          <w:sz w:val="21"/>
          <w:szCs w:val="21"/>
          <w:highlight w:val="none"/>
        </w:rPr>
        <w:t xml:space="preserve">2.2落实政府采购政策需满足的资格要求：</w:t>
      </w:r>
      <w:r>
        <w:rPr>
          <w:rFonts w:hint="eastAsia" w:ascii="Arial" w:hAnsi="Arial" w:cs="Arial"/>
          <w:b/>
          <w:color w:val="auto"/>
          <w:spacing w:val="8"/>
          <w:sz w:val="21"/>
          <w:szCs w:val="21"/>
          <w:highlight w:val="none"/>
        </w:rPr>
        <w:t xml:space="preserve">无。</w:t>
      </w:r>
      <w:r/>
    </w:p>
    <w:p>
      <w:pPr>
        <w:ind w:firstLine="454"/>
        <w:keepLines w:val="0"/>
        <w:keepNext w:val="0"/>
        <w:pageBreakBefore w:val="0"/>
        <w:spacing w:line="440" w:lineRule="exact"/>
        <w:widowControl/>
        <w:rPr>
          <w:rFonts w:ascii="Arial" w:hAnsi="Arial" w:cs="Arial"/>
          <w:color w:val="auto"/>
          <w:spacing w:val="8"/>
          <w:sz w:val="21"/>
          <w:szCs w:val="21"/>
          <w:highlight w:val="none"/>
        </w:rPr>
      </w:pPr>
      <w:r>
        <w:rPr>
          <w:rFonts w:ascii="Arial" w:hAnsi="Arial" w:cs="Arial"/>
          <w:b/>
          <w:bCs/>
          <w:color w:val="auto"/>
          <w:spacing w:val="8"/>
          <w:sz w:val="21"/>
          <w:szCs w:val="21"/>
          <w:highlight w:val="none"/>
        </w:rPr>
        <w:t xml:space="preserve">2.3采购人根据采购项目的特殊要求规定的特定条件</w:t>
      </w:r>
      <w:r>
        <w:rPr>
          <w:rFonts w:hint="eastAsia" w:ascii="Arial" w:hAnsi="Arial" w:cs="Arial"/>
          <w:b/>
          <w:bCs/>
          <w:color w:val="auto"/>
          <w:spacing w:val="8"/>
          <w:sz w:val="21"/>
          <w:szCs w:val="21"/>
          <w:highlight w:val="none"/>
        </w:rPr>
        <w:t xml:space="preserve">:</w:t>
      </w:r>
      <w:r>
        <w:rPr>
          <w:rFonts w:hint="eastAsia" w:ascii="Arial" w:hAnsi="Arial" w:cs="Arial"/>
          <w:b/>
          <w:color w:val="auto"/>
          <w:spacing w:val="8"/>
          <w:sz w:val="21"/>
          <w:szCs w:val="21"/>
          <w:highlight w:val="none"/>
        </w:rPr>
        <w:t xml:space="preserve">无</w:t>
      </w:r>
      <w:r>
        <w:rPr>
          <w:rFonts w:hint="eastAsia" w:ascii="Arial" w:hAnsi="Arial" w:cs="Arial"/>
          <w:color w:val="auto"/>
          <w:spacing w:val="8"/>
          <w:sz w:val="21"/>
          <w:szCs w:val="21"/>
          <w:highlight w:val="none"/>
        </w:rPr>
        <w:t xml:space="preserve">。</w:t>
      </w:r>
      <w:r/>
    </w:p>
    <w:p>
      <w:pPr>
        <w:ind w:firstLine="378"/>
        <w:keepLines w:val="0"/>
        <w:keepNext w:val="0"/>
        <w:pageBreakBefore w:val="0"/>
        <w:spacing w:line="440" w:lineRule="exact"/>
        <w:widowControl/>
        <w:rPr>
          <w:rFonts w:ascii="Arial" w:hAnsi="Arial" w:cs="Arial"/>
          <w:b/>
          <w:color w:val="auto"/>
          <w:spacing w:val="8"/>
          <w:sz w:val="21"/>
          <w:szCs w:val="21"/>
          <w:highlight w:val="none"/>
        </w:rPr>
      </w:pPr>
      <w:r>
        <w:rPr>
          <w:rFonts w:ascii="Arial" w:hAnsi="Arial" w:cs="Arial"/>
          <w:b/>
          <w:color w:val="auto"/>
          <w:spacing w:val="8"/>
          <w:sz w:val="21"/>
          <w:szCs w:val="21"/>
          <w:highlight w:val="none"/>
        </w:rPr>
        <w:t xml:space="preserve">三、获取招标文件</w:t>
      </w:r>
      <w:r/>
    </w:p>
    <w:p>
      <w:pPr>
        <w:ind w:firstLine="360"/>
        <w:keepLines w:val="0"/>
        <w:keepNext w:val="0"/>
        <w:pageBreakBefore w:val="0"/>
        <w:spacing w:line="44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时间：自招标文件公告发布之日起。</w:t>
      </w:r>
      <w:r/>
    </w:p>
    <w:p>
      <w:pPr>
        <w:ind w:firstLine="360"/>
        <w:keepLines w:val="0"/>
        <w:keepNext w:val="0"/>
        <w:pageBreakBefore w:val="0"/>
        <w:spacing w:line="44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地点：江苏政府采购网 </w:t>
      </w:r>
      <w:r/>
    </w:p>
    <w:p>
      <w:pPr>
        <w:ind w:firstLine="360"/>
        <w:keepLines w:val="0"/>
        <w:keepNext w:val="0"/>
        <w:pageBreakBefore w:val="0"/>
        <w:spacing w:line="44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方式：网站下载 </w:t>
      </w:r>
      <w:r/>
    </w:p>
    <w:p>
      <w:pPr>
        <w:ind w:firstLine="360"/>
        <w:keepLines w:val="0"/>
        <w:keepNext w:val="0"/>
        <w:pageBreakBefore w:val="0"/>
        <w:spacing w:line="440" w:lineRule="exact"/>
        <w:widowControl/>
        <w:rPr>
          <w:rFonts w:ascii="Arial" w:hAnsi="Arial" w:cs="Arial"/>
          <w:color w:val="auto"/>
          <w:spacing w:val="8"/>
          <w:sz w:val="21"/>
          <w:szCs w:val="21"/>
          <w:highlight w:val="none"/>
        </w:rPr>
      </w:pPr>
      <w:r>
        <w:rPr>
          <w:rFonts w:hint="eastAsia" w:ascii="宋体" w:hAnsi="宋体" w:cs="宋体"/>
          <w:color w:val="auto"/>
          <w:sz w:val="21"/>
          <w:szCs w:val="21"/>
          <w:highlight w:val="none"/>
        </w:rPr>
        <w:t xml:space="preserve">售价：0.00元</w:t>
      </w:r>
      <w:r/>
    </w:p>
    <w:p>
      <w:pPr>
        <w:ind w:firstLine="482"/>
        <w:jc w:val="left"/>
        <w:keepLines w:val="0"/>
        <w:keepNext w:val="0"/>
        <w:pageBreakBefore w:val="0"/>
        <w:spacing w:line="440" w:lineRule="exact"/>
        <w:widowControl/>
        <w:rPr>
          <w:rFonts w:ascii="宋体" w:hAnsi="宋体"/>
          <w:b/>
          <w:color w:val="auto"/>
          <w:sz w:val="21"/>
          <w:szCs w:val="21"/>
          <w:highlight w:val="none"/>
        </w:rPr>
      </w:pPr>
      <w:r>
        <w:rPr>
          <w:rFonts w:hint="eastAsia" w:ascii="宋体" w:hAnsi="宋体"/>
          <w:b/>
          <w:color w:val="auto"/>
          <w:sz w:val="21"/>
          <w:szCs w:val="21"/>
          <w:highlight w:val="none"/>
        </w:rPr>
        <w:t xml:space="preserve">四、提交投标文件截止时间、开标时间和地点</w:t>
      </w:r>
      <w:r/>
    </w:p>
    <w:p>
      <w:pPr>
        <w:ind w:firstLine="480"/>
        <w:jc w:val="left"/>
        <w:keepLines w:val="0"/>
        <w:keepNext w:val="0"/>
        <w:pageBreakBefore w:val="0"/>
        <w:spacing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18</w:t>
      </w:r>
      <w:r>
        <w:rPr>
          <w:rFonts w:hint="eastAsia" w:ascii="宋体" w:hAnsi="宋体"/>
          <w:color w:val="auto"/>
          <w:sz w:val="21"/>
          <w:szCs w:val="21"/>
          <w:highlight w:val="none"/>
        </w:rPr>
        <w:t xml:space="preserve">日</w:t>
      </w:r>
      <w:r>
        <w:rPr>
          <w:rFonts w:hint="eastAsia" w:ascii="宋体" w:hAnsi="宋体"/>
          <w:color w:val="auto"/>
          <w:sz w:val="21"/>
          <w:szCs w:val="21"/>
          <w:highlight w:val="none"/>
          <w:lang w:eastAsia="zh-CN"/>
        </w:rPr>
        <w:t xml:space="preserve">上</w:t>
      </w:r>
      <w:r>
        <w:rPr>
          <w:rFonts w:hint="eastAsia" w:ascii="宋体" w:hAnsi="宋体"/>
          <w:color w:val="auto"/>
          <w:sz w:val="21"/>
          <w:szCs w:val="21"/>
          <w:highlight w:val="none"/>
        </w:rPr>
        <w:t xml:space="preserve">午</w:t>
      </w:r>
      <w:r>
        <w:rPr>
          <w:rFonts w:hint="eastAsia" w:ascii="宋体" w:hAnsi="宋体"/>
          <w:color w:val="auto"/>
          <w:sz w:val="21"/>
          <w:szCs w:val="21"/>
          <w:highlight w:val="none"/>
          <w:lang w:val="en-US" w:eastAsia="zh-CN"/>
        </w:rPr>
        <w:t xml:space="preserve">9：00</w:t>
      </w:r>
      <w:r>
        <w:rPr>
          <w:rFonts w:hint="eastAsia" w:ascii="宋体" w:hAnsi="宋体"/>
          <w:color w:val="auto"/>
          <w:sz w:val="21"/>
          <w:szCs w:val="21"/>
          <w:highlight w:val="none"/>
        </w:rPr>
        <w:t xml:space="preserve">（北京时间）</w:t>
      </w:r>
      <w:r/>
    </w:p>
    <w:p>
      <w:pPr>
        <w:ind w:firstLine="480"/>
        <w:jc w:val="left"/>
        <w:keepLines w:val="0"/>
        <w:keepNext w:val="0"/>
        <w:pageBreakBefore w:val="0"/>
        <w:spacing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地点：“苏采云”系统（网址：http://jszfcg.jsczt.cn/）“开标大厅”</w:t>
      </w:r>
      <w:r/>
    </w:p>
    <w:p>
      <w:pPr>
        <w:ind w:firstLine="482"/>
        <w:jc w:val="left"/>
        <w:keepLines w:val="0"/>
        <w:keepNext w:val="0"/>
        <w:pageBreakBefore w:val="0"/>
        <w:spacing w:line="440" w:lineRule="exact"/>
        <w:widowControl/>
        <w:rPr>
          <w:rFonts w:ascii="宋体" w:hAnsi="宋体"/>
          <w:b/>
          <w:color w:val="auto"/>
          <w:sz w:val="21"/>
          <w:szCs w:val="21"/>
          <w:highlight w:val="none"/>
        </w:rPr>
      </w:pPr>
      <w:r>
        <w:rPr>
          <w:rFonts w:hint="eastAsia" w:ascii="宋体" w:hAnsi="宋体"/>
          <w:b/>
          <w:color w:val="auto"/>
          <w:sz w:val="21"/>
          <w:szCs w:val="21"/>
          <w:highlight w:val="none"/>
        </w:rPr>
        <w:t xml:space="preserve">五、公告期限</w:t>
      </w:r>
      <w:r/>
    </w:p>
    <w:p>
      <w:pPr>
        <w:ind w:firstLine="480"/>
        <w:jc w:val="left"/>
        <w:keepLines w:val="0"/>
        <w:keepNext w:val="0"/>
        <w:pageBreakBefore w:val="0"/>
        <w:spacing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自本公告发布之日起5个工作日。</w:t>
      </w:r>
      <w:r/>
    </w:p>
    <w:p>
      <w:pPr>
        <w:ind w:firstLine="482"/>
        <w:jc w:val="left"/>
        <w:keepLines w:val="0"/>
        <w:keepNext w:val="0"/>
        <w:pageBreakBefore w:val="0"/>
        <w:spacing w:line="440" w:lineRule="exact"/>
        <w:widowControl/>
        <w:rPr>
          <w:rFonts w:ascii="宋体" w:hAnsi="宋体"/>
          <w:b/>
          <w:color w:val="auto"/>
          <w:sz w:val="21"/>
          <w:szCs w:val="21"/>
          <w:highlight w:val="none"/>
        </w:rPr>
      </w:pPr>
      <w:r>
        <w:rPr>
          <w:rFonts w:hint="eastAsia" w:ascii="宋体" w:hAnsi="宋体"/>
          <w:b/>
          <w:color w:val="auto"/>
          <w:sz w:val="21"/>
          <w:szCs w:val="21"/>
          <w:highlight w:val="none"/>
        </w:rPr>
        <w:t xml:space="preserve">六、其他补充事宜</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lang w:val="en-US" w:eastAsia="zh-CN"/>
        </w:rPr>
        <w:t xml:space="preserve">1</w:t>
      </w:r>
      <w:r>
        <w:rPr>
          <w:rFonts w:hint="eastAsia" w:ascii="Arial" w:hAnsi="Arial" w:cs="Arial"/>
          <w:bCs/>
          <w:color w:val="auto"/>
          <w:sz w:val="21"/>
          <w:szCs w:val="21"/>
          <w:highlight w:val="none"/>
        </w:rPr>
        <w:t xml:space="preserve">．本项目不统一组织现场考察及标前答疑会。</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lang w:val="en-US" w:eastAsia="zh-CN"/>
        </w:rPr>
        <w:t xml:space="preserve">2</w:t>
      </w:r>
      <w:r>
        <w:rPr>
          <w:rFonts w:hint="eastAsia" w:ascii="Arial" w:hAnsi="Arial" w:cs="Arial"/>
          <w:bCs/>
          <w:color w:val="auto"/>
          <w:sz w:val="21"/>
          <w:szCs w:val="21"/>
          <w:highlight w:val="none"/>
        </w:rPr>
        <w:t xml:space="preserve">．政府采购信用承诺</w:t>
      </w:r>
      <w:r/>
    </w:p>
    <w:p>
      <w:pPr>
        <w:ind w:firstLine="424"/>
        <w:keepLines w:val="0"/>
        <w:keepNext w:val="0"/>
        <w:pageBreakBefore w:val="0"/>
        <w:spacing w:line="440" w:lineRule="exact"/>
        <w:tabs>
          <w:tab w:val="left" w:pos="7647" w:leader="none"/>
        </w:tabs>
        <w:rPr>
          <w:rFonts w:hint="eastAsia" w:ascii="Arial" w:hAnsi="Arial" w:cs="Arial"/>
          <w:bCs/>
          <w:color w:val="auto"/>
          <w:sz w:val="21"/>
          <w:szCs w:val="21"/>
          <w:highlight w:val="none"/>
        </w:rPr>
      </w:pPr>
      <w:r>
        <w:rPr>
          <w:rFonts w:hint="eastAsia" w:ascii="Arial" w:hAnsi="Arial" w:cs="Arial"/>
          <w:bCs/>
          <w:color w:val="auto"/>
          <w:sz w:val="21"/>
          <w:szCs w:val="21"/>
          <w:highlight w:val="none"/>
          <w:lang w:val="en-US" w:eastAsia="zh-CN"/>
        </w:rPr>
        <w:t xml:space="preserve">2</w:t>
      </w:r>
      <w:r>
        <w:rPr>
          <w:rFonts w:hint="eastAsia" w:ascii="Arial" w:hAnsi="Arial" w:cs="Arial"/>
          <w:bCs/>
          <w:color w:val="auto"/>
          <w:sz w:val="21"/>
          <w:szCs w:val="21"/>
          <w:highlight w:val="none"/>
        </w:rPr>
        <w:t xml:space="preserve">.1 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w:t>
      </w:r>
      <w:r>
        <w:rPr>
          <w:rFonts w:hint="eastAsia" w:ascii="Arial" w:hAnsi="Arial" w:cs="Arial"/>
          <w:bCs/>
          <w:color w:val="auto"/>
          <w:sz w:val="21"/>
          <w:szCs w:val="21"/>
          <w:highlight w:val="none"/>
        </w:rPr>
        <w:t xml:space="preserve">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在政府采购资格审查环节，供应商只需提供书面《南京市政府采购供应商信用记录表暨信用承诺书》，即可替代以下证明材料：</w:t>
      </w:r>
      <w:r>
        <w:rPr>
          <w:color w:val="auto"/>
          <w:highlight w:val="none"/>
        </w:rPr>
        <w:tab/>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（1）符合国家相关规定的财务状况报告；</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（2）依法缴纳税收的证明材料；</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（3）依法缴纳社会保障资金的证明材料；</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（4）具备履行政府采购合同所必需的设备和专业技术能力的证明材料；</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（5）参加政府采购活动前三年内在经营活动中没有重大违法记录的证明材料；</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（6）未被列入失信被执行人、重大税收违法案件当事人名单（重大税收违法失信主体）、政府采购严重违法失信行为记录名单的证明材料。</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lang w:val="en-US" w:eastAsia="zh-CN"/>
        </w:rPr>
        <w:t xml:space="preserve">2</w:t>
      </w:r>
      <w:r>
        <w:rPr>
          <w:rFonts w:hint="eastAsia" w:ascii="Arial" w:hAnsi="Arial" w:cs="Arial"/>
          <w:bCs/>
          <w:color w:val="auto"/>
          <w:sz w:val="21"/>
          <w:szCs w:val="21"/>
          <w:highlight w:val="none"/>
        </w:rPr>
        <w:t xml:space="preserve">.2 供应商在中标（成交）后，应按采购文件要求，将上述由信用承诺书替代的证明材料提交采购人或采购代理机构核验。经核验无误后，由采购人或采购代理机构发出中标（成交）通知书。</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lang w:val="en-US" w:eastAsia="zh-CN"/>
        </w:rPr>
        <w:t xml:space="preserve">2</w:t>
      </w:r>
      <w:r>
        <w:rPr>
          <w:rFonts w:hint="eastAsia" w:ascii="Arial" w:hAnsi="Arial" w:cs="Arial"/>
          <w:bCs/>
          <w:color w:val="auto"/>
          <w:sz w:val="21"/>
          <w:szCs w:val="21"/>
          <w:highlight w:val="none"/>
        </w:rPr>
        <w:t xml:space="preserve">.3 供应商涉及以下情形的，不适用信用承诺：</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（1）供应商被列入严重失信主体名单；</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（2）被相关监管部门作出行政处罚且尚在处罚有效期内；</w:t>
      </w:r>
      <w:r/>
    </w:p>
    <w:p>
      <w:pPr>
        <w:ind w:left="0" w:right="0" w:firstLine="424"/>
        <w:jc w:val="both"/>
        <w:keepLines w:val="0"/>
        <w:keepNext w:val="0"/>
        <w:pageBreakBefore w:val="0"/>
        <w:spacing w:before="0" w:after="0" w:line="44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ascii="Arial" w:hAnsi="Arial" w:eastAsia="Arial" w:cs="Arial"/>
          <w:color w:val="auto"/>
          <w:sz w:val="21"/>
          <w:highlight w:val="none"/>
        </w:rPr>
        <w:t xml:space="preserve">3</w:t>
      </w:r>
      <w:r>
        <w:rPr>
          <w:rFonts w:ascii="宋体" w:hAnsi="宋体" w:eastAsia="宋体" w:cs="宋体"/>
          <w:color w:val="auto"/>
          <w:sz w:val="21"/>
          <w:highlight w:val="none"/>
        </w:rPr>
        <w:t xml:space="preserve">）在“信用中国”网站（</w:t>
      </w:r>
      <w:r>
        <w:rPr>
          <w:rFonts w:ascii="Arial" w:hAnsi="Arial" w:eastAsia="Arial" w:cs="Arial"/>
          <w:color w:val="auto"/>
          <w:sz w:val="21"/>
          <w:highlight w:val="none"/>
        </w:rPr>
        <w:t xml:space="preserve">www.creditchina.gov.cn</w:t>
      </w:r>
      <w:r>
        <w:rPr>
          <w:rFonts w:ascii="宋体" w:hAnsi="宋体" w:eastAsia="宋体" w:cs="宋体"/>
          <w:color w:val="auto"/>
          <w:sz w:val="21"/>
          <w:highlight w:val="none"/>
        </w:rPr>
        <w:t xml:space="preserve">）查询，被列入失信被执行人、重大税收违法案件当事人名单、政府采购严重失信行为记录名单及其他不符合《中华人民共和国政府采购法》第二十二条规定条件的信用记录。</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lang w:val="en-US" w:eastAsia="zh-CN"/>
        </w:rPr>
        <w:t xml:space="preserve">2</w:t>
      </w:r>
      <w:r>
        <w:rPr>
          <w:rFonts w:hint="eastAsia" w:ascii="Arial" w:hAnsi="Arial" w:cs="Arial"/>
          <w:bCs/>
          <w:color w:val="auto"/>
          <w:sz w:val="21"/>
          <w:szCs w:val="21"/>
          <w:highlight w:val="none"/>
        </w:rPr>
        <w:t xml:space="preserve">.4 供应商对信用承诺内容的真实性、合法性、有效性负责。如作出虚假信用承诺，视同为“提供虚假材料谋取中标、成交”的违法行为。根据《南京市政府采购供应商信用管理工作暂行办法》（宁财规〔2018〕10号），供应商参加本次政府采购活动时，在采购文件发布之日起至递交投标文件截止日前，应在线打印“南京市政府采购供应商信用记录表暨信用承诺书”，经法定代表人签名盖章后作为投标文件的组成部分。“南京市政府采购供应商信用记录表暨信用承诺书”是其参加本次政府采购活动的必备材料。</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lang w:val="en-US" w:eastAsia="zh-CN"/>
        </w:rPr>
        <w:t xml:space="preserve">3</w:t>
      </w:r>
      <w:r>
        <w:rPr>
          <w:rFonts w:hint="eastAsia" w:ascii="Arial" w:hAnsi="Arial" w:cs="Arial"/>
          <w:bCs/>
          <w:color w:val="auto"/>
          <w:sz w:val="21"/>
          <w:szCs w:val="21"/>
          <w:highlight w:val="none"/>
        </w:rPr>
        <w:t xml:space="preserve">．本次采购采用“政府采购管理交易系统（苏采云）”，供应商通过苏采云系统参与政府采购项目，需要办理江苏省政府采购数字证书及电子签章，具体详见苏采云系统登录页“新CA办理指南”。供应商按《苏采云系统供应商操作手册》（以下简称“操作手册”）进行注册，进行驱动、客户端下载，制作上传电子投标文件，并提前安装相应的控件。《操作手册》下载地址</w:t>
      </w:r>
      <w:r>
        <w:rPr>
          <w:rFonts w:hint="eastAsia" w:ascii="Arial" w:hAnsi="Arial" w:cs="Arial"/>
          <w:bCs/>
          <w:color w:val="auto"/>
          <w:sz w:val="21"/>
          <w:szCs w:val="21"/>
          <w:highlight w:val="none"/>
          <w:lang w:eastAsia="zh-CN"/>
        </w:rPr>
        <w:t xml:space="preserve">（</w:t>
      </w:r>
      <w:r>
        <w:rPr>
          <w:rFonts w:hint="eastAsia" w:ascii="Arial" w:hAnsi="Arial" w:cs="Arial"/>
          <w:bCs/>
          <w:color w:val="auto"/>
          <w:sz w:val="21"/>
          <w:szCs w:val="21"/>
          <w:highlight w:val="none"/>
        </w:rPr>
        <w:t xml:space="preserve">http://www.ccgp-jiangsu.gov.cn/jiangsu/zlxz/ee/ee3a4bc5a3454aa2b0d9312230633ce9.html）。“苏采云”南京地区客服热线025-83633744、025-83633743。</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请潜在供应商按照采购公告中的开标时间安排及时登录“苏采云”系统参与不见面开标，并在“苏采云”系统规定的时间内对投标文件进行解密。如潜在供应商未按上述要求操作，由此所产生的风险由供应商自行承担。</w:t>
      </w:r>
      <w:r/>
    </w:p>
    <w:p>
      <w:pPr>
        <w:ind w:firstLine="424"/>
        <w:keepLines w:val="0"/>
        <w:keepNext w:val="0"/>
        <w:pageBreakBefore w:val="0"/>
        <w:spacing w:line="440" w:lineRule="exact"/>
        <w:rPr>
          <w:rFonts w:ascii="宋体" w:hAnsi="宋体"/>
          <w:color w:val="auto"/>
          <w:sz w:val="21"/>
          <w:szCs w:val="21"/>
          <w:highlight w:val="none"/>
        </w:rPr>
      </w:pPr>
      <w:r>
        <w:rPr>
          <w:rFonts w:hint="eastAsia" w:ascii="Arial" w:hAnsi="Arial" w:cs="Arial"/>
          <w:bCs/>
          <w:color w:val="auto"/>
          <w:sz w:val="21"/>
          <w:szCs w:val="21"/>
          <w:highlight w:val="none"/>
          <w:lang w:val="en-US" w:eastAsia="zh-CN"/>
        </w:rPr>
        <w:t xml:space="preserve">4．</w:t>
      </w:r>
      <w:r>
        <w:rPr>
          <w:rFonts w:hint="eastAsia" w:ascii="Arial" w:hAnsi="Arial" w:cs="Arial"/>
          <w:bCs/>
          <w:color w:val="auto"/>
          <w:sz w:val="21"/>
          <w:szCs w:val="21"/>
          <w:highlight w:val="none"/>
        </w:rPr>
        <w:t xml:space="preserve">有关本次招标的事项若存在变动或修改，请及时关更正公告。</w:t>
      </w:r>
      <w:r/>
    </w:p>
    <w:p>
      <w:pPr>
        <w:ind w:firstLine="482"/>
        <w:jc w:val="left"/>
        <w:spacing w:line="300" w:lineRule="auto"/>
        <w:widowControl/>
        <w:rPr>
          <w:rFonts w:hint="eastAsia" w:ascii="Calibri" w:hAnsi="Calibri"/>
          <w:b/>
          <w:bCs/>
          <w:color w:val="auto"/>
          <w:sz w:val="21"/>
          <w:szCs w:val="21"/>
          <w:highlight w:val="none"/>
        </w:rPr>
      </w:pPr>
      <w:r>
        <w:rPr>
          <w:rFonts w:hint="eastAsia" w:ascii="Calibri" w:hAnsi="Calibri"/>
          <w:b/>
          <w:bCs/>
          <w:color w:val="auto"/>
          <w:sz w:val="21"/>
          <w:szCs w:val="21"/>
          <w:highlight w:val="none"/>
        </w:rPr>
      </w:r>
      <w:r/>
    </w:p>
    <w:p>
      <w:pPr>
        <w:ind w:firstLine="482"/>
        <w:jc w:val="left"/>
        <w:spacing w:line="300" w:lineRule="auto"/>
        <w:widowControl/>
        <w:rPr>
          <w:rFonts w:ascii="Calibri" w:hAnsi="Calibri"/>
          <w:b/>
          <w:bCs/>
          <w:color w:val="auto"/>
          <w:sz w:val="21"/>
          <w:szCs w:val="21"/>
          <w:highlight w:val="none"/>
        </w:rPr>
      </w:pPr>
      <w:r>
        <w:rPr>
          <w:rFonts w:hint="eastAsia" w:ascii="Calibri" w:hAnsi="Calibri"/>
          <w:b/>
          <w:bCs/>
          <w:color w:val="auto"/>
          <w:sz w:val="21"/>
          <w:szCs w:val="21"/>
          <w:highlight w:val="none"/>
        </w:rPr>
        <w:t xml:space="preserve">七、</w:t>
      </w:r>
      <w:bookmarkStart w:id="3" w:name="_Toc35393806"/>
      <w:r>
        <w:rPr>
          <w:rFonts w:hint="eastAsia" w:ascii="Calibri" w:hAnsi="Calibri"/>
          <w:b/>
          <w:bCs/>
          <w:color w:val="auto"/>
          <w:sz w:val="21"/>
          <w:szCs w:val="21"/>
          <w:highlight w:val="none"/>
        </w:rPr>
        <w:t xml:space="preserve">采购人</w:t>
      </w:r>
      <w:r>
        <w:rPr>
          <w:rFonts w:hint="eastAsia" w:ascii="宋体" w:hAnsi="宋体"/>
          <w:b/>
          <w:color w:val="auto"/>
          <w:sz w:val="21"/>
          <w:szCs w:val="21"/>
          <w:highlight w:val="none"/>
        </w:rPr>
        <w:t xml:space="preserve">信息</w:t>
      </w:r>
      <w:r/>
    </w:p>
    <w:p>
      <w:pPr>
        <w:ind w:firstLine="480"/>
        <w:jc w:val="left"/>
        <w:spacing w:line="300" w:lineRule="auto"/>
        <w:widowControl/>
        <w:rPr>
          <w:rFonts w:ascii="宋体" w:hAnsi="宋体"/>
          <w:color w:val="auto"/>
          <w:sz w:val="21"/>
          <w:szCs w:val="21"/>
          <w:highlight w:val="none"/>
        </w:rPr>
      </w:pPr>
      <w:r>
        <w:rPr>
          <w:rFonts w:hint="eastAsia" w:ascii="宋体" w:hAnsi="宋体"/>
          <w:color w:val="auto"/>
          <w:sz w:val="21"/>
          <w:szCs w:val="21"/>
          <w:highlight w:val="none"/>
        </w:rPr>
        <w:t xml:space="preserve">1.名   称：南京市城市道路管理中心</w:t>
      </w:r>
      <w:r/>
    </w:p>
    <w:p>
      <w:pPr>
        <w:ind w:firstLine="480"/>
        <w:jc w:val="left"/>
        <w:spacing w:line="300" w:lineRule="auto"/>
        <w:widowControl/>
        <w:rPr>
          <w:rFonts w:ascii="宋体" w:hAnsi="宋体"/>
          <w:color w:val="auto"/>
          <w:sz w:val="21"/>
          <w:szCs w:val="21"/>
          <w:highlight w:val="none"/>
        </w:rPr>
      </w:pPr>
      <w:r>
        <w:rPr>
          <w:rFonts w:hint="eastAsia" w:ascii="宋体" w:hAnsi="宋体"/>
          <w:color w:val="auto"/>
          <w:sz w:val="21"/>
          <w:szCs w:val="21"/>
          <w:highlight w:val="none"/>
        </w:rPr>
        <w:t xml:space="preserve">地   址：南京市太平门2-1号</w:t>
      </w:r>
      <w:r/>
    </w:p>
    <w:p>
      <w:pPr>
        <w:ind w:firstLine="480"/>
        <w:jc w:val="left"/>
        <w:spacing w:line="300" w:lineRule="auto"/>
        <w:widowControl/>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联系方式：</w:t>
      </w:r>
      <w:r>
        <w:rPr>
          <w:rFonts w:hint="eastAsia" w:ascii="宋体" w:hAnsi="宋体"/>
          <w:color w:val="auto"/>
          <w:sz w:val="21"/>
          <w:szCs w:val="21"/>
          <w:highlight w:val="none"/>
          <w:lang w:val="en-US" w:eastAsia="zh-CN"/>
        </w:rPr>
        <w:t xml:space="preserve">焦</w:t>
      </w:r>
      <w:r>
        <w:rPr>
          <w:rFonts w:hint="eastAsia" w:ascii="宋体" w:hAnsi="宋体"/>
          <w:color w:val="auto"/>
          <w:sz w:val="21"/>
          <w:szCs w:val="21"/>
          <w:highlight w:val="none"/>
        </w:rPr>
        <w:t xml:space="preserve">工、025-580665</w:t>
      </w:r>
      <w:r>
        <w:rPr>
          <w:rFonts w:hint="eastAsia" w:ascii="宋体" w:hAnsi="宋体"/>
          <w:color w:val="auto"/>
          <w:sz w:val="21"/>
          <w:szCs w:val="21"/>
          <w:highlight w:val="none"/>
          <w:lang w:val="en-US" w:eastAsia="zh-CN"/>
        </w:rPr>
        <w:t xml:space="preserve">03</w:t>
      </w:r>
      <w:r/>
    </w:p>
    <w:p>
      <w:pPr>
        <w:ind w:firstLine="480"/>
        <w:jc w:val="left"/>
        <w:spacing w:line="300" w:lineRule="auto"/>
        <w:widowControl/>
        <w:rPr>
          <w:rFonts w:ascii="宋体" w:hAnsi="宋体"/>
          <w:color w:val="auto"/>
          <w:sz w:val="21"/>
          <w:szCs w:val="21"/>
          <w:highlight w:val="none"/>
        </w:rPr>
      </w:pPr>
      <w:r>
        <w:rPr>
          <w:rFonts w:ascii="宋体" w:hAnsi="宋体"/>
          <w:color w:val="auto"/>
          <w:sz w:val="21"/>
          <w:szCs w:val="21"/>
          <w:highlight w:val="none"/>
        </w:rPr>
      </w:r>
      <w:r/>
    </w:p>
    <w:p>
      <w:pPr>
        <w:ind w:firstLine="480"/>
        <w:jc w:val="left"/>
        <w:spacing w:line="300" w:lineRule="auto"/>
        <w:widowControl/>
        <w:rPr>
          <w:rFonts w:ascii="宋体" w:hAnsi="宋体"/>
          <w:color w:val="auto"/>
          <w:sz w:val="21"/>
          <w:szCs w:val="21"/>
          <w:highlight w:val="none"/>
        </w:rPr>
      </w:pPr>
      <w:r>
        <w:rPr>
          <w:rFonts w:hint="eastAsia" w:ascii="宋体" w:hAnsi="宋体"/>
          <w:color w:val="auto"/>
          <w:sz w:val="21"/>
          <w:szCs w:val="21"/>
          <w:highlight w:val="none"/>
        </w:rPr>
        <w:t xml:space="preserve">2.采购代理机构信息</w:t>
      </w:r>
      <w:bookmarkEnd w:id="3"/>
      <w:r/>
      <w:r/>
    </w:p>
    <w:p>
      <w:pPr>
        <w:pStyle w:val="1053"/>
        <w:ind w:firstLine="420"/>
        <w:jc w:val="left"/>
        <w:keepLines w:val="0"/>
        <w:keepNext w:val="0"/>
        <w:pageBreakBefore w:val="0"/>
        <w:spacing w:line="44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名    称：江苏骏通建设项目管理咨询有限公司</w:t>
      </w:r>
      <w:r/>
    </w:p>
    <w:p>
      <w:pPr>
        <w:pStyle w:val="1053"/>
        <w:ind w:firstLine="420"/>
        <w:jc w:val="left"/>
        <w:keepLines w:val="0"/>
        <w:keepNext w:val="0"/>
        <w:pageBreakBefore w:val="0"/>
        <w:spacing w:line="44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地    址：南京市鼓楼区中山北路346号老学堂创意园58号楼9层</w:t>
      </w:r>
      <w:r/>
    </w:p>
    <w:p>
      <w:pPr>
        <w:pStyle w:val="1053"/>
        <w:ind w:firstLine="420"/>
        <w:jc w:val="left"/>
        <w:keepLines w:val="0"/>
        <w:keepNext w:val="0"/>
        <w:pageBreakBefore w:val="0"/>
        <w:spacing w:line="44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联系方式：张工、025-83605026</w:t>
      </w:r>
      <w:r/>
    </w:p>
    <w:p>
      <w:pPr>
        <w:jc w:val="left"/>
        <w:widowControl/>
        <w:rPr>
          <w:rFonts w:ascii="Arial" w:cs="Arial"/>
          <w:b/>
          <w:bCs/>
          <w:color w:val="auto"/>
          <w:sz w:val="32"/>
          <w:szCs w:val="44"/>
          <w:highlight w:val="none"/>
        </w:rPr>
      </w:pPr>
      <w:r>
        <w:rPr>
          <w:rFonts w:ascii="Arial" w:cs="Arial"/>
          <w:color w:val="auto"/>
          <w:highlight w:val="none"/>
        </w:rPr>
        <w:br w:type="page" w:clear="all"/>
      </w:r>
      <w:r/>
    </w:p>
    <w:p>
      <w:pPr>
        <w:pStyle w:val="729"/>
        <w:ind w:firstLine="440"/>
        <w:rPr>
          <w:color w:val="auto"/>
          <w:szCs w:val="36"/>
          <w:highlight w:val="none"/>
        </w:rPr>
      </w:pPr>
      <w:r/>
      <w:bookmarkStart w:id="4" w:name="_Toc22428"/>
      <w:r/>
      <w:bookmarkStart w:id="5" w:name="_Toc481057145"/>
      <w:r>
        <w:rPr>
          <w:rFonts w:hint="eastAsia"/>
          <w:color w:val="auto"/>
          <w:szCs w:val="36"/>
          <w:highlight w:val="none"/>
        </w:rPr>
        <w:t xml:space="preserve">第二章</w:t>
      </w:r>
      <w:r>
        <w:rPr>
          <w:rFonts w:hint="eastAsia"/>
          <w:color w:val="auto"/>
          <w:szCs w:val="36"/>
          <w:highlight w:val="none"/>
          <w:lang w:val="en-US" w:eastAsia="zh-CN"/>
        </w:rPr>
        <w:t xml:space="preserve">  投标人</w:t>
      </w:r>
      <w:r>
        <w:rPr>
          <w:rFonts w:hint="eastAsia"/>
          <w:color w:val="auto"/>
          <w:szCs w:val="36"/>
          <w:highlight w:val="none"/>
        </w:rPr>
        <w:t xml:space="preserve">须知</w:t>
      </w:r>
      <w:bookmarkEnd w:id="4"/>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一、总 则</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1、适用法律</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1.1本次招标，适用《中华人民共和国政府采购法》（以下简称政府采购法）《中华人民共和国政府采购法实施条例》（以下简称政府采购法实施条例）《政府采购货物和服务招标投标管理办法》（财政部令第</w:t>
      </w:r>
      <w:r>
        <w:rPr>
          <w:rFonts w:hint="eastAsia" w:ascii="宋体" w:hAnsi="宋体" w:cs="宋体"/>
          <w:color w:val="auto"/>
          <w:sz w:val="21"/>
          <w:szCs w:val="21"/>
          <w:highlight w:val="none"/>
          <w:lang w:val="en-US" w:eastAsia="zh-CN"/>
        </w:rPr>
        <w:t xml:space="preserve">87</w:t>
      </w:r>
      <w:r>
        <w:rPr>
          <w:rFonts w:hint="eastAsia" w:ascii="宋体" w:hAnsi="宋体" w:cs="宋体"/>
          <w:color w:val="auto"/>
          <w:sz w:val="21"/>
          <w:szCs w:val="21"/>
          <w:highlight w:val="none"/>
        </w:rPr>
        <w:t xml:space="preserve">号）等法律、行政法规、部门规章和规范性文件。</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2、定义</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2.1“采购人”是指依法进行政府采购的国家机关、事业单位、团体组织。</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2.2“投标人（供应商）”是指参加投标竞争，并符合招标文件规定资格条件的法人、其他组织或者自然人。</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2.3“采购代理机构”是指集中采购机构和集中采购机构以外的采购代理机构，集中采购机构以外的采购代理机构，是从事采购代理业务的社会中介机构。</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2.4“货物和服务”指本招标文件中所述</w:t>
      </w:r>
      <w:r>
        <w:rPr>
          <w:rFonts w:hint="eastAsia" w:ascii="宋体" w:hAnsi="宋体" w:cs="宋体"/>
          <w:bCs/>
          <w:color w:val="auto"/>
          <w:sz w:val="21"/>
          <w:szCs w:val="21"/>
          <w:highlight w:val="none"/>
        </w:rPr>
        <w:t xml:space="preserve">产品</w:t>
      </w:r>
      <w:r>
        <w:rPr>
          <w:rFonts w:hint="eastAsia" w:ascii="宋体" w:hAnsi="宋体" w:cs="宋体"/>
          <w:color w:val="auto"/>
          <w:sz w:val="21"/>
          <w:szCs w:val="21"/>
          <w:highlight w:val="none"/>
        </w:rPr>
        <w:t xml:space="preserve">及相关服务。</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2.5“用户或使用单位”是指使用货物，接受服务的单位。</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3、政策功能</w:t>
      </w:r>
      <w:r/>
    </w:p>
    <w:p>
      <w:pPr>
        <w:ind w:firstLine="482"/>
        <w:pageBreakBefore w:val="0"/>
        <w:spacing w:line="440" w:lineRule="exact"/>
        <w:shd w:val="clear" w:color="auto" w:fill="ffffff"/>
        <w:widowControl/>
        <w:rPr>
          <w:rFonts w:hint="eastAsia" w:ascii="宋体" w:hAnsi="宋体" w:eastAsia="宋体" w:cs="宋体"/>
          <w:highlight w:val="none"/>
          <w:lang w:val="en-US" w:eastAsia="zh-CN"/>
        </w:rPr>
      </w:pPr>
      <w:r>
        <w:rPr>
          <w:rFonts w:hint="eastAsia" w:ascii="宋体" w:hAnsi="宋体" w:cs="宋体"/>
          <w:b/>
          <w:bCs/>
          <w:highlight w:val="none"/>
        </w:rPr>
        <w:t xml:space="preserve">3、政策功能</w:t>
      </w:r>
      <w:r>
        <w:rPr>
          <w:rFonts w:hint="eastAsia" w:ascii="宋体" w:hAnsi="宋体" w:cs="宋体"/>
          <w:b/>
          <w:bCs/>
          <w:highlight w:val="none"/>
          <w:lang w:val="en-US" w:eastAsia="zh-CN"/>
        </w:rPr>
        <w:t xml:space="preserve">落实</w:t>
      </w:r>
      <w:r/>
    </w:p>
    <w:p>
      <w:pPr>
        <w:pStyle w:val="728"/>
        <w:ind w:left="0" w:firstLine="422"/>
        <w:jc w:val="both"/>
        <w:keepLines/>
        <w:keepNext/>
        <w:pageBreakBefore w:val="0"/>
        <w:spacing w:before="0" w:beforeAutospacing="0" w:after="0" w:afterAutospacing="0" w:line="440" w:lineRule="exact"/>
        <w:widowControl w:val="off"/>
        <w:rPr>
          <w:rFonts w:hint="eastAsia" w:ascii="宋体" w:hAnsi="宋体" w:eastAsia="宋体" w:cs="宋体"/>
          <w:b/>
          <w:bCs/>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1"/>
          <w:szCs w:val="24"/>
          <w:highlight w:val="none"/>
          <w:lang w:val="en-US" w:eastAsia="zh-CN" w:bidi="ar-SA"/>
        </w:rPr>
        <w:t xml:space="preserve">3.1.促进中小企业发展</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3.1.1 本项目服务由中小企业承接的，投标供应商享受中小企业扶持政策。</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3.1.2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pageBreakBefore w:val="0"/>
        <w:spacing w:line="440" w:lineRule="exact"/>
        <w:widowControl/>
        <w:rPr>
          <w:rFonts w:ascii="宋体" w:hAnsi="宋体" w:cs="宋体"/>
          <w:b/>
          <w:bCs/>
          <w:color w:val="auto"/>
          <w:sz w:val="21"/>
          <w:szCs w:val="21"/>
          <w:highlight w:val="none"/>
          <w:u w:val="single"/>
        </w:rPr>
      </w:pPr>
      <w:r>
        <w:rPr>
          <w:rFonts w:hint="eastAsia" w:ascii="宋体" w:hAnsi="宋体" w:eastAsia="宋体" w:cs="宋体"/>
          <w:sz w:val="21"/>
          <w:szCs w:val="24"/>
          <w:highlight w:val="none"/>
          <w:lang w:val="en-US" w:eastAsia="zh-CN" w:bidi="ar-SA"/>
        </w:rPr>
        <w:t xml:space="preserve">3.1.3 中小企业参加政府采购活动，应当出具《中小企业声明函》，否则不享受相关中小企业支持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cs="微软雅黑"/>
          <w:b/>
          <w:bCs/>
          <w:color w:val="auto"/>
          <w:sz w:val="21"/>
          <w:szCs w:val="21"/>
          <w:highlight w:val="none"/>
        </w:rPr>
        <w:t xml:space="preserve">本项目对应的中小企业划分标准所属行业为：</w:t>
      </w:r>
      <w:r>
        <w:rPr>
          <w:rFonts w:hint="eastAsia" w:ascii="宋体" w:hAnsi="宋体" w:cs="微软雅黑"/>
          <w:b/>
          <w:bCs/>
          <w:color w:val="auto"/>
          <w:sz w:val="21"/>
          <w:szCs w:val="21"/>
          <w:highlight w:val="none"/>
          <w:u w:val="single"/>
        </w:rPr>
        <w:t xml:space="preserve">其他未列明行业中的公共设施管理业。</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3.1.4 以联合体形式参加政府采购活动，联合体各方均为中小企业的，联合体视同中小企业。其中，联合体各方均为小微企业的，联合体视同小微企业。</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3.1.5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3.1.6 残疾人福利性单位视同小型、微型企业。按照《关于促进残疾人就业政府采购政策的通知》（财库〔2017〕141号）规定，残疾人福利单位需提供《残疾人福利性单位声明函》。</w:t>
      </w:r>
      <w:r/>
    </w:p>
    <w:p>
      <w:pPr>
        <w:pStyle w:val="72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3.2</w:t>
      </w:r>
      <w:r>
        <w:rPr>
          <w:rFonts w:hint="default" w:ascii="宋体" w:hAnsi="宋体" w:eastAsia="宋体" w:cs="宋体"/>
          <w:sz w:val="21"/>
          <w:szCs w:val="24"/>
          <w:highlight w:val="none"/>
          <w:lang w:val="en-US" w:eastAsia="zh-CN" w:bidi="ar-SA"/>
        </w:rPr>
        <w:t xml:space="preserve">.节能环保产品</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3.2.1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3.2.2采购产品属于政府强制采购节能产品的，供应商应当选择依据国家能效标准中二级能效（水效）指标认证的节能产品投标，签订合同时提供国家确定的认证机构出具的、处于有效期之内的节能产品认证证书。 </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3.2.3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72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3.3</w:t>
      </w:r>
      <w:r>
        <w:rPr>
          <w:rFonts w:hint="default" w:ascii="宋体" w:hAnsi="宋体" w:eastAsia="宋体" w:cs="宋体"/>
          <w:sz w:val="21"/>
          <w:szCs w:val="24"/>
          <w:highlight w:val="none"/>
          <w:lang w:val="en-US" w:eastAsia="zh-CN" w:bidi="ar-SA"/>
        </w:rPr>
        <w:t xml:space="preserve">.绿色采购</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3.3.1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3.3.2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sz w:val="21"/>
          <w:szCs w:val="24"/>
          <w:highlight w:val="none"/>
          <w:lang w:val="en-US" w:eastAsia="zh-CN" w:bidi="ar-SA"/>
        </w:rPr>
        <w:t xml:space="preserve">3.3.3</w:t>
      </w:r>
      <w:r>
        <w:rPr>
          <w:rFonts w:hint="eastAsia" w:ascii="宋体" w:hAnsi="宋体" w:eastAsia="宋体" w:cs="宋体"/>
          <w:sz w:val="21"/>
          <w:szCs w:val="24"/>
          <w:highlight w:val="none"/>
          <w:lang w:val="en-US" w:eastAsia="zh-CN" w:bidi="ar-SA"/>
        </w:rPr>
        <w:t xml:space="preserve">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3.3.</w:t>
      </w:r>
      <w:r>
        <w:rPr>
          <w:rFonts w:hint="eastAsia" w:cs="宋体"/>
          <w:sz w:val="21"/>
          <w:szCs w:val="24"/>
          <w:highlight w:val="none"/>
          <w:lang w:val="en-US" w:eastAsia="zh-CN" w:bidi="ar-SA"/>
        </w:rPr>
        <w:t xml:space="preserve">4</w:t>
      </w:r>
      <w:r>
        <w:rPr>
          <w:rFonts w:hint="eastAsia" w:ascii="宋体" w:hAnsi="宋体" w:eastAsia="宋体" w:cs="宋体"/>
          <w:sz w:val="21"/>
          <w:szCs w:val="24"/>
          <w:highlight w:val="none"/>
          <w:lang w:val="en-US" w:eastAsia="zh-CN" w:bidi="ar-SA"/>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2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3.4</w:t>
      </w:r>
      <w:r>
        <w:rPr>
          <w:rFonts w:hint="default" w:ascii="宋体" w:hAnsi="宋体" w:eastAsia="宋体" w:cs="宋体"/>
          <w:sz w:val="21"/>
          <w:szCs w:val="24"/>
          <w:highlight w:val="none"/>
          <w:lang w:val="en-US" w:eastAsia="zh-CN" w:bidi="ar-SA"/>
        </w:rPr>
        <w:t xml:space="preserve">创新产品采购</w:t>
      </w:r>
      <w:r/>
    </w:p>
    <w:p>
      <w:pPr>
        <w:pStyle w:val="728"/>
        <w:ind w:left="0" w:firstLine="420"/>
        <w:jc w:val="both"/>
        <w:keepLines w:val="0"/>
        <w:keepNext w:val="0"/>
        <w:pageBreakBefore w:val="0"/>
        <w:spacing w:before="0" w:beforeAutospacing="0" w:after="0" w:afterAutospacing="0" w:line="440" w:lineRule="exact"/>
        <w:widowControl/>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3.4.1 优先采购各级政府部门公开发布的有效期内的创新产品、首台套等《目录》内的创新产品。创新产品自进入《目录》起2年内视同具备相应销售业绩。</w:t>
      </w:r>
      <w:r/>
    </w:p>
    <w:p>
      <w:pPr>
        <w:pStyle w:val="72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3.5</w:t>
      </w:r>
      <w:r>
        <w:rPr>
          <w:rFonts w:hint="default" w:ascii="宋体" w:hAnsi="宋体" w:eastAsia="宋体" w:cs="宋体"/>
          <w:sz w:val="21"/>
          <w:szCs w:val="24"/>
          <w:highlight w:val="none"/>
          <w:lang w:val="en-US" w:eastAsia="zh-CN" w:bidi="ar-SA"/>
        </w:rPr>
        <w:t xml:space="preserve">网络产品、市场准入类产品采购</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3.5.1 本</w:t>
      </w:r>
      <w:r>
        <w:rPr>
          <w:rFonts w:hint="eastAsia" w:ascii="宋体" w:hAnsi="宋体" w:eastAsia="宋体" w:cs="宋体"/>
          <w:sz w:val="21"/>
          <w:szCs w:val="24"/>
          <w:highlight w:val="none"/>
          <w:lang w:val="en-US" w:eastAsia="zh-CN" w:bidi="ar-SA"/>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3.5.2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28"/>
        <w:ind w:left="0" w:firstLine="422"/>
        <w:jc w:val="both"/>
        <w:keepLines/>
        <w:keepNext/>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w:t>
      </w:r>
      <w:r>
        <w:rPr>
          <w:rFonts w:hint="default" w:ascii="宋体" w:hAnsi="宋体" w:eastAsia="宋体" w:cs="宋体"/>
          <w:sz w:val="21"/>
          <w:szCs w:val="24"/>
          <w:highlight w:val="none"/>
          <w:lang w:val="en-US" w:eastAsia="zh-CN" w:bidi="ar-SA"/>
        </w:rPr>
        <w:t xml:space="preserve">实施本国产品标准及相关政策</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3.6.2本国产品应当符合以下条件：</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（1）在中国境内生产</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（2）在中国境内生产的组件成本占比达到规定比例</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（3）特定产品的关键组件、关键工序符合相关要求</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3.6.3本国产品标准的适用范围</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3.6.4对本国产品的支持政策</w:t>
      </w:r>
      <w:r/>
    </w:p>
    <w:p>
      <w:pPr>
        <w:pStyle w:val="728"/>
        <w:ind w:left="0" w:firstLine="422"/>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本项目如既有本国产品又有非本国产品参与竞争，依法对本国产品给予价格评审优惠，具体详见第</w:t>
      </w:r>
      <w:r>
        <w:rPr>
          <w:rFonts w:hint="eastAsia" w:cs="宋体"/>
          <w:sz w:val="21"/>
          <w:szCs w:val="24"/>
          <w:highlight w:val="none"/>
          <w:lang w:val="en-US" w:eastAsia="zh-CN" w:bidi="ar-SA"/>
        </w:rPr>
        <w:t xml:space="preserve">三</w:t>
      </w:r>
      <w:r>
        <w:rPr>
          <w:rFonts w:hint="eastAsia" w:ascii="宋体" w:hAnsi="宋体" w:eastAsia="宋体" w:cs="宋体"/>
          <w:sz w:val="21"/>
          <w:szCs w:val="24"/>
          <w:highlight w:val="none"/>
          <w:lang w:val="en-US" w:eastAsia="zh-CN" w:bidi="ar-SA"/>
        </w:rPr>
        <w:t xml:space="preserve">章。</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3.6.5政策执行要求</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二、招标文件构成</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4、招标文件组成</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4.1招标文件包括以下主要内容：</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（1）招标公告；</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投标人</w:t>
      </w:r>
      <w:r>
        <w:rPr>
          <w:rFonts w:hint="eastAsia" w:ascii="宋体" w:hAnsi="宋体" w:cs="宋体"/>
          <w:color w:val="auto"/>
          <w:sz w:val="21"/>
          <w:szCs w:val="21"/>
          <w:highlight w:val="none"/>
        </w:rPr>
        <w:t xml:space="preserve">须知；</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（3）评标标准；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（4）采购需求；</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（5）合同主要条款及格式；</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（6）投标文件格式。</w:t>
      </w:r>
      <w:r/>
    </w:p>
    <w:p>
      <w:pPr>
        <w:ind w:firstLine="480"/>
        <w:keepLines w:val="0"/>
        <w:keepNext w:val="0"/>
        <w:pageBreakBefore w:val="0"/>
        <w:spacing w:line="440" w:lineRule="exact"/>
        <w:shd w:val="clear" w:color="auto" w:fill="ffffff"/>
        <w:widowControl/>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如标书制作工具中格式和内容与“南京公共采购信息网</w:t>
      </w:r>
      <w:r>
        <w:rPr>
          <w:rFonts w:ascii="宋体" w:hAnsi="宋体" w:cs="宋体"/>
          <w:b/>
          <w:color w:val="auto"/>
          <w:sz w:val="21"/>
          <w:szCs w:val="21"/>
          <w:highlight w:val="none"/>
          <w:u w:val="single"/>
        </w:rPr>
        <w:t xml:space="preserve">/江苏政府采购网/中国政府采购网”发布的招标文件不一致的，以上述网站发布的招标文件为准。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采购代理机构如果要求投标人按照招标文件规定提交备选投标方案的，投标人可以提交备选方案；否则，备选方案将被拒绝。</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5、招标文件的澄清或者修改</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三、投标文件的编制</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6、投标文件的语言、计量单位、货币和编制</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6.2投标人所使用的计量单位应为国家法定计量单位。</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6.3投标人应用人民币报价。投标产品如果是进口产品的，应提供人民币与</w:t>
      </w:r>
      <w:r>
        <w:rPr>
          <w:rFonts w:hint="eastAsia" w:ascii="宋体" w:hAnsi="宋体" w:cs="宋体"/>
          <w:b/>
          <w:bCs/>
          <w:color w:val="auto"/>
          <w:sz w:val="21"/>
          <w:szCs w:val="21"/>
          <w:highlight w:val="none"/>
        </w:rPr>
        <w:t xml:space="preserve">外币之间的汇率。</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6.4投标文件应按照招标文件的规定编写。</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6.5投标人应在投标文件中写清相应的项目编号、项目名称、投标人全称、地址、电话、传真等。</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6.6</w:t>
      </w:r>
      <w:r>
        <w:rPr>
          <w:rFonts w:hint="eastAsia" w:ascii="宋体" w:hAnsi="宋体" w:cs="宋体"/>
          <w:color w:val="auto"/>
          <w:sz w:val="21"/>
          <w:szCs w:val="21"/>
          <w:highlight w:val="none"/>
        </w:rPr>
        <w:t xml:space="preserve">投标人根据招标文件载明的标的采购项目实际情况，拟在中标后将中标项目的非主体、非关键性工作交由他人完成的，应当在投标文件中载明。</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7、联合体投标：本项目不接受联合体投标。</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8、投标文件的组成</w:t>
      </w:r>
      <w:r/>
    </w:p>
    <w:p>
      <w:pPr>
        <w:ind w:firstLine="480"/>
        <w:jc w:val="left"/>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color w:val="auto"/>
          <w:sz w:val="21"/>
          <w:szCs w:val="21"/>
          <w:highlight w:val="none"/>
        </w:rPr>
        <w:t xml:space="preserve">8.1投标人应当根据招标文件要求编制投标文件，投标文件应对招标文件提出的要求和条件作出实质性响应。</w:t>
      </w:r>
      <w:r>
        <w:rPr>
          <w:rFonts w:hint="eastAsia" w:ascii="宋体" w:hAnsi="宋体" w:cs="宋体"/>
          <w:b/>
          <w:color w:val="auto"/>
          <w:sz w:val="21"/>
          <w:szCs w:val="21"/>
          <w:highlight w:val="none"/>
        </w:rPr>
        <w:t xml:space="preserve">对带</w:t>
      </w:r>
      <w:r>
        <w:rPr>
          <w:rFonts w:hint="eastAsia" w:ascii="宋体" w:hAnsi="宋体" w:cs="宋体"/>
          <w:b/>
          <w:bCs/>
          <w:color w:val="auto"/>
          <w:sz w:val="21"/>
          <w:szCs w:val="21"/>
          <w:highlight w:val="none"/>
        </w:rPr>
        <w:t xml:space="preserve">星号（“*”）的技术条款必须在投标文件中提供技术支持资料（如白皮书、彩页、手册等），未提供技术支持资料的，视为未对招标文件实质性要求作出响应，评审时不予认可。</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8.2 投标文件由商务、技术、价格以及其他部分内容组成。投标文件有关格式按招标文件“第六章 投标文件格式”的要求编制。</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9、投标文件的商务内容</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en-US" w:eastAsia="zh-CN"/>
        </w:rPr>
        <w:t xml:space="preserve">7</w:t>
      </w:r>
      <w:r>
        <w:rPr>
          <w:rFonts w:hint="eastAsia" w:ascii="宋体" w:hAnsi="宋体" w:cs="宋体"/>
          <w:b/>
          <w:color w:val="auto"/>
          <w:sz w:val="21"/>
          <w:szCs w:val="21"/>
          <w:highlight w:val="none"/>
        </w:rPr>
        <w:t xml:space="preserve">）所述材料不得有缺失或提供不全或不满足招标文件的实质性要求</w:t>
      </w:r>
      <w:r>
        <w:rPr>
          <w:rFonts w:hint="eastAsia" w:ascii="宋体" w:hAnsi="宋体" w:cs="宋体"/>
          <w:color w:val="auto"/>
          <w:sz w:val="21"/>
          <w:szCs w:val="21"/>
          <w:highlight w:val="none"/>
        </w:rPr>
        <w:t xml:space="preserve">）：</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投标函</w:t>
      </w:r>
      <w:r>
        <w:rPr>
          <w:rFonts w:hint="eastAsia" w:ascii="宋体" w:hAnsi="宋体" w:cs="宋体"/>
          <w:bCs/>
          <w:color w:val="auto"/>
          <w:sz w:val="21"/>
          <w:szCs w:val="21"/>
          <w:highlight w:val="none"/>
        </w:rPr>
        <w:t xml:space="preserve">（</w:t>
      </w:r>
      <w:r>
        <w:rPr>
          <w:rFonts w:hint="eastAsia" w:ascii="宋体" w:hAnsi="宋体" w:cs="宋体"/>
          <w:b/>
          <w:bCs/>
          <w:color w:val="auto"/>
          <w:sz w:val="21"/>
          <w:szCs w:val="21"/>
          <w:highlight w:val="none"/>
        </w:rPr>
        <w:t xml:space="preserve">格式见第六章</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法人授权书</w:t>
      </w:r>
      <w:r>
        <w:rPr>
          <w:rFonts w:hint="eastAsia" w:ascii="宋体" w:hAnsi="宋体" w:cs="宋体"/>
          <w:bCs/>
          <w:color w:val="auto"/>
          <w:sz w:val="21"/>
          <w:szCs w:val="21"/>
          <w:highlight w:val="none"/>
        </w:rPr>
        <w:t xml:space="preserve">（</w:t>
      </w:r>
      <w:r>
        <w:rPr>
          <w:rFonts w:hint="eastAsia" w:ascii="宋体" w:hAnsi="宋体" w:cs="宋体"/>
          <w:b/>
          <w:bCs/>
          <w:color w:val="auto"/>
          <w:sz w:val="21"/>
          <w:szCs w:val="21"/>
          <w:highlight w:val="none"/>
        </w:rPr>
        <w:t xml:space="preserve">格式见第六章</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w:t>
      </w:r>
      <w:r/>
    </w:p>
    <w:p>
      <w:pPr>
        <w:ind w:firstLine="42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lang w:val="zh-CN"/>
        </w:rPr>
        <w:t xml:space="preserve">资格证明文件</w:t>
      </w:r>
      <w:r>
        <w:rPr>
          <w:rFonts w:hint="eastAsia" w:ascii="宋体" w:hAnsi="宋体" w:cs="宋体"/>
          <w:color w:val="auto"/>
          <w:sz w:val="21"/>
          <w:szCs w:val="21"/>
          <w:highlight w:val="none"/>
        </w:rPr>
        <w:t xml:space="preserve">：</w:t>
      </w:r>
      <w:r/>
    </w:p>
    <w:p>
      <w:pPr>
        <w:numPr>
          <w:ilvl w:val="1"/>
          <w:numId w:val="3"/>
        </w:numPr>
        <w:ind w:left="0" w:firstLine="420"/>
        <w:keepLines w:val="0"/>
        <w:keepNext w:val="0"/>
        <w:pageBreakBefore w:val="0"/>
        <w:spacing w:line="440" w:lineRule="exact"/>
        <w:tabs>
          <w:tab w:val="left" w:pos="840"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第一章招标公告中 2.1《中华人民共和国政府采购法》规定的资格条件证明文件；</w:t>
      </w:r>
      <w:r/>
    </w:p>
    <w:p>
      <w:pPr>
        <w:numPr>
          <w:ilvl w:val="1"/>
          <w:numId w:val="3"/>
        </w:numPr>
        <w:ind w:left="0" w:firstLine="420"/>
        <w:keepLines w:val="0"/>
        <w:keepNext w:val="0"/>
        <w:pageBreakBefore w:val="0"/>
        <w:spacing w:line="440" w:lineRule="exact"/>
        <w:tabs>
          <w:tab w:val="left" w:pos="840"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第一章招标公告中 2.2</w:t>
      </w:r>
      <w:r>
        <w:rPr>
          <w:rFonts w:hint="eastAsia" w:ascii="宋体" w:hAnsi="宋体" w:cs="宋体"/>
          <w:color w:val="auto"/>
          <w:spacing w:val="8"/>
          <w:sz w:val="21"/>
          <w:szCs w:val="21"/>
          <w:highlight w:val="none"/>
        </w:rPr>
        <w:t xml:space="preserve">落实政府采购政策需满足的资格要求；</w:t>
      </w:r>
      <w:r/>
    </w:p>
    <w:p>
      <w:pPr>
        <w:numPr>
          <w:ilvl w:val="1"/>
          <w:numId w:val="3"/>
        </w:numPr>
        <w:ind w:left="0" w:firstLine="420"/>
        <w:keepLines w:val="0"/>
        <w:keepNext w:val="0"/>
        <w:pageBreakBefore w:val="0"/>
        <w:spacing w:line="440" w:lineRule="exact"/>
        <w:tabs>
          <w:tab w:val="left" w:pos="840"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第一章招标公告中 2.3 采购人根据采购项目的特殊要求规定的特定条件证明文件。</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开标一览表及附表</w:t>
      </w:r>
      <w:r>
        <w:rPr>
          <w:rFonts w:hint="eastAsia" w:ascii="宋体" w:hAnsi="宋体" w:cs="宋体"/>
          <w:bCs/>
          <w:color w:val="auto"/>
          <w:sz w:val="21"/>
          <w:szCs w:val="21"/>
          <w:highlight w:val="none"/>
        </w:rPr>
        <w:t xml:space="preserve">（</w:t>
      </w:r>
      <w:r>
        <w:rPr>
          <w:rFonts w:hint="eastAsia" w:ascii="宋体" w:hAnsi="宋体" w:cs="宋体"/>
          <w:b/>
          <w:bCs/>
          <w:color w:val="auto"/>
          <w:sz w:val="21"/>
          <w:szCs w:val="21"/>
          <w:highlight w:val="none"/>
        </w:rPr>
        <w:t xml:space="preserve">格式见第六章</w:t>
      </w:r>
      <w:r>
        <w:rPr>
          <w:rFonts w:hint="eastAsia" w:ascii="宋体" w:hAnsi="宋体" w:cs="宋体"/>
          <w:bCs/>
          <w:color w:val="auto"/>
          <w:sz w:val="21"/>
          <w:szCs w:val="21"/>
          <w:highlight w:val="none"/>
        </w:rPr>
        <w:t xml:space="preserve">）；</w:t>
      </w:r>
      <w:r/>
    </w:p>
    <w:p>
      <w:pPr>
        <w:ind w:firstLine="480"/>
        <w:jc w:val="left"/>
        <w:keepLines w:val="0"/>
        <w:keepNext w:val="0"/>
        <w:pageBreakBefore w:val="0"/>
        <w:spacing w:line="440" w:lineRule="exact"/>
        <w:shd w:val="clear" w:color="auto" w:fill="ffffff"/>
        <w:widowControl/>
        <w:rPr>
          <w:rFonts w:ascii="宋体" w:hAnsi="宋体" w:cs="宋体"/>
          <w:b/>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《南京市政府采购供应商信用记录表暨信用承诺书》</w:t>
      </w:r>
      <w:r>
        <w:rPr>
          <w:rFonts w:hint="eastAsia" w:ascii="宋体" w:hAnsi="宋体" w:cs="宋体"/>
          <w:b/>
          <w:color w:val="auto"/>
          <w:sz w:val="21"/>
          <w:szCs w:val="21"/>
          <w:highlight w:val="none"/>
          <w:lang w:val="zh-CN"/>
        </w:rPr>
        <w:t xml:space="preserve">；</w:t>
      </w:r>
      <w:r/>
    </w:p>
    <w:p>
      <w:pPr>
        <w:ind w:firstLine="480"/>
        <w:jc w:val="left"/>
        <w:keepLines w:val="0"/>
        <w:keepNext w:val="0"/>
        <w:pageBreakBefore w:val="0"/>
        <w:spacing w:line="440" w:lineRule="exact"/>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《商务条款偏离表》；</w:t>
      </w:r>
      <w:r/>
    </w:p>
    <w:p>
      <w:pPr>
        <w:pStyle w:val="753"/>
        <w:ind w:left="900" w:hanging="27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《供应商资格承诺书》</w:t>
      </w:r>
      <w:r/>
    </w:p>
    <w:p>
      <w:pPr>
        <w:ind w:firstLine="480"/>
        <w:jc w:val="left"/>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）第三章评标标准中对应的所需证明材料（如有自行添加）；</w:t>
      </w:r>
      <w:r/>
    </w:p>
    <w:p>
      <w:pPr>
        <w:ind w:firstLine="480"/>
        <w:jc w:val="left"/>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）其他（投标人认为有必要提供的声明和文件，如有，自行拟定并添加）。</w:t>
      </w:r>
      <w:r/>
    </w:p>
    <w:p>
      <w:pPr>
        <w:ind w:firstLine="482"/>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10、投标文件的技术内容</w:t>
      </w:r>
      <w:r/>
    </w:p>
    <w:p>
      <w:pPr>
        <w:ind w:firstLine="480"/>
        <w:jc w:val="left"/>
        <w:keepLines w:val="0"/>
        <w:keepNext w:val="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技术部分</w:t>
      </w:r>
      <w:r>
        <w:rPr>
          <w:rFonts w:hint="eastAsia" w:ascii="宋体" w:hAnsi="宋体" w:cs="宋体"/>
          <w:color w:val="auto"/>
          <w:sz w:val="21"/>
          <w:szCs w:val="21"/>
          <w:highlight w:val="none"/>
        </w:rPr>
        <w:t xml:space="preserve">内容</w:t>
      </w:r>
      <w:r>
        <w:rPr>
          <w:rFonts w:hint="eastAsia" w:ascii="宋体" w:hAnsi="宋体" w:cs="宋体"/>
          <w:color w:val="auto"/>
          <w:sz w:val="21"/>
          <w:szCs w:val="21"/>
          <w:highlight w:val="none"/>
          <w:lang w:val="zh-CN"/>
        </w:rPr>
        <w:t xml:space="preserve">是证明</w:t>
      </w:r>
      <w:r>
        <w:rPr>
          <w:rFonts w:hint="eastAsia" w:ascii="宋体" w:hAnsi="宋体" w:cs="宋体"/>
          <w:color w:val="auto"/>
          <w:sz w:val="21"/>
          <w:szCs w:val="21"/>
          <w:highlight w:val="none"/>
        </w:rPr>
        <w:t xml:space="preserve">投标人提供的服务是合格的、并符合招标文件要求的证明文件，以及</w:t>
      </w:r>
      <w:r>
        <w:rPr>
          <w:rFonts w:hint="eastAsia" w:ascii="宋体" w:hAnsi="宋体" w:cs="宋体"/>
          <w:color w:val="auto"/>
          <w:sz w:val="21"/>
          <w:szCs w:val="21"/>
          <w:highlight w:val="none"/>
          <w:lang w:val="zh-CN"/>
        </w:rPr>
        <w:t xml:space="preserve">对服务的详细说明，这些文件可以是文字资料、图纸、数据</w:t>
      </w:r>
      <w:r>
        <w:rPr>
          <w:rFonts w:hint="eastAsia" w:ascii="宋体" w:hAnsi="宋体" w:cs="宋体"/>
          <w:color w:val="auto"/>
          <w:sz w:val="21"/>
          <w:szCs w:val="21"/>
          <w:highlight w:val="none"/>
        </w:rPr>
        <w:t xml:space="preserve">或其他证明文件</w:t>
      </w:r>
      <w:r>
        <w:rPr>
          <w:rFonts w:hint="eastAsia" w:ascii="宋体" w:hAnsi="宋体" w:cs="宋体"/>
          <w:color w:val="auto"/>
          <w:sz w:val="21"/>
          <w:szCs w:val="21"/>
          <w:highlight w:val="none"/>
          <w:lang w:val="zh-CN"/>
        </w:rPr>
        <w:t xml:space="preserve">等。提供的服务如与招标文件要求有不符之处，应说明其差别之所在。包括但不限于下列文件：</w:t>
      </w:r>
      <w:r/>
    </w:p>
    <w:p>
      <w:pPr>
        <w:ind w:firstLine="480"/>
        <w:jc w:val="left"/>
        <w:keepLines w:val="0"/>
        <w:keepNext w:val="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lang w:val="en-US" w:eastAsia="zh-CN"/>
        </w:rPr>
        <w:t xml:space="preserve">养护</w:t>
      </w:r>
      <w:r>
        <w:rPr>
          <w:rFonts w:hint="eastAsia" w:ascii="宋体" w:hAnsi="宋体" w:cs="宋体"/>
          <w:color w:val="auto"/>
          <w:sz w:val="21"/>
          <w:szCs w:val="21"/>
          <w:highlight w:val="none"/>
          <w:lang w:val="zh-CN"/>
        </w:rPr>
        <w:t xml:space="preserve">方案；</w:t>
      </w:r>
      <w:r/>
    </w:p>
    <w:p>
      <w:pPr>
        <w:ind w:firstLine="480"/>
        <w:jc w:val="left"/>
        <w:keepLines w:val="0"/>
        <w:keepNext w:val="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lang w:val="zh-CN"/>
        </w:rPr>
        <w:t xml:space="preserve">《技术偏离表》；</w:t>
      </w:r>
      <w:r/>
    </w:p>
    <w:p>
      <w:pPr>
        <w:ind w:firstLine="480"/>
        <w:jc w:val="left"/>
        <w:keepLines w:val="0"/>
        <w:keepNext w:val="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）投标人认为需要提供的其他技术资料。</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11、投标文件的价格内容</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11.1价格部分内容是对采购标的价格构成的说明，招标文件如无特别说明，每一项货物及服务仅接受一个价格。</w:t>
      </w:r>
      <w:r/>
    </w:p>
    <w:p>
      <w:pPr>
        <w:ind w:firstLine="420"/>
        <w:keepLines w:val="0"/>
        <w:keepNext w:val="0"/>
        <w:pageBreakBefore w:val="0"/>
        <w:spacing w:line="440" w:lineRule="exact"/>
        <w:shd w:val="clear" w:color="auto" w:fill="ffffff"/>
        <w:widowControl/>
        <w:rPr>
          <w:rFonts w:hint="eastAsia" w:eastAsia="宋体"/>
          <w:color w:val="auto"/>
          <w:sz w:val="21"/>
          <w:szCs w:val="21"/>
          <w:highlight w:val="none"/>
          <w:lang w:eastAsia="zh-CN"/>
        </w:rPr>
      </w:pPr>
      <w:r>
        <w:rPr>
          <w:rFonts w:hint="eastAsia" w:ascii="宋体" w:hAnsi="宋体" w:cs="宋体"/>
          <w:color w:val="auto"/>
          <w:sz w:val="21"/>
          <w:szCs w:val="21"/>
          <w:highlight w:val="none"/>
        </w:rPr>
        <w:t xml:space="preserve">11.2报价应包含为履行本项目合同项下所有义务的全部含税费用</w:t>
      </w:r>
      <w:r>
        <w:rPr>
          <w:rFonts w:hint="eastAsia" w:ascii="宋体" w:hAnsi="宋体" w:cs="宋体"/>
          <w:color w:val="auto"/>
          <w:sz w:val="21"/>
          <w:szCs w:val="21"/>
          <w:highlight w:val="none"/>
          <w:lang w:eastAsia="zh-CN"/>
        </w:rPr>
        <w:t xml:space="preserve">。</w:t>
      </w:r>
      <w:r>
        <w:rPr>
          <w:rFonts w:hint="eastAsia"/>
          <w:color w:val="auto"/>
          <w:sz w:val="21"/>
          <w:szCs w:val="21"/>
          <w:highlight w:val="none"/>
        </w:rPr>
        <w:t xml:space="preserve">包含</w:t>
      </w:r>
      <w:r>
        <w:rPr>
          <w:rFonts w:hint="eastAsia"/>
          <w:color w:val="auto"/>
          <w:sz w:val="21"/>
          <w:szCs w:val="21"/>
          <w:highlight w:val="none"/>
          <w:lang w:eastAsia="zh-CN"/>
        </w:rPr>
        <w:t xml:space="preserve">但不限于以下费用：</w:t>
      </w:r>
      <w:r/>
    </w:p>
    <w:p>
      <w:pPr>
        <w:pStyle w:val="756"/>
        <w:ind w:firstLine="210"/>
        <w:keepLines/>
        <w:keepNext/>
        <w:pageBreakBefore w:val="0"/>
        <w:spacing w:before="0" w:after="0" w:line="44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（1）作业成本经费。含人员工资、机械运行成本、材料消耗等。</w:t>
      </w:r>
      <w:r/>
    </w:p>
    <w:p>
      <w:pPr>
        <w:pStyle w:val="756"/>
        <w:ind w:firstLine="210"/>
        <w:keepLines/>
        <w:keepNext/>
        <w:pageBreakBefore w:val="0"/>
        <w:spacing w:before="0" w:after="0" w:line="44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（2）夜间养护、环境保护、安全管理等法规要求涉及的保障费用。</w:t>
      </w:r>
      <w:r/>
    </w:p>
    <w:p>
      <w:pPr>
        <w:pStyle w:val="756"/>
        <w:ind w:firstLine="210"/>
        <w:keepLines/>
        <w:keepNext/>
        <w:pageBreakBefore w:val="0"/>
        <w:spacing w:before="0" w:after="0" w:line="44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（3）管理费用、合理利润、税金。</w:t>
      </w:r>
      <w:r/>
    </w:p>
    <w:p>
      <w:pPr>
        <w:pStyle w:val="756"/>
        <w:ind w:firstLine="210"/>
        <w:keepLines/>
        <w:keepNext/>
        <w:pageBreakBefore w:val="0"/>
        <w:spacing w:before="0" w:after="0" w:line="44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（4）突发安全事件、防汛、防台、扫雪防冻应急处置费用、节假日和重大活动保障、投诉处理等相关费用。</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11.3投标人的任何错漏、优惠、竞争性报价不得作为减轻责任、减少服务、增加收费、降低质量的理由。</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sz w:val="21"/>
          <w:szCs w:val="21"/>
          <w:highlight w:val="none"/>
        </w:rPr>
        <w:t xml:space="preserve">无效投标处理</w:t>
      </w:r>
      <w:r>
        <w:rPr>
          <w:rFonts w:hint="eastAsia" w:ascii="宋体" w:hAnsi="宋体" w:cs="宋体"/>
          <w:color w:val="auto"/>
          <w:sz w:val="21"/>
          <w:szCs w:val="21"/>
          <w:highlight w:val="none"/>
        </w:rPr>
        <w:t xml:space="preserve">。</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11.5 投标人应在《开标一览表》《分项报价表》等标明投标服务的单价、总价以及分项报价等。</w:t>
      </w:r>
      <w:r/>
    </w:p>
    <w:p>
      <w:pPr>
        <w:ind w:firstLine="480"/>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hint="eastAsia" w:ascii="宋体" w:hAnsi="宋体" w:cs="宋体"/>
          <w:color w:val="auto"/>
          <w:sz w:val="21"/>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keepLines w:val="0"/>
        <w:keepNext w:val="0"/>
        <w:pageBreakBefore w:val="0"/>
        <w:spacing w:line="440" w:lineRule="exact"/>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11.7本项目预算为：详见第一章</w:t>
      </w:r>
      <w:r>
        <w:rPr>
          <w:rFonts w:hint="eastAsia" w:ascii="宋体" w:hAnsi="宋体" w:cs="宋体"/>
          <w:bCs/>
          <w:color w:val="auto"/>
          <w:sz w:val="21"/>
          <w:szCs w:val="21"/>
          <w:highlight w:val="none"/>
        </w:rPr>
        <w:t xml:space="preserve">。</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12、投标文件的其他部分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12.1 其他部分由投标人根据编制投标文件需要提供的其他相关文件组成。</w:t>
      </w:r>
      <w:r/>
    </w:p>
    <w:p>
      <w:pPr>
        <w:ind w:firstLine="480"/>
        <w:keepLines w:val="0"/>
        <w:keepNext w:val="0"/>
        <w:pageBreakBefore w:val="0"/>
        <w:spacing w:line="440" w:lineRule="exact"/>
        <w:rPr>
          <w:rFonts w:ascii="Arial" w:hAnsi="Arial"/>
          <w:color w:val="auto"/>
          <w:sz w:val="21"/>
          <w:szCs w:val="21"/>
          <w:highlight w:val="none"/>
        </w:rPr>
      </w:pPr>
      <w:r>
        <w:rPr>
          <w:rFonts w:hint="eastAsia" w:ascii="宋体" w:hAnsi="宋体" w:cs="宋体"/>
          <w:color w:val="auto"/>
          <w:sz w:val="21"/>
          <w:szCs w:val="21"/>
          <w:highlight w:val="none"/>
        </w:rPr>
        <w:t xml:space="preserve">12.2</w:t>
      </w:r>
      <w:r>
        <w:rPr>
          <w:rFonts w:hint="eastAsia" w:ascii="Arial" w:hAnsi="Arial"/>
          <w:color w:val="auto"/>
          <w:sz w:val="21"/>
          <w:szCs w:val="21"/>
          <w:highlight w:val="none"/>
          <w:lang w:val="zh-CN"/>
        </w:rPr>
        <w:t xml:space="preserve">如标书制作工具中格式和内容与“南京公共采购信息网、江苏政府采购网、中国政府采购网”发布的招标文件不一致，以</w:t>
      </w:r>
      <w:r>
        <w:rPr>
          <w:rFonts w:hint="eastAsia" w:ascii="Arial" w:hAnsi="Arial"/>
          <w:color w:val="auto"/>
          <w:sz w:val="21"/>
          <w:szCs w:val="21"/>
          <w:highlight w:val="none"/>
        </w:rPr>
        <w:t xml:space="preserve">上述网站</w:t>
      </w:r>
      <w:r>
        <w:rPr>
          <w:rFonts w:hint="eastAsia" w:ascii="Arial" w:hAnsi="Arial"/>
          <w:color w:val="auto"/>
          <w:sz w:val="21"/>
          <w:szCs w:val="21"/>
          <w:highlight w:val="none"/>
          <w:lang w:val="zh-CN"/>
        </w:rPr>
        <w:t xml:space="preserve">发布的招标文件为准。</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13、投标保证金（无）</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14、投标有效期</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14.1 自开标之日起</w:t>
      </w:r>
      <w:r>
        <w:rPr>
          <w:rFonts w:hint="eastAsia" w:ascii="宋体" w:hAnsi="宋体" w:cs="宋体"/>
          <w:b/>
          <w:color w:val="auto"/>
          <w:sz w:val="21"/>
          <w:szCs w:val="21"/>
          <w:highlight w:val="none"/>
        </w:rPr>
        <w:t xml:space="preserve">90</w:t>
      </w:r>
      <w:r>
        <w:rPr>
          <w:rFonts w:hint="eastAsia" w:ascii="宋体" w:hAnsi="宋体" w:cs="宋体"/>
          <w:color w:val="auto"/>
          <w:sz w:val="21"/>
          <w:szCs w:val="21"/>
          <w:highlight w:val="none"/>
        </w:rPr>
        <w:t xml:space="preserve">天内投标有效</w:t>
      </w:r>
      <w:r>
        <w:rPr>
          <w:rFonts w:hint="eastAsia" w:ascii="宋体" w:hAnsi="宋体" w:cs="宋体"/>
          <w:b/>
          <w:color w:val="auto"/>
          <w:sz w:val="21"/>
          <w:szCs w:val="21"/>
          <w:highlight w:val="none"/>
        </w:rPr>
        <w:t xml:space="preserve">，投标有效期从提交投标文件的截止之日起算。投标文件中承诺的投标有效期应当不少于招标文件中载明的投标有效期。</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15、投标文件签署</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15.1 投标文件应按照招标文件要求加盖电子公章，否则视为无效投标。</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16、投标费用</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16.1 投标人应承担所有与准备和参加投标有关的费用，无论招标结果如何，采购代理机构和采购人在任何情况下均无义务和责任承担这些费用。</w:t>
      </w:r>
      <w:r/>
    </w:p>
    <w:p>
      <w:pPr>
        <w:ind w:firstLine="480"/>
        <w:pageBreakBefore w:val="0"/>
        <w:spacing w:line="440" w:lineRule="exact"/>
        <w:shd w:val="clear" w:color="auto" w:fill="ffffff"/>
        <w:widowControl/>
        <w:rPr>
          <w:rFonts w:ascii="宋体" w:hAnsi="宋体" w:cs="宋体"/>
          <w:bCs/>
          <w:highlight w:val="none"/>
        </w:rPr>
      </w:pPr>
      <w:r>
        <w:rPr>
          <w:rFonts w:hint="eastAsia" w:ascii="宋体" w:hAnsi="宋体" w:cs="宋体"/>
          <w:bCs/>
          <w:color w:val="auto"/>
          <w:sz w:val="21"/>
          <w:szCs w:val="21"/>
          <w:highlight w:val="none"/>
        </w:rPr>
        <w:t xml:space="preserve">16.2 招标代理服务费：</w:t>
      </w:r>
      <w:r>
        <w:rPr>
          <w:rFonts w:hint="eastAsia" w:ascii="宋体" w:hAnsi="宋体" w:cs="宋体"/>
          <w:bCs/>
          <w:highlight w:val="none"/>
        </w:rPr>
        <w:t xml:space="preserve">由中标人支付，</w:t>
      </w:r>
      <w:r>
        <w:rPr>
          <w:rFonts w:hint="eastAsia" w:ascii="宋体" w:hAnsi="宋体" w:cs="宋体"/>
          <w:bCs/>
          <w:highlight w:val="none"/>
          <w:lang w:val="en-US" w:eastAsia="zh-CN"/>
        </w:rPr>
        <w:t xml:space="preserve">以</w:t>
      </w:r>
      <w:r>
        <w:rPr>
          <w:rFonts w:hint="eastAsia" w:ascii="宋体" w:hAnsi="宋体" w:cs="宋体"/>
          <w:bCs/>
          <w:sz w:val="21"/>
          <w:szCs w:val="24"/>
          <w:highlight w:val="none"/>
          <w:u w:val="none"/>
        </w:rPr>
        <w:t xml:space="preserve">中标金额为基数，按《江苏省政府采购代理服务收费的指导意见》</w:t>
      </w:r>
      <w:r>
        <w:rPr>
          <w:rFonts w:hint="eastAsia" w:ascii="宋体" w:hAnsi="宋体" w:cs="宋体"/>
          <w:bCs/>
          <w:sz w:val="21"/>
          <w:szCs w:val="24"/>
          <w:highlight w:val="none"/>
          <w:u w:val="none"/>
          <w:lang w:val="en-US" w:eastAsia="zh-CN"/>
        </w:rPr>
        <w:t xml:space="preserve">(</w:t>
      </w:r>
      <w:r>
        <w:rPr>
          <w:rFonts w:hint="eastAsia" w:ascii="宋体" w:hAnsi="宋体" w:cs="宋体"/>
          <w:bCs/>
          <w:sz w:val="21"/>
          <w:szCs w:val="24"/>
          <w:highlight w:val="none"/>
          <w:u w:val="none"/>
        </w:rPr>
        <w:t xml:space="preserve">苏政采协</w:t>
      </w:r>
      <w:r>
        <w:rPr>
          <w:rFonts w:hint="eastAsia" w:ascii="宋体" w:hAnsi="宋体" w:eastAsia="宋体" w:cs="宋体"/>
          <w:bCs/>
          <w:sz w:val="21"/>
          <w:szCs w:val="24"/>
          <w:highlight w:val="none"/>
          <w:u w:val="none"/>
        </w:rPr>
        <w:t xml:space="preserve">〔</w:t>
      </w:r>
      <w:r>
        <w:rPr>
          <w:rFonts w:hint="eastAsia" w:ascii="宋体" w:hAnsi="宋体" w:cs="宋体"/>
          <w:bCs/>
          <w:sz w:val="21"/>
          <w:szCs w:val="24"/>
          <w:highlight w:val="none"/>
          <w:u w:val="none"/>
        </w:rPr>
        <w:t xml:space="preserve">2024</w:t>
      </w:r>
      <w:r>
        <w:rPr>
          <w:rFonts w:hint="eastAsia" w:ascii="宋体" w:hAnsi="宋体" w:eastAsia="宋体" w:cs="宋体"/>
          <w:bCs/>
          <w:sz w:val="21"/>
          <w:szCs w:val="24"/>
          <w:highlight w:val="none"/>
          <w:u w:val="none"/>
        </w:rPr>
        <w:t xml:space="preserve">〕</w:t>
      </w:r>
      <w:r>
        <w:rPr>
          <w:rFonts w:hint="eastAsia" w:ascii="宋体" w:hAnsi="宋体" w:cs="宋体"/>
          <w:bCs/>
          <w:sz w:val="21"/>
          <w:szCs w:val="24"/>
          <w:highlight w:val="none"/>
          <w:u w:val="none"/>
        </w:rPr>
        <w:t xml:space="preserve">20号</w:t>
      </w:r>
      <w:r>
        <w:rPr>
          <w:rFonts w:hint="eastAsia" w:ascii="宋体" w:hAnsi="宋体" w:cs="宋体"/>
          <w:bCs/>
          <w:sz w:val="21"/>
          <w:szCs w:val="24"/>
          <w:highlight w:val="none"/>
          <w:u w:val="none"/>
          <w:lang w:val="en-US" w:eastAsia="zh-CN"/>
        </w:rPr>
        <w:t xml:space="preserve">)</w:t>
      </w:r>
      <w:r>
        <w:rPr>
          <w:rFonts w:hint="eastAsia" w:ascii="宋体" w:hAnsi="宋体" w:cs="宋体"/>
          <w:bCs/>
          <w:sz w:val="21"/>
          <w:szCs w:val="24"/>
          <w:highlight w:val="none"/>
          <w:u w:val="none"/>
        </w:rPr>
        <w:t xml:space="preserve">文件</w:t>
      </w:r>
      <w:r>
        <w:rPr>
          <w:rFonts w:hint="eastAsia" w:ascii="宋体" w:hAnsi="宋体" w:cs="宋体"/>
          <w:bCs/>
          <w:sz w:val="21"/>
          <w:szCs w:val="24"/>
          <w:highlight w:val="none"/>
          <w:u w:val="none"/>
          <w:lang w:val="en-US" w:eastAsia="zh-CN"/>
        </w:rPr>
        <w:t xml:space="preserve">*0.85</w:t>
      </w:r>
      <w:r>
        <w:rPr>
          <w:rFonts w:hint="eastAsia" w:ascii="宋体" w:hAnsi="宋体" w:cs="宋体"/>
          <w:bCs/>
          <w:sz w:val="21"/>
          <w:szCs w:val="24"/>
          <w:highlight w:val="none"/>
          <w:u w:val="none"/>
        </w:rPr>
        <w:t xml:space="preserve">规定的标准收取。</w:t>
      </w:r>
      <w:r>
        <w:rPr>
          <w:rFonts w:hint="eastAsia" w:ascii="宋体" w:hAnsi="宋体" w:cs="宋体"/>
          <w:bCs/>
          <w:highlight w:val="none"/>
        </w:rPr>
        <w:t xml:space="preserve">中标人</w:t>
      </w:r>
      <w:r>
        <w:rPr>
          <w:rFonts w:hint="eastAsia" w:ascii="宋体" w:hAnsi="宋体" w:cs="宋体"/>
          <w:bCs/>
          <w:highlight w:val="none"/>
          <w:lang w:val="en-US" w:eastAsia="zh-CN"/>
        </w:rPr>
        <w:t xml:space="preserve">在</w:t>
      </w:r>
      <w:r>
        <w:rPr>
          <w:rFonts w:hint="eastAsia" w:ascii="宋体" w:hAnsi="宋体" w:cs="宋体"/>
          <w:bCs/>
          <w:sz w:val="21"/>
          <w:szCs w:val="24"/>
          <w:highlight w:val="none"/>
          <w:u w:val="none"/>
        </w:rPr>
        <w:t xml:space="preserve">领取中标通知书时一次性支付</w:t>
      </w:r>
      <w:r>
        <w:rPr>
          <w:rFonts w:hint="eastAsia" w:ascii="宋体" w:hAnsi="宋体" w:cs="宋体"/>
          <w:bCs/>
          <w:highlight w:val="none"/>
        </w:rPr>
        <w:t xml:space="preserve">，费用含在投标报价总额中，不单独计列。</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16.3开标公证费：无。</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四、投标文件的递交</w:t>
      </w:r>
      <w:r/>
    </w:p>
    <w:p>
      <w:pPr>
        <w:ind w:firstLine="480"/>
        <w:keepLines w:val="0"/>
        <w:keepNext w:val="0"/>
        <w:pageBreakBefore w:val="0"/>
        <w:spacing w:line="440" w:lineRule="exact"/>
        <w:shd w:val="clear" w:color="auto" w:fill="ffffff"/>
        <w:widowControl/>
        <w:rPr>
          <w:rFonts w:hint="eastAsia" w:ascii="宋体" w:hAnsi="宋体" w:cs="宋体"/>
          <w:b/>
          <w:bCs w:val="0"/>
          <w:color w:val="auto"/>
          <w:sz w:val="21"/>
          <w:szCs w:val="21"/>
          <w:highlight w:val="none"/>
        </w:rPr>
      </w:pPr>
      <w:r>
        <w:rPr>
          <w:rFonts w:hint="eastAsia" w:ascii="宋体" w:hAnsi="宋体" w:cs="宋体"/>
          <w:b/>
          <w:bCs w:val="0"/>
          <w:color w:val="auto"/>
          <w:sz w:val="21"/>
          <w:szCs w:val="21"/>
          <w:highlight w:val="none"/>
        </w:rPr>
        <w:t xml:space="preserve">1</w:t>
      </w:r>
      <w:r>
        <w:rPr>
          <w:rFonts w:hint="eastAsia" w:ascii="宋体" w:hAnsi="宋体" w:cs="宋体"/>
          <w:b/>
          <w:bCs w:val="0"/>
          <w:color w:val="auto"/>
          <w:sz w:val="21"/>
          <w:szCs w:val="21"/>
          <w:highlight w:val="none"/>
          <w:lang w:val="en-US" w:eastAsia="zh-CN"/>
        </w:rPr>
        <w:t xml:space="preserve">7</w:t>
      </w:r>
      <w:r>
        <w:rPr>
          <w:rFonts w:hint="eastAsia" w:ascii="宋体" w:hAnsi="宋体" w:cs="宋体"/>
          <w:b/>
          <w:bCs w:val="0"/>
          <w:color w:val="auto"/>
          <w:sz w:val="21"/>
          <w:szCs w:val="21"/>
          <w:highlight w:val="none"/>
        </w:rPr>
        <w:t xml:space="preserve">.电子投标文件的递交</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.1 </w:t>
      </w:r>
      <w:r>
        <w:rPr>
          <w:rFonts w:hint="eastAsia" w:ascii="宋体" w:hAnsi="宋体" w:cs="宋体"/>
          <w:bCs/>
          <w:color w:val="auto"/>
          <w:sz w:val="21"/>
          <w:szCs w:val="21"/>
          <w:highlight w:val="none"/>
          <w:lang w:val="zh-CN"/>
        </w:rPr>
        <w:t xml:space="preserve">投标人应当按照《操作手册》规定，在投标截止时间前制作并递交（上传）电子投标文件。</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.2 </w:t>
      </w:r>
      <w:r>
        <w:rPr>
          <w:rFonts w:hint="eastAsia" w:ascii="宋体" w:hAnsi="宋体" w:cs="宋体"/>
          <w:bCs/>
          <w:color w:val="auto"/>
          <w:sz w:val="21"/>
          <w:szCs w:val="21"/>
          <w:highlight w:val="none"/>
          <w:lang w:val="zh-CN"/>
        </w:rPr>
        <w:t xml:space="preserve">投标人递交（上传）电子投标文件的时间不得迟于招标公告中规定的投标截止时间。</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.3 </w:t>
      </w:r>
      <w:r>
        <w:rPr>
          <w:rFonts w:hint="eastAsia" w:ascii="宋体" w:hAnsi="宋体" w:cs="宋体"/>
          <w:bCs/>
          <w:color w:val="auto"/>
          <w:sz w:val="21"/>
          <w:szCs w:val="21"/>
          <w:highlight w:val="none"/>
          <w:lang w:val="zh-CN"/>
        </w:rPr>
        <w:t xml:space="preserve">投标人应充分考虑计算机硬件、软件及网络环境等风险因素，如因投标人自身原因造成电子投标文件递交（上传）不成功的，按照本招标文件规定做无效投标处理。</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1</w:t>
      </w:r>
      <w:r>
        <w:rPr>
          <w:rFonts w:hint="eastAsia" w:ascii="宋体" w:hAnsi="宋体" w:cs="宋体"/>
          <w:bCs/>
          <w:color w:val="auto"/>
          <w:sz w:val="21"/>
          <w:szCs w:val="21"/>
          <w:highlight w:val="none"/>
        </w:rPr>
        <w:t xml:space="preserve">7</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lang w:val="zh-CN"/>
        </w:rPr>
        <w:t xml:space="preserve">．在招标文件规定的投标截止时间后递交（上传）的任何投标文件将被拒收。</w:t>
      </w:r>
      <w:r/>
    </w:p>
    <w:p>
      <w:pPr>
        <w:ind w:firstLine="480"/>
        <w:keepLines w:val="0"/>
        <w:keepNext w:val="0"/>
        <w:pageBreakBefore w:val="0"/>
        <w:spacing w:line="440" w:lineRule="exact"/>
        <w:shd w:val="clear" w:color="auto" w:fill="ffffff"/>
        <w:widowControl/>
        <w:rPr>
          <w:rFonts w:hint="eastAsia" w:ascii="宋体" w:hAnsi="宋体" w:cs="宋体"/>
          <w:b/>
          <w:bCs w:val="0"/>
          <w:color w:val="auto"/>
          <w:sz w:val="21"/>
          <w:szCs w:val="21"/>
          <w:highlight w:val="none"/>
        </w:rPr>
      </w:pPr>
      <w:r>
        <w:rPr>
          <w:rFonts w:hint="eastAsia" w:ascii="宋体" w:hAnsi="宋体" w:cs="宋体"/>
          <w:b/>
          <w:bCs w:val="0"/>
          <w:color w:val="auto"/>
          <w:sz w:val="21"/>
          <w:szCs w:val="21"/>
          <w:highlight w:val="none"/>
        </w:rPr>
        <w:t xml:space="preserve">18.下列情形，将作为无效投标处理：</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（1）投标人未按照招标文件要求递交（上传）电子投标文件的。</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（2）投标人在“苏采云”系统规定的时间内未成功解密电子投标文件的。</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19、投标文件的修改和撤回</w:t>
      </w:r>
      <w:r/>
    </w:p>
    <w:p>
      <w:pPr>
        <w:ind w:firstLine="482"/>
        <w:pageBreakBefore w:val="0"/>
        <w:spacing w:line="440" w:lineRule="exact"/>
        <w:widowControl/>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19.1 投标文件的撤回</w:t>
      </w:r>
      <w:r/>
    </w:p>
    <w:p>
      <w:pPr>
        <w:ind w:firstLine="48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.1.1 投标人可在投标截止时间前撤回其电子投标文件，具体操作方法见《操作手册》。</w:t>
      </w:r>
      <w:r/>
    </w:p>
    <w:p>
      <w:pPr>
        <w:ind w:firstLine="48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.1.2 投标人撤回电子投标文件，则认为其不再参与本项目投标活动。</w:t>
      </w:r>
      <w:r/>
    </w:p>
    <w:p>
      <w:pPr>
        <w:ind w:firstLine="482"/>
        <w:pageBreakBefore w:val="0"/>
        <w:spacing w:line="440" w:lineRule="exact"/>
        <w:widowControl/>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19</w:t>
      </w:r>
      <w:r>
        <w:rPr>
          <w:rFonts w:hint="eastAsia" w:ascii="宋体" w:hAnsi="宋体" w:cs="宋体"/>
          <w:b/>
          <w:bCs/>
          <w:color w:val="auto"/>
          <w:sz w:val="21"/>
          <w:szCs w:val="21"/>
          <w:highlight w:val="none"/>
          <w:lang w:val="zh-CN"/>
        </w:rPr>
        <w:t xml:space="preserve">.2 投标文件的修改</w:t>
      </w:r>
      <w:r/>
    </w:p>
    <w:p>
      <w:pPr>
        <w:ind w:firstLine="48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.2.1 投标人可在投标截止时间前对其电子投标文件进行修改，具体操作方法见《操作手册》。</w:t>
      </w:r>
      <w:r/>
    </w:p>
    <w:p>
      <w:pPr>
        <w:ind w:firstLine="48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.2.2 投标截止时间之后，投标人不得对其电子投标文件作任何修改。</w:t>
      </w:r>
      <w:r/>
    </w:p>
    <w:p>
      <w:pPr>
        <w:ind w:firstLine="48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.3 在投标截止时间至招标文件中规定的投标有效期满之间的这段时间内，投标人不得撤回其投标。</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20、诚实信用</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20.1投标人应当遵循公平竞争的原则，不得恶意串通，不得妨碍其他投标人的竞争行为，不得损害采购人或者其他投标人的合法权益。</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20.2在评标过程中发现投标人有上述情形的，评标委员会应当认定其投标无效，并书面报告本级财政部门。</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五、开标、评标与定标</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21、开标</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21.2 投标人在开标过程中涉及到的投标文件解密、开标结果确认等工作，应按照《操作手册》规定执行。</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21.3投标人不足3家的，不得开标。</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21.4 投标人如果对开标过程和开标结果有疑义，应当根据《操作手册》规定提出，“苏采云”系统中《开标记录表》公布后5分钟内未提出的，视同认可开标结果。</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（1）招标文件存在不合理条款或者招标程序不符合规定的，采购人、采购代理机构改正后依法重新招标；</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（2）招标文件没有不合理条款、招标程序符合规定，需要采用其他采购方式采购的，采购人依法报财政部门批准，经批准后，可变更为其他采购方式采购。</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22、评标</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22.1 评标委员会</w:t>
      </w:r>
      <w:r/>
    </w:p>
    <w:p>
      <w:pPr>
        <w:ind w:firstLine="482"/>
        <w:keepLines w:val="0"/>
        <w:keepNext w:val="0"/>
        <w:pageBreakBefore w:val="0"/>
        <w:spacing w:line="440" w:lineRule="exact"/>
        <w:shd w:val="clear" w:color="auto" w:fill="ffffff"/>
        <w:widowControl/>
        <w:rPr>
          <w:rFonts w:ascii="宋体" w:hAnsi="宋体" w:cs="宋体"/>
          <w:bCs/>
          <w:color w:val="auto"/>
          <w:sz w:val="21"/>
          <w:szCs w:val="21"/>
          <w:highlight w:val="none"/>
        </w:rPr>
      </w:pPr>
      <w:r>
        <w:rPr>
          <w:rFonts w:hint="eastAsia" w:ascii="宋体" w:hAnsi="宋体" w:cs="宋体"/>
          <w:b/>
          <w:bCs/>
          <w:color w:val="auto"/>
          <w:sz w:val="21"/>
          <w:szCs w:val="21"/>
          <w:highlight w:val="none"/>
        </w:rPr>
        <w:t xml:space="preserve">22.1.1</w:t>
      </w:r>
      <w:r>
        <w:rPr>
          <w:rFonts w:hint="eastAsia" w:ascii="宋体" w:hAnsi="宋体" w:cs="宋体"/>
          <w:bCs/>
          <w:color w:val="auto"/>
          <w:sz w:val="21"/>
          <w:szCs w:val="21"/>
          <w:highlight w:val="none"/>
        </w:rPr>
        <w:t xml:space="preserve">评标委员会负责具体评标事务，并独立履行下列职责：</w:t>
      </w:r>
      <w:r/>
    </w:p>
    <w:p>
      <w:pPr>
        <w:ind w:firstLine="480"/>
        <w:keepLines w:val="0"/>
        <w:keepNext w:val="0"/>
        <w:pageBreakBefore w:val="0"/>
        <w:spacing w:line="440" w:lineRule="exact"/>
        <w:shd w:val="clear" w:color="auto" w:fill="ffffff"/>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（一）审查、评价投标文件是否符合招标文件的商务、技术等实质性要求；</w:t>
      </w:r>
      <w:r/>
    </w:p>
    <w:p>
      <w:pPr>
        <w:ind w:firstLine="480"/>
        <w:keepLines w:val="0"/>
        <w:keepNext w:val="0"/>
        <w:pageBreakBefore w:val="0"/>
        <w:spacing w:line="440" w:lineRule="exact"/>
        <w:shd w:val="clear" w:color="auto" w:fill="ffffff"/>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（二）要求投标人对投标文件有关事项作出澄清或者说明；</w:t>
      </w:r>
      <w:r/>
    </w:p>
    <w:p>
      <w:pPr>
        <w:ind w:firstLine="480"/>
        <w:keepLines w:val="0"/>
        <w:keepNext w:val="0"/>
        <w:pageBreakBefore w:val="0"/>
        <w:spacing w:line="440" w:lineRule="exact"/>
        <w:shd w:val="clear" w:color="auto" w:fill="ffffff"/>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（三）对投标文件进行比较和评价；</w:t>
      </w:r>
      <w:r/>
    </w:p>
    <w:p>
      <w:pPr>
        <w:ind w:firstLine="480"/>
        <w:keepLines w:val="0"/>
        <w:keepNext w:val="0"/>
        <w:pageBreakBefore w:val="0"/>
        <w:spacing w:line="440" w:lineRule="exact"/>
        <w:shd w:val="clear" w:color="auto" w:fill="ffffff"/>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（四）确定中标候选人名单，以及根据采购人委托直接确定中标人；</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（五）向采购人、采购代理机构或者有关部门报告评标中发现的违法行为。</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22.1.2 </w:t>
      </w:r>
      <w:r>
        <w:rPr>
          <w:rFonts w:hint="eastAsia" w:ascii="宋体" w:hAnsi="宋体" w:cs="宋体"/>
          <w:color w:val="auto"/>
          <w:sz w:val="21"/>
          <w:szCs w:val="21"/>
          <w:highlight w:val="none"/>
        </w:rPr>
        <w:t xml:space="preserve">评标委员会由</w:t>
      </w:r>
      <w:r>
        <w:rPr>
          <w:rFonts w:hint="eastAsia" w:ascii="宋体" w:hAnsi="宋体" w:cs="宋体"/>
          <w:bCs/>
          <w:color w:val="auto"/>
          <w:sz w:val="21"/>
          <w:szCs w:val="21"/>
          <w:highlight w:val="none"/>
        </w:rPr>
        <w:t xml:space="preserve">采购人</w:t>
      </w:r>
      <w:r>
        <w:rPr>
          <w:rFonts w:hint="eastAsia" w:ascii="宋体" w:hAnsi="宋体" w:cs="宋体"/>
          <w:color w:val="auto"/>
          <w:sz w:val="21"/>
          <w:szCs w:val="21"/>
          <w:highlight w:val="none"/>
        </w:rPr>
        <w:t xml:space="preserve">代表和有关技术、经济等方面的专家组成，独立开展评审工作。</w:t>
      </w:r>
      <w:r/>
    </w:p>
    <w:p>
      <w:pPr>
        <w:ind w:firstLine="482"/>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22.2  评标程序</w:t>
      </w:r>
      <w:r/>
    </w:p>
    <w:p>
      <w:pPr>
        <w:ind w:firstLine="482"/>
        <w:jc w:val="left"/>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22.2.1 </w:t>
      </w:r>
      <w:r>
        <w:rPr>
          <w:rFonts w:hint="eastAsia" w:ascii="宋体" w:hAnsi="宋体" w:cs="宋体"/>
          <w:b/>
          <w:bCs/>
          <w:color w:val="auto"/>
          <w:sz w:val="21"/>
          <w:szCs w:val="21"/>
          <w:highlight w:val="none"/>
        </w:rPr>
        <w:t xml:space="preserve">投标文件的资格性检查。</w:t>
      </w:r>
      <w:r>
        <w:rPr>
          <w:rFonts w:hint="eastAsia" w:ascii="宋体" w:hAnsi="宋体" w:cs="宋体"/>
          <w:color w:val="auto"/>
          <w:sz w:val="21"/>
          <w:szCs w:val="21"/>
          <w:highlight w:val="none"/>
        </w:rPr>
        <w:t xml:space="preserve">公开招标采购项目开标结束后，采购人或者采购代理机构应当依法对投标人的资格进行审查。合格投标人不足3家的，不得评标。</w:t>
      </w:r>
      <w:r/>
    </w:p>
    <w:p>
      <w:pPr>
        <w:ind w:firstLine="482"/>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22.2.2投标文件的符合性审查</w:t>
      </w:r>
      <w:r>
        <w:rPr>
          <w:rFonts w:hint="eastAsia" w:ascii="宋体" w:hAnsi="宋体" w:cs="宋体"/>
          <w:color w:val="auto"/>
          <w:sz w:val="21"/>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（1）投标人在“苏采云”系统规定的时间内未成功解密电子投标文件的；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（2）投标人未按照招标文件要求上传电子投标文件的；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（3）同一投标人提交两个（含两个）以上不同的投标报价的；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（4）投标文件未按照招标文件要求加盖电子公章的；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（5）不具备招标文件中规定的资格要求的；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（6）报价超过招标文件中规定的预算金额或者最高限价</w:t>
      </w:r>
      <w:r>
        <w:rPr>
          <w:rFonts w:hint="eastAsia" w:ascii="宋体" w:hAnsi="宋体" w:cs="宋体"/>
          <w:b/>
          <w:color w:val="auto"/>
          <w:sz w:val="21"/>
          <w:szCs w:val="21"/>
          <w:highlight w:val="none"/>
          <w:lang w:val="en-US" w:eastAsia="zh-CN"/>
        </w:rPr>
        <w:t xml:space="preserve">(单价及总价）</w:t>
      </w:r>
      <w:r>
        <w:rPr>
          <w:rFonts w:hint="eastAsia" w:ascii="宋体" w:hAnsi="宋体" w:cs="宋体"/>
          <w:b/>
          <w:color w:val="auto"/>
          <w:sz w:val="21"/>
          <w:szCs w:val="21"/>
          <w:highlight w:val="none"/>
        </w:rPr>
        <w:t xml:space="preserve">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（7）投标文件含有采购人不能接受的附加条件的；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（8）投标文件内容不全或不符合招标文件中规定的其他实质性要求的；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（9）现行法律、法规、规章和招标文件规定的其他无效情形。</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u w:val="single"/>
        </w:rPr>
      </w:pPr>
      <w:r>
        <w:rPr>
          <w:rFonts w:hint="eastAsia" w:ascii="宋体" w:hAnsi="宋体" w:cs="宋体"/>
          <w:b/>
          <w:bCs/>
          <w:color w:val="auto"/>
          <w:sz w:val="21"/>
          <w:szCs w:val="21"/>
          <w:highlight w:val="none"/>
        </w:rPr>
        <w:t xml:space="preserve">22.2.2.1 </w:t>
      </w:r>
      <w:r>
        <w:rPr>
          <w:rFonts w:hint="eastAsia" w:ascii="宋体" w:hAnsi="宋体" w:cs="宋体"/>
          <w:b/>
          <w:bCs/>
          <w:color w:val="auto"/>
          <w:sz w:val="21"/>
          <w:szCs w:val="21"/>
          <w:highlight w:val="none"/>
          <w:u w:val="single"/>
        </w:rPr>
        <w:t xml:space="preserve">实质性要求是指本招标文件中用带星号（“*”）、“必须”或“应（应当）”等其他文字说明的商务和技术要求。</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ascii="宋体" w:hAnsi="宋体" w:cs="宋体"/>
          <w:b/>
          <w:bCs/>
          <w:color w:val="auto"/>
          <w:sz w:val="21"/>
          <w:szCs w:val="21"/>
          <w:highlight w:val="none"/>
        </w:rPr>
        <w:t xml:space="preserve">22.2.2.</w:t>
      </w:r>
      <w:r>
        <w:rPr>
          <w:rFonts w:hint="eastAsia" w:ascii="宋体" w:hAnsi="宋体" w:cs="宋体"/>
          <w:b/>
          <w:bCs/>
          <w:color w:val="auto"/>
          <w:sz w:val="21"/>
          <w:szCs w:val="21"/>
          <w:highlight w:val="none"/>
        </w:rPr>
        <w:t xml:space="preserve">2未通过资格审查或符合性审查的投标人，代理机构将通过“苏采云”系统告知其具体原因，评标结束后不再接受有关询问。</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22.2.2.3有下列情形之一的予以废标：</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（1）符合专业条件的投标人或者对招标文件作实质性响应的投标人不足三家的；</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（2）出现影响采购公正的违法、违规行为的；</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（3）投标人的报价均超过了采购预算，采购人不能支付的；</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（4）因苏采云系统故障造成开标不成功的；</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（5）因重大变故，采购任务取消的。</w:t>
      </w:r>
      <w:r/>
    </w:p>
    <w:p>
      <w:pPr>
        <w:ind w:firstLine="480"/>
        <w:jc w:val="left"/>
        <w:keepLines w:val="0"/>
        <w:keepNext w:val="0"/>
        <w:pageBreakBefore w:val="0"/>
        <w:spacing w:line="440" w:lineRule="exact"/>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（6）投标人以明显低于其他通过符合性审查投标人的报价，有可能影响产品质量或者不能诚信履约的，且不能证明其报价合理性的。</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 评标过程中出现下列情形之一的，评委会应当启动异常低价审查程序：</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（1）投标报价低于全部通过符合性审查供应商投标报价平均值50%的，即投标报价&lt;全部通过符合性审查供应商投标报价平均值×50%；</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（2）投标报价低于通过符合性审查的次低报价供应商投标报价50%的，即投标报价&lt;通过符合性审查的次低报价供应商投标报价×50%；</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（3）投标报价低于采购项目最高限价45%的，即投标报价&lt;采购项目最高限价×45%；</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（4）评委会基于专业判断，认为供应商报价过低，有可能影响产品质量或者不能诚信履约的其他情形。</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28"/>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22.2.3</w:t>
      </w:r>
      <w:r>
        <w:rPr>
          <w:rFonts w:hint="eastAsia" w:ascii="宋体" w:hAnsi="宋体" w:cs="宋体"/>
          <w:b/>
          <w:bCs/>
          <w:color w:val="auto"/>
          <w:sz w:val="21"/>
          <w:szCs w:val="21"/>
          <w:highlight w:val="none"/>
        </w:rPr>
        <w:t xml:space="preserve">澄清有关问题</w:t>
      </w:r>
      <w:r>
        <w:rPr>
          <w:rFonts w:hint="eastAsia" w:ascii="宋体" w:hAnsi="宋体" w:cs="宋体"/>
          <w:color w:val="auto"/>
          <w:sz w:val="21"/>
          <w:szCs w:val="21"/>
          <w:highlight w:val="none"/>
        </w:rPr>
        <w:t xml:space="preserve">。</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投标人的澄清、说明或者补正不得超出投标文件的范围或者改变投标文件的实质性内容。</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评委会并非对每个投标人都做澄清要求。</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22.2.3.3 接到评委会澄清、说明和补正要求的，投标人如未按规定作出澄清、说明和补正，其风险由投标人自行承担。</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22.2.3.4投标文件报价出现前后不一致的，除招标文件另有规定外，按照下列规定修正：</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（1）投标文件中开标一览表（报价表）内容与投标文件中相应内容不一致的，以开标一览表（报价表）为准；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（2）大写金额和小写金额不一致的，以大写金额为准；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（3）单价金额小数点或者百分比有明显错位的，以开标一览表的总价为准，并修改单价；</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（4）总价金额与按单价汇总金额不一致的，以单价金额计算结果为准。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ascii="宋体" w:hAnsi="宋体" w:cs="宋体"/>
          <w:color w:val="auto"/>
          <w:sz w:val="21"/>
          <w:szCs w:val="21"/>
          <w:highlight w:val="none"/>
        </w:rPr>
        <w:t xml:space="preserve">2.2.3.</w:t>
      </w:r>
      <w:r>
        <w:rPr>
          <w:rFonts w:hint="eastAsia" w:ascii="宋体" w:hAnsi="宋体" w:cs="宋体"/>
          <w:color w:val="auto"/>
          <w:sz w:val="21"/>
          <w:szCs w:val="21"/>
          <w:highlight w:val="none"/>
        </w:rPr>
        <w:t xml:space="preserve">5投标人在开、评标全过程中应保持通讯畅通，及时登录苏采云系统查阅、答复相关信息，并安排专人与代理机构及评委会联系。</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sz w:val="21"/>
          <w:szCs w:val="21"/>
          <w:highlight w:val="none"/>
        </w:rPr>
        <w:t xml:space="preserve">投标人不能证明其报价合理性的，评标委员会将其作为无效投标处理。</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22.2.4</w:t>
      </w:r>
      <w:r>
        <w:rPr>
          <w:rFonts w:hint="eastAsia" w:ascii="宋体" w:hAnsi="宋体" w:cs="宋体"/>
          <w:bCs/>
          <w:color w:val="auto"/>
          <w:sz w:val="21"/>
          <w:szCs w:val="21"/>
          <w:highlight w:val="none"/>
        </w:rPr>
        <w:t xml:space="preserve">比较与评价。</w:t>
      </w:r>
      <w:r>
        <w:rPr>
          <w:rFonts w:hint="eastAsia" w:ascii="宋体" w:hAnsi="宋体" w:cs="宋体"/>
          <w:color w:val="auto"/>
          <w:sz w:val="21"/>
          <w:szCs w:val="21"/>
          <w:highlight w:val="none"/>
        </w:rPr>
        <w:t xml:space="preserve">评标委员会应当按照招标文件中规定的评标方法和标准，对符合性审查合格的投标文件进行商务和技术评估，综合比较与评价。</w:t>
      </w:r>
      <w:r/>
    </w:p>
    <w:p>
      <w:pPr>
        <w:ind w:firstLine="482"/>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22.3 评标方法和标准</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22.3.1评标方法分为最低评标价法和综合评分法。本次招标的评标方法和标准，详见本招标文件第三章。</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22.3.2最低评标价法，是指投标文件满足招标文件全部实质性要求，且投标报价最低的投标人为中标候选人的评标方法。</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采用最低评标价法评标时，除了算术修正和落实政府采购政策需进行的价格扣除外，不对投标人的投标价格进行任何调整。</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22.3.3综合评分法，是指投标文件满足招标文件全部实质性要求，且按照评审因素的量化指标评审得分最高的投标人为中标候选人的评标方法。</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评审因素，包括价格、技术、商务等。</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评标时，评标委员会各成员应当独立对每个投标人的投标文件进行评价，并汇总每个投标人的得分。</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因落实政府采购政策进行价格调整的，以调整后的价格计算评标基准价和投标报价。</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23、</w:t>
      </w:r>
      <w:r>
        <w:rPr>
          <w:rFonts w:hint="eastAsia" w:ascii="宋体" w:hAnsi="宋体" w:cs="宋体"/>
          <w:b/>
          <w:color w:val="auto"/>
          <w:sz w:val="21"/>
          <w:szCs w:val="21"/>
          <w:highlight w:val="none"/>
        </w:rPr>
        <w:t xml:space="preserve">确定中标人</w:t>
      </w:r>
      <w:r/>
    </w:p>
    <w:p>
      <w:pPr>
        <w:ind w:firstLine="241"/>
        <w:jc w:val="left"/>
        <w:pageBreakBefore w:val="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hint="eastAsia" w:ascii="宋体" w:hAnsi="宋体" w:cs="宋体"/>
          <w:color w:val="auto"/>
          <w:sz w:val="21"/>
          <w:szCs w:val="21"/>
          <w:highlight w:val="none"/>
          <w:lang w:val="en-US" w:eastAsia="zh-CN"/>
        </w:rPr>
        <w:t xml:space="preserve">1本项目</w:t>
      </w:r>
      <w:r>
        <w:rPr>
          <w:rFonts w:hint="eastAsia" w:ascii="宋体" w:hAnsi="宋体" w:cs="宋体"/>
          <w:color w:val="auto"/>
          <w:sz w:val="21"/>
          <w:szCs w:val="21"/>
          <w:highlight w:val="none"/>
        </w:rPr>
        <w:t xml:space="preserve">采用综合评分法，</w:t>
      </w:r>
      <w:r>
        <w:rPr>
          <w:rFonts w:hint="eastAsia" w:ascii="宋体" w:hAnsi="宋体" w:cs="宋体"/>
          <w:color w:val="auto"/>
          <w:sz w:val="21"/>
          <w:szCs w:val="21"/>
          <w:highlight w:val="none"/>
          <w:lang w:val="zh-CN"/>
        </w:rPr>
        <w:t xml:space="preserve">评标委员会按照招标文件所确定的评分方法计算出</w:t>
      </w:r>
      <w:r>
        <w:rPr>
          <w:rFonts w:hint="eastAsia" w:ascii="宋体" w:hAnsi="宋体" w:cs="宋体"/>
          <w:color w:val="auto"/>
          <w:sz w:val="21"/>
          <w:szCs w:val="21"/>
          <w:highlight w:val="none"/>
        </w:rPr>
        <w:t xml:space="preserve">供应商</w:t>
      </w:r>
      <w:r>
        <w:rPr>
          <w:rFonts w:hint="eastAsia" w:ascii="宋体" w:hAnsi="宋体" w:cs="宋体"/>
          <w:color w:val="auto"/>
          <w:sz w:val="21"/>
          <w:szCs w:val="21"/>
          <w:highlight w:val="none"/>
          <w:lang w:val="zh-CN"/>
        </w:rPr>
        <w:t xml:space="preserve">的综合得分，按综合得分</w:t>
      </w:r>
      <w:r>
        <w:rPr>
          <w:rFonts w:hint="eastAsia" w:ascii="宋体" w:hAnsi="宋体" w:cs="宋体"/>
          <w:color w:val="auto"/>
          <w:sz w:val="21"/>
          <w:szCs w:val="21"/>
          <w:highlight w:val="none"/>
        </w:rPr>
        <w:t xml:space="preserve">从高到低进行排序，</w:t>
      </w:r>
      <w:r>
        <w:rPr>
          <w:rFonts w:hint="eastAsia" w:ascii="宋体" w:hAnsi="宋体" w:cs="宋体"/>
          <w:color w:val="auto"/>
          <w:sz w:val="21"/>
          <w:szCs w:val="21"/>
          <w:highlight w:val="none"/>
          <w:lang w:val="zh-CN"/>
        </w:rPr>
        <w:t xml:space="preserve">推荐排名第一的</w:t>
      </w:r>
      <w:r>
        <w:rPr>
          <w:rFonts w:hint="eastAsia" w:ascii="宋体" w:hAnsi="宋体" w:cs="宋体"/>
          <w:color w:val="auto"/>
          <w:sz w:val="21"/>
          <w:szCs w:val="21"/>
          <w:highlight w:val="none"/>
        </w:rPr>
        <w:t xml:space="preserve">供应商</w:t>
      </w:r>
      <w:r>
        <w:rPr>
          <w:rFonts w:hint="eastAsia" w:ascii="宋体" w:hAnsi="宋体" w:cs="宋体"/>
          <w:color w:val="auto"/>
          <w:sz w:val="21"/>
          <w:szCs w:val="21"/>
          <w:highlight w:val="none"/>
          <w:lang w:val="zh-CN"/>
        </w:rPr>
        <w:t xml:space="preserve">为中标候选人，排名第二、第三的依次为后备的中标候选人。</w:t>
      </w:r>
      <w:bookmarkStart w:id="6" w:name="_Toc506212457"/>
      <w:r>
        <w:rPr>
          <w:rFonts w:hint="eastAsia" w:ascii="宋体" w:hAnsi="宋体" w:cs="宋体"/>
          <w:color w:val="auto"/>
          <w:sz w:val="21"/>
          <w:szCs w:val="21"/>
          <w:highlight w:val="none"/>
        </w:rPr>
        <w:t xml:space="preserve">当出现2份或2份以上投标文件综合得分相同时，按以下方法确定排名：</w:t>
      </w:r>
      <w:r/>
    </w:p>
    <w:p>
      <w:pPr>
        <w:ind w:firstLine="241"/>
        <w:jc w:val="left"/>
        <w:pageBreakBefore w:val="0"/>
        <w:spacing w:line="440" w:lineRule="exact"/>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①取投标报价低的投标人排名在前</w:t>
      </w:r>
      <w:bookmarkStart w:id="7" w:name="_Hlk76396883"/>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ab/>
      </w:r>
      <w:r/>
    </w:p>
    <w:p>
      <w:pPr>
        <w:ind w:firstLine="241"/>
        <w:jc w:val="left"/>
        <w:pageBreakBefore w:val="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②投标报价仍相同，取养护方案得分较高者排名在前；</w:t>
      </w:r>
      <w:r/>
    </w:p>
    <w:p>
      <w:pPr>
        <w:ind w:firstLine="241"/>
        <w:jc w:val="left"/>
        <w:pageBreakBefore w:val="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③若养护方案得分仍相同，由评标委员会从其拟派的人员、业绩等方面，通过集体讨论确定其排名先后。</w:t>
      </w:r>
      <w:bookmarkEnd w:id="6"/>
      <w:r/>
      <w:bookmarkEnd w:id="7"/>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23.</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中标通知书对采购人和中标人具有同等法律效力。中标通知书发出后，采购人不得</w:t>
      </w:r>
      <w:r>
        <w:rPr>
          <w:rFonts w:hint="eastAsia" w:ascii="宋体" w:hAnsi="宋体" w:cs="宋体"/>
          <w:b/>
          <w:color w:val="auto"/>
          <w:sz w:val="21"/>
          <w:szCs w:val="21"/>
          <w:highlight w:val="none"/>
        </w:rPr>
        <w:t xml:space="preserve">违法改变中标结果，中标人无正当理由不得放弃中标。</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所有投标文件不论中标与否，均不退回。</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24、编写评标报告</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24.1评标委员会根据全体评标成员签字的原始评标记录和评标结果编写评标报告。</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25、评标过程的保密性</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25.1 采购人和采购代理机构将采取必要措施，保证评标在严格保密的情况下进行。</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25.2 任何单位和个人不得非法干预、影响评标办法的确定，以及评标过程和结果。</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25.3 凡是与审查、澄清、评价和比较投标的有关资料等，均不向投标人及与评标无关的其他人员透露。</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六、签订合同</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26、签订合同</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26.2</w:t>
      </w:r>
      <w:r>
        <w:rPr>
          <w:rFonts w:hint="eastAsia" w:ascii="宋体" w:hAnsi="宋体" w:cs="宋体"/>
          <w:color w:val="auto"/>
          <w:sz w:val="21"/>
          <w:szCs w:val="21"/>
          <w:highlight w:val="none"/>
        </w:rPr>
        <w:t xml:space="preserve">除继续履行将损害国家利益和社会公众利益的，政府采购合同的双方当事人不得擅自变更、中止或者终止合同。</w:t>
      </w:r>
      <w:r>
        <w:rPr>
          <w:rFonts w:hint="eastAsia" w:ascii="宋体" w:hAnsi="宋体" w:cs="宋体"/>
          <w:b/>
          <w:bCs/>
          <w:color w:val="auto"/>
          <w:sz w:val="21"/>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26.3采购人不得向中标人提出任何不合理的要求作为签订合同的条件。</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26.6 采购人与中标人应当根据合同的约定依法履行合同义务。</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七、质疑和投诉</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27、质疑</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auto"/>
          <w:sz w:val="21"/>
          <w:szCs w:val="21"/>
          <w:highlight w:val="none"/>
        </w:rPr>
        <w:t xml:space="preserve">。</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27.2提出质疑的供应商应当是参与所质疑项目采购活动的供应商。潜在供应商已依法获取其可质疑的采购文件的，可以对该文件提出质疑。</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供应商必须在法定质疑期内一次性提出针对同一采购程序环节的质疑。</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27.4 供应商提出质疑应当提交质疑函和必要的证明材料。质疑函应当包括下列内容：</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（一）供应商的姓名或者名称、地址、邮编、联系人及联系电话；</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（二）质疑项目的名称、编号；</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（三）具体、明确的质疑事项和与质疑事项相关的请求（具体条款）；</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（四）事实依据（具体条款）；</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（五）必要的法律依据（具体条款）；</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（六）提出质疑的日期。</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质疑函应当使用中文。相关当事人提供外文书证或者外国语视听资料的，应当附有中文译本，由翻译机构盖章或者翻译人员签名。</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27.5质疑函应当现场提交至采购代理机构联系人处，提交时应出示有效身份证明。未按上述要求提交质疑函的，质疑不予受理。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27.7采购代理机构在收到投标人的书面质疑后将及时组织调查核实，在</w:t>
      </w:r>
      <w:r>
        <w:rPr>
          <w:rFonts w:hint="eastAsia" w:ascii="宋体" w:hAnsi="宋体" w:cs="宋体"/>
          <w:b/>
          <w:bCs/>
          <w:color w:val="auto"/>
          <w:sz w:val="21"/>
          <w:szCs w:val="21"/>
          <w:highlight w:val="none"/>
        </w:rPr>
        <w:t xml:space="preserve">七个工作日内</w:t>
      </w:r>
      <w:r>
        <w:rPr>
          <w:rFonts w:hint="eastAsia" w:ascii="宋体" w:hAnsi="宋体" w:cs="宋体"/>
          <w:color w:val="auto"/>
          <w:sz w:val="21"/>
          <w:szCs w:val="21"/>
          <w:highlight w:val="none"/>
        </w:rPr>
        <w:t xml:space="preserve">作出答复，并以书面或在网站公告形式通知质疑投标人和其他有关投标人，答复的内容不涉及商业秘密。</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28、投诉</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28.2供应商投诉应当有明确的请求和必要的证明材料。供应商投诉的事项不得超出已质疑事项的范围。</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28.4 投诉人有下列行为之一的，属于严重失信行为，由财政部门列入不良行为记录名单，禁止其一至三年内参加政府采购活动。</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（1）投诉人在全国范围12个月内三次以上投诉查无实据的；</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（2）采用捏造事实、提供虚假材料或者以非法手段取得证明材料等方式进行虚假、恶意投诉。</w:t>
      </w:r>
      <w:r/>
    </w:p>
    <w:p>
      <w:pPr>
        <w:ind w:firstLine="480"/>
        <w:keepLines w:val="0"/>
        <w:keepNext w:val="0"/>
        <w:pageBreakBefore w:val="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证据来源的合法性存在明显疑问，投诉人无法证明其取得方式合法的，视为以非法手段取得证明材料。</w:t>
      </w:r>
      <w:r/>
    </w:p>
    <w:p>
      <w:pPr>
        <w:ind w:firstLine="482"/>
        <w:keepLines w:val="0"/>
        <w:keepNext w:val="0"/>
        <w:pageBreakBefore w:val="0"/>
        <w:spacing w:line="440" w:lineRule="exact"/>
        <w:shd w:val="clear" w:color="auto" w:fill="ffffff"/>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29、其它</w:t>
      </w:r>
      <w:r/>
    </w:p>
    <w:p>
      <w:pPr>
        <w:ind w:firstLine="480"/>
        <w:keepLines w:val="0"/>
        <w:keepNext w:val="0"/>
        <w:pageBreakBefore w:val="0"/>
        <w:spacing w:line="440" w:lineRule="exact"/>
        <w:rPr>
          <w:color w:val="auto"/>
          <w:sz w:val="21"/>
          <w:szCs w:val="21"/>
          <w:highlight w:val="none"/>
        </w:rPr>
      </w:pPr>
      <w:r>
        <w:rPr>
          <w:rFonts w:hint="eastAsia"/>
          <w:color w:val="auto"/>
          <w:sz w:val="21"/>
          <w:szCs w:val="21"/>
          <w:highlight w:val="none"/>
        </w:rPr>
        <w:t xml:space="preserve">29.1本项目根据江苏省财政厅关于加强政府绿色采购有关事项的通知（苏财购〔2023〕65号）规定，执行绿色采购需求标准。</w:t>
      </w:r>
      <w:r/>
    </w:p>
    <w:p>
      <w:pPr>
        <w:pageBreakBefore w:val="0"/>
        <w:spacing w:line="440" w:lineRule="exact"/>
        <w:rPr>
          <w:color w:val="auto"/>
          <w:sz w:val="21"/>
          <w:szCs w:val="21"/>
          <w:highlight w:val="none"/>
        </w:rPr>
      </w:pPr>
      <w:r>
        <w:rPr>
          <w:color w:val="auto"/>
          <w:sz w:val="21"/>
          <w:szCs w:val="21"/>
          <w:highlight w:val="none"/>
        </w:rPr>
        <w:br w:type="page" w:clear="all"/>
      </w:r>
      <w:r/>
    </w:p>
    <w:p>
      <w:pPr>
        <w:pStyle w:val="685"/>
        <w:numPr>
          <w:ilvl w:val="0"/>
          <w:numId w:val="0"/>
        </w:numPr>
        <w:rPr>
          <w:color w:val="auto"/>
          <w:highlight w:val="none"/>
        </w:rPr>
      </w:pPr>
      <w:r/>
      <w:bookmarkStart w:id="8" w:name="_Toc18539"/>
      <w:r>
        <w:rPr>
          <w:color w:val="auto"/>
          <w:highlight w:val="none"/>
        </w:rPr>
        <w:t xml:space="preserve">第三章 评标标准</w:t>
      </w:r>
      <w:bookmarkEnd w:id="5"/>
      <w:r/>
      <w:bookmarkEnd w:id="8"/>
      <w:r/>
      <w:r/>
    </w:p>
    <w:tbl>
      <w:tblPr>
        <w:tblStyle w:val="69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02"/>
        <w:gridCol w:w="1125"/>
        <w:gridCol w:w="6970"/>
        <w:gridCol w:w="591"/>
      </w:tblGrid>
      <w:tr>
        <w:trPr>
          <w:jc w:val="center"/>
          <w:trHeight w:val="284"/>
        </w:trPr>
        <w:tc>
          <w:tcPr>
            <w:shd w:val="clear" w:color="auto" w:fill="ffffff" w:themeFill="background1"/>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评分</w:t>
            </w:r>
            <w:r/>
          </w:p>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因素</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评审标准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分值</w:t>
            </w:r>
            <w:r/>
          </w:p>
        </w:tc>
      </w:tr>
      <w:tr>
        <w:trPr>
          <w:jc w:val="center"/>
          <w:trHeight w:val="900"/>
        </w:trPr>
        <w:tc>
          <w:tcPr>
            <w:shd w:val="clear" w:color="auto" w:fill="ffffff" w:themeFill="background1"/>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1</w:t>
            </w:r>
            <w:r/>
          </w:p>
        </w:tc>
        <w:tc>
          <w:tcPr>
            <w:shd w:val="clear" w:color="auto" w:fill="ffffff" w:themeFill="background1"/>
            <w:tcBorders>
              <w:top w:val="single" w:color="auto" w:sz="4" w:space="0"/>
              <w:left w:val="single" w:color="auto" w:sz="4" w:space="0"/>
              <w:right w:val="single" w:color="auto" w:sz="4" w:space="0"/>
            </w:tcBorders>
            <w:tcW w:w="1125" w:type="dxa"/>
            <w:vAlign w:val="center"/>
            <w:textDirection w:val="lrTb"/>
            <w:noWrap w:val="false"/>
          </w:tcPr>
          <w:p>
            <w:pPr>
              <w:jc w:val="center"/>
              <w:spacing w:line="360" w:lineRule="exact"/>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价格</w:t>
            </w:r>
            <w:r/>
          </w:p>
          <w:p>
            <w:pPr>
              <w:jc w:val="center"/>
              <w:spacing w:line="360" w:lineRule="exact"/>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1</w:t>
            </w:r>
            <w:r>
              <w:rPr>
                <w:rFonts w:hint="eastAsia" w:ascii="宋体" w:hAnsi="宋体" w:cs="宋体"/>
                <w:b/>
                <w:color w:val="auto"/>
                <w:sz w:val="18"/>
                <w:szCs w:val="18"/>
                <w:highlight w:val="none"/>
                <w:lang w:val="en-US" w:eastAsia="zh-CN"/>
              </w:rPr>
              <w:t xml:space="preserve">5</w:t>
            </w:r>
            <w:r>
              <w:rPr>
                <w:rFonts w:hint="eastAsia" w:ascii="宋体" w:hAnsi="宋体" w:cs="宋体"/>
                <w:b/>
                <w:color w:val="auto"/>
                <w:sz w:val="18"/>
                <w:szCs w:val="18"/>
                <w:highlight w:val="none"/>
              </w:rPr>
              <w:t xml:space="preserve">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rPr>
                <w:rFonts w:hint="eastAsia" w:ascii="宋体" w:hAnsi="宋体" w:eastAsia="宋体" w:cs="宋体"/>
                <w:color w:val="auto"/>
                <w:sz w:val="18"/>
                <w:szCs w:val="18"/>
                <w:highlight w:val="none"/>
                <w:lang w:eastAsia="zh-CN"/>
              </w:rPr>
            </w:pPr>
            <w:r>
              <w:rPr>
                <w:rFonts w:hint="eastAsia"/>
                <w:color w:val="auto"/>
                <w:sz w:val="18"/>
                <w:szCs w:val="21"/>
                <w:highlight w:val="none"/>
                <w:lang w:val="zh-CN"/>
              </w:rPr>
              <w:t xml:space="preserve">采用低价优先法，即满足</w:t>
            </w:r>
            <w:r>
              <w:rPr>
                <w:rFonts w:hint="eastAsia"/>
                <w:color w:val="auto"/>
                <w:sz w:val="18"/>
                <w:szCs w:val="21"/>
                <w:highlight w:val="none"/>
              </w:rPr>
              <w:t xml:space="preserve">采购</w:t>
            </w:r>
            <w:r>
              <w:rPr>
                <w:rFonts w:hint="eastAsia"/>
                <w:color w:val="auto"/>
                <w:sz w:val="18"/>
                <w:szCs w:val="21"/>
                <w:highlight w:val="none"/>
                <w:lang w:val="zh-CN"/>
              </w:rPr>
              <w:t xml:space="preserve">文件要求且投标价格最低的投标报价为评标基准价，其价格分为满分。其他</w:t>
            </w:r>
            <w:r>
              <w:rPr>
                <w:rFonts w:hint="eastAsia"/>
                <w:color w:val="auto"/>
                <w:sz w:val="18"/>
                <w:szCs w:val="21"/>
                <w:highlight w:val="none"/>
              </w:rPr>
              <w:t xml:space="preserve">供应商</w:t>
            </w:r>
            <w:r>
              <w:rPr>
                <w:rFonts w:hint="eastAsia"/>
                <w:color w:val="auto"/>
                <w:sz w:val="18"/>
                <w:szCs w:val="21"/>
                <w:highlight w:val="none"/>
                <w:lang w:val="zh-CN"/>
              </w:rPr>
              <w:t xml:space="preserve">的价格分按照下列公式计算（小数点保留两位）：报价得分=（评标基准价／投标报价）×</w:t>
            </w:r>
            <w:r>
              <w:rPr>
                <w:rFonts w:hint="eastAsia"/>
                <w:color w:val="auto"/>
                <w:sz w:val="18"/>
                <w:szCs w:val="21"/>
                <w:highlight w:val="none"/>
              </w:rPr>
              <w:t xml:space="preserve">1</w:t>
            </w:r>
            <w:r>
              <w:rPr>
                <w:rFonts w:hint="eastAsia"/>
                <w:color w:val="auto"/>
                <w:sz w:val="18"/>
                <w:szCs w:val="21"/>
                <w:highlight w:val="none"/>
                <w:lang w:val="en-US" w:eastAsia="zh-CN"/>
              </w:rPr>
              <w:t xml:space="preserve">5</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spacing w:line="360" w:lineRule="auto"/>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rPr>
              <w:t xml:space="preserve">1</w:t>
            </w:r>
            <w:r>
              <w:rPr>
                <w:rFonts w:hint="eastAsia" w:ascii="宋体" w:hAnsi="宋体" w:cs="宋体"/>
                <w:color w:val="auto"/>
                <w:sz w:val="18"/>
                <w:szCs w:val="18"/>
                <w:highlight w:val="none"/>
                <w:lang w:val="en-US" w:eastAsia="zh-CN"/>
              </w:rPr>
              <w:t xml:space="preserve">5</w:t>
            </w:r>
            <w:r/>
          </w:p>
        </w:tc>
      </w:tr>
      <w:tr>
        <w:trPr>
          <w:jc w:val="center"/>
          <w:trHeight w:val="1176"/>
        </w:trPr>
        <w:tc>
          <w:tcPr>
            <w:shd w:val="clear" w:color="auto" w:fill="ffffff" w:themeFill="background1"/>
            <w:tcBorders>
              <w:top w:val="single" w:color="auto" w:sz="4" w:space="0"/>
              <w:left w:val="single" w:color="auto" w:sz="4" w:space="0"/>
              <w:right w:val="single" w:color="auto" w:sz="4" w:space="0"/>
            </w:tcBorders>
            <w:tcW w:w="602" w:type="dxa"/>
            <w:vAlign w:val="center"/>
            <w:textDirection w:val="lrTb"/>
            <w:noWrap w:val="false"/>
          </w:tcPr>
          <w:p>
            <w:pPr>
              <w:jc w:val="lef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2．1</w:t>
            </w:r>
            <w:r/>
          </w:p>
        </w:tc>
        <w:tc>
          <w:tcPr>
            <w:shd w:val="clear" w:color="auto" w:fill="ffffff" w:themeFill="background1"/>
            <w:tcBorders>
              <w:top w:val="single" w:color="auto" w:sz="4" w:space="0"/>
              <w:left w:val="single" w:color="auto" w:sz="4" w:space="0"/>
              <w:right w:val="single" w:color="auto" w:sz="4" w:space="0"/>
            </w:tcBorders>
            <w:tcW w:w="1125" w:type="dxa"/>
            <w:vAlign w:val="center"/>
            <w:vMerge w:val="restart"/>
            <w:textDirection w:val="lrTb"/>
            <w:noWrap w:val="false"/>
          </w:tcPr>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技术</w:t>
            </w:r>
            <w:r/>
          </w:p>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39</w:t>
            </w:r>
            <w:r>
              <w:rPr>
                <w:rFonts w:hint="eastAsia" w:ascii="宋体" w:hAnsi="宋体" w:cs="宋体"/>
                <w:b/>
                <w:bCs/>
                <w:color w:val="auto"/>
                <w:sz w:val="18"/>
                <w:szCs w:val="18"/>
                <w:highlight w:val="none"/>
              </w:rPr>
              <w:t xml:space="preserve">分</w:t>
            </w:r>
            <w:r/>
          </w:p>
          <w:p>
            <w:pPr>
              <w:rPr>
                <w:rFonts w:ascii="宋体" w:hAnsi="宋体" w:cs="宋体"/>
                <w:b/>
                <w:color w:val="auto"/>
                <w:sz w:val="18"/>
                <w:szCs w:val="18"/>
                <w:highlight w:val="none"/>
              </w:rPr>
            </w:pPr>
            <w:r>
              <w:rPr>
                <w:rFonts w:ascii="宋体" w:hAnsi="宋体" w:cs="宋体"/>
                <w:b/>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6970" w:type="dxa"/>
            <w:vAlign w:val="center"/>
            <w:textDirection w:val="lrTb"/>
            <w:noWrap w:val="false"/>
          </w:tcPr>
          <w:p>
            <w:pPr>
              <w:rPr>
                <w:color w:val="auto"/>
                <w:sz w:val="18"/>
                <w:szCs w:val="21"/>
                <w:highlight w:val="none"/>
              </w:rPr>
            </w:pPr>
            <w:r>
              <w:rPr>
                <w:rFonts w:hint="eastAsia"/>
                <w:color w:val="auto"/>
                <w:sz w:val="18"/>
                <w:szCs w:val="21"/>
                <w:highlight w:val="none"/>
              </w:rPr>
              <w:t xml:space="preserve">根据养护方案内容进行评分：养护方案应包含日常巡查、定期检测、土建设施养护、机电设施养护、设施安全防护管理、养护作业安全防护、文明施工、养护工程检查验收、内业台账资料管理等。</w:t>
            </w:r>
            <w:r/>
          </w:p>
          <w:p>
            <w:pPr>
              <w:rPr>
                <w:color w:val="auto"/>
                <w:sz w:val="18"/>
                <w:szCs w:val="21"/>
                <w:highlight w:val="none"/>
              </w:rPr>
            </w:pPr>
            <w:r>
              <w:rPr>
                <w:rFonts w:hint="eastAsia"/>
                <w:color w:val="auto"/>
                <w:sz w:val="18"/>
                <w:szCs w:val="21"/>
                <w:highlight w:val="none"/>
              </w:rPr>
              <w:t xml:space="preserve">养护方案非常全面、对养护标准响应程度紧密、养护对策措施得当、技术分析科学合理，养护工艺和材料满足环境保护要求的每项得</w:t>
            </w:r>
            <w:r>
              <w:rPr>
                <w:rFonts w:hint="eastAsia"/>
                <w:color w:val="auto"/>
                <w:sz w:val="18"/>
                <w:szCs w:val="21"/>
                <w:highlight w:val="none"/>
                <w:lang w:val="en-US" w:eastAsia="zh-CN"/>
              </w:rPr>
              <w:t xml:space="preserve">9</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养护方案较全面、对养护标准响应程度较紧密、养护对策措施较得当、技术分析较科学合理，养护工艺和材料较满足环境保护要求的每项得</w:t>
            </w:r>
            <w:r>
              <w:rPr>
                <w:rFonts w:hint="eastAsia"/>
                <w:color w:val="auto"/>
                <w:sz w:val="18"/>
                <w:szCs w:val="21"/>
                <w:highlight w:val="none"/>
                <w:lang w:val="en-US" w:eastAsia="zh-CN"/>
              </w:rPr>
              <w:t xml:space="preserve">6</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养护方案一般全面、对养护标准响应程度一般、养护对策措施较一般、技术分析较科学合理，养护工艺和材料一般满足环境保护要求的每项得</w:t>
            </w:r>
            <w:r>
              <w:rPr>
                <w:rFonts w:hint="eastAsia"/>
                <w:color w:val="auto"/>
                <w:sz w:val="18"/>
                <w:szCs w:val="21"/>
                <w:highlight w:val="none"/>
                <w:lang w:val="en-US" w:eastAsia="zh-CN"/>
              </w:rPr>
              <w:t xml:space="preserve">3</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养护方案不全面、对养护标准响应程度较差、养护对策措施较差、技术分析较科学较差，养护工艺和材料一般满足环境保护要求的每项得</w:t>
            </w:r>
            <w:r>
              <w:rPr>
                <w:rFonts w:hint="eastAsia"/>
                <w:color w:val="auto"/>
                <w:sz w:val="18"/>
                <w:szCs w:val="21"/>
                <w:highlight w:val="none"/>
                <w:lang w:val="en-US" w:eastAsia="zh-CN"/>
              </w:rPr>
              <w:t xml:space="preserve">1</w:t>
            </w:r>
            <w:r>
              <w:rPr>
                <w:rFonts w:hint="eastAsia"/>
                <w:color w:val="auto"/>
                <w:sz w:val="18"/>
                <w:szCs w:val="21"/>
                <w:highlight w:val="none"/>
              </w:rPr>
              <w:t xml:space="preserve">分,</w:t>
            </w:r>
            <w:r/>
          </w:p>
          <w:p>
            <w:pPr>
              <w:pStyle w:val="904"/>
              <w:ind w:firstLine="0"/>
              <w:rPr>
                <w:color w:val="auto"/>
                <w:sz w:val="18"/>
                <w:szCs w:val="21"/>
                <w:highlight w:val="none"/>
              </w:rPr>
            </w:pPr>
            <w:r>
              <w:rPr>
                <w:rFonts w:hint="eastAsia" w:ascii="宋体" w:hAnsi="宋体" w:cs="宋体"/>
                <w:color w:val="auto"/>
                <w:sz w:val="18"/>
                <w:szCs w:val="18"/>
                <w:highlight w:val="none"/>
              </w:rPr>
              <w:t xml:space="preserve">不提供不得分。</w:t>
            </w:r>
            <w:r/>
          </w:p>
        </w:tc>
        <w:tc>
          <w:tcPr>
            <w:shd w:val="clear" w:color="auto" w:fill="ffffff" w:themeFill="background1"/>
            <w:tcBorders>
              <w:top w:val="single" w:color="auto" w:sz="4" w:space="0"/>
              <w:left w:val="single" w:color="auto" w:sz="4" w:space="0"/>
              <w:right w:val="single" w:color="auto" w:sz="4" w:space="0"/>
            </w:tcBorders>
            <w:tcW w:w="591" w:type="dxa"/>
            <w:vAlign w:val="center"/>
            <w:textDirection w:val="lrTb"/>
            <w:noWrap w:val="false"/>
          </w:tcPr>
          <w:p>
            <w:pPr>
              <w:jc w:val="center"/>
              <w:rPr>
                <w:rFonts w:hint="default" w:ascii="宋体" w:hAnsi="宋体" w:eastAsia="宋体" w:cs="宋体"/>
                <w:b/>
                <w:bCs/>
                <w:color w:val="auto"/>
                <w:sz w:val="18"/>
                <w:szCs w:val="18"/>
                <w:highlight w:val="none"/>
                <w:lang w:val="en-US" w:eastAsia="zh-CN"/>
              </w:rPr>
            </w:pPr>
            <w:r>
              <w:rPr>
                <w:rFonts w:hint="eastAsia" w:ascii="宋体" w:hAnsi="宋体" w:cs="宋体"/>
                <w:color w:val="auto"/>
                <w:sz w:val="18"/>
                <w:szCs w:val="18"/>
                <w:highlight w:val="none"/>
                <w:lang w:val="en-US" w:eastAsia="zh-CN"/>
              </w:rPr>
              <w:t xml:space="preserve">9</w:t>
            </w:r>
            <w:r/>
          </w:p>
        </w:tc>
      </w:tr>
      <w:tr>
        <w:trPr>
          <w:jc w:val="center"/>
          <w:trHeight w:val="1176"/>
        </w:trPr>
        <w:tc>
          <w:tcPr>
            <w:shd w:val="clear" w:color="auto" w:fill="ffffff" w:themeFill="background1"/>
            <w:tcBorders>
              <w:top w:val="single" w:color="auto" w:sz="4" w:space="0"/>
              <w:left w:val="single" w:color="auto" w:sz="4" w:space="0"/>
              <w:right w:val="single" w:color="auto" w:sz="4" w:space="0"/>
            </w:tcBorders>
            <w:tcW w:w="602" w:type="dxa"/>
            <w:vAlign w:val="center"/>
            <w:textDirection w:val="lrTb"/>
            <w:noWrap w:val="false"/>
          </w:tcPr>
          <w:p>
            <w:pPr>
              <w:jc w:val="lef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2.2</w:t>
            </w:r>
            <w:r/>
          </w:p>
        </w:tc>
        <w:tc>
          <w:tcPr>
            <w:shd w:val="clear" w:color="auto" w:fill="ffffff" w:themeFill="background1"/>
            <w:tcBorders>
              <w:top w:val="single" w:color="auto" w:sz="4" w:space="0"/>
              <w:left w:val="single" w:color="auto" w:sz="4" w:space="0"/>
              <w:right w:val="single" w:color="auto" w:sz="4" w:space="0"/>
            </w:tcBorders>
            <w:tcW w:w="1125" w:type="dxa"/>
            <w:vAlign w:val="center"/>
            <w:vMerge w:val="continue"/>
            <w:textDirection w:val="lrTb"/>
            <w:noWrap w:val="false"/>
          </w:tcPr>
          <w:p>
            <w:pPr>
              <w:jc w:val="center"/>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6970" w:type="dxa"/>
            <w:vAlign w:val="center"/>
            <w:textDirection w:val="lrTb"/>
            <w:noWrap w:val="false"/>
          </w:tcPr>
          <w:p>
            <w:pPr>
              <w:rPr>
                <w:color w:val="auto"/>
                <w:sz w:val="18"/>
                <w:szCs w:val="21"/>
                <w:highlight w:val="none"/>
                <w:lang w:val="zh-CN"/>
              </w:rPr>
            </w:pPr>
            <w:r>
              <w:rPr>
                <w:rFonts w:hint="eastAsia"/>
                <w:color w:val="auto"/>
                <w:sz w:val="18"/>
                <w:szCs w:val="21"/>
                <w:highlight w:val="none"/>
                <w:lang w:val="zh-CN"/>
              </w:rPr>
              <w:t xml:space="preserve">根据专项方案</w:t>
            </w:r>
            <w:r>
              <w:rPr>
                <w:rFonts w:hint="eastAsia"/>
                <w:color w:val="auto"/>
                <w:sz w:val="18"/>
                <w:szCs w:val="21"/>
                <w:highlight w:val="none"/>
              </w:rPr>
              <w:t xml:space="preserve">内容进行评分：专项方案应包含项目管理方案、</w:t>
            </w:r>
            <w:r>
              <w:rPr>
                <w:rFonts w:hint="eastAsia"/>
                <w:color w:val="auto"/>
                <w:sz w:val="18"/>
                <w:szCs w:val="21"/>
                <w:highlight w:val="none"/>
                <w:lang w:val="zh-CN"/>
              </w:rPr>
              <w:t xml:space="preserve">应急处置预案、节假日和重大活动保障方案、投诉处理、安全生产管理方案、宣传方案等；</w:t>
            </w:r>
            <w:r/>
          </w:p>
          <w:p>
            <w:pPr>
              <w:rPr>
                <w:color w:val="auto"/>
                <w:sz w:val="18"/>
                <w:szCs w:val="21"/>
                <w:highlight w:val="none"/>
              </w:rPr>
            </w:pPr>
            <w:r>
              <w:rPr>
                <w:rFonts w:hint="eastAsia"/>
                <w:color w:val="auto"/>
                <w:sz w:val="18"/>
                <w:szCs w:val="21"/>
                <w:highlight w:val="none"/>
                <w:lang w:val="zh-CN"/>
              </w:rPr>
              <w:t xml:space="preserve">专项方案非常全面、</w:t>
            </w:r>
            <w:r>
              <w:rPr>
                <w:rFonts w:hint="eastAsia"/>
                <w:color w:val="auto"/>
                <w:sz w:val="18"/>
                <w:szCs w:val="21"/>
                <w:highlight w:val="none"/>
              </w:rPr>
              <w:t xml:space="preserve">合理、可行、有效得</w:t>
            </w:r>
            <w:r>
              <w:rPr>
                <w:rFonts w:hint="eastAsia"/>
                <w:color w:val="auto"/>
                <w:sz w:val="18"/>
                <w:szCs w:val="21"/>
                <w:highlight w:val="none"/>
                <w:lang w:val="en-US" w:eastAsia="zh-CN"/>
              </w:rPr>
              <w:t xml:space="preserve">9</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lang w:val="zh-CN"/>
              </w:rPr>
              <w:t xml:space="preserve">专项方案较全面、基本</w:t>
            </w:r>
            <w:r>
              <w:rPr>
                <w:rFonts w:hint="eastAsia"/>
                <w:color w:val="auto"/>
                <w:sz w:val="18"/>
                <w:szCs w:val="21"/>
                <w:highlight w:val="none"/>
              </w:rPr>
              <w:t xml:space="preserve">合理可行、有一定的效用的得</w:t>
            </w:r>
            <w:r>
              <w:rPr>
                <w:rFonts w:hint="eastAsia"/>
                <w:color w:val="auto"/>
                <w:sz w:val="18"/>
                <w:szCs w:val="21"/>
                <w:highlight w:val="none"/>
                <w:lang w:val="en-US" w:eastAsia="zh-CN"/>
              </w:rPr>
              <w:t xml:space="preserve">6</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专项方案一般全面、一般合理可行、效用一般的得</w:t>
            </w:r>
            <w:r>
              <w:rPr>
                <w:rFonts w:hint="eastAsia"/>
                <w:color w:val="auto"/>
                <w:sz w:val="18"/>
                <w:szCs w:val="21"/>
                <w:highlight w:val="none"/>
                <w:lang w:val="en-US" w:eastAsia="zh-CN"/>
              </w:rPr>
              <w:t xml:space="preserve">3</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专项方案片面、一不合理可行、效用欠缺的得</w:t>
            </w:r>
            <w:r>
              <w:rPr>
                <w:rFonts w:hint="eastAsia"/>
                <w:color w:val="auto"/>
                <w:sz w:val="18"/>
                <w:szCs w:val="21"/>
                <w:highlight w:val="none"/>
                <w:lang w:val="en-US" w:eastAsia="zh-CN"/>
              </w:rPr>
              <w:t xml:space="preserve">1</w:t>
            </w:r>
            <w:r>
              <w:rPr>
                <w:rFonts w:hint="eastAsia"/>
                <w:color w:val="auto"/>
                <w:sz w:val="18"/>
                <w:szCs w:val="21"/>
                <w:highlight w:val="none"/>
              </w:rPr>
              <w:t xml:space="preserve">分；</w:t>
            </w:r>
            <w:r/>
          </w:p>
          <w:p>
            <w:pPr>
              <w:pStyle w:val="904"/>
              <w:ind w:firstLine="0"/>
              <w:rPr>
                <w:color w:val="auto"/>
                <w:sz w:val="18"/>
                <w:szCs w:val="21"/>
                <w:highlight w:val="none"/>
              </w:rPr>
            </w:pPr>
            <w:r>
              <w:rPr>
                <w:rFonts w:hint="eastAsia" w:ascii="宋体" w:hAnsi="宋体" w:cs="宋体"/>
                <w:color w:val="auto"/>
                <w:sz w:val="18"/>
                <w:szCs w:val="18"/>
                <w:highlight w:val="none"/>
              </w:rPr>
              <w:t xml:space="preserve">不提供不得分。</w:t>
            </w:r>
            <w:r/>
          </w:p>
        </w:tc>
        <w:tc>
          <w:tcPr>
            <w:shd w:val="clear" w:color="auto" w:fill="ffffff" w:themeFill="background1"/>
            <w:tcBorders>
              <w:top w:val="single" w:color="auto" w:sz="4" w:space="0"/>
              <w:left w:val="single" w:color="auto" w:sz="4" w:space="0"/>
              <w:right w:val="single" w:color="auto" w:sz="4" w:space="0"/>
            </w:tcBorders>
            <w:tcW w:w="591" w:type="dxa"/>
            <w:vAlign w:val="center"/>
            <w:textDirection w:val="lrTb"/>
            <w:noWrap w:val="false"/>
          </w:tcPr>
          <w:p>
            <w:pPr>
              <w:jc w:val="center"/>
              <w:rPr>
                <w:rFonts w:hint="default" w:ascii="宋体" w:hAnsi="宋体" w:eastAsia="宋体"/>
                <w:b/>
                <w:bCs/>
                <w:color w:val="auto"/>
                <w:sz w:val="18"/>
                <w:szCs w:val="18"/>
                <w:highlight w:val="none"/>
                <w:lang w:val="en-US" w:eastAsia="zh-CN"/>
              </w:rPr>
            </w:pPr>
            <w:r>
              <w:rPr>
                <w:rFonts w:hint="eastAsia" w:ascii="宋体" w:hAnsi="宋体" w:cs="宋体"/>
                <w:color w:val="auto"/>
                <w:sz w:val="18"/>
                <w:szCs w:val="18"/>
                <w:highlight w:val="none"/>
                <w:lang w:val="en-US" w:eastAsia="zh-CN"/>
              </w:rPr>
              <w:t xml:space="preserve">9</w:t>
            </w:r>
            <w:r/>
          </w:p>
        </w:tc>
      </w:tr>
      <w:tr>
        <w:trPr>
          <w:jc w:val="center"/>
          <w:trHeight w:val="1176"/>
        </w:trPr>
        <w:tc>
          <w:tcPr>
            <w:shd w:val="clear" w:color="auto" w:fill="ffffff" w:themeFill="background1"/>
            <w:tcBorders>
              <w:top w:val="single" w:color="auto" w:sz="4" w:space="0"/>
              <w:left w:val="single" w:color="auto" w:sz="4" w:space="0"/>
              <w:right w:val="single" w:color="auto" w:sz="4" w:space="0"/>
            </w:tcBorders>
            <w:tcW w:w="602" w:type="dxa"/>
            <w:vAlign w:val="center"/>
            <w:textDirection w:val="lrTb"/>
            <w:noWrap w:val="false"/>
          </w:tcPr>
          <w:p>
            <w:pPr>
              <w:jc w:val="lef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2.3</w:t>
            </w:r>
            <w:r/>
          </w:p>
        </w:tc>
        <w:tc>
          <w:tcPr>
            <w:shd w:val="clear" w:color="auto" w:fill="ffffff" w:themeFill="background1"/>
            <w:tcBorders>
              <w:top w:val="single" w:color="auto" w:sz="4" w:space="0"/>
              <w:left w:val="single" w:color="auto" w:sz="4" w:space="0"/>
              <w:right w:val="single" w:color="auto" w:sz="4" w:space="0"/>
            </w:tcBorders>
            <w:tcW w:w="1125" w:type="dxa"/>
            <w:vAlign w:val="center"/>
            <w:vMerge w:val="continue"/>
            <w:textDirection w:val="lrTb"/>
            <w:noWrap w:val="false"/>
          </w:tcPr>
          <w:p>
            <w:pPr>
              <w:jc w:val="center"/>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6970" w:type="dxa"/>
            <w:vAlign w:val="center"/>
            <w:textDirection w:val="lrTb"/>
            <w:noWrap w:val="false"/>
          </w:tcPr>
          <w:p>
            <w:pPr>
              <w:rPr>
                <w:color w:val="auto"/>
                <w:sz w:val="18"/>
                <w:szCs w:val="21"/>
                <w:highlight w:val="none"/>
              </w:rPr>
            </w:pPr>
            <w:r>
              <w:rPr>
                <w:rFonts w:hint="eastAsia"/>
                <w:color w:val="auto"/>
                <w:sz w:val="18"/>
                <w:szCs w:val="21"/>
                <w:highlight w:val="none"/>
              </w:rPr>
              <w:t xml:space="preserve">根据投标人提供的本项目的方案，对其重点、难点问题的认识及对策进行阐述分析等方面进行评分：</w:t>
            </w:r>
            <w:r/>
          </w:p>
          <w:p>
            <w:pPr>
              <w:rPr>
                <w:color w:val="auto"/>
                <w:sz w:val="18"/>
                <w:szCs w:val="21"/>
                <w:highlight w:val="none"/>
              </w:rPr>
            </w:pPr>
            <w:r>
              <w:rPr>
                <w:rFonts w:hint="eastAsia"/>
                <w:color w:val="auto"/>
                <w:sz w:val="18"/>
                <w:szCs w:val="21"/>
                <w:highlight w:val="none"/>
              </w:rPr>
              <w:t xml:space="preserve">内容非常全面、合理可行、且针对性强的得</w:t>
            </w:r>
            <w:r>
              <w:rPr>
                <w:rFonts w:hint="eastAsia"/>
                <w:color w:val="auto"/>
                <w:sz w:val="18"/>
                <w:szCs w:val="21"/>
                <w:highlight w:val="none"/>
                <w:lang w:val="en-US" w:eastAsia="zh-CN"/>
              </w:rPr>
              <w:t xml:space="preserve">9</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内容较全面、基本合理可行、有针对性的得</w:t>
            </w:r>
            <w:r>
              <w:rPr>
                <w:rFonts w:hint="eastAsia"/>
                <w:color w:val="auto"/>
                <w:sz w:val="18"/>
                <w:szCs w:val="21"/>
                <w:highlight w:val="none"/>
                <w:lang w:val="en-US" w:eastAsia="zh-CN"/>
              </w:rPr>
              <w:t xml:space="preserve">6</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内容较片面、针对性有欠缺的得</w:t>
            </w:r>
            <w:r>
              <w:rPr>
                <w:rFonts w:hint="eastAsia"/>
                <w:color w:val="auto"/>
                <w:sz w:val="18"/>
                <w:szCs w:val="21"/>
                <w:highlight w:val="none"/>
                <w:lang w:val="en-US" w:eastAsia="zh-CN"/>
              </w:rPr>
              <w:t xml:space="preserve">3</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内容片面、没有针对性的得</w:t>
            </w:r>
            <w:r>
              <w:rPr>
                <w:rFonts w:hint="eastAsia"/>
                <w:color w:val="auto"/>
                <w:sz w:val="18"/>
                <w:szCs w:val="21"/>
                <w:highlight w:val="none"/>
                <w:lang w:val="en-US" w:eastAsia="zh-CN"/>
              </w:rPr>
              <w:t xml:space="preserve">1</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不提供不得分。</w:t>
            </w:r>
            <w:r/>
          </w:p>
        </w:tc>
        <w:tc>
          <w:tcPr>
            <w:shd w:val="clear" w:color="auto" w:fill="ffffff" w:themeFill="background1"/>
            <w:tcBorders>
              <w:top w:val="single" w:color="auto" w:sz="4" w:space="0"/>
              <w:left w:val="single" w:color="auto" w:sz="4" w:space="0"/>
              <w:right w:val="single" w:color="auto" w:sz="4" w:space="0"/>
            </w:tcBorders>
            <w:tcW w:w="591" w:type="dxa"/>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9</w:t>
            </w:r>
            <w:r/>
          </w:p>
        </w:tc>
      </w:tr>
      <w:tr>
        <w:trPr>
          <w:jc w:val="center"/>
          <w:trHeight w:val="446"/>
        </w:trPr>
        <w:tc>
          <w:tcPr>
            <w:shd w:val="clear" w:color="auto" w:fill="ffffff" w:themeFill="background1"/>
            <w:tcBorders>
              <w:top w:val="single" w:color="auto" w:sz="4" w:space="0"/>
              <w:left w:val="single" w:color="auto" w:sz="4" w:space="0"/>
              <w:right w:val="single" w:color="auto" w:sz="4" w:space="0"/>
            </w:tcBorders>
            <w:tcW w:w="602" w:type="dxa"/>
            <w:vAlign w:val="center"/>
            <w:textDirection w:val="lrTb"/>
            <w:noWrap w:val="false"/>
          </w:tcPr>
          <w:p>
            <w:pPr>
              <w:jc w:val="lef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2．4</w:t>
            </w:r>
            <w:r/>
          </w:p>
        </w:tc>
        <w:tc>
          <w:tcPr>
            <w:shd w:val="clear" w:color="auto" w:fill="ffffff" w:themeFill="background1"/>
            <w:tcBorders>
              <w:left w:val="single" w:color="auto" w:sz="4" w:space="0"/>
              <w:right w:val="single" w:color="auto" w:sz="4" w:space="0"/>
            </w:tcBorders>
            <w:tcW w:w="1125" w:type="dxa"/>
            <w:vAlign w:val="center"/>
            <w:vMerge w:val="continue"/>
            <w:textDirection w:val="lrTb"/>
            <w:noWrap w:val="false"/>
          </w:tcPr>
          <w:p>
            <w:pPr>
              <w:jc w:val="left"/>
              <w:widowControl/>
              <w:rPr>
                <w:rFonts w:ascii="宋体" w:hAnsi="宋体" w:cs="宋体"/>
                <w:b/>
                <w:color w:val="auto"/>
                <w:sz w:val="18"/>
                <w:szCs w:val="18"/>
                <w:highlight w:val="none"/>
              </w:rPr>
            </w:pPr>
            <w:r>
              <w:rPr>
                <w:rFonts w:ascii="宋体" w:hAnsi="宋体" w:cs="宋体"/>
                <w:b/>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6970" w:type="dxa"/>
            <w:vAlign w:val="center"/>
            <w:textDirection w:val="lrTb"/>
            <w:noWrap w:val="false"/>
          </w:tcPr>
          <w:p>
            <w:pPr>
              <w:rPr>
                <w:rFonts w:ascii="宋体" w:hAnsi="宋体"/>
                <w:color w:val="auto"/>
                <w:sz w:val="18"/>
                <w:szCs w:val="18"/>
                <w:highlight w:val="none"/>
              </w:rPr>
            </w:pPr>
            <w:r>
              <w:rPr>
                <w:rFonts w:hint="eastAsia" w:ascii="宋体" w:hAnsi="宋体"/>
                <w:color w:val="auto"/>
                <w:sz w:val="18"/>
                <w:szCs w:val="18"/>
                <w:highlight w:val="none"/>
              </w:rPr>
              <w:t xml:space="preserve">根据投标人对项目需求的理解和解决方案有独到的优势，有突破传统的运作模式进行评分：</w:t>
            </w:r>
            <w:r/>
          </w:p>
          <w:p>
            <w:pPr>
              <w:rPr>
                <w:rFonts w:ascii="宋体" w:hAnsi="宋体"/>
                <w:color w:val="auto"/>
                <w:sz w:val="18"/>
                <w:szCs w:val="18"/>
                <w:highlight w:val="none"/>
              </w:rPr>
            </w:pPr>
            <w:r>
              <w:rPr>
                <w:rFonts w:hint="eastAsia" w:ascii="宋体" w:hAnsi="宋体"/>
                <w:color w:val="auto"/>
                <w:sz w:val="18"/>
                <w:szCs w:val="18"/>
                <w:highlight w:val="none"/>
              </w:rPr>
              <w:t xml:space="preserve">养护管理、作业方案、养护工艺有创新等并且有增加的服务内容得</w:t>
            </w:r>
            <w:r>
              <w:rPr>
                <w:rFonts w:hint="eastAsia" w:ascii="宋体" w:hAnsi="宋体"/>
                <w:color w:val="auto"/>
                <w:sz w:val="18"/>
                <w:szCs w:val="18"/>
                <w:highlight w:val="none"/>
                <w:lang w:val="en-US" w:eastAsia="zh-CN"/>
              </w:rPr>
              <w:t xml:space="preserve">6</w:t>
            </w:r>
            <w:r>
              <w:rPr>
                <w:rFonts w:hint="eastAsia" w:ascii="宋体" w:hAnsi="宋体"/>
                <w:color w:val="auto"/>
                <w:sz w:val="18"/>
                <w:szCs w:val="18"/>
                <w:highlight w:val="none"/>
              </w:rPr>
              <w:t xml:space="preserve">分；</w:t>
            </w:r>
            <w:r/>
          </w:p>
          <w:p>
            <w:pPr>
              <w:rPr>
                <w:color w:val="auto"/>
                <w:sz w:val="18"/>
                <w:szCs w:val="21"/>
                <w:highlight w:val="none"/>
              </w:rPr>
            </w:pPr>
            <w:r>
              <w:rPr>
                <w:rFonts w:hint="eastAsia" w:ascii="宋体" w:hAnsi="宋体"/>
                <w:color w:val="auto"/>
                <w:sz w:val="18"/>
                <w:szCs w:val="18"/>
                <w:highlight w:val="none"/>
              </w:rPr>
              <w:t xml:space="preserve">养护方案、专项方案中投标人对项目需求的理解和解决方案有一定的优势，运作模式，养护管理、作业方案、养护工艺基本新颖得</w:t>
            </w:r>
            <w:r>
              <w:rPr>
                <w:rFonts w:hint="eastAsia" w:ascii="宋体" w:hAnsi="宋体"/>
                <w:color w:val="auto"/>
                <w:sz w:val="18"/>
                <w:szCs w:val="18"/>
                <w:highlight w:val="none"/>
                <w:lang w:val="en-US" w:eastAsia="zh-CN"/>
              </w:rPr>
              <w:t xml:space="preserve">3</w:t>
            </w:r>
            <w:r>
              <w:rPr>
                <w:rFonts w:hint="eastAsia" w:ascii="宋体" w:hAnsi="宋体"/>
                <w:color w:val="auto"/>
                <w:sz w:val="18"/>
                <w:szCs w:val="18"/>
                <w:highlight w:val="none"/>
              </w:rPr>
              <w:t xml:space="preserve">分；</w:t>
            </w:r>
            <w:r/>
          </w:p>
          <w:p>
            <w:pPr>
              <w:rPr>
                <w:rFonts w:ascii="宋体" w:hAnsi="宋体"/>
                <w:color w:val="auto"/>
                <w:sz w:val="18"/>
                <w:szCs w:val="18"/>
                <w:highlight w:val="none"/>
              </w:rPr>
            </w:pPr>
            <w:r>
              <w:rPr>
                <w:rFonts w:hint="eastAsia" w:ascii="宋体" w:hAnsi="宋体"/>
                <w:color w:val="auto"/>
                <w:sz w:val="18"/>
                <w:szCs w:val="18"/>
                <w:highlight w:val="none"/>
              </w:rPr>
              <w:t xml:space="preserve">养护方案、专项方案中投标人对项目需求的理解和解决方案基本无独到的优势，运作模式，养护管理、作业方案、养护工艺没有太多创新等得</w:t>
            </w:r>
            <w:r>
              <w:rPr>
                <w:rFonts w:hint="eastAsia" w:ascii="宋体" w:hAnsi="宋体"/>
                <w:color w:val="auto"/>
                <w:sz w:val="18"/>
                <w:szCs w:val="18"/>
                <w:highlight w:val="none"/>
                <w:lang w:val="en-US" w:eastAsia="zh-CN"/>
              </w:rPr>
              <w:t xml:space="preserve">1</w:t>
            </w:r>
            <w:r>
              <w:rPr>
                <w:rFonts w:hint="eastAsia" w:ascii="宋体" w:hAnsi="宋体"/>
                <w:color w:val="auto"/>
                <w:sz w:val="18"/>
                <w:szCs w:val="18"/>
                <w:highlight w:val="none"/>
              </w:rPr>
              <w:t xml:space="preserve">分；</w:t>
            </w:r>
            <w:r/>
          </w:p>
          <w:p>
            <w:pPr>
              <w:rPr>
                <w:rFonts w:ascii="宋体" w:hAnsi="宋体"/>
                <w:bCs/>
                <w:color w:val="auto"/>
                <w:sz w:val="18"/>
                <w:szCs w:val="18"/>
                <w:highlight w:val="none"/>
              </w:rPr>
            </w:pPr>
            <w:r>
              <w:rPr>
                <w:rFonts w:hint="eastAsia" w:ascii="宋体" w:hAnsi="宋体" w:cs="宋体"/>
                <w:color w:val="auto"/>
                <w:sz w:val="18"/>
                <w:szCs w:val="18"/>
                <w:highlight w:val="none"/>
              </w:rPr>
              <w:t xml:space="preserve">不提供不得分。</w:t>
            </w:r>
            <w:r/>
          </w:p>
        </w:tc>
        <w:tc>
          <w:tcPr>
            <w:shd w:val="clear" w:color="auto" w:fill="ffffff" w:themeFill="background1"/>
            <w:tcBorders>
              <w:top w:val="single" w:color="auto" w:sz="4" w:space="0"/>
              <w:left w:val="single" w:color="auto" w:sz="4" w:space="0"/>
              <w:right w:val="single" w:color="auto" w:sz="4" w:space="0"/>
            </w:tcBorders>
            <w:tcW w:w="591" w:type="dxa"/>
            <w:vAlign w:val="center"/>
            <w:textDirection w:val="lrTb"/>
            <w:noWrap w:val="false"/>
          </w:tcPr>
          <w:p>
            <w:pPr>
              <w:jc w:val="center"/>
              <w:widowControl/>
              <w:rPr>
                <w:rFonts w:hint="eastAsia" w:ascii="宋体" w:hAnsi="宋体" w:eastAsia="宋体"/>
                <w:b/>
                <w:bCs/>
                <w:color w:val="auto"/>
                <w:sz w:val="18"/>
                <w:szCs w:val="18"/>
                <w:highlight w:val="none"/>
                <w:lang w:eastAsia="zh-CN"/>
              </w:rPr>
            </w:pPr>
            <w:r>
              <w:rPr>
                <w:rFonts w:hint="eastAsia" w:ascii="宋体" w:hAnsi="宋体" w:cs="宋体"/>
                <w:color w:val="auto"/>
                <w:sz w:val="18"/>
                <w:szCs w:val="18"/>
                <w:highlight w:val="none"/>
                <w:lang w:val="en-US" w:eastAsia="zh-CN"/>
              </w:rPr>
              <w:t xml:space="preserve">6</w:t>
            </w:r>
            <w:r/>
          </w:p>
        </w:tc>
      </w:tr>
      <w:tr>
        <w:trPr>
          <w:jc w:val="center"/>
          <w:trHeight w:val="1176"/>
        </w:trPr>
        <w:tc>
          <w:tcPr>
            <w:shd w:val="clear" w:color="auto" w:fill="ffffff" w:themeFill="background1"/>
            <w:tcBorders>
              <w:top w:val="single" w:color="auto" w:sz="4" w:space="0"/>
              <w:left w:val="single" w:color="auto" w:sz="4" w:space="0"/>
              <w:right w:val="single" w:color="auto" w:sz="4" w:space="0"/>
            </w:tcBorders>
            <w:tcW w:w="602" w:type="dxa"/>
            <w:vAlign w:val="center"/>
            <w:textDirection w:val="lrTb"/>
            <w:noWrap w:val="false"/>
          </w:tcPr>
          <w:p>
            <w:pPr>
              <w:jc w:val="left"/>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2．5</w:t>
            </w:r>
            <w:r/>
          </w:p>
        </w:tc>
        <w:tc>
          <w:tcPr>
            <w:shd w:val="clear" w:color="auto" w:fill="ffffff" w:themeFill="background1"/>
            <w:tcBorders>
              <w:left w:val="single" w:color="auto" w:sz="4" w:space="0"/>
              <w:right w:val="single" w:color="auto" w:sz="4" w:space="0"/>
            </w:tcBorders>
            <w:tcW w:w="1125"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6970" w:type="dxa"/>
            <w:vAlign w:val="center"/>
            <w:textDirection w:val="lrTb"/>
            <w:noWrap w:val="false"/>
          </w:tcPr>
          <w:p>
            <w:pPr>
              <w:spacing w:line="320" w:lineRule="exact"/>
              <w:rPr>
                <w:rFonts w:ascii="宋体" w:hAnsi="宋体"/>
                <w:color w:val="auto"/>
                <w:sz w:val="18"/>
                <w:szCs w:val="18"/>
                <w:highlight w:val="none"/>
              </w:rPr>
            </w:pPr>
            <w:r>
              <w:rPr>
                <w:rFonts w:hint="eastAsia" w:ascii="宋体" w:hAnsi="宋体"/>
                <w:color w:val="auto"/>
                <w:sz w:val="18"/>
                <w:szCs w:val="18"/>
                <w:highlight w:val="none"/>
              </w:rPr>
              <w:t xml:space="preserve">根据投标人对恶劣天气专项预案进行评分：</w:t>
            </w:r>
            <w:r/>
          </w:p>
          <w:p>
            <w:pPr>
              <w:spacing w:line="320" w:lineRule="exact"/>
              <w:rPr>
                <w:rFonts w:ascii="宋体" w:hAnsi="宋体"/>
                <w:color w:val="auto"/>
                <w:sz w:val="18"/>
                <w:szCs w:val="18"/>
                <w:highlight w:val="none"/>
              </w:rPr>
            </w:pPr>
            <w:r>
              <w:rPr>
                <w:rFonts w:hint="eastAsia" w:ascii="宋体" w:hAnsi="宋体"/>
                <w:color w:val="auto"/>
                <w:sz w:val="18"/>
                <w:szCs w:val="18"/>
                <w:highlight w:val="none"/>
              </w:rPr>
              <w:t xml:space="preserve">方案非常全面、完整、针对性强、科学合理、可操作性很强，完全满足采购需求，得</w:t>
            </w:r>
            <w:r>
              <w:rPr>
                <w:rFonts w:hint="eastAsia" w:ascii="宋体" w:hAnsi="宋体"/>
                <w:color w:val="auto"/>
                <w:sz w:val="18"/>
                <w:szCs w:val="18"/>
                <w:highlight w:val="none"/>
                <w:lang w:val="en-US" w:eastAsia="zh-CN"/>
              </w:rPr>
              <w:t xml:space="preserve">6</w:t>
            </w:r>
            <w:r>
              <w:rPr>
                <w:rFonts w:hint="eastAsia" w:ascii="宋体" w:hAnsi="宋体"/>
                <w:color w:val="auto"/>
                <w:sz w:val="18"/>
                <w:szCs w:val="18"/>
                <w:highlight w:val="none"/>
              </w:rPr>
              <w:t xml:space="preserve">分；</w:t>
            </w:r>
            <w:r/>
          </w:p>
          <w:p>
            <w:pPr>
              <w:spacing w:line="320" w:lineRule="exact"/>
              <w:rPr>
                <w:rFonts w:ascii="宋体" w:hAnsi="宋体"/>
                <w:color w:val="auto"/>
                <w:sz w:val="18"/>
                <w:szCs w:val="18"/>
                <w:highlight w:val="none"/>
              </w:rPr>
            </w:pPr>
            <w:r>
              <w:rPr>
                <w:rFonts w:hint="eastAsia" w:ascii="宋体" w:hAnsi="宋体"/>
                <w:color w:val="auto"/>
                <w:sz w:val="18"/>
                <w:szCs w:val="18"/>
                <w:highlight w:val="none"/>
              </w:rPr>
              <w:t xml:space="preserve">方案比较完整，较有效可行，针对性较强，可操作性较强，基本满足采购需求，得</w:t>
            </w:r>
            <w:r>
              <w:rPr>
                <w:rFonts w:hint="eastAsia" w:ascii="宋体" w:hAnsi="宋体"/>
                <w:color w:val="auto"/>
                <w:sz w:val="18"/>
                <w:szCs w:val="18"/>
                <w:highlight w:val="none"/>
                <w:lang w:val="en-US" w:eastAsia="zh-CN"/>
              </w:rPr>
              <w:t xml:space="preserve">3</w:t>
            </w:r>
            <w:r>
              <w:rPr>
                <w:rFonts w:hint="eastAsia" w:ascii="宋体" w:hAnsi="宋体"/>
                <w:color w:val="auto"/>
                <w:sz w:val="18"/>
                <w:szCs w:val="18"/>
                <w:highlight w:val="none"/>
              </w:rPr>
              <w:t xml:space="preserve">分；</w:t>
            </w:r>
            <w:r/>
          </w:p>
          <w:p>
            <w:pPr>
              <w:spacing w:line="320" w:lineRule="exact"/>
              <w:rPr>
                <w:rFonts w:ascii="宋体" w:hAnsi="宋体"/>
                <w:color w:val="auto"/>
                <w:sz w:val="18"/>
                <w:szCs w:val="18"/>
                <w:highlight w:val="none"/>
              </w:rPr>
            </w:pPr>
            <w:r>
              <w:rPr>
                <w:rFonts w:hint="eastAsia" w:ascii="宋体" w:hAnsi="宋体"/>
                <w:color w:val="auto"/>
                <w:sz w:val="18"/>
                <w:szCs w:val="18"/>
                <w:highlight w:val="none"/>
              </w:rPr>
              <w:t xml:space="preserve">方案不太完整，有缺项，针对性、操作性不强，部分满足采购需求，得</w:t>
            </w:r>
            <w:r>
              <w:rPr>
                <w:rFonts w:hint="eastAsia" w:ascii="宋体" w:hAnsi="宋体"/>
                <w:color w:val="auto"/>
                <w:sz w:val="18"/>
                <w:szCs w:val="18"/>
                <w:highlight w:val="none"/>
                <w:lang w:val="en-US" w:eastAsia="zh-CN"/>
              </w:rPr>
              <w:t xml:space="preserve">1</w:t>
            </w:r>
            <w:r>
              <w:rPr>
                <w:rFonts w:hint="eastAsia" w:ascii="宋体" w:hAnsi="宋体"/>
                <w:color w:val="auto"/>
                <w:sz w:val="18"/>
                <w:szCs w:val="18"/>
                <w:highlight w:val="none"/>
              </w:rPr>
              <w:t xml:space="preserve">分；</w:t>
            </w:r>
            <w:r/>
          </w:p>
          <w:p>
            <w:pPr>
              <w:rPr>
                <w:rFonts w:ascii="宋体" w:hAnsi="宋体"/>
                <w:color w:val="auto"/>
                <w:sz w:val="18"/>
                <w:szCs w:val="18"/>
                <w:highlight w:val="none"/>
              </w:rPr>
            </w:pPr>
            <w:r>
              <w:rPr>
                <w:rFonts w:hint="eastAsia" w:ascii="宋体" w:hAnsi="宋体"/>
                <w:color w:val="auto"/>
                <w:sz w:val="18"/>
                <w:szCs w:val="18"/>
                <w:highlight w:val="none"/>
                <w:lang w:val="en-US" w:eastAsia="zh-CN"/>
              </w:rPr>
              <w:t xml:space="preserve">不</w:t>
            </w:r>
            <w:r>
              <w:rPr>
                <w:rFonts w:hint="eastAsia" w:ascii="宋体" w:hAnsi="宋体"/>
                <w:color w:val="auto"/>
                <w:sz w:val="18"/>
                <w:szCs w:val="18"/>
                <w:highlight w:val="none"/>
              </w:rPr>
              <w:t xml:space="preserve">提供不得分。</w:t>
            </w:r>
            <w:r/>
          </w:p>
        </w:tc>
        <w:tc>
          <w:tcPr>
            <w:shd w:val="clear" w:color="auto" w:fill="ffffff" w:themeFill="background1"/>
            <w:tcBorders>
              <w:top w:val="single" w:color="auto" w:sz="4" w:space="0"/>
              <w:left w:val="single" w:color="auto" w:sz="4" w:space="0"/>
              <w:right w:val="single" w:color="auto" w:sz="4" w:space="0"/>
            </w:tcBorders>
            <w:tcW w:w="591" w:type="dxa"/>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6</w:t>
            </w:r>
            <w:r/>
          </w:p>
        </w:tc>
      </w:tr>
      <w:tr>
        <w:trPr>
          <w:jc w:val="center"/>
          <w:trHeight w:val="1320"/>
        </w:trPr>
        <w:tc>
          <w:tcPr>
            <w:shd w:val="clear" w:color="auto" w:fill="ffffff" w:themeFill="background1"/>
            <w:tcBorders>
              <w:top w:val="single" w:color="auto" w:sz="4" w:space="0"/>
              <w:left w:val="single" w:color="auto" w:sz="4" w:space="0"/>
              <w:right w:val="single" w:color="auto" w:sz="4" w:space="0"/>
            </w:tcBorders>
            <w:tcW w:w="602" w:type="dxa"/>
            <w:vAlign w:val="center"/>
            <w:vMerge w:val="restart"/>
            <w:textDirection w:val="lrTb"/>
            <w:noWrap w:val="false"/>
          </w:tcPr>
          <w:p>
            <w:pPr>
              <w:jc w:val="lef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3.1</w:t>
            </w:r>
            <w:r/>
          </w:p>
        </w:tc>
        <w:tc>
          <w:tcPr>
            <w:shd w:val="clear" w:color="auto" w:fill="ffffff" w:themeFill="background1"/>
            <w:tcBorders>
              <w:top w:val="single" w:color="auto" w:sz="4" w:space="0"/>
              <w:left w:val="single" w:color="auto" w:sz="4" w:space="0"/>
              <w:right w:val="single" w:color="auto" w:sz="4" w:space="0"/>
            </w:tcBorders>
            <w:tcW w:w="1125" w:type="dxa"/>
            <w:vAlign w:val="center"/>
            <w:vMerge w:val="restart"/>
            <w:textDirection w:val="lrTb"/>
            <w:noWrap w:val="false"/>
          </w:tcPr>
          <w:p>
            <w:pPr>
              <w:jc w:val="center"/>
              <w:rPr>
                <w:rFonts w:ascii="宋体" w:hAnsi="宋体"/>
                <w:b/>
                <w:bCs/>
                <w:color w:val="auto"/>
                <w:sz w:val="18"/>
                <w:szCs w:val="18"/>
                <w:highlight w:val="none"/>
              </w:rPr>
            </w:pPr>
            <w:r>
              <w:rPr>
                <w:rFonts w:hint="eastAsia" w:ascii="宋体" w:hAnsi="宋体"/>
                <w:b/>
                <w:bCs/>
                <w:color w:val="auto"/>
                <w:sz w:val="18"/>
                <w:szCs w:val="18"/>
                <w:highlight w:val="none"/>
              </w:rPr>
              <w:t xml:space="preserve">商务（</w:t>
            </w:r>
            <w:r>
              <w:rPr>
                <w:rFonts w:hint="eastAsia" w:ascii="宋体" w:hAnsi="宋体"/>
                <w:b/>
                <w:bCs/>
                <w:color w:val="auto"/>
                <w:sz w:val="18"/>
                <w:szCs w:val="18"/>
                <w:highlight w:val="none"/>
                <w:lang w:val="en-US" w:eastAsia="zh-CN"/>
              </w:rPr>
              <w:t xml:space="preserve">人员及设备</w:t>
            </w:r>
            <w:r>
              <w:rPr>
                <w:rFonts w:hint="eastAsia" w:ascii="宋体" w:hAnsi="宋体"/>
                <w:b/>
                <w:bCs/>
                <w:color w:val="auto"/>
                <w:sz w:val="18"/>
                <w:szCs w:val="18"/>
                <w:highlight w:val="none"/>
              </w:rPr>
              <w:t xml:space="preserve">）</w:t>
            </w:r>
            <w:r/>
          </w:p>
          <w:p>
            <w:pPr>
              <w:jc w:val="center"/>
              <w:rPr>
                <w:rFonts w:ascii="宋体" w:hAnsi="宋体"/>
                <w:b/>
                <w:bCs/>
                <w:color w:val="auto"/>
                <w:sz w:val="18"/>
                <w:szCs w:val="18"/>
                <w:highlight w:val="none"/>
              </w:rPr>
            </w:pPr>
            <w:r>
              <w:rPr>
                <w:rFonts w:hint="eastAsia" w:ascii="宋体" w:hAnsi="宋体"/>
                <w:b/>
                <w:bCs/>
                <w:color w:val="auto"/>
                <w:sz w:val="18"/>
                <w:szCs w:val="18"/>
                <w:highlight w:val="none"/>
                <w:lang w:val="en-US" w:eastAsia="zh-CN"/>
              </w:rPr>
              <w:t xml:space="preserve">37</w:t>
            </w:r>
            <w:r>
              <w:rPr>
                <w:rFonts w:hint="eastAsia" w:ascii="宋体" w:hAnsi="宋体"/>
                <w:b/>
                <w:bCs/>
                <w:color w:val="auto"/>
                <w:sz w:val="18"/>
                <w:szCs w:val="18"/>
                <w:highlight w:val="none"/>
              </w:rPr>
              <w:t xml:space="preserve">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项目负责人：具有高级工程师及以上技术职称得2分；202</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年1月1日（含）以来担任过隧道养护</w:t>
            </w:r>
            <w:r>
              <w:rPr>
                <w:rFonts w:hint="eastAsia" w:ascii="宋体" w:hAnsi="宋体" w:cs="宋体"/>
                <w:color w:val="auto"/>
                <w:sz w:val="18"/>
                <w:szCs w:val="18"/>
                <w:highlight w:val="none"/>
                <w:lang w:val="en-US" w:eastAsia="zh-CN"/>
              </w:rPr>
              <w:t xml:space="preserve">的</w:t>
            </w:r>
            <w:r>
              <w:rPr>
                <w:rFonts w:hint="eastAsia" w:ascii="宋体" w:hAnsi="宋体" w:cs="宋体"/>
                <w:color w:val="auto"/>
                <w:sz w:val="18"/>
                <w:szCs w:val="18"/>
                <w:highlight w:val="none"/>
              </w:rPr>
              <w:t xml:space="preserve">项目经理（项目负责人），每提供</w:t>
            </w:r>
            <w:r>
              <w:rPr>
                <w:rFonts w:hint="eastAsia" w:ascii="宋体" w:hAnsi="宋体" w:cs="宋体"/>
                <w:color w:val="auto"/>
                <w:sz w:val="18"/>
                <w:szCs w:val="18"/>
                <w:highlight w:val="none"/>
                <w:lang w:val="en-US" w:eastAsia="zh-CN"/>
              </w:rPr>
              <w:t xml:space="preserve">1</w:t>
            </w:r>
            <w:r>
              <w:rPr>
                <w:rFonts w:hint="eastAsia" w:ascii="宋体" w:hAnsi="宋体" w:cs="宋体"/>
                <w:color w:val="auto"/>
                <w:sz w:val="18"/>
                <w:szCs w:val="18"/>
                <w:highlight w:val="none"/>
              </w:rPr>
              <w:t xml:space="preserve">个业绩得</w:t>
            </w:r>
            <w:r>
              <w:rPr>
                <w:rFonts w:hint="eastAsia" w:ascii="宋体" w:hAnsi="宋体" w:cs="宋体"/>
                <w:color w:val="auto"/>
                <w:sz w:val="18"/>
                <w:szCs w:val="18"/>
                <w:highlight w:val="none"/>
                <w:lang w:val="en-US" w:eastAsia="zh-CN"/>
              </w:rPr>
              <w:t xml:space="preserve">2</w:t>
            </w:r>
            <w:r>
              <w:rPr>
                <w:rFonts w:hint="eastAsia" w:ascii="宋体" w:hAnsi="宋体" w:cs="宋体"/>
                <w:color w:val="auto"/>
                <w:sz w:val="18"/>
                <w:szCs w:val="18"/>
                <w:highlight w:val="none"/>
              </w:rPr>
              <w:t xml:space="preserve">分，最高得</w:t>
            </w:r>
            <w:r>
              <w:rPr>
                <w:rFonts w:hint="eastAsia" w:ascii="宋体" w:hAnsi="宋体" w:cs="宋体"/>
                <w:color w:val="auto"/>
                <w:sz w:val="18"/>
                <w:szCs w:val="18"/>
                <w:highlight w:val="none"/>
                <w:lang w:val="en-US" w:eastAsia="zh-CN"/>
              </w:rPr>
              <w:t xml:space="preserve">4</w:t>
            </w:r>
            <w:r>
              <w:rPr>
                <w:rFonts w:hint="eastAsia" w:ascii="宋体" w:hAnsi="宋体" w:cs="宋体"/>
                <w:color w:val="auto"/>
                <w:sz w:val="18"/>
                <w:szCs w:val="18"/>
                <w:highlight w:val="none"/>
              </w:rPr>
              <w:t xml:space="preserve">分（本项最高得</w:t>
            </w:r>
            <w:r>
              <w:rPr>
                <w:rFonts w:hint="eastAsia" w:ascii="宋体" w:hAnsi="宋体" w:cs="宋体"/>
                <w:color w:val="auto"/>
                <w:sz w:val="18"/>
                <w:szCs w:val="18"/>
                <w:highlight w:val="none"/>
                <w:lang w:val="en-US" w:eastAsia="zh-CN"/>
              </w:rPr>
              <w:t xml:space="preserve">6</w:t>
            </w:r>
            <w:r>
              <w:rPr>
                <w:rFonts w:hint="eastAsia" w:ascii="宋体" w:hAnsi="宋体" w:cs="宋体"/>
                <w:color w:val="auto"/>
                <w:sz w:val="18"/>
                <w:szCs w:val="18"/>
                <w:highlight w:val="none"/>
              </w:rPr>
              <w:t xml:space="preserve">分）。</w:t>
            </w:r>
            <w:r/>
          </w:p>
          <w:p>
            <w:pPr>
              <w:ind w:firstLine="360"/>
              <w:rPr>
                <w:rFonts w:ascii="宋体" w:hAnsi="宋体" w:cs="宋体"/>
                <w:color w:val="auto"/>
                <w:sz w:val="18"/>
                <w:szCs w:val="18"/>
                <w:highlight w:val="none"/>
              </w:rPr>
            </w:pPr>
            <w:r>
              <w:rPr>
                <w:rFonts w:hint="eastAsia" w:ascii="宋体" w:hAnsi="宋体" w:cs="宋体"/>
                <w:color w:val="auto"/>
                <w:sz w:val="18"/>
                <w:szCs w:val="18"/>
                <w:highlight w:val="none"/>
              </w:rPr>
              <w:t xml:space="preserve">需要在相应表格中填报并提供</w:t>
            </w:r>
            <w:r>
              <w:rPr>
                <w:rFonts w:hint="eastAsia" w:ascii="宋体" w:hAnsi="宋体" w:cs="宋体"/>
                <w:color w:val="auto"/>
                <w:sz w:val="18"/>
                <w:szCs w:val="18"/>
                <w:highlight w:val="none"/>
                <w:lang w:val="en-US" w:eastAsia="zh-CN"/>
              </w:rPr>
              <w:t xml:space="preserve">职称证、合同协议书</w:t>
            </w:r>
            <w:r>
              <w:rPr>
                <w:rFonts w:hint="eastAsia" w:ascii="宋体" w:hAnsi="宋体" w:cs="宋体"/>
                <w:color w:val="auto"/>
                <w:sz w:val="18"/>
                <w:szCs w:val="18"/>
                <w:highlight w:val="none"/>
              </w:rPr>
              <w:t xml:space="preserve">电子件</w:t>
            </w:r>
            <w:r>
              <w:rPr>
                <w:rFonts w:hint="eastAsia" w:ascii="宋体" w:hAnsi="宋体" w:eastAsia="宋体" w:cs="宋体"/>
                <w:color w:val="auto"/>
                <w:sz w:val="18"/>
                <w:szCs w:val="18"/>
                <w:highlight w:val="none"/>
                <w:lang w:val="zh-CN"/>
              </w:rPr>
              <w:t xml:space="preserve">并加盖公章</w:t>
            </w:r>
            <w:r>
              <w:rPr>
                <w:rFonts w:hint="eastAsia" w:ascii="宋体" w:hAnsi="宋体" w:cs="宋体"/>
                <w:color w:val="auto"/>
                <w:sz w:val="18"/>
                <w:szCs w:val="18"/>
                <w:highlight w:val="none"/>
              </w:rPr>
              <w:t xml:space="preserve">，</w:t>
            </w:r>
            <w:r>
              <w:rPr>
                <w:rFonts w:hint="eastAsia" w:ascii="宋体" w:hAnsi="宋体" w:eastAsia="宋体" w:cs="宋体"/>
                <w:color w:val="auto"/>
                <w:sz w:val="18"/>
                <w:szCs w:val="18"/>
                <w:highlight w:val="none"/>
              </w:rPr>
              <w:t xml:space="preserve">同一合同不重复计算，</w:t>
            </w:r>
            <w:r>
              <w:rPr>
                <w:rFonts w:hint="eastAsia" w:ascii="宋体" w:hAnsi="宋体" w:eastAsia="宋体" w:cs="宋体"/>
                <w:color w:val="auto"/>
                <w:sz w:val="18"/>
                <w:szCs w:val="18"/>
                <w:highlight w:val="none"/>
                <w:lang w:val="en-US" w:eastAsia="zh-CN"/>
              </w:rPr>
              <w:t xml:space="preserve">时间以合同</w:t>
            </w:r>
            <w:r>
              <w:rPr>
                <w:rFonts w:hint="eastAsia" w:ascii="宋体" w:hAnsi="宋体" w:cs="宋体"/>
                <w:color w:val="auto"/>
                <w:sz w:val="18"/>
                <w:szCs w:val="18"/>
                <w:highlight w:val="none"/>
                <w:lang w:val="en-US" w:eastAsia="zh-CN"/>
              </w:rPr>
              <w:t xml:space="preserve">签订的时间</w:t>
            </w:r>
            <w:r>
              <w:rPr>
                <w:rFonts w:hint="eastAsia" w:ascii="宋体" w:hAnsi="宋体" w:eastAsia="宋体" w:cs="宋体"/>
                <w:color w:val="auto"/>
                <w:sz w:val="18"/>
                <w:szCs w:val="18"/>
                <w:highlight w:val="none"/>
                <w:lang w:val="en-US" w:eastAsia="zh-CN"/>
              </w:rPr>
              <w:t xml:space="preserve">为准。</w:t>
            </w:r>
            <w:r>
              <w:rPr>
                <w:rFonts w:hint="eastAsia" w:ascii="宋体" w:hAnsi="宋体" w:eastAsia="宋体" w:cs="宋体"/>
                <w:color w:val="auto"/>
                <w:sz w:val="18"/>
                <w:szCs w:val="18"/>
                <w:highlight w:val="none"/>
                <w:lang w:val="zh-CN"/>
              </w:rPr>
              <w:t xml:space="preserve">若合</w:t>
            </w:r>
            <w:r>
              <w:rPr>
                <w:rFonts w:hint="eastAsia" w:ascii="宋体" w:hAnsi="宋体"/>
                <w:color w:val="auto"/>
                <w:sz w:val="18"/>
                <w:szCs w:val="18"/>
                <w:highlight w:val="none"/>
                <w:lang w:val="zh-CN"/>
              </w:rPr>
              <w:t xml:space="preserve">同中未体现</w:t>
            </w:r>
            <w:r>
              <w:rPr>
                <w:rFonts w:hint="eastAsia" w:ascii="宋体" w:hAnsi="宋体"/>
                <w:color w:val="auto"/>
                <w:sz w:val="18"/>
                <w:szCs w:val="18"/>
                <w:highlight w:val="none"/>
                <w:lang w:val="en-US" w:eastAsia="zh-CN"/>
              </w:rPr>
              <w:t xml:space="preserve">项目负责人担任的职务、</w:t>
            </w:r>
            <w:r>
              <w:rPr>
                <w:rFonts w:hint="eastAsia" w:ascii="宋体" w:hAnsi="宋体"/>
                <w:color w:val="auto"/>
                <w:sz w:val="18"/>
                <w:szCs w:val="18"/>
                <w:highlight w:val="none"/>
                <w:lang w:val="zh-CN"/>
              </w:rPr>
              <w:t xml:space="preserve">项目特征的，则</w:t>
            </w:r>
            <w:r>
              <w:rPr>
                <w:rFonts w:hint="eastAsia" w:ascii="宋体" w:hAnsi="宋体"/>
                <w:color w:val="auto"/>
                <w:sz w:val="18"/>
                <w:szCs w:val="18"/>
                <w:highlight w:val="none"/>
                <w:lang w:val="en-US" w:eastAsia="zh-CN"/>
              </w:rPr>
              <w:t xml:space="preserve">须</w:t>
            </w:r>
            <w:r>
              <w:rPr>
                <w:rFonts w:hint="eastAsia" w:ascii="宋体" w:hAnsi="宋体"/>
                <w:color w:val="auto"/>
                <w:sz w:val="18"/>
                <w:szCs w:val="18"/>
                <w:highlight w:val="none"/>
                <w:lang w:val="zh-CN"/>
              </w:rPr>
              <w:t xml:space="preserve">另行提供甲方证明加盖公章。</w:t>
            </w:r>
            <w:r>
              <w:rPr>
                <w:rFonts w:hint="eastAsia" w:ascii="宋体" w:hAnsi="宋体" w:cs="宋体"/>
                <w:color w:val="auto"/>
                <w:sz w:val="18"/>
                <w:szCs w:val="18"/>
                <w:highlight w:val="none"/>
              </w:rPr>
              <w:t xml:space="preserve">提供的证明材料须能体现上述要素，否则不得分。</w:t>
            </w:r>
            <w:r/>
          </w:p>
        </w:tc>
        <w:tc>
          <w:tcPr>
            <w:shd w:val="clear" w:color="auto" w:fill="ffffff" w:themeFill="background1"/>
            <w:tcBorders>
              <w:top w:val="single" w:color="auto" w:sz="4" w:space="0"/>
              <w:left w:val="single" w:color="auto" w:sz="4" w:space="0"/>
              <w:right w:val="single" w:color="auto" w:sz="4" w:space="0"/>
            </w:tcBorders>
            <w:tcW w:w="591" w:type="dxa"/>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6</w:t>
            </w:r>
            <w:r/>
          </w:p>
        </w:tc>
      </w:tr>
      <w:tr>
        <w:trPr>
          <w:jc w:val="center"/>
          <w:trHeight w:val="1272"/>
        </w:trPr>
        <w:tc>
          <w:tcPr>
            <w:shd w:val="clear" w:color="auto" w:fill="ffffff" w:themeFill="background1"/>
            <w:tcBorders>
              <w:left w:val="single" w:color="auto" w:sz="4" w:space="0"/>
              <w:right w:val="single" w:color="auto" w:sz="4" w:space="0"/>
            </w:tcBorders>
            <w:tcW w:w="602" w:type="dxa"/>
            <w:vAlign w:val="center"/>
            <w:vMerge w:val="continue"/>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1125" w:type="dxa"/>
            <w:vAlign w:val="center"/>
            <w:vMerge w:val="continue"/>
            <w:textDirection w:val="lrTb"/>
            <w:noWrap w:val="false"/>
          </w:tcPr>
          <w:p>
            <w:pPr>
              <w:jc w:val="center"/>
              <w:rPr>
                <w:rFonts w:hint="eastAsia" w:ascii="宋体" w:hAnsi="宋体"/>
                <w:b/>
                <w:bCs/>
                <w:color w:val="auto"/>
                <w:sz w:val="18"/>
                <w:szCs w:val="18"/>
                <w:highlight w:val="none"/>
              </w:rPr>
            </w:pPr>
            <w:r>
              <w:rPr>
                <w:rFonts w:hint="eastAsia" w:ascii="宋体" w:hAnsi="宋体"/>
                <w:b/>
                <w:bCs/>
                <w:color w:val="auto"/>
                <w:sz w:val="18"/>
                <w:szCs w:val="18"/>
                <w:highlight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土建技术负责人1名：具有高级工程师及以上技术职称得2分；202</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年1月1日（含）以来担任过隧道养护</w:t>
            </w:r>
            <w:r>
              <w:rPr>
                <w:rFonts w:hint="eastAsia" w:ascii="宋体" w:hAnsi="宋体" w:cs="宋体"/>
                <w:color w:val="auto"/>
                <w:sz w:val="18"/>
                <w:szCs w:val="18"/>
                <w:highlight w:val="none"/>
                <w:lang w:val="en-US" w:eastAsia="zh-CN"/>
              </w:rPr>
              <w:t xml:space="preserve">的</w:t>
            </w:r>
            <w:r>
              <w:rPr>
                <w:rFonts w:hint="eastAsia" w:ascii="宋体" w:hAnsi="宋体" w:cs="宋体"/>
                <w:color w:val="auto"/>
                <w:sz w:val="18"/>
                <w:szCs w:val="18"/>
                <w:highlight w:val="none"/>
              </w:rPr>
              <w:t xml:space="preserve">项目经理（项目负责人）或技术负责人或分项负责人，每提供1个业绩得</w:t>
            </w:r>
            <w:r>
              <w:rPr>
                <w:rFonts w:hint="eastAsia" w:ascii="宋体" w:hAnsi="宋体" w:cs="宋体"/>
                <w:color w:val="auto"/>
                <w:sz w:val="18"/>
                <w:szCs w:val="18"/>
                <w:highlight w:val="none"/>
                <w:lang w:val="en-US" w:eastAsia="zh-CN"/>
              </w:rPr>
              <w:t xml:space="preserve">2</w:t>
            </w:r>
            <w:r>
              <w:rPr>
                <w:rFonts w:hint="eastAsia" w:ascii="宋体" w:hAnsi="宋体" w:cs="宋体"/>
                <w:color w:val="auto"/>
                <w:sz w:val="18"/>
                <w:szCs w:val="18"/>
                <w:highlight w:val="none"/>
              </w:rPr>
              <w:t xml:space="preserve">分，最高得</w:t>
            </w:r>
            <w:r>
              <w:rPr>
                <w:rFonts w:hint="eastAsia" w:ascii="宋体" w:hAnsi="宋体" w:cs="宋体"/>
                <w:color w:val="auto"/>
                <w:sz w:val="18"/>
                <w:szCs w:val="18"/>
                <w:highlight w:val="none"/>
                <w:lang w:val="en-US" w:eastAsia="zh-CN"/>
              </w:rPr>
              <w:t xml:space="preserve">4</w:t>
            </w:r>
            <w:r>
              <w:rPr>
                <w:rFonts w:hint="eastAsia" w:ascii="宋体" w:hAnsi="宋体" w:cs="宋体"/>
                <w:color w:val="auto"/>
                <w:sz w:val="18"/>
                <w:szCs w:val="18"/>
                <w:highlight w:val="none"/>
              </w:rPr>
              <w:t xml:space="preserve">分（本项最高得</w:t>
            </w:r>
            <w:r>
              <w:rPr>
                <w:rFonts w:hint="eastAsia" w:ascii="宋体" w:hAnsi="宋体" w:cs="宋体"/>
                <w:color w:val="auto"/>
                <w:sz w:val="18"/>
                <w:szCs w:val="18"/>
                <w:highlight w:val="none"/>
                <w:lang w:val="en-US" w:eastAsia="zh-CN"/>
              </w:rPr>
              <w:t xml:space="preserve">6</w:t>
            </w:r>
            <w:r>
              <w:rPr>
                <w:rFonts w:hint="eastAsia" w:ascii="宋体" w:hAnsi="宋体" w:cs="宋体"/>
                <w:color w:val="auto"/>
                <w:sz w:val="18"/>
                <w:szCs w:val="18"/>
                <w:highlight w:val="none"/>
              </w:rPr>
              <w:t xml:space="preserve">分）。</w:t>
            </w:r>
            <w:r/>
          </w:p>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需要在相应表格中填报并提供</w:t>
            </w:r>
            <w:r>
              <w:rPr>
                <w:rFonts w:hint="eastAsia" w:ascii="宋体" w:hAnsi="宋体" w:cs="宋体"/>
                <w:color w:val="auto"/>
                <w:sz w:val="18"/>
                <w:szCs w:val="18"/>
                <w:highlight w:val="none"/>
                <w:lang w:val="en-US" w:eastAsia="zh-CN"/>
              </w:rPr>
              <w:t xml:space="preserve">职称证、合同协议书</w:t>
            </w:r>
            <w:r>
              <w:rPr>
                <w:rFonts w:hint="eastAsia" w:ascii="宋体" w:hAnsi="宋体" w:cs="宋体"/>
                <w:color w:val="auto"/>
                <w:sz w:val="18"/>
                <w:szCs w:val="18"/>
                <w:highlight w:val="none"/>
              </w:rPr>
              <w:t xml:space="preserve">电子件</w:t>
            </w:r>
            <w:r>
              <w:rPr>
                <w:rFonts w:hint="eastAsia" w:ascii="宋体" w:hAnsi="宋体" w:eastAsia="宋体" w:cs="宋体"/>
                <w:color w:val="auto"/>
                <w:sz w:val="18"/>
                <w:szCs w:val="18"/>
                <w:highlight w:val="none"/>
                <w:lang w:val="zh-CN"/>
              </w:rPr>
              <w:t xml:space="preserve">并加盖公章</w:t>
            </w:r>
            <w:r>
              <w:rPr>
                <w:rFonts w:hint="eastAsia" w:ascii="宋体" w:hAnsi="宋体" w:cs="宋体"/>
                <w:color w:val="auto"/>
                <w:sz w:val="18"/>
                <w:szCs w:val="18"/>
                <w:highlight w:val="none"/>
              </w:rPr>
              <w:t xml:space="preserve">，</w:t>
            </w:r>
            <w:r>
              <w:rPr>
                <w:rFonts w:hint="eastAsia" w:ascii="宋体" w:hAnsi="宋体" w:eastAsia="宋体" w:cs="宋体"/>
                <w:color w:val="auto"/>
                <w:sz w:val="18"/>
                <w:szCs w:val="18"/>
                <w:highlight w:val="none"/>
              </w:rPr>
              <w:t xml:space="preserve">同一合同不重复计算，</w:t>
            </w:r>
            <w:r>
              <w:rPr>
                <w:rFonts w:hint="eastAsia" w:ascii="宋体" w:hAnsi="宋体" w:eastAsia="宋体" w:cs="宋体"/>
                <w:color w:val="auto"/>
                <w:sz w:val="18"/>
                <w:szCs w:val="18"/>
                <w:highlight w:val="none"/>
                <w:lang w:val="en-US" w:eastAsia="zh-CN"/>
              </w:rPr>
              <w:t xml:space="preserve">时间以合同</w:t>
            </w:r>
            <w:r>
              <w:rPr>
                <w:rFonts w:hint="eastAsia" w:ascii="宋体" w:hAnsi="宋体" w:cs="宋体"/>
                <w:color w:val="auto"/>
                <w:sz w:val="18"/>
                <w:szCs w:val="18"/>
                <w:highlight w:val="none"/>
                <w:lang w:val="en-US" w:eastAsia="zh-CN"/>
              </w:rPr>
              <w:t xml:space="preserve">签订的时间</w:t>
            </w:r>
            <w:r>
              <w:rPr>
                <w:rFonts w:hint="eastAsia" w:ascii="宋体" w:hAnsi="宋体" w:eastAsia="宋体" w:cs="宋体"/>
                <w:color w:val="auto"/>
                <w:sz w:val="18"/>
                <w:szCs w:val="18"/>
                <w:highlight w:val="none"/>
                <w:lang w:val="en-US" w:eastAsia="zh-CN"/>
              </w:rPr>
              <w:t xml:space="preserve">为准。</w:t>
            </w:r>
            <w:r>
              <w:rPr>
                <w:rFonts w:hint="eastAsia" w:ascii="宋体" w:hAnsi="宋体" w:eastAsia="宋体" w:cs="宋体"/>
                <w:color w:val="auto"/>
                <w:sz w:val="18"/>
                <w:szCs w:val="18"/>
                <w:highlight w:val="none"/>
                <w:lang w:val="zh-CN"/>
              </w:rPr>
              <w:t xml:space="preserve">若合</w:t>
            </w:r>
            <w:r>
              <w:rPr>
                <w:rFonts w:hint="eastAsia" w:ascii="宋体" w:hAnsi="宋体"/>
                <w:color w:val="auto"/>
                <w:sz w:val="18"/>
                <w:szCs w:val="18"/>
                <w:highlight w:val="none"/>
                <w:lang w:val="zh-CN"/>
              </w:rPr>
              <w:t xml:space="preserve">同中未体现</w:t>
            </w:r>
            <w:r>
              <w:rPr>
                <w:rFonts w:hint="eastAsia" w:ascii="宋体" w:hAnsi="宋体" w:cs="宋体"/>
                <w:color w:val="auto"/>
                <w:sz w:val="18"/>
                <w:szCs w:val="18"/>
                <w:highlight w:val="none"/>
              </w:rPr>
              <w:t xml:space="preserve">土建技术负责人</w:t>
            </w:r>
            <w:r>
              <w:rPr>
                <w:rFonts w:hint="eastAsia" w:ascii="宋体" w:hAnsi="宋体"/>
                <w:color w:val="auto"/>
                <w:sz w:val="18"/>
                <w:szCs w:val="18"/>
                <w:highlight w:val="none"/>
                <w:lang w:val="en-US" w:eastAsia="zh-CN"/>
              </w:rPr>
              <w:t xml:space="preserve">担任的职务、</w:t>
            </w:r>
            <w:r>
              <w:rPr>
                <w:rFonts w:hint="eastAsia" w:ascii="宋体" w:hAnsi="宋体"/>
                <w:color w:val="auto"/>
                <w:sz w:val="18"/>
                <w:szCs w:val="18"/>
                <w:highlight w:val="none"/>
                <w:lang w:val="zh-CN"/>
              </w:rPr>
              <w:t xml:space="preserve">项目特征的，则</w:t>
            </w:r>
            <w:r>
              <w:rPr>
                <w:rFonts w:hint="eastAsia" w:ascii="宋体" w:hAnsi="宋体"/>
                <w:color w:val="auto"/>
                <w:sz w:val="18"/>
                <w:szCs w:val="18"/>
                <w:highlight w:val="none"/>
                <w:lang w:val="en-US" w:eastAsia="zh-CN"/>
              </w:rPr>
              <w:t xml:space="preserve">须</w:t>
            </w:r>
            <w:r>
              <w:rPr>
                <w:rFonts w:hint="eastAsia" w:ascii="宋体" w:hAnsi="宋体"/>
                <w:color w:val="auto"/>
                <w:sz w:val="18"/>
                <w:szCs w:val="18"/>
                <w:highlight w:val="none"/>
                <w:lang w:val="zh-CN"/>
              </w:rPr>
              <w:t xml:space="preserve">另行提供甲方证明加盖公章。</w:t>
            </w:r>
            <w:r>
              <w:rPr>
                <w:rFonts w:hint="eastAsia" w:ascii="宋体" w:hAnsi="宋体" w:cs="宋体"/>
                <w:color w:val="auto"/>
                <w:sz w:val="18"/>
                <w:szCs w:val="18"/>
                <w:highlight w:val="none"/>
              </w:rPr>
              <w:t xml:space="preserve">提供的证明材料须能体现上述要素，否则不得分。</w:t>
            </w:r>
            <w:r/>
          </w:p>
        </w:tc>
        <w:tc>
          <w:tcPr>
            <w:shd w:val="clear" w:color="auto" w:fill="ffffff" w:themeFill="background1"/>
            <w:tcBorders>
              <w:left w:val="single" w:color="auto" w:sz="4" w:space="0"/>
              <w:right w:val="single" w:color="auto" w:sz="4" w:space="0"/>
            </w:tcBorders>
            <w:tcW w:w="591" w:type="dxa"/>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6</w:t>
            </w:r>
            <w:r/>
          </w:p>
        </w:tc>
      </w:tr>
      <w:tr>
        <w:trPr>
          <w:jc w:val="center"/>
          <w:trHeight w:val="924"/>
        </w:trPr>
        <w:tc>
          <w:tcPr>
            <w:shd w:val="clear" w:color="auto" w:fill="ffffff" w:themeFill="background1"/>
            <w:tcBorders>
              <w:left w:val="single" w:color="auto" w:sz="4" w:space="0"/>
              <w:right w:val="single" w:color="auto" w:sz="4" w:space="0"/>
            </w:tcBorders>
            <w:tcW w:w="602" w:type="dxa"/>
            <w:vAlign w:val="center"/>
            <w:vMerge w:val="continue"/>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1125" w:type="dxa"/>
            <w:vAlign w:val="center"/>
            <w:vMerge w:val="continue"/>
            <w:textDirection w:val="lrTb"/>
            <w:noWrap w:val="false"/>
          </w:tcPr>
          <w:p>
            <w:pPr>
              <w:jc w:val="center"/>
              <w:rPr>
                <w:rFonts w:hint="eastAsia" w:ascii="宋体" w:hAnsi="宋体"/>
                <w:b/>
                <w:bCs/>
                <w:color w:val="auto"/>
                <w:sz w:val="18"/>
                <w:szCs w:val="18"/>
                <w:highlight w:val="none"/>
              </w:rPr>
            </w:pPr>
            <w:r>
              <w:rPr>
                <w:rFonts w:hint="eastAsia" w:ascii="宋体" w:hAnsi="宋体"/>
                <w:b/>
                <w:bCs/>
                <w:color w:val="auto"/>
                <w:sz w:val="18"/>
                <w:szCs w:val="18"/>
                <w:highlight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机电技术负责人1名：具有高级工程师及以上技术职称得2分；202</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年1月1日（含）以来担任过隧道养护</w:t>
            </w:r>
            <w:r>
              <w:rPr>
                <w:rFonts w:hint="eastAsia" w:ascii="宋体" w:hAnsi="宋体" w:cs="宋体"/>
                <w:color w:val="auto"/>
                <w:sz w:val="18"/>
                <w:szCs w:val="18"/>
                <w:highlight w:val="none"/>
                <w:lang w:val="en-US" w:eastAsia="zh-CN"/>
              </w:rPr>
              <w:t xml:space="preserve">的</w:t>
            </w:r>
            <w:r>
              <w:rPr>
                <w:rFonts w:hint="eastAsia" w:ascii="宋体" w:hAnsi="宋体" w:cs="宋体"/>
                <w:color w:val="auto"/>
                <w:sz w:val="18"/>
                <w:szCs w:val="18"/>
                <w:highlight w:val="none"/>
              </w:rPr>
              <w:t xml:space="preserve">项目经理（项目负责人）或技术负责人或分项负责人，每提供1个业绩得</w:t>
            </w:r>
            <w:r>
              <w:rPr>
                <w:rFonts w:hint="eastAsia" w:ascii="宋体" w:hAnsi="宋体" w:cs="宋体"/>
                <w:color w:val="auto"/>
                <w:sz w:val="18"/>
                <w:szCs w:val="18"/>
                <w:highlight w:val="none"/>
                <w:lang w:val="en-US" w:eastAsia="zh-CN"/>
              </w:rPr>
              <w:t xml:space="preserve">2</w:t>
            </w:r>
            <w:r>
              <w:rPr>
                <w:rFonts w:hint="eastAsia" w:ascii="宋体" w:hAnsi="宋体" w:cs="宋体"/>
                <w:color w:val="auto"/>
                <w:sz w:val="18"/>
                <w:szCs w:val="18"/>
                <w:highlight w:val="none"/>
              </w:rPr>
              <w:t xml:space="preserve">分，最高得</w:t>
            </w:r>
            <w:r>
              <w:rPr>
                <w:rFonts w:hint="eastAsia" w:ascii="宋体" w:hAnsi="宋体" w:cs="宋体"/>
                <w:color w:val="auto"/>
                <w:sz w:val="18"/>
                <w:szCs w:val="18"/>
                <w:highlight w:val="none"/>
                <w:lang w:val="en-US" w:eastAsia="zh-CN"/>
              </w:rPr>
              <w:t xml:space="preserve">4</w:t>
            </w:r>
            <w:r>
              <w:rPr>
                <w:rFonts w:hint="eastAsia" w:ascii="宋体" w:hAnsi="宋体" w:cs="宋体"/>
                <w:color w:val="auto"/>
                <w:sz w:val="18"/>
                <w:szCs w:val="18"/>
                <w:highlight w:val="none"/>
              </w:rPr>
              <w:t xml:space="preserve">分（本项最高得</w:t>
            </w:r>
            <w:r>
              <w:rPr>
                <w:rFonts w:hint="eastAsia" w:ascii="宋体" w:hAnsi="宋体" w:cs="宋体"/>
                <w:color w:val="auto"/>
                <w:sz w:val="18"/>
                <w:szCs w:val="18"/>
                <w:highlight w:val="none"/>
                <w:lang w:val="en-US" w:eastAsia="zh-CN"/>
              </w:rPr>
              <w:t xml:space="preserve">6</w:t>
            </w:r>
            <w:r>
              <w:rPr>
                <w:rFonts w:hint="eastAsia" w:ascii="宋体" w:hAnsi="宋体" w:cs="宋体"/>
                <w:color w:val="auto"/>
                <w:sz w:val="18"/>
                <w:szCs w:val="18"/>
                <w:highlight w:val="none"/>
              </w:rPr>
              <w:t xml:space="preserve">分）。</w:t>
            </w:r>
            <w:r/>
          </w:p>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需要在相应表格中填报并提供</w:t>
            </w:r>
            <w:r>
              <w:rPr>
                <w:rFonts w:hint="eastAsia" w:ascii="宋体" w:hAnsi="宋体" w:cs="宋体"/>
                <w:color w:val="auto"/>
                <w:sz w:val="18"/>
                <w:szCs w:val="18"/>
                <w:highlight w:val="none"/>
                <w:lang w:val="en-US" w:eastAsia="zh-CN"/>
              </w:rPr>
              <w:t xml:space="preserve">职称证、合同协议书</w:t>
            </w:r>
            <w:r>
              <w:rPr>
                <w:rFonts w:hint="eastAsia" w:ascii="宋体" w:hAnsi="宋体" w:cs="宋体"/>
                <w:color w:val="auto"/>
                <w:sz w:val="18"/>
                <w:szCs w:val="18"/>
                <w:highlight w:val="none"/>
              </w:rPr>
              <w:t xml:space="preserve">电子件</w:t>
            </w:r>
            <w:r>
              <w:rPr>
                <w:rFonts w:hint="eastAsia" w:ascii="宋体" w:hAnsi="宋体" w:eastAsia="宋体" w:cs="宋体"/>
                <w:color w:val="auto"/>
                <w:sz w:val="18"/>
                <w:szCs w:val="18"/>
                <w:highlight w:val="none"/>
                <w:lang w:val="zh-CN"/>
              </w:rPr>
              <w:t xml:space="preserve">并加盖公章</w:t>
            </w:r>
            <w:r>
              <w:rPr>
                <w:rFonts w:hint="eastAsia" w:ascii="宋体" w:hAnsi="宋体" w:cs="宋体"/>
                <w:color w:val="auto"/>
                <w:sz w:val="18"/>
                <w:szCs w:val="18"/>
                <w:highlight w:val="none"/>
              </w:rPr>
              <w:t xml:space="preserve">，</w:t>
            </w:r>
            <w:r>
              <w:rPr>
                <w:rFonts w:hint="eastAsia" w:ascii="宋体" w:hAnsi="宋体" w:eastAsia="宋体" w:cs="宋体"/>
                <w:color w:val="auto"/>
                <w:sz w:val="18"/>
                <w:szCs w:val="18"/>
                <w:highlight w:val="none"/>
              </w:rPr>
              <w:t xml:space="preserve">同一合同不重复计算，</w:t>
            </w:r>
            <w:r>
              <w:rPr>
                <w:rFonts w:hint="eastAsia" w:ascii="宋体" w:hAnsi="宋体" w:eastAsia="宋体" w:cs="宋体"/>
                <w:color w:val="auto"/>
                <w:sz w:val="18"/>
                <w:szCs w:val="18"/>
                <w:highlight w:val="none"/>
                <w:lang w:val="en-US" w:eastAsia="zh-CN"/>
              </w:rPr>
              <w:t xml:space="preserve">时间以合同</w:t>
            </w:r>
            <w:r>
              <w:rPr>
                <w:rFonts w:hint="eastAsia" w:ascii="宋体" w:hAnsi="宋体" w:cs="宋体"/>
                <w:color w:val="auto"/>
                <w:sz w:val="18"/>
                <w:szCs w:val="18"/>
                <w:highlight w:val="none"/>
                <w:lang w:val="en-US" w:eastAsia="zh-CN"/>
              </w:rPr>
              <w:t xml:space="preserve">签订的时间</w:t>
            </w:r>
            <w:r>
              <w:rPr>
                <w:rFonts w:hint="eastAsia" w:ascii="宋体" w:hAnsi="宋体" w:eastAsia="宋体" w:cs="宋体"/>
                <w:color w:val="auto"/>
                <w:sz w:val="18"/>
                <w:szCs w:val="18"/>
                <w:highlight w:val="none"/>
                <w:lang w:val="en-US" w:eastAsia="zh-CN"/>
              </w:rPr>
              <w:t xml:space="preserve">为准。</w:t>
            </w:r>
            <w:r>
              <w:rPr>
                <w:rFonts w:hint="eastAsia" w:ascii="宋体" w:hAnsi="宋体" w:eastAsia="宋体" w:cs="宋体"/>
                <w:color w:val="auto"/>
                <w:sz w:val="18"/>
                <w:szCs w:val="18"/>
                <w:highlight w:val="none"/>
                <w:lang w:val="zh-CN"/>
              </w:rPr>
              <w:t xml:space="preserve">若合</w:t>
            </w:r>
            <w:r>
              <w:rPr>
                <w:rFonts w:hint="eastAsia" w:ascii="宋体" w:hAnsi="宋体"/>
                <w:color w:val="auto"/>
                <w:sz w:val="18"/>
                <w:szCs w:val="18"/>
                <w:highlight w:val="none"/>
                <w:lang w:val="zh-CN"/>
              </w:rPr>
              <w:t xml:space="preserve">同中未体现</w:t>
            </w:r>
            <w:r>
              <w:rPr>
                <w:rFonts w:hint="eastAsia" w:ascii="宋体" w:hAnsi="宋体" w:cs="宋体"/>
                <w:color w:val="auto"/>
                <w:sz w:val="18"/>
                <w:szCs w:val="18"/>
                <w:highlight w:val="none"/>
                <w:lang w:val="en-US" w:eastAsia="zh-CN"/>
              </w:rPr>
              <w:t xml:space="preserve">机电技术负责人</w:t>
            </w:r>
            <w:r>
              <w:rPr>
                <w:rFonts w:hint="eastAsia" w:ascii="宋体" w:hAnsi="宋体"/>
                <w:color w:val="auto"/>
                <w:sz w:val="18"/>
                <w:szCs w:val="18"/>
                <w:highlight w:val="none"/>
                <w:lang w:val="en-US" w:eastAsia="zh-CN"/>
              </w:rPr>
              <w:t xml:space="preserve">担任的职务、</w:t>
            </w:r>
            <w:r>
              <w:rPr>
                <w:rFonts w:hint="eastAsia" w:ascii="宋体" w:hAnsi="宋体"/>
                <w:color w:val="auto"/>
                <w:sz w:val="18"/>
                <w:szCs w:val="18"/>
                <w:highlight w:val="none"/>
                <w:lang w:val="zh-CN"/>
              </w:rPr>
              <w:t xml:space="preserve">项目特征的，则</w:t>
            </w:r>
            <w:r>
              <w:rPr>
                <w:rFonts w:hint="eastAsia" w:ascii="宋体" w:hAnsi="宋体"/>
                <w:color w:val="auto"/>
                <w:sz w:val="18"/>
                <w:szCs w:val="18"/>
                <w:highlight w:val="none"/>
                <w:lang w:val="en-US" w:eastAsia="zh-CN"/>
              </w:rPr>
              <w:t xml:space="preserve">须</w:t>
            </w:r>
            <w:r>
              <w:rPr>
                <w:rFonts w:hint="eastAsia" w:ascii="宋体" w:hAnsi="宋体"/>
                <w:color w:val="auto"/>
                <w:sz w:val="18"/>
                <w:szCs w:val="18"/>
                <w:highlight w:val="none"/>
                <w:lang w:val="zh-CN"/>
              </w:rPr>
              <w:t xml:space="preserve">另行提供甲方证明加盖公章。</w:t>
            </w:r>
            <w:r>
              <w:rPr>
                <w:rFonts w:hint="eastAsia" w:ascii="宋体" w:hAnsi="宋体" w:cs="宋体"/>
                <w:color w:val="auto"/>
                <w:sz w:val="18"/>
                <w:szCs w:val="18"/>
                <w:highlight w:val="none"/>
              </w:rPr>
              <w:t xml:space="preserve">提供的证明材料须能体现上述要素，否则不得分。</w:t>
            </w:r>
            <w:r/>
          </w:p>
        </w:tc>
        <w:tc>
          <w:tcPr>
            <w:shd w:val="clear" w:color="auto" w:fill="ffffff" w:themeFill="background1"/>
            <w:tcBorders>
              <w:left w:val="single" w:color="auto" w:sz="4" w:space="0"/>
              <w:bottom w:val="single" w:color="auto" w:sz="4" w:space="0"/>
              <w:right w:val="single" w:color="auto" w:sz="4" w:space="0"/>
            </w:tcBorders>
            <w:tcW w:w="591" w:type="dxa"/>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6</w:t>
            </w:r>
            <w:r/>
          </w:p>
        </w:tc>
      </w:tr>
      <w:tr>
        <w:trPr>
          <w:jc w:val="center"/>
          <w:trHeight w:val="947"/>
        </w:trPr>
        <w:tc>
          <w:tcPr>
            <w:shd w:val="clear" w:color="auto" w:fill="ffffff" w:themeFill="background1"/>
            <w:tcBorders>
              <w:left w:val="single" w:color="auto" w:sz="4" w:space="0"/>
              <w:bottom w:val="single" w:color="auto" w:sz="4" w:space="0"/>
              <w:right w:val="single" w:color="auto" w:sz="4" w:space="0"/>
            </w:tcBorders>
            <w:tcW w:w="602" w:type="dxa"/>
            <w:vAlign w:val="center"/>
            <w:vMerge w:val="continue"/>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1125" w:type="dxa"/>
            <w:vAlign w:val="center"/>
            <w:vMerge w:val="continue"/>
            <w:textDirection w:val="lrTb"/>
            <w:noWrap w:val="false"/>
          </w:tcPr>
          <w:p>
            <w:pPr>
              <w:jc w:val="center"/>
              <w:rPr>
                <w:rFonts w:hint="eastAsia" w:ascii="宋体" w:hAnsi="宋体"/>
                <w:b/>
                <w:bCs/>
                <w:color w:val="auto"/>
                <w:sz w:val="18"/>
                <w:szCs w:val="18"/>
                <w:highlight w:val="none"/>
              </w:rPr>
            </w:pPr>
            <w:r>
              <w:rPr>
                <w:rFonts w:hint="eastAsia" w:ascii="宋体" w:hAnsi="宋体"/>
                <w:b/>
                <w:bCs/>
                <w:color w:val="auto"/>
                <w:sz w:val="18"/>
                <w:szCs w:val="18"/>
                <w:highlight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ind w:firstLine="360"/>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其他人员：</w:t>
            </w:r>
            <w:r/>
          </w:p>
          <w:p>
            <w:pPr>
              <w:ind w:firstLine="360"/>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专职安全人员1名:具有有效期内的安全生产考核合格证（C证）或具有注册安全工程师（新版为：中级注册安全工程师）证书，得3分。</w:t>
            </w:r>
            <w:bookmarkStart w:id="9" w:name="OLE_LINK1"/>
            <w:r/>
            <w:r/>
          </w:p>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需要在相应表格中填报并提供相关证明材料电子件</w:t>
            </w:r>
            <w:bookmarkEnd w:id="9"/>
            <w:r>
              <w:rPr>
                <w:rFonts w:hint="eastAsia" w:ascii="宋体" w:hAnsi="宋体" w:cs="宋体"/>
                <w:color w:val="auto"/>
                <w:sz w:val="18"/>
                <w:szCs w:val="18"/>
                <w:highlight w:val="none"/>
              </w:rPr>
              <w:t xml:space="preserve">并加盖公章，否则不得分。</w:t>
            </w:r>
            <w:r/>
          </w:p>
        </w:tc>
        <w:tc>
          <w:tcPr>
            <w:shd w:val="clear" w:color="auto" w:fill="ffffff" w:themeFill="background1"/>
            <w:tcBorders>
              <w:left w:val="single" w:color="auto" w:sz="4" w:space="0"/>
              <w:bottom w:val="single" w:color="auto" w:sz="4" w:space="0"/>
              <w:right w:val="single" w:color="auto" w:sz="4" w:space="0"/>
            </w:tcBorders>
            <w:tcW w:w="591" w:type="dxa"/>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3</w:t>
            </w:r>
            <w:r/>
          </w:p>
        </w:tc>
      </w:tr>
      <w:tr>
        <w:trPr>
          <w:jc w:val="center"/>
          <w:trHeight w:val="284"/>
        </w:trPr>
        <w:tc>
          <w:tcPr>
            <w:shd w:val="clear" w:color="auto" w:fill="ffffff" w:themeFill="background1"/>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lef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3.2</w:t>
            </w:r>
            <w:r/>
          </w:p>
        </w:tc>
        <w:tc>
          <w:tcPr>
            <w:shd w:val="clear" w:color="auto" w:fill="ffffff" w:themeFill="background1"/>
            <w:tcBorders>
              <w:left w:val="single" w:color="auto" w:sz="4" w:space="0"/>
              <w:right w:val="single" w:color="auto" w:sz="4" w:space="0"/>
            </w:tcBorders>
            <w:tcW w:w="1125" w:type="dxa"/>
            <w:vAlign w:val="center"/>
            <w:vMerge w:val="continue"/>
            <w:textDirection w:val="lrTb"/>
            <w:noWrap w:val="false"/>
          </w:tcPr>
          <w:p>
            <w:pPr>
              <w:rPr>
                <w:rFonts w:ascii="宋体" w:hAnsi="宋体"/>
                <w:b/>
                <w:bCs/>
                <w:color w:val="auto"/>
                <w:sz w:val="18"/>
                <w:szCs w:val="18"/>
                <w:highlight w:val="none"/>
              </w:rPr>
            </w:pPr>
            <w:r>
              <w:rPr>
                <w:rFonts w:ascii="宋体" w:hAnsi="宋体"/>
                <w:b/>
                <w:bCs/>
                <w:color w:val="auto"/>
                <w:sz w:val="18"/>
                <w:szCs w:val="18"/>
                <w:highlight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jc w:val="left"/>
              <w:rPr>
                <w:rFonts w:ascii="宋体" w:hAnsi="宋体"/>
                <w:color w:val="auto"/>
                <w:sz w:val="18"/>
                <w:szCs w:val="18"/>
                <w:highlight w:val="none"/>
              </w:rPr>
            </w:pPr>
            <w:r>
              <w:rPr>
                <w:rFonts w:hint="eastAsia" w:ascii="宋体" w:hAnsi="宋体"/>
                <w:color w:val="auto"/>
                <w:sz w:val="18"/>
                <w:szCs w:val="18"/>
                <w:highlight w:val="none"/>
                <w:lang w:val="en-US" w:eastAsia="zh-CN"/>
              </w:rPr>
              <w:t xml:space="preserve">养护</w:t>
            </w:r>
            <w:r>
              <w:rPr>
                <w:rFonts w:hint="eastAsia" w:ascii="宋体" w:hAnsi="宋体"/>
                <w:color w:val="auto"/>
                <w:sz w:val="18"/>
                <w:szCs w:val="18"/>
                <w:highlight w:val="none"/>
              </w:rPr>
              <w:t xml:space="preserve">设备：</w:t>
            </w:r>
            <w:r/>
          </w:p>
          <w:p>
            <w:pPr>
              <w:ind w:firstLine="360"/>
              <w:jc w:val="left"/>
              <w:rPr>
                <w:rFonts w:hint="eastAsia" w:ascii="宋体" w:hAnsi="宋体"/>
                <w:color w:val="auto"/>
                <w:sz w:val="18"/>
                <w:szCs w:val="18"/>
                <w:highlight w:val="none"/>
                <w:lang w:val="zh-CN"/>
              </w:rPr>
            </w:pPr>
            <w:r>
              <w:rPr>
                <w:rFonts w:hint="eastAsia" w:ascii="宋体" w:hAnsi="宋体"/>
                <w:color w:val="auto"/>
                <w:sz w:val="18"/>
                <w:szCs w:val="18"/>
                <w:highlight w:val="none"/>
              </w:rPr>
              <w:t xml:space="preserve">1、</w:t>
            </w:r>
            <w:r>
              <w:rPr>
                <w:rFonts w:hint="eastAsia" w:ascii="宋体" w:hAnsi="宋体"/>
                <w:color w:val="auto"/>
                <w:sz w:val="18"/>
                <w:szCs w:val="18"/>
                <w:highlight w:val="none"/>
                <w:lang w:val="zh-CN"/>
              </w:rPr>
              <w:t xml:space="preserve">巡查车:投标人每提供1台专用巡查车辆（装备警示显示屏）得</w:t>
            </w:r>
            <w:r>
              <w:rPr>
                <w:rFonts w:hint="eastAsia" w:ascii="宋体" w:hAnsi="宋体"/>
                <w:color w:val="auto"/>
                <w:sz w:val="18"/>
                <w:szCs w:val="18"/>
                <w:highlight w:val="none"/>
                <w:lang w:val="en-US" w:eastAsia="zh-CN"/>
              </w:rPr>
              <w:t xml:space="preserve">3</w:t>
            </w:r>
            <w:r>
              <w:rPr>
                <w:rFonts w:hint="eastAsia" w:ascii="宋体" w:hAnsi="宋体"/>
                <w:color w:val="auto"/>
                <w:sz w:val="18"/>
                <w:szCs w:val="18"/>
                <w:highlight w:val="none"/>
                <w:lang w:val="zh-CN"/>
              </w:rPr>
              <w:t xml:space="preserve">分，本条最多得</w:t>
            </w:r>
            <w:r>
              <w:rPr>
                <w:rFonts w:hint="eastAsia" w:ascii="宋体" w:hAnsi="宋体"/>
                <w:color w:val="auto"/>
                <w:sz w:val="18"/>
                <w:szCs w:val="18"/>
                <w:highlight w:val="none"/>
                <w:lang w:val="en-US" w:eastAsia="zh-CN"/>
              </w:rPr>
              <w:t xml:space="preserve">3</w:t>
            </w:r>
            <w:r>
              <w:rPr>
                <w:rFonts w:hint="eastAsia" w:ascii="宋体" w:hAnsi="宋体"/>
                <w:color w:val="auto"/>
                <w:sz w:val="18"/>
                <w:szCs w:val="18"/>
                <w:highlight w:val="none"/>
                <w:lang w:val="zh-CN"/>
              </w:rPr>
              <w:t xml:space="preserve">分；</w:t>
            </w:r>
            <w:r/>
          </w:p>
          <w:p>
            <w:pPr>
              <w:ind w:firstLine="360"/>
              <w:jc w:val="left"/>
              <w:rPr>
                <w:rFonts w:ascii="宋体" w:hAnsi="宋体"/>
                <w:color w:val="auto"/>
                <w:sz w:val="18"/>
                <w:szCs w:val="18"/>
                <w:highlight w:val="none"/>
                <w:lang w:val="zh-CN"/>
              </w:rPr>
            </w:pPr>
            <w:r>
              <w:rPr>
                <w:rFonts w:hint="eastAsia" w:ascii="宋体" w:hAnsi="宋体"/>
                <w:color w:val="auto"/>
                <w:sz w:val="18"/>
                <w:szCs w:val="18"/>
                <w:highlight w:val="none"/>
                <w:lang w:val="zh-CN"/>
              </w:rPr>
              <w:t xml:space="preserve">2、举升设备：投标人每提供1辆举升设备得</w:t>
            </w:r>
            <w:r>
              <w:rPr>
                <w:rFonts w:hint="eastAsia" w:ascii="宋体" w:hAnsi="宋体"/>
                <w:color w:val="auto"/>
                <w:sz w:val="18"/>
                <w:szCs w:val="18"/>
                <w:highlight w:val="none"/>
                <w:lang w:val="en-US" w:eastAsia="zh-CN"/>
              </w:rPr>
              <w:t xml:space="preserve">2</w:t>
            </w:r>
            <w:r>
              <w:rPr>
                <w:rFonts w:hint="eastAsia" w:ascii="宋体" w:hAnsi="宋体"/>
                <w:color w:val="auto"/>
                <w:sz w:val="18"/>
                <w:szCs w:val="18"/>
                <w:highlight w:val="none"/>
                <w:lang w:val="zh-CN"/>
              </w:rPr>
              <w:t xml:space="preserve">分，本条最多得</w:t>
            </w:r>
            <w:r>
              <w:rPr>
                <w:rFonts w:hint="eastAsia" w:ascii="宋体" w:hAnsi="宋体"/>
                <w:color w:val="auto"/>
                <w:sz w:val="18"/>
                <w:szCs w:val="18"/>
                <w:highlight w:val="none"/>
                <w:lang w:val="en-US" w:eastAsia="zh-CN"/>
              </w:rPr>
              <w:t xml:space="preserve">2</w:t>
            </w:r>
            <w:r>
              <w:rPr>
                <w:rFonts w:hint="eastAsia" w:ascii="宋体" w:hAnsi="宋体"/>
                <w:color w:val="auto"/>
                <w:sz w:val="18"/>
                <w:szCs w:val="18"/>
                <w:highlight w:val="none"/>
                <w:lang w:val="zh-CN"/>
              </w:rPr>
              <w:t xml:space="preserve">分；</w:t>
            </w:r>
            <w:r/>
          </w:p>
          <w:p>
            <w:pPr>
              <w:ind w:firstLine="360"/>
              <w:jc w:val="left"/>
              <w:rPr>
                <w:rFonts w:ascii="宋体" w:hAnsi="宋体"/>
                <w:color w:val="auto"/>
                <w:sz w:val="18"/>
                <w:szCs w:val="18"/>
                <w:highlight w:val="none"/>
                <w:lang w:val="zh-CN"/>
              </w:rPr>
            </w:pPr>
            <w:r>
              <w:rPr>
                <w:rFonts w:hint="eastAsia" w:ascii="宋体" w:hAnsi="宋体"/>
                <w:color w:val="auto"/>
                <w:sz w:val="18"/>
                <w:szCs w:val="18"/>
                <w:highlight w:val="none"/>
              </w:rPr>
              <w:t xml:space="preserve">3</w:t>
            </w:r>
            <w:r>
              <w:rPr>
                <w:rFonts w:hint="eastAsia" w:ascii="宋体" w:hAnsi="宋体"/>
                <w:color w:val="auto"/>
                <w:sz w:val="18"/>
                <w:szCs w:val="18"/>
                <w:highlight w:val="none"/>
                <w:lang w:val="zh-CN"/>
              </w:rPr>
              <w:t xml:space="preserve">、</w:t>
            </w:r>
            <w:r>
              <w:rPr>
                <w:rFonts w:hint="eastAsia" w:ascii="宋体" w:hAnsi="宋体"/>
                <w:color w:val="auto"/>
                <w:sz w:val="18"/>
                <w:szCs w:val="18"/>
                <w:highlight w:val="none"/>
              </w:rPr>
              <w:t xml:space="preserve">一体化防汛救险车：投标人每提供1辆防汛救险车得</w:t>
            </w:r>
            <w:r>
              <w:rPr>
                <w:rFonts w:hint="eastAsia" w:ascii="宋体" w:hAnsi="宋体"/>
                <w:color w:val="auto"/>
                <w:sz w:val="18"/>
                <w:szCs w:val="18"/>
                <w:highlight w:val="none"/>
                <w:lang w:val="en-US" w:eastAsia="zh-CN"/>
              </w:rPr>
              <w:t xml:space="preserve">3</w:t>
            </w:r>
            <w:r>
              <w:rPr>
                <w:rFonts w:hint="eastAsia" w:ascii="宋体" w:hAnsi="宋体"/>
                <w:color w:val="auto"/>
                <w:sz w:val="18"/>
                <w:szCs w:val="18"/>
                <w:highlight w:val="none"/>
              </w:rPr>
              <w:t xml:space="preserve">分，本条最多得</w:t>
            </w:r>
            <w:r>
              <w:rPr>
                <w:rFonts w:hint="eastAsia" w:ascii="宋体" w:hAnsi="宋体"/>
                <w:color w:val="auto"/>
                <w:sz w:val="18"/>
                <w:szCs w:val="18"/>
                <w:highlight w:val="none"/>
                <w:lang w:val="en-US" w:eastAsia="zh-CN"/>
              </w:rPr>
              <w:t xml:space="preserve">3</w:t>
            </w:r>
            <w:r>
              <w:rPr>
                <w:rFonts w:hint="eastAsia" w:ascii="宋体" w:hAnsi="宋体"/>
                <w:color w:val="auto"/>
                <w:sz w:val="18"/>
                <w:szCs w:val="18"/>
                <w:highlight w:val="none"/>
              </w:rPr>
              <w:t xml:space="preserve">分</w:t>
            </w:r>
            <w:r>
              <w:rPr>
                <w:rFonts w:hint="eastAsia" w:ascii="宋体" w:hAnsi="宋体"/>
                <w:color w:val="auto"/>
                <w:sz w:val="18"/>
                <w:szCs w:val="18"/>
                <w:highlight w:val="none"/>
                <w:lang w:val="zh-CN"/>
              </w:rPr>
              <w:t xml:space="preserve">；</w:t>
            </w:r>
            <w:r/>
          </w:p>
          <w:p>
            <w:pPr>
              <w:ind w:firstLine="360"/>
              <w:jc w:val="left"/>
              <w:rPr>
                <w:rFonts w:hint="eastAsia" w:ascii="宋体" w:hAnsi="宋体"/>
                <w:color w:val="auto"/>
                <w:sz w:val="18"/>
                <w:szCs w:val="18"/>
                <w:highlight w:val="none"/>
                <w:lang w:val="zh-CN"/>
              </w:rPr>
            </w:pPr>
            <w:r>
              <w:rPr>
                <w:rFonts w:hint="eastAsia" w:ascii="宋体" w:hAnsi="宋体"/>
                <w:color w:val="auto"/>
                <w:sz w:val="18"/>
                <w:szCs w:val="18"/>
                <w:highlight w:val="none"/>
              </w:rPr>
              <w:t xml:space="preserve">4、</w:t>
            </w:r>
            <w:r>
              <w:rPr>
                <w:rFonts w:hint="eastAsia" w:ascii="宋体" w:hAnsi="宋体"/>
                <w:color w:val="auto"/>
                <w:sz w:val="18"/>
                <w:szCs w:val="18"/>
                <w:highlight w:val="none"/>
                <w:lang w:val="zh-CN"/>
              </w:rPr>
              <w:t xml:space="preserve">侧壁清洗车:投标人每提供1台侧壁清洗车的得</w:t>
            </w:r>
            <w:r>
              <w:rPr>
                <w:rFonts w:hint="eastAsia" w:ascii="宋体" w:hAnsi="宋体"/>
                <w:color w:val="auto"/>
                <w:sz w:val="18"/>
                <w:szCs w:val="18"/>
                <w:highlight w:val="none"/>
                <w:lang w:val="en-US" w:eastAsia="zh-CN"/>
              </w:rPr>
              <w:t xml:space="preserve">2</w:t>
            </w:r>
            <w:r>
              <w:rPr>
                <w:rFonts w:hint="eastAsia" w:ascii="宋体" w:hAnsi="宋体"/>
                <w:color w:val="auto"/>
                <w:sz w:val="18"/>
                <w:szCs w:val="18"/>
                <w:highlight w:val="none"/>
                <w:lang w:val="zh-CN"/>
              </w:rPr>
              <w:t xml:space="preserve">分，本条最多得2分；</w:t>
            </w:r>
            <w:r/>
          </w:p>
          <w:p>
            <w:pPr>
              <w:ind w:firstLine="360"/>
              <w:jc w:val="left"/>
              <w:rPr>
                <w:rFonts w:hint="eastAsia" w:ascii="宋体" w:hAnsi="宋体"/>
                <w:color w:val="auto"/>
                <w:sz w:val="18"/>
                <w:szCs w:val="18"/>
                <w:highlight w:val="none"/>
                <w:lang w:val="zh-CN"/>
              </w:rPr>
            </w:pPr>
            <w:r>
              <w:rPr>
                <w:rFonts w:hint="eastAsia" w:ascii="宋体" w:hAnsi="宋体"/>
                <w:color w:val="auto"/>
                <w:sz w:val="18"/>
                <w:szCs w:val="18"/>
                <w:highlight w:val="none"/>
                <w:lang w:val="zh-CN"/>
              </w:rPr>
              <w:t xml:space="preserve">5、防撞车：投标人每提供1辆防撞缓冲车得</w:t>
            </w:r>
            <w:r>
              <w:rPr>
                <w:rFonts w:hint="eastAsia" w:ascii="宋体" w:hAnsi="宋体"/>
                <w:color w:val="auto"/>
                <w:sz w:val="18"/>
                <w:szCs w:val="18"/>
                <w:highlight w:val="none"/>
                <w:lang w:val="en-US" w:eastAsia="zh-CN"/>
              </w:rPr>
              <w:t xml:space="preserve">3</w:t>
            </w:r>
            <w:r>
              <w:rPr>
                <w:rFonts w:hint="eastAsia" w:ascii="宋体" w:hAnsi="宋体"/>
                <w:color w:val="auto"/>
                <w:sz w:val="18"/>
                <w:szCs w:val="18"/>
                <w:highlight w:val="none"/>
                <w:lang w:val="zh-CN"/>
              </w:rPr>
              <w:t xml:space="preserve">分，本条最多得</w:t>
            </w:r>
            <w:r>
              <w:rPr>
                <w:rFonts w:hint="eastAsia" w:ascii="宋体" w:hAnsi="宋体"/>
                <w:color w:val="auto"/>
                <w:sz w:val="18"/>
                <w:szCs w:val="18"/>
                <w:highlight w:val="none"/>
                <w:lang w:val="en-US" w:eastAsia="zh-CN"/>
              </w:rPr>
              <w:t xml:space="preserve">3</w:t>
            </w:r>
            <w:r>
              <w:rPr>
                <w:rFonts w:hint="eastAsia" w:ascii="宋体" w:hAnsi="宋体"/>
                <w:color w:val="auto"/>
                <w:sz w:val="18"/>
                <w:szCs w:val="18"/>
                <w:highlight w:val="none"/>
                <w:lang w:val="zh-CN"/>
              </w:rPr>
              <w:t xml:space="preserve">分；</w:t>
            </w:r>
            <w:r/>
          </w:p>
          <w:p>
            <w:pPr>
              <w:ind w:firstLine="360"/>
              <w:jc w:val="left"/>
              <w:rPr>
                <w:rFonts w:ascii="宋体" w:hAnsi="宋体"/>
                <w:color w:val="auto"/>
                <w:sz w:val="18"/>
                <w:szCs w:val="18"/>
                <w:highlight w:val="none"/>
                <w:lang w:val="zh-CN"/>
              </w:rPr>
            </w:pPr>
            <w:r>
              <w:rPr>
                <w:rFonts w:hint="eastAsia" w:ascii="宋体" w:hAnsi="宋体"/>
                <w:color w:val="auto"/>
                <w:sz w:val="18"/>
                <w:szCs w:val="18"/>
                <w:highlight w:val="none"/>
                <w:lang w:val="zh-CN"/>
              </w:rPr>
              <w:t xml:space="preserve">6、融雪撒布机：投标人每提供1台融雪撒布机得</w:t>
            </w:r>
            <w:r>
              <w:rPr>
                <w:rFonts w:hint="eastAsia" w:ascii="宋体" w:hAnsi="宋体"/>
                <w:color w:val="auto"/>
                <w:sz w:val="18"/>
                <w:szCs w:val="18"/>
                <w:highlight w:val="none"/>
                <w:lang w:val="en-US" w:eastAsia="zh-CN"/>
              </w:rPr>
              <w:t xml:space="preserve">3</w:t>
            </w:r>
            <w:r>
              <w:rPr>
                <w:rFonts w:hint="eastAsia" w:ascii="宋体" w:hAnsi="宋体"/>
                <w:color w:val="auto"/>
                <w:sz w:val="18"/>
                <w:szCs w:val="18"/>
                <w:highlight w:val="none"/>
                <w:lang w:val="zh-CN"/>
              </w:rPr>
              <w:t xml:space="preserve">分；本项最多得</w:t>
            </w:r>
            <w:r>
              <w:rPr>
                <w:rFonts w:hint="eastAsia" w:ascii="宋体" w:hAnsi="宋体"/>
                <w:color w:val="auto"/>
                <w:sz w:val="18"/>
                <w:szCs w:val="18"/>
                <w:highlight w:val="none"/>
                <w:lang w:val="en-US" w:eastAsia="zh-CN"/>
              </w:rPr>
              <w:t xml:space="preserve">3</w:t>
            </w:r>
            <w:r>
              <w:rPr>
                <w:rFonts w:hint="eastAsia" w:ascii="宋体" w:hAnsi="宋体"/>
                <w:color w:val="auto"/>
                <w:sz w:val="18"/>
                <w:szCs w:val="18"/>
                <w:highlight w:val="none"/>
                <w:lang w:val="zh-CN"/>
              </w:rPr>
              <w:t xml:space="preserve">分。</w:t>
            </w:r>
            <w:r>
              <w:rPr>
                <w:rFonts w:hint="eastAsia" w:ascii="宋体" w:hAnsi="宋体"/>
                <w:color w:val="auto"/>
                <w:sz w:val="18"/>
                <w:szCs w:val="18"/>
                <w:highlight w:val="none"/>
                <w:lang w:val="zh-CN"/>
              </w:rPr>
              <w:br/>
            </w:r>
            <w:r>
              <w:rPr>
                <w:rFonts w:hint="eastAsia" w:ascii="宋体" w:hAnsi="宋体"/>
                <w:color w:val="auto"/>
                <w:sz w:val="18"/>
                <w:szCs w:val="18"/>
                <w:highlight w:val="none"/>
                <w:lang w:val="zh-CN"/>
              </w:rPr>
              <w:t xml:space="preserve">（</w:t>
            </w:r>
            <w:r>
              <w:rPr>
                <w:rFonts w:ascii="宋体" w:hAnsi="宋体"/>
                <w:color w:val="auto"/>
                <w:sz w:val="18"/>
                <w:szCs w:val="18"/>
                <w:highlight w:val="none"/>
                <w:lang w:val="zh-CN"/>
              </w:rPr>
              <w:t xml:space="preserve">自有养护设备的需要提供购置发票，租赁养护设备的需要提供意向租赁合同且合同期不得少于本次采购合同期，</w:t>
            </w:r>
            <w:r>
              <w:rPr>
                <w:rFonts w:hint="eastAsia" w:ascii="宋体" w:hAnsi="宋体"/>
                <w:color w:val="auto"/>
                <w:sz w:val="18"/>
                <w:szCs w:val="18"/>
                <w:highlight w:val="none"/>
                <w:lang w:val="zh-CN"/>
              </w:rPr>
              <w:t xml:space="preserve">巡查车辆</w:t>
            </w:r>
            <w:r>
              <w:rPr>
                <w:rFonts w:hint="eastAsia" w:ascii="宋体" w:hAnsi="宋体"/>
                <w:color w:val="auto"/>
                <w:sz w:val="18"/>
                <w:szCs w:val="18"/>
                <w:highlight w:val="none"/>
                <w:lang w:val="en-US" w:eastAsia="zh-CN"/>
              </w:rPr>
              <w:t xml:space="preserve">须另外提供可以证明其为装备了警示显示屏的证明材料，</w:t>
            </w:r>
            <w:r>
              <w:rPr>
                <w:rFonts w:ascii="宋体" w:hAnsi="宋体"/>
                <w:color w:val="auto"/>
                <w:sz w:val="18"/>
                <w:szCs w:val="18"/>
                <w:highlight w:val="none"/>
                <w:lang w:val="zh-CN"/>
              </w:rPr>
              <w:t xml:space="preserve">否则不得分</w:t>
            </w:r>
            <w:r>
              <w:rPr>
                <w:rFonts w:hint="eastAsia" w:ascii="宋体" w:hAnsi="宋体"/>
                <w:color w:val="auto"/>
                <w:sz w:val="18"/>
                <w:szCs w:val="18"/>
                <w:highlight w:val="none"/>
                <w:lang w:val="zh-CN"/>
              </w:rPr>
              <w:t xml:space="preserve">。发票上车辆或设备名称无需与评分标准给定名称完全一致，但功能需相同；如提供的车辆或设备名称与评分标准给定名称不同时，应提供功能说明，相应功能应符合采购要求，否则不得分。）。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rPr>
                <w:rFonts w:hint="eastAsia" w:ascii="宋体" w:hAnsi="宋体" w:eastAsia="宋体"/>
                <w:color w:val="auto"/>
                <w:sz w:val="18"/>
                <w:szCs w:val="18"/>
                <w:highlight w:val="none"/>
                <w:lang w:val="zh-CN" w:eastAsia="zh-CN"/>
              </w:rPr>
            </w:pPr>
            <w:r>
              <w:rPr>
                <w:rFonts w:hint="eastAsia" w:ascii="宋体" w:hAnsi="宋体"/>
                <w:color w:val="auto"/>
                <w:sz w:val="18"/>
                <w:szCs w:val="18"/>
                <w:highlight w:val="none"/>
                <w:lang w:val="zh-CN"/>
              </w:rPr>
              <w:t xml:space="preserve">1</w:t>
            </w:r>
            <w:r>
              <w:rPr>
                <w:rFonts w:hint="eastAsia" w:ascii="宋体" w:hAnsi="宋体"/>
                <w:color w:val="auto"/>
                <w:sz w:val="18"/>
                <w:szCs w:val="18"/>
                <w:highlight w:val="none"/>
                <w:lang w:val="en-US" w:eastAsia="zh-CN"/>
              </w:rPr>
              <w:t xml:space="preserve">6</w:t>
            </w:r>
            <w:r/>
          </w:p>
        </w:tc>
      </w:tr>
      <w:tr>
        <w:trPr>
          <w:jc w:val="center"/>
          <w:trHeight w:val="284"/>
        </w:trPr>
        <w:tc>
          <w:tcPr>
            <w:shd w:val="clear" w:color="auto" w:fill="ffffff" w:themeFill="background1"/>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widowControl/>
              <w:rPr>
                <w:rFonts w:ascii="宋体" w:hAnsi="宋体" w:cs="宋体"/>
                <w:b/>
                <w:bCs/>
                <w:color w:val="auto"/>
                <w:sz w:val="18"/>
                <w:szCs w:val="18"/>
                <w:highlight w:val="none"/>
              </w:rPr>
            </w:pPr>
            <w:r>
              <w:rPr>
                <w:rFonts w:ascii="宋体" w:hAnsi="宋体" w:cs="宋体"/>
                <w:b/>
                <w:bCs/>
                <w:color w:val="auto"/>
                <w:sz w:val="18"/>
                <w:szCs w:val="18"/>
                <w:highlight w:val="none"/>
              </w:rPr>
              <w:t xml:space="preserve">4</w:t>
            </w:r>
            <w:r/>
          </w:p>
        </w:tc>
        <w:tc>
          <w:tcPr>
            <w:shd w:val="clear" w:color="auto" w:fill="ffffff" w:themeFill="background1"/>
            <w:tcBorders>
              <w:left w:val="single" w:color="auto" w:sz="4" w:space="0"/>
              <w:right w:val="single" w:color="auto" w:sz="4" w:space="0"/>
            </w:tcBorders>
            <w:tcW w:w="1125" w:type="dxa"/>
            <w:vAlign w:val="center"/>
            <w:textDirection w:val="lrTb"/>
            <w:noWrap w:val="false"/>
          </w:tcPr>
          <w:p>
            <w:pPr>
              <w:jc w:val="center"/>
              <w:rPr>
                <w:rFonts w:ascii="宋体" w:hAnsi="宋体"/>
                <w:b/>
                <w:bCs/>
                <w:color w:val="auto"/>
                <w:sz w:val="18"/>
                <w:szCs w:val="18"/>
                <w:highlight w:val="none"/>
              </w:rPr>
            </w:pPr>
            <w:r>
              <w:rPr>
                <w:rFonts w:hint="eastAsia" w:ascii="宋体" w:hAnsi="宋体"/>
                <w:b/>
                <w:bCs/>
                <w:color w:val="auto"/>
                <w:sz w:val="18"/>
                <w:szCs w:val="18"/>
                <w:highlight w:val="none"/>
              </w:rPr>
              <w:t xml:space="preserve">商务（业绩）</w:t>
            </w:r>
            <w:r/>
          </w:p>
          <w:p>
            <w:pPr>
              <w:pStyle w:val="731"/>
              <w:ind w:firstLine="181"/>
              <w:rPr>
                <w:color w:val="auto"/>
                <w:sz w:val="18"/>
                <w:szCs w:val="21"/>
                <w:highlight w:val="none"/>
              </w:rPr>
            </w:pPr>
            <w:r>
              <w:rPr>
                <w:rFonts w:hint="eastAsia" w:ascii="宋体" w:hAnsi="宋体" w:eastAsia="宋体" w:cs="Times New Roman"/>
                <w:b/>
                <w:bCs/>
                <w:color w:val="auto"/>
                <w:sz w:val="18"/>
                <w:szCs w:val="18"/>
                <w:highlight w:val="none"/>
                <w:lang w:val="en-US" w:eastAsia="zh-CN"/>
              </w:rPr>
              <w:t xml:space="preserve">9</w:t>
            </w:r>
            <w:r>
              <w:rPr>
                <w:rFonts w:hint="eastAsia" w:ascii="宋体" w:hAnsi="宋体" w:eastAsia="宋体" w:cs="Times New Roman"/>
                <w:b/>
                <w:bCs/>
                <w:color w:val="auto"/>
                <w:sz w:val="18"/>
                <w:szCs w:val="18"/>
                <w:highlight w:val="none"/>
              </w:rPr>
              <w:t xml:space="preserve">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ind w:firstLine="360"/>
              <w:rPr>
                <w:rFonts w:hint="eastAsia" w:ascii="宋体" w:hAnsi="宋体"/>
                <w:color w:val="auto"/>
                <w:sz w:val="18"/>
                <w:szCs w:val="18"/>
                <w:highlight w:val="none"/>
                <w:lang w:val="zh-CN"/>
              </w:rPr>
            </w:pPr>
            <w:r/>
            <w:bookmarkStart w:id="10" w:name="OLE_LINK2"/>
            <w:r>
              <w:rPr>
                <w:rFonts w:hint="eastAsia" w:ascii="宋体" w:hAnsi="宋体"/>
                <w:color w:val="auto"/>
                <w:sz w:val="18"/>
                <w:szCs w:val="18"/>
                <w:highlight w:val="none"/>
                <w:lang w:val="zh-CN"/>
              </w:rPr>
              <w:t xml:space="preserve">供应商20</w:t>
            </w:r>
            <w:r>
              <w:rPr>
                <w:rFonts w:hint="eastAsia" w:ascii="宋体" w:hAnsi="宋体"/>
                <w:color w:val="auto"/>
                <w:sz w:val="18"/>
                <w:szCs w:val="18"/>
                <w:highlight w:val="none"/>
              </w:rPr>
              <w:t xml:space="preserve">2</w:t>
            </w:r>
            <w:r>
              <w:rPr>
                <w:rFonts w:hint="eastAsia" w:ascii="宋体" w:hAnsi="宋体"/>
                <w:color w:val="auto"/>
                <w:sz w:val="18"/>
                <w:szCs w:val="18"/>
                <w:highlight w:val="none"/>
                <w:lang w:val="en-US" w:eastAsia="zh-CN"/>
              </w:rPr>
              <w:t xml:space="preserve">3</w:t>
            </w:r>
            <w:r>
              <w:rPr>
                <w:rFonts w:hint="eastAsia" w:ascii="宋体" w:hAnsi="宋体"/>
                <w:color w:val="auto"/>
                <w:sz w:val="18"/>
                <w:szCs w:val="18"/>
                <w:highlight w:val="none"/>
                <w:lang w:val="zh-CN"/>
              </w:rPr>
              <w:t xml:space="preserve">年1月1日（</w:t>
            </w:r>
            <w:r>
              <w:rPr>
                <w:rFonts w:hint="eastAsia" w:ascii="宋体" w:hAnsi="宋体"/>
                <w:color w:val="auto"/>
                <w:sz w:val="18"/>
                <w:szCs w:val="18"/>
                <w:highlight w:val="none"/>
                <w:lang w:val="en-US" w:eastAsia="zh-CN"/>
              </w:rPr>
              <w:t xml:space="preserve">含</w:t>
            </w:r>
            <w:r>
              <w:rPr>
                <w:rFonts w:hint="eastAsia" w:ascii="宋体" w:hAnsi="宋体"/>
                <w:color w:val="auto"/>
                <w:sz w:val="18"/>
                <w:szCs w:val="18"/>
                <w:highlight w:val="none"/>
                <w:lang w:val="zh-CN"/>
              </w:rPr>
              <w:t xml:space="preserve">）</w:t>
            </w:r>
            <w:r>
              <w:rPr>
                <w:rFonts w:hint="eastAsia" w:ascii="宋体" w:hAnsi="宋体"/>
                <w:color w:val="auto"/>
                <w:sz w:val="18"/>
                <w:szCs w:val="18"/>
                <w:highlight w:val="none"/>
              </w:rPr>
              <w:t xml:space="preserve">以来</w:t>
            </w:r>
            <w:r>
              <w:rPr>
                <w:rFonts w:hint="eastAsia" w:ascii="宋体" w:hAnsi="宋体"/>
                <w:color w:val="auto"/>
                <w:sz w:val="18"/>
                <w:szCs w:val="18"/>
                <w:highlight w:val="none"/>
                <w:lang w:val="zh-CN"/>
              </w:rPr>
              <w:t xml:space="preserve">承担过</w:t>
            </w:r>
            <w:r>
              <w:rPr>
                <w:rFonts w:hint="eastAsia" w:ascii="宋体" w:hAnsi="宋体"/>
                <w:color w:val="auto"/>
                <w:sz w:val="18"/>
                <w:szCs w:val="18"/>
                <w:highlight w:val="none"/>
              </w:rPr>
              <w:t xml:space="preserve">隧道养护项目的</w:t>
            </w:r>
            <w:r>
              <w:rPr>
                <w:rFonts w:hint="eastAsia" w:ascii="宋体" w:hAnsi="宋体"/>
                <w:color w:val="auto"/>
                <w:sz w:val="18"/>
                <w:szCs w:val="18"/>
                <w:highlight w:val="none"/>
                <w:lang w:val="en-US" w:eastAsia="zh-CN"/>
              </w:rPr>
              <w:t xml:space="preserve">得</w:t>
            </w:r>
            <w:r>
              <w:rPr>
                <w:rFonts w:hint="eastAsia" w:ascii="宋体" w:hAnsi="宋体"/>
                <w:color w:val="auto"/>
                <w:sz w:val="18"/>
                <w:szCs w:val="18"/>
                <w:highlight w:val="none"/>
              </w:rPr>
              <w:t xml:space="preserve">3分，每增加一个业绩加3分；</w:t>
            </w:r>
            <w:r>
              <w:rPr>
                <w:rFonts w:hint="eastAsia" w:ascii="宋体" w:hAnsi="宋体"/>
                <w:color w:val="auto"/>
                <w:sz w:val="18"/>
                <w:szCs w:val="18"/>
                <w:highlight w:val="none"/>
                <w:lang w:val="zh-CN"/>
              </w:rPr>
              <w:t xml:space="preserve">本项</w:t>
            </w:r>
            <w:r>
              <w:rPr>
                <w:rFonts w:hint="eastAsia" w:ascii="宋体" w:hAnsi="宋体"/>
                <w:color w:val="auto"/>
                <w:sz w:val="18"/>
                <w:szCs w:val="18"/>
                <w:highlight w:val="none"/>
              </w:rPr>
              <w:t xml:space="preserve">最多</w:t>
            </w:r>
            <w:r>
              <w:rPr>
                <w:rFonts w:hint="eastAsia" w:ascii="宋体" w:hAnsi="宋体"/>
                <w:color w:val="auto"/>
                <w:sz w:val="18"/>
                <w:szCs w:val="18"/>
                <w:highlight w:val="none"/>
                <w:lang w:val="zh-CN"/>
              </w:rPr>
              <w:t xml:space="preserve">得</w:t>
            </w:r>
            <w:r>
              <w:rPr>
                <w:rFonts w:hint="eastAsia" w:ascii="宋体" w:hAnsi="宋体"/>
                <w:color w:val="auto"/>
                <w:sz w:val="18"/>
                <w:szCs w:val="18"/>
                <w:highlight w:val="none"/>
                <w:lang w:val="en-US" w:eastAsia="zh-CN"/>
              </w:rPr>
              <w:t xml:space="preserve">9</w:t>
            </w:r>
            <w:r>
              <w:rPr>
                <w:rFonts w:hint="eastAsia" w:ascii="宋体" w:hAnsi="宋体"/>
                <w:color w:val="auto"/>
                <w:sz w:val="18"/>
                <w:szCs w:val="18"/>
                <w:highlight w:val="none"/>
                <w:lang w:val="zh-CN"/>
              </w:rPr>
              <w:t xml:space="preserve">分。</w:t>
            </w:r>
            <w:r/>
          </w:p>
          <w:p>
            <w:pPr>
              <w:ind w:firstLine="360"/>
              <w:rPr>
                <w:color w:val="auto"/>
                <w:sz w:val="18"/>
                <w:szCs w:val="21"/>
                <w:highlight w:val="none"/>
                <w:lang w:val="zh-CN"/>
              </w:rPr>
            </w:pPr>
            <w:r>
              <w:rPr>
                <w:rFonts w:hint="eastAsia" w:ascii="宋体" w:hAnsi="宋体" w:cs="宋体"/>
                <w:color w:val="auto"/>
                <w:sz w:val="18"/>
                <w:szCs w:val="18"/>
                <w:highlight w:val="none"/>
              </w:rPr>
              <w:t xml:space="preserve">需要在相应表格中填报并提供</w:t>
            </w:r>
            <w:r>
              <w:rPr>
                <w:rFonts w:hint="eastAsia" w:ascii="宋体" w:hAnsi="宋体" w:cs="宋体"/>
                <w:color w:val="auto"/>
                <w:sz w:val="18"/>
                <w:szCs w:val="18"/>
                <w:highlight w:val="none"/>
                <w:lang w:val="en-US" w:eastAsia="zh-CN"/>
              </w:rPr>
              <w:t xml:space="preserve">合同协议书</w:t>
            </w:r>
            <w:r>
              <w:rPr>
                <w:rFonts w:hint="eastAsia" w:ascii="宋体" w:hAnsi="宋体" w:cs="宋体"/>
                <w:color w:val="auto"/>
                <w:sz w:val="18"/>
                <w:szCs w:val="18"/>
                <w:highlight w:val="none"/>
              </w:rPr>
              <w:t xml:space="preserve">电</w:t>
            </w:r>
            <w:r>
              <w:rPr>
                <w:rFonts w:hint="eastAsia" w:ascii="宋体" w:hAnsi="宋体" w:eastAsia="宋体" w:cs="宋体"/>
                <w:color w:val="auto"/>
                <w:sz w:val="18"/>
                <w:szCs w:val="18"/>
                <w:highlight w:val="none"/>
              </w:rPr>
              <w:t xml:space="preserve">子件</w:t>
            </w:r>
            <w:r>
              <w:rPr>
                <w:rFonts w:hint="eastAsia" w:ascii="宋体" w:hAnsi="宋体" w:eastAsia="宋体" w:cs="宋体"/>
                <w:color w:val="auto"/>
                <w:sz w:val="18"/>
                <w:szCs w:val="18"/>
                <w:highlight w:val="none"/>
                <w:lang w:val="zh-CN"/>
              </w:rPr>
              <w:t xml:space="preserve">并加盖公章</w:t>
            </w:r>
            <w:r>
              <w:rPr>
                <w:rFonts w:hint="eastAsia" w:ascii="宋体" w:hAnsi="宋体" w:eastAsia="宋体" w:cs="宋体"/>
                <w:color w:val="auto"/>
                <w:sz w:val="18"/>
                <w:szCs w:val="18"/>
                <w:highlight w:val="none"/>
              </w:rPr>
              <w:t xml:space="preserve">，同一合同不重复计算</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时间以合同</w:t>
            </w:r>
            <w:r>
              <w:rPr>
                <w:rFonts w:hint="eastAsia" w:ascii="宋体" w:hAnsi="宋体" w:cs="宋体"/>
                <w:color w:val="auto"/>
                <w:sz w:val="18"/>
                <w:szCs w:val="18"/>
                <w:highlight w:val="none"/>
                <w:lang w:val="en-US" w:eastAsia="zh-CN"/>
              </w:rPr>
              <w:t xml:space="preserve">签订的时间</w:t>
            </w:r>
            <w:r>
              <w:rPr>
                <w:rFonts w:hint="eastAsia" w:ascii="宋体" w:hAnsi="宋体" w:eastAsia="宋体" w:cs="宋体"/>
                <w:color w:val="auto"/>
                <w:sz w:val="18"/>
                <w:szCs w:val="18"/>
                <w:highlight w:val="none"/>
                <w:lang w:val="en-US" w:eastAsia="zh-CN"/>
              </w:rPr>
              <w:t xml:space="preserve">为准。</w:t>
            </w:r>
            <w:r>
              <w:rPr>
                <w:rFonts w:hint="eastAsia" w:ascii="宋体" w:hAnsi="宋体" w:eastAsia="宋体" w:cs="宋体"/>
                <w:color w:val="auto"/>
                <w:sz w:val="18"/>
                <w:szCs w:val="18"/>
                <w:highlight w:val="none"/>
                <w:lang w:val="zh-CN"/>
              </w:rPr>
              <w:t xml:space="preserve">若合</w:t>
            </w:r>
            <w:r>
              <w:rPr>
                <w:rFonts w:hint="eastAsia" w:ascii="宋体" w:hAnsi="宋体"/>
                <w:color w:val="auto"/>
                <w:sz w:val="18"/>
                <w:szCs w:val="18"/>
                <w:highlight w:val="none"/>
                <w:lang w:val="zh-CN"/>
              </w:rPr>
              <w:t xml:space="preserve">同中未体现项目特征的，则</w:t>
            </w:r>
            <w:r>
              <w:rPr>
                <w:rFonts w:hint="eastAsia" w:ascii="宋体" w:hAnsi="宋体"/>
                <w:color w:val="auto"/>
                <w:sz w:val="18"/>
                <w:szCs w:val="18"/>
                <w:highlight w:val="none"/>
                <w:lang w:val="en-US" w:eastAsia="zh-CN"/>
              </w:rPr>
              <w:t xml:space="preserve">须另行</w:t>
            </w:r>
            <w:r>
              <w:rPr>
                <w:rFonts w:hint="eastAsia" w:ascii="宋体" w:hAnsi="宋体"/>
                <w:color w:val="auto"/>
                <w:sz w:val="18"/>
                <w:szCs w:val="18"/>
                <w:highlight w:val="none"/>
                <w:lang w:val="zh-CN"/>
              </w:rPr>
              <w:t xml:space="preserve">提供甲方证明加盖公章</w:t>
            </w:r>
            <w:bookmarkEnd w:id="10"/>
            <w:r>
              <w:rPr>
                <w:rFonts w:hint="eastAsia" w:ascii="宋体" w:hAnsi="宋体" w:cs="宋体"/>
                <w:color w:val="auto"/>
                <w:sz w:val="18"/>
                <w:szCs w:val="18"/>
                <w:highlight w:val="none"/>
              </w:rPr>
              <w:t xml:space="preserve">，否则不得分。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widowControl/>
              <w:rPr>
                <w:rFonts w:hint="eastAsia" w:ascii="宋体" w:hAnsi="宋体" w:eastAsia="宋体" w:cs="宋体"/>
                <w:b/>
                <w:color w:val="auto"/>
                <w:sz w:val="18"/>
                <w:szCs w:val="18"/>
                <w:highlight w:val="none"/>
                <w:lang w:eastAsia="zh-CN"/>
              </w:rPr>
            </w:pPr>
            <w:r>
              <w:rPr>
                <w:rFonts w:hint="eastAsia" w:ascii="宋体" w:hAnsi="宋体" w:cs="宋体"/>
                <w:color w:val="auto"/>
                <w:sz w:val="18"/>
                <w:szCs w:val="18"/>
                <w:highlight w:val="none"/>
                <w:lang w:val="en-US" w:eastAsia="zh-CN"/>
              </w:rPr>
              <w:t xml:space="preserve">9</w:t>
            </w:r>
            <w:r/>
          </w:p>
        </w:tc>
      </w:tr>
      <w:tr>
        <w:trPr>
          <w:jc w:val="center"/>
          <w:trHeight w:val="557"/>
        </w:trPr>
        <w:tc>
          <w:tcPr>
            <w:shd w:val="clear" w:color="auto" w:fill="ffffff" w:themeFill="background1"/>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20" w:lineRule="atLeast"/>
              <w:rPr>
                <w:rFonts w:hint="eastAsia" w:ascii="宋体" w:hAnsi="宋体" w:eastAsia="宋体" w:cs="宋体"/>
                <w:b/>
                <w:color w:val="auto"/>
                <w:sz w:val="18"/>
                <w:szCs w:val="18"/>
                <w:highlight w:val="none"/>
                <w:lang w:eastAsia="zh-CN"/>
              </w:rPr>
            </w:pPr>
            <w:r>
              <w:rPr>
                <w:rFonts w:hint="eastAsia" w:ascii="宋体" w:hAnsi="宋体" w:cs="宋体"/>
                <w:b/>
                <w:color w:val="auto"/>
                <w:sz w:val="18"/>
                <w:szCs w:val="18"/>
                <w:highlight w:val="none"/>
                <w:lang w:val="en-US" w:eastAsia="zh-CN"/>
              </w:rPr>
              <w:t xml:space="preserve">5</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合计</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spacing w:line="320" w:lineRule="atLeast"/>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spacing w:line="320" w:lineRule="atLeast"/>
              <w:rPr>
                <w:rFonts w:ascii="宋体" w:hAnsi="宋体" w:cs="宋体"/>
                <w:b/>
                <w:color w:val="auto"/>
                <w:sz w:val="18"/>
                <w:szCs w:val="18"/>
                <w:highlight w:val="none"/>
              </w:rPr>
            </w:pPr>
            <w:r>
              <w:rPr>
                <w:rFonts w:hint="eastAsia" w:ascii="宋体" w:hAnsi="宋体" w:cs="宋体"/>
                <w:b/>
                <w:color w:val="auto"/>
                <w:sz w:val="18"/>
                <w:szCs w:val="18"/>
                <w:highlight w:val="none"/>
              </w:rPr>
              <w:t xml:space="preserve">100</w:t>
            </w:r>
            <w:r/>
          </w:p>
        </w:tc>
      </w:tr>
    </w:tbl>
    <w:p>
      <w:pPr>
        <w:pStyle w:val="731"/>
        <w:ind w:firstLine="211"/>
        <w:rPr>
          <w:color w:val="auto"/>
          <w:highlight w:val="none"/>
        </w:rPr>
      </w:pPr>
      <w:r>
        <w:rPr>
          <w:color w:val="auto"/>
          <w:highlight w:val="none"/>
        </w:rPr>
      </w:r>
      <w:r/>
    </w:p>
    <w:p>
      <w:pPr>
        <w:spacing w:line="360" w:lineRule="auto"/>
        <w:rPr>
          <w:b/>
          <w:color w:val="auto"/>
          <w:sz w:val="22"/>
          <w:szCs w:val="28"/>
          <w:highlight w:val="none"/>
        </w:rPr>
      </w:pPr>
      <w:r>
        <w:rPr>
          <w:b/>
          <w:color w:val="auto"/>
          <w:sz w:val="22"/>
          <w:szCs w:val="28"/>
          <w:highlight w:val="none"/>
        </w:rPr>
        <w:t xml:space="preserve">说明：</w:t>
      </w:r>
      <w:r/>
    </w:p>
    <w:p>
      <w:pPr>
        <w:numPr>
          <w:ilvl w:val="0"/>
          <w:numId w:val="0"/>
        </w:numPr>
        <w:ind w:firstLine="440"/>
        <w:keepLines w:val="0"/>
        <w:keepNext w:val="0"/>
        <w:pageBreakBefore w:val="0"/>
        <w:spacing w:line="440" w:lineRule="exact"/>
        <w:rPr>
          <w:rFonts w:hint="eastAsia" w:ascii="宋体" w:hAnsi="宋体" w:cs="宋体"/>
          <w:bCs/>
          <w:color w:val="auto"/>
          <w:sz w:val="22"/>
          <w:szCs w:val="28"/>
          <w:highlight w:val="none"/>
        </w:rPr>
      </w:pPr>
      <w:r>
        <w:rPr>
          <w:rFonts w:hint="eastAsia" w:ascii="宋体" w:hAnsi="宋体" w:cs="宋体"/>
          <w:bCs/>
          <w:color w:val="auto"/>
          <w:sz w:val="22"/>
          <w:szCs w:val="28"/>
          <w:highlight w:val="none"/>
          <w:lang w:val="en-US" w:eastAsia="zh-CN"/>
        </w:rPr>
        <w:t xml:space="preserve">1.</w:t>
      </w:r>
      <w:r>
        <w:rPr>
          <w:rFonts w:hint="eastAsia" w:ascii="宋体" w:hAnsi="宋体" w:cs="宋体"/>
          <w:bCs/>
          <w:color w:val="auto"/>
          <w:sz w:val="22"/>
          <w:szCs w:val="28"/>
          <w:highlight w:val="none"/>
        </w:rPr>
        <w:t xml:space="preserve">所有证明和业绩均以有效清晰的证明文件</w:t>
      </w:r>
      <w:r>
        <w:rPr>
          <w:rFonts w:hint="eastAsia" w:ascii="宋体" w:hAnsi="宋体" w:cs="宋体"/>
          <w:bCs/>
          <w:color w:val="auto"/>
          <w:sz w:val="22"/>
          <w:szCs w:val="28"/>
          <w:highlight w:val="none"/>
          <w:lang w:val="en-US" w:eastAsia="zh-CN"/>
        </w:rPr>
        <w:t xml:space="preserve">的电子件</w:t>
      </w:r>
      <w:r>
        <w:rPr>
          <w:rFonts w:hint="eastAsia" w:ascii="宋体" w:hAnsi="宋体" w:cs="宋体"/>
          <w:bCs/>
          <w:color w:val="auto"/>
          <w:sz w:val="22"/>
          <w:szCs w:val="28"/>
          <w:highlight w:val="none"/>
        </w:rPr>
        <w:t xml:space="preserve">加盖</w:t>
      </w:r>
      <w:r>
        <w:rPr>
          <w:rFonts w:hint="eastAsia" w:ascii="宋体" w:hAnsi="宋体" w:cs="宋体"/>
          <w:bCs/>
          <w:color w:val="auto"/>
          <w:sz w:val="22"/>
          <w:szCs w:val="28"/>
          <w:highlight w:val="none"/>
          <w:lang w:val="en-US" w:eastAsia="zh-CN"/>
        </w:rPr>
        <w:t xml:space="preserve">供应商电子</w:t>
      </w:r>
      <w:r>
        <w:rPr>
          <w:rFonts w:hint="eastAsia" w:ascii="宋体" w:hAnsi="宋体" w:cs="宋体"/>
          <w:bCs/>
          <w:color w:val="auto"/>
          <w:sz w:val="22"/>
          <w:szCs w:val="28"/>
          <w:highlight w:val="none"/>
        </w:rPr>
        <w:t xml:space="preserve">公章为依据。</w:t>
      </w:r>
      <w:r/>
    </w:p>
    <w:p>
      <w:pPr>
        <w:numPr>
          <w:ilvl w:val="0"/>
          <w:numId w:val="0"/>
        </w:numPr>
        <w:ind w:firstLine="440"/>
        <w:keepLines w:val="0"/>
        <w:keepNext w:val="0"/>
        <w:pageBreakBefore w:val="0"/>
        <w:spacing w:line="440" w:lineRule="exact"/>
        <w:rPr>
          <w:rFonts w:hint="eastAsia" w:ascii="宋体" w:hAnsi="宋体" w:eastAsia="宋体" w:cs="宋体"/>
          <w:b w:val="0"/>
          <w:bCs/>
          <w:color w:val="auto"/>
          <w:sz w:val="22"/>
          <w:szCs w:val="28"/>
          <w:highlight w:val="none"/>
          <w:lang w:val="en-US" w:eastAsia="zh-CN"/>
        </w:rPr>
      </w:pPr>
      <w:r>
        <w:rPr>
          <w:rFonts w:hint="eastAsia" w:ascii="宋体" w:hAnsi="宋体" w:eastAsia="宋体" w:cs="宋体"/>
          <w:b w:val="0"/>
          <w:bCs/>
          <w:color w:val="auto"/>
          <w:sz w:val="22"/>
          <w:szCs w:val="28"/>
          <w:highlight w:val="none"/>
          <w:lang w:val="en-US" w:eastAsia="zh-CN"/>
        </w:rPr>
        <w:t xml:space="preserve">2.</w:t>
      </w:r>
      <w:r>
        <w:rPr>
          <w:rFonts w:hint="eastAsia" w:ascii="宋体" w:eastAsia="宋体" w:cs="宋体"/>
          <w:szCs w:val="21"/>
          <w:highlight w:val="none"/>
        </w:rPr>
        <w:t xml:space="preserve">须提供证书电子件及供应商为其缴纳的近</w:t>
      </w:r>
      <w:r>
        <w:rPr>
          <w:rFonts w:hint="eastAsia" w:ascii="宋体" w:eastAsia="宋体" w:cs="宋体"/>
          <w:szCs w:val="21"/>
          <w:highlight w:val="none"/>
          <w:lang w:val="en-US" w:eastAsia="zh-CN"/>
        </w:rPr>
        <w:t xml:space="preserve">6</w:t>
      </w:r>
      <w:r>
        <w:rPr>
          <w:rFonts w:hint="eastAsia" w:ascii="宋体" w:eastAsia="宋体" w:cs="宋体"/>
          <w:szCs w:val="21"/>
          <w:highlight w:val="none"/>
        </w:rPr>
        <w:t xml:space="preserve">个月内任意1个月的社保证明材料电子件加盖公章。</w:t>
      </w:r>
      <w:r>
        <w:rPr>
          <w:rFonts w:hint="eastAsia" w:ascii="宋体" w:hAnsi="宋体" w:eastAsia="宋体" w:cs="宋体"/>
          <w:b w:val="0"/>
          <w:bCs/>
          <w:color w:val="auto"/>
          <w:sz w:val="22"/>
          <w:szCs w:val="28"/>
          <w:highlight w:val="none"/>
          <w:lang w:val="en-US" w:eastAsia="zh-CN"/>
        </w:rPr>
        <w:t xml:space="preserve">人员业绩和企业业绩可以兼得；隧道养护业绩为车行隧道养护业绩，不含地下人行通道养护业绩。</w:t>
      </w:r>
      <w:r/>
    </w:p>
    <w:p>
      <w:pPr>
        <w:pStyle w:val="756"/>
        <w:numPr>
          <w:ilvl w:val="0"/>
          <w:numId w:val="0"/>
        </w:numPr>
        <w:ind w:firstLine="440"/>
        <w:pageBreakBefore w:val="0"/>
        <w:spacing w:before="0" w:after="0" w:line="440" w:lineRule="exact"/>
        <w:rPr>
          <w:rFonts w:hint="eastAsia" w:ascii="宋体" w:hAnsi="宋体" w:eastAsia="宋体" w:cs="宋体"/>
          <w:b w:val="0"/>
          <w:bCs/>
          <w:color w:val="auto"/>
          <w:sz w:val="22"/>
          <w:szCs w:val="28"/>
          <w:highlight w:val="none"/>
          <w:lang w:val="en-US" w:eastAsia="zh-CN"/>
        </w:rPr>
      </w:pPr>
      <w:r>
        <w:rPr>
          <w:rFonts w:hint="eastAsia" w:ascii="宋体" w:hAnsi="宋体" w:eastAsia="宋体" w:cs="宋体"/>
          <w:b w:val="0"/>
          <w:bCs/>
          <w:color w:val="auto"/>
          <w:sz w:val="22"/>
          <w:szCs w:val="28"/>
          <w:highlight w:val="none"/>
          <w:lang w:val="en-US" w:eastAsia="zh-CN"/>
        </w:rPr>
        <w:t xml:space="preserve">3.小微企业价格扣除</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3</w:t>
      </w:r>
      <w:r>
        <w:rPr>
          <w:rFonts w:hint="eastAsia" w:ascii="宋体" w:hAnsi="宋体" w:cs="宋体"/>
          <w:bCs/>
          <w:color w:val="auto"/>
          <w:highlight w:val="none"/>
        </w:rPr>
        <w:t xml:space="preserve">.1对于专门面向中小企业或小型、微型企业的项目，只面向中小企业或小型、微型企业采购。对于非专门面向中小企业的项目，对小型和微型企业的价格给予10%的扣除，用扣除后的价格参与评审。</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3</w:t>
      </w:r>
      <w:r>
        <w:rPr>
          <w:rFonts w:hint="eastAsia" w:ascii="宋体" w:hAnsi="宋体" w:cs="宋体"/>
          <w:bCs/>
          <w:color w:val="auto"/>
          <w:highlight w:val="none"/>
        </w:rPr>
        <w:t xml:space="preserve">.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4</w:t>
      </w:r>
      <w:r>
        <w:rPr>
          <w:rFonts w:hint="eastAsia" w:ascii="宋体" w:hAnsi="宋体" w:cs="宋体"/>
          <w:bCs/>
          <w:color w:val="auto"/>
          <w:highlight w:val="none"/>
        </w:rPr>
        <w:t xml:space="preserve">.监狱和戒毒企业的价格扣除</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4</w:t>
      </w:r>
      <w:r>
        <w:rPr>
          <w:rFonts w:hint="eastAsia" w:ascii="宋体" w:hAnsi="宋体" w:cs="宋体"/>
          <w:bCs/>
          <w:color w:val="auto"/>
          <w:highlight w:val="none"/>
        </w:rPr>
        <w:t xml:space="preserve">.1 本项目对监狱和戒毒企业，给予10%的价格扣除，用扣除后的价格参与评审。</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4</w:t>
      </w:r>
      <w:r>
        <w:rPr>
          <w:rFonts w:hint="eastAsia" w:ascii="宋体" w:hAnsi="宋体" w:cs="宋体"/>
          <w:bCs/>
          <w:color w:val="auto"/>
          <w:highlight w:val="none"/>
        </w:rPr>
        <w:t xml:space="preserve">.2 监狱企业须提供由省级以上监狱管理局、戒毒管理局（含新疆生产建设兵团）出具的属于监狱企业的证明文件。</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4</w:t>
      </w:r>
      <w:r>
        <w:rPr>
          <w:rFonts w:hint="eastAsia" w:ascii="宋体" w:hAnsi="宋体" w:cs="宋体"/>
          <w:bCs/>
          <w:color w:val="auto"/>
          <w:highlight w:val="none"/>
        </w:rPr>
        <w:t xml:space="preserve">.3 监狱企业标准请参照《关于政府采购支持监狱企业发展有关问题的通知》（财库〔2014〕68号）。</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.残疾人福利性单位的价格扣除</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.1 本项目对残疾人福利性单位，给予10%的价格扣除，用扣除后的价格参与评审。</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.2 残疾人福利性单位须提供《残疾人福利性单位声明函》。</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.3 残疾人福利性单位标准请参照《关于促进残疾人就业政府采购政策的通知》（财库〔2017〕141号）。</w:t>
      </w:r>
      <w:r/>
    </w:p>
    <w:p>
      <w:pPr>
        <w:ind w:firstLine="420"/>
        <w:jc w:val="left"/>
        <w:keepLines w:val="0"/>
        <w:keepNext w:val="0"/>
        <w:pageBreakBefore w:val="0"/>
        <w:spacing w:line="440" w:lineRule="exact"/>
        <w:widowControl/>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 监狱企业、残疾人福利性单位属于小型、微型企业的，不重复享受政策。</w:t>
      </w:r>
      <w:r/>
    </w:p>
    <w:p>
      <w:pPr>
        <w:ind w:firstLine="420"/>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7</w:t>
      </w:r>
      <w:r>
        <w:rPr>
          <w:rFonts w:ascii="Times New Roman" w:hAnsi="Times New Roman" w:eastAsia="宋体" w:cs="Times New Roman"/>
          <w:color w:val="000000"/>
          <w:sz w:val="21"/>
          <w:szCs w:val="21"/>
          <w:highlight w:val="none"/>
        </w:rPr>
        <w:t xml:space="preserve">本国产品价格扣除</w:t>
      </w:r>
      <w:r/>
    </w:p>
    <w:p>
      <w:pPr>
        <w:ind w:firstLine="367"/>
        <w:spacing w:line="360" w:lineRule="auto"/>
        <w:rPr>
          <w:rFonts w:ascii="Times New Roman" w:hAnsi="Times New Roman" w:cs="Times New Roman"/>
          <w:color w:val="000000"/>
          <w:sz w:val="21"/>
          <w:szCs w:val="21"/>
          <w:highlight w:val="none"/>
          <w:lang w:val="zh-CN"/>
        </w:rPr>
      </w:pPr>
      <w:r>
        <w:rPr>
          <w:rFonts w:hint="eastAsia" w:ascii="Times New Roman" w:hAnsi="Times New Roman" w:cs="Times New Roman"/>
          <w:color w:val="000000"/>
          <w:sz w:val="21"/>
          <w:szCs w:val="21"/>
          <w:highlight w:val="none"/>
          <w:lang w:val="en-US" w:eastAsia="zh-CN"/>
        </w:rPr>
        <w:t xml:space="preserve">7.1</w:t>
      </w:r>
      <w:r>
        <w:rPr>
          <w:rFonts w:ascii="Times New Roman" w:hAnsi="Times New Roman" w:cs="Times New Roman"/>
          <w:color w:val="000000"/>
          <w:sz w:val="21"/>
          <w:szCs w:val="21"/>
          <w:highlight w:val="none"/>
          <w:lang w:val="zh-CN"/>
        </w:rPr>
        <w:t xml:space="preserve">本</w:t>
      </w:r>
      <w:r>
        <w:rPr>
          <w:rFonts w:ascii="Times New Roman" w:hAnsi="Times New Roman" w:cs="Times New Roman"/>
          <w:color w:val="000000"/>
          <w:sz w:val="21"/>
          <w:szCs w:val="21"/>
          <w:highlight w:val="none"/>
        </w:rPr>
        <w:t xml:space="preserve">项目如</w:t>
      </w:r>
      <w:r>
        <w:rPr>
          <w:rFonts w:ascii="Times New Roman" w:hAnsi="Times New Roman" w:cs="Times New Roman"/>
          <w:color w:val="000000"/>
          <w:sz w:val="21"/>
          <w:szCs w:val="21"/>
          <w:highlight w:val="none"/>
          <w:lang w:val="zh-CN"/>
        </w:rPr>
        <w:t xml:space="preserve">既有本国产品又有非本国产品参与竞争，依法对本国产品给予价格评审优惠，对本国产品的报价给予20%的价格扣除，用扣除后的价格参与评审。</w:t>
      </w:r>
      <w:r/>
    </w:p>
    <w:p>
      <w:pPr>
        <w:ind w:firstLine="367"/>
        <w:spacing w:line="360" w:lineRule="auto"/>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7.2</w:t>
      </w:r>
      <w:r>
        <w:rPr>
          <w:rFonts w:ascii="Times New Roman" w:hAnsi="Times New Roman" w:cs="Times New Roman"/>
          <w:color w:val="000000"/>
          <w:sz w:val="21"/>
          <w:szCs w:val="21"/>
          <w:highlight w:val="none"/>
        </w:rPr>
        <w:t xml:space="preserve">如本</w:t>
      </w:r>
      <w:r>
        <w:rPr>
          <w:rFonts w:ascii="Times New Roman" w:hAnsi="Times New Roman" w:cs="Times New Roman"/>
          <w:color w:val="000000"/>
          <w:sz w:val="21"/>
          <w:szCs w:val="21"/>
          <w:highlight w:val="none"/>
          <w:lang w:val="zh-CN"/>
        </w:rPr>
        <w:t xml:space="preserve">项目或者</w:t>
      </w:r>
      <w:r>
        <w:rPr>
          <w:rFonts w:ascii="Times New Roman" w:hAnsi="Times New Roman" w:cs="Times New Roman"/>
          <w:color w:val="000000"/>
          <w:sz w:val="21"/>
          <w:szCs w:val="21"/>
          <w:highlight w:val="none"/>
        </w:rPr>
        <w:t xml:space="preserve">其中</w:t>
      </w:r>
      <w:r>
        <w:rPr>
          <w:rFonts w:ascii="Times New Roman" w:hAnsi="Times New Roman" w:cs="Times New Roman"/>
          <w:color w:val="000000"/>
          <w:sz w:val="21"/>
          <w:szCs w:val="21"/>
          <w:highlight w:val="none"/>
          <w:lang w:val="zh-CN"/>
        </w:rPr>
        <w:t xml:space="preserve">采购包中含有多种产品，供应商为</w:t>
      </w:r>
      <w:r>
        <w:rPr>
          <w:rFonts w:ascii="Times New Roman" w:hAnsi="Times New Roman" w:cs="Times New Roman"/>
          <w:color w:val="000000"/>
          <w:sz w:val="21"/>
          <w:szCs w:val="21"/>
          <w:highlight w:val="none"/>
        </w:rPr>
        <w:t xml:space="preserve">本</w:t>
      </w:r>
      <w:r>
        <w:rPr>
          <w:rFonts w:ascii="Times New Roman" w:hAnsi="Times New Roman" w:cs="Times New Roman"/>
          <w:color w:val="000000"/>
          <w:sz w:val="21"/>
          <w:szCs w:val="21"/>
          <w:highlight w:val="none"/>
          <w:lang w:val="zh-CN"/>
        </w:rPr>
        <w:t xml:space="preserve">项目或者</w:t>
      </w:r>
      <w:r>
        <w:rPr>
          <w:rFonts w:ascii="Times New Roman" w:hAnsi="Times New Roman" w:cs="Times New Roman"/>
          <w:color w:val="000000"/>
          <w:sz w:val="21"/>
          <w:szCs w:val="21"/>
          <w:highlight w:val="none"/>
        </w:rPr>
        <w:t xml:space="preserve">其中</w:t>
      </w:r>
      <w:r>
        <w:rPr>
          <w:rFonts w:ascii="Times New Roman" w:hAnsi="Times New Roman" w:cs="Times New Roman"/>
          <w:color w:val="000000"/>
          <w:sz w:val="21"/>
          <w:szCs w:val="21"/>
          <w:highlight w:val="none"/>
          <w:lang w:val="zh-CN"/>
        </w:rPr>
        <w:t xml:space="preserve">采购包提供的符合本国产品标准的产品成本之和占该供应商提供的全部产品成本之和的比例达到80%以上时，依法</w:t>
      </w:r>
      <w:r>
        <w:rPr>
          <w:rFonts w:ascii="Times New Roman" w:hAnsi="Times New Roman" w:cs="Times New Roman"/>
          <w:color w:val="000000"/>
          <w:sz w:val="21"/>
          <w:szCs w:val="21"/>
          <w:highlight w:val="none"/>
        </w:rPr>
        <w:t xml:space="preserve">对该供应商提供的全部产品给予价格评审优惠，即对该供应商提供的全部产品的总报价给予20%的价格扣除，用扣除后的价格参与评审。</w:t>
      </w:r>
      <w:r/>
    </w:p>
    <w:p>
      <w:pPr>
        <w:ind w:firstLine="367"/>
        <w:spacing w:line="360" w:lineRule="auto"/>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7.3</w:t>
      </w:r>
      <w:r>
        <w:rPr>
          <w:rFonts w:ascii="Times New Roman" w:hAnsi="Times New Roman" w:cs="Times New Roman"/>
          <w:color w:val="000000"/>
          <w:sz w:val="21"/>
          <w:szCs w:val="21"/>
          <w:highlight w:val="none"/>
        </w:rPr>
        <w:t xml:space="preserve">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367"/>
        <w:spacing w:line="360" w:lineRule="auto"/>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7.4</w:t>
      </w:r>
      <w:r>
        <w:rPr>
          <w:rFonts w:ascii="Times New Roman" w:hAnsi="Times New Roman" w:cs="Times New Roman"/>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w:t>
      </w:r>
      <w:r>
        <w:rPr>
          <w:rFonts w:ascii="Times New Roman" w:hAnsi="Times New Roman" w:cs="Times New Roman"/>
          <w:b/>
          <w:bCs/>
          <w:color w:val="000000"/>
          <w:sz w:val="21"/>
          <w:szCs w:val="21"/>
          <w:highlight w:val="none"/>
        </w:rPr>
        <w:t xml:space="preserve">供应商需在《声明函》中填写比例数值</w:t>
      </w:r>
      <w:r>
        <w:rPr>
          <w:rFonts w:ascii="Times New Roman" w:hAnsi="Times New Roman" w:cs="Times New Roman"/>
          <w:color w:val="000000"/>
          <w:sz w:val="21"/>
          <w:szCs w:val="21"/>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369"/>
        <w:spacing w:line="360" w:lineRule="auto"/>
        <w:widowControl/>
        <w:rPr>
          <w:rFonts w:ascii="Times New Roman" w:hAnsi="Times New Roman" w:cs="Times New Roman"/>
          <w:b/>
          <w:bCs/>
          <w:color w:val="000000"/>
          <w:sz w:val="21"/>
          <w:szCs w:val="21"/>
          <w:highlight w:val="none"/>
        </w:rPr>
      </w:pPr>
      <w:r>
        <w:rPr>
          <w:rFonts w:hint="eastAsia" w:ascii="Times New Roman" w:hAnsi="Times New Roman" w:cs="Times New Roman"/>
          <w:b/>
          <w:bCs/>
          <w:color w:val="000000"/>
          <w:sz w:val="21"/>
          <w:szCs w:val="21"/>
          <w:highlight w:val="none"/>
          <w:lang w:val="en-US" w:eastAsia="zh-CN"/>
        </w:rPr>
        <w:t xml:space="preserve">7.5</w:t>
      </w:r>
      <w:r>
        <w:rPr>
          <w:rFonts w:ascii="Times New Roman" w:hAnsi="Times New Roman" w:cs="Times New Roman"/>
          <w:b/>
          <w:bCs/>
          <w:color w:val="000000"/>
          <w:sz w:val="21"/>
          <w:szCs w:val="21"/>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20"/>
        <w:keepLines w:val="0"/>
        <w:keepNext w:val="0"/>
        <w:pageBreakBefore w:val="0"/>
        <w:spacing w:line="440" w:lineRule="exact"/>
        <w:rPr>
          <w:rFonts w:hint="eastAsia" w:ascii="宋体" w:hAnsi="宋体" w:cs="宋体"/>
          <w:bCs/>
          <w:color w:val="auto"/>
          <w:highlight w:val="none"/>
        </w:rPr>
      </w:pPr>
      <w:r>
        <w:rPr>
          <w:rFonts w:hint="eastAsia" w:ascii="宋体" w:hAnsi="宋体" w:cs="宋体"/>
          <w:bCs/>
          <w:color w:val="auto"/>
          <w:highlight w:val="none"/>
          <w:lang w:val="en-US" w:eastAsia="zh-CN"/>
        </w:rPr>
        <w:t xml:space="preserve">8</w:t>
      </w:r>
      <w:r>
        <w:rPr>
          <w:rFonts w:ascii="宋体" w:hAnsi="宋体" w:cs="宋体"/>
          <w:bCs/>
          <w:color w:val="auto"/>
          <w:highlight w:val="none"/>
        </w:rPr>
        <w:t xml:space="preserve">.</w:t>
      </w:r>
      <w:r>
        <w:rPr>
          <w:rFonts w:hint="eastAsia" w:ascii="宋体" w:hAnsi="宋体" w:cs="宋体"/>
          <w:bCs/>
          <w:color w:val="auto"/>
          <w:highlight w:val="none"/>
        </w:rPr>
        <w:t xml:space="preserve">须按照招标文件“供应商诚信档案管理”的要求去注册、申请、在线打印《南京市政府采购供应商信用记录表暨信用承诺书》，打印时间为本采购文件发布之日起至递交投标文件截止日前，未按要求提供《南京市政府采购供应商信用记录表暨信用承诺书》则该供应商投标文件按无效投标处理。</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auto"/>
          <w:highlight w:val="none"/>
          <w:lang w:val="en-US" w:eastAsia="zh-CN"/>
        </w:rPr>
        <w:t xml:space="preserve">9.</w:t>
      </w:r>
      <w:r>
        <w:rPr>
          <w:rFonts w:hint="eastAsia" w:ascii="宋体" w:hAnsi="宋体" w:cs="宋体"/>
          <w:bCs/>
          <w:color w:val="000000" w:themeColor="text1"/>
          <w:szCs w:val="21"/>
          <w:highlight w:val="none"/>
          <w14:textFill>
            <w14:solidFill>
              <w14:schemeClr w14:val="tx1"/>
            </w14:solidFill>
          </w14:textFill>
        </w:rPr>
        <w:t xml:space="preserve">异常低价审查</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评标过程中出现下列情形之一的，评委会应当启动异常低价审查程序：</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（1）投标报价低于全部通过符合性审查供应商投标报价平均值50%的，即投标报价&lt;全部通过符合性审查供应商投标报价平均值×50%；</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（2）投标报价低于通过符合性审查的次低报价供应商投标报价50%的，即投标报价&lt;通过符合性审查的次低报价供应商投标报价×50%；</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（3）投标报价低于采购项目最高限价45%的，即投标报价&lt;采购项目最高限价×45%；</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（4）评委会基于专业判断，认为供应商报价过低，有可能影响产品质量或者不能诚信履约的其他情形。</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14:textFill>
            <w14:solidFill>
              <w14:schemeClr w14:val="tx1"/>
            </w14:solidFill>
          </w14:textFill>
        </w:rPr>
        <w:t xml:space="preserve">.须按照招标文件“供应商诚信档案管理”的要求去注册、申请、在线打印《南京市政府采购供应商信用记录表暨信用承诺书》，打印时间为本采购文件发布之日起至递交投标文件截止日前，未按要求提供《南京市政府采购供应商信用记录表暨信用承诺书》则该供应商投标文件按无效投标处理。</w:t>
      </w:r>
      <w:r/>
    </w:p>
    <w:p>
      <w:pPr>
        <w:ind w:firstLine="420"/>
        <w:keepLines w:val="0"/>
        <w:keepNext w:val="0"/>
        <w:pageBreakBefore w:val="0"/>
        <w:spacing w:line="400" w:lineRule="exact"/>
        <w:widowControl w:val="off"/>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br w:type="page" w:clear="all"/>
      </w:r>
      <w:r/>
    </w:p>
    <w:p>
      <w:pPr>
        <w:ind w:firstLine="420"/>
        <w:keepLines w:val="0"/>
        <w:keepNext w:val="0"/>
        <w:pageBreakBefore w:val="0"/>
        <w:spacing w:line="440" w:lineRule="exact"/>
        <w:rPr>
          <w:rFonts w:ascii="Arial" w:hAnsi="Arial" w:cs="Arial"/>
          <w:b/>
          <w:bCs/>
          <w:color w:val="auto"/>
          <w:sz w:val="32"/>
          <w:szCs w:val="44"/>
          <w:highlight w:val="none"/>
        </w:rPr>
      </w:pPr>
      <w:r>
        <w:rPr>
          <w:rFonts w:ascii="Arial" w:hAnsi="Arial" w:cs="Arial"/>
          <w:b/>
          <w:bCs/>
          <w:color w:val="auto"/>
          <w:sz w:val="32"/>
          <w:szCs w:val="44"/>
          <w:highlight w:val="none"/>
        </w:rPr>
      </w:r>
      <w:r/>
    </w:p>
    <w:p>
      <w:pPr>
        <w:pStyle w:val="685"/>
        <w:numPr>
          <w:ilvl w:val="0"/>
          <w:numId w:val="4"/>
        </w:numPr>
        <w:rPr>
          <w:rFonts w:ascii="Arial" w:hAnsi="Arial" w:cs="Arial"/>
          <w:color w:val="auto"/>
          <w:highlight w:val="none"/>
        </w:rPr>
      </w:pPr>
      <w:r/>
      <w:bookmarkStart w:id="11" w:name="_Toc24426"/>
      <w:r>
        <w:rPr>
          <w:rFonts w:ascii="Arial" w:hAnsi="Arial" w:cs="Arial"/>
          <w:color w:val="auto"/>
          <w:highlight w:val="none"/>
        </w:rPr>
        <w:t xml:space="preserve">采购需求</w:t>
      </w:r>
      <w:bookmarkEnd w:id="11"/>
      <w:r/>
      <w:bookmarkStart w:id="12" w:name="_Toc481057147"/>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一、项目说明</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1、项目概况：南京市狮子坝隧道和红山路隧道共2座隧道设施养护工作。</w:t>
      </w:r>
      <w:r>
        <w:rPr>
          <w:rFonts w:hint="eastAsia" w:ascii="Arial" w:hAnsi="Arial" w:cs="Arial"/>
          <w:color w:val="auto"/>
          <w:spacing w:val="8"/>
          <w:szCs w:val="21"/>
          <w:highlight w:val="none"/>
        </w:rPr>
        <w:t xml:space="preserve">隧道管理</w:t>
      </w:r>
      <w:r>
        <w:rPr>
          <w:rFonts w:hint="eastAsia" w:ascii="宋体" w:hAnsi="宋体" w:cs="宋体"/>
          <w:color w:val="auto"/>
          <w:szCs w:val="21"/>
          <w:highlight w:val="none"/>
        </w:rPr>
        <w:t xml:space="preserve">单位为南京市城市道路管理中心。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狮子坝隧道由南京市公路事业发展中心建设，隧道位于栖霞区宁狮路（马高路北延），下穿沪蓉高速。隧道全长 260m，其中南侧敞开段85米，暗埋段83米，北侧敞开段92米；道路等级为城市主干路，双向六车道加人行和非机动车道布置。隧道路面总面积</w:t>
      </w:r>
      <w:r>
        <w:rPr>
          <w:rFonts w:ascii="宋体" w:hAnsi="宋体" w:cs="宋体"/>
          <w:color w:val="auto"/>
          <w:szCs w:val="21"/>
          <w:highlight w:val="none"/>
        </w:rPr>
        <w:t xml:space="preserve">10010</w:t>
      </w:r>
      <w:r>
        <w:rPr>
          <w:rFonts w:hint="eastAsia" w:ascii="宋体" w:hAnsi="宋体" w:cs="宋体"/>
          <w:color w:val="auto"/>
          <w:szCs w:val="21"/>
          <w:highlight w:val="none"/>
        </w:rPr>
        <w:t xml:space="preserve">平方米，其中车行道面积</w:t>
      </w:r>
      <w:r>
        <w:rPr>
          <w:rFonts w:ascii="宋体" w:hAnsi="宋体" w:cs="宋体"/>
          <w:color w:val="auto"/>
          <w:szCs w:val="21"/>
          <w:highlight w:val="none"/>
        </w:rPr>
        <w:t xml:space="preserve">7800</w:t>
      </w:r>
      <w:r>
        <w:rPr>
          <w:rFonts w:hint="eastAsia" w:ascii="宋体" w:hAnsi="宋体" w:cs="宋体"/>
          <w:color w:val="auto"/>
          <w:szCs w:val="21"/>
          <w:highlight w:val="none"/>
        </w:rPr>
        <w:t xml:space="preserve">平方米，人行道面积2</w:t>
      </w:r>
      <w:r>
        <w:rPr>
          <w:rFonts w:ascii="宋体" w:hAnsi="宋体" w:cs="宋体"/>
          <w:color w:val="auto"/>
          <w:szCs w:val="21"/>
          <w:highlight w:val="none"/>
        </w:rPr>
        <w:t xml:space="preserve">210</w:t>
      </w:r>
      <w:r>
        <w:rPr>
          <w:rFonts w:hint="eastAsia" w:ascii="宋体" w:hAnsi="宋体" w:cs="宋体"/>
          <w:color w:val="auto"/>
          <w:szCs w:val="21"/>
          <w:highlight w:val="none"/>
        </w:rPr>
        <w:t xml:space="preserve">平方米。隧道设施包括土建工程、强电工程、排水工程、消防设备、通风设备和弱电监控设备等。隧道养护类别为</w:t>
      </w:r>
      <w:r>
        <w:rPr>
          <w:rFonts w:hint="eastAsia" w:ascii="仿宋_GB2312" w:hAnsi="宋体" w:eastAsia="仿宋_GB2312" w:cs="宋体"/>
          <w:color w:val="auto"/>
          <w:szCs w:val="21"/>
          <w:highlight w:val="none"/>
        </w:rPr>
        <w:t xml:space="preserve">Ⅲ</w:t>
      </w:r>
      <w:r>
        <w:rPr>
          <w:rFonts w:hint="eastAsia" w:ascii="宋体" w:hAnsi="宋体" w:cs="宋体"/>
          <w:color w:val="auto"/>
          <w:szCs w:val="21"/>
          <w:highlight w:val="none"/>
        </w:rPr>
        <w:t xml:space="preserve">类，养护等级为</w:t>
      </w:r>
      <w:r>
        <w:rPr>
          <w:rFonts w:hint="eastAsia" w:ascii="仿宋" w:hAnsi="仿宋" w:eastAsia="仿宋" w:cs="宋体"/>
          <w:color w:val="auto"/>
          <w:szCs w:val="21"/>
          <w:highlight w:val="none"/>
        </w:rPr>
        <w:t xml:space="preserve">Ⅰ</w:t>
      </w:r>
      <w:r>
        <w:rPr>
          <w:rFonts w:hint="eastAsia" w:ascii="宋体" w:hAnsi="宋体" w:cs="宋体"/>
          <w:color w:val="auto"/>
          <w:szCs w:val="21"/>
          <w:highlight w:val="none"/>
        </w:rPr>
        <w:t xml:space="preserve">等。</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红山路隧道由南京市城建项目管理发展有限公司建设，隧道位于玄武区红山路，北至红山韵致居，南至京沪铁路。隧道全长1430m，其中南侧隧道敞开段180m，隧道暗埋段1090m，北侧隧道敞开段160m，道路等级为城市快速路，隧道为双向六车道。隧道沥青路面总面积</w:t>
      </w:r>
      <w:r>
        <w:rPr>
          <w:rFonts w:ascii="宋体" w:hAnsi="宋体" w:cs="宋体"/>
          <w:color w:val="auto"/>
          <w:szCs w:val="21"/>
          <w:highlight w:val="none"/>
        </w:rPr>
        <w:t xml:space="preserve">32570</w:t>
      </w:r>
      <w:r>
        <w:rPr>
          <w:rFonts w:hint="eastAsia" w:ascii="宋体" w:hAnsi="宋体" w:cs="宋体"/>
          <w:color w:val="auto"/>
          <w:szCs w:val="21"/>
          <w:highlight w:val="none"/>
        </w:rPr>
        <w:t xml:space="preserve">平方米。隧道设施包括土建工程、强电工程、排水工程、消防设备、通风设备和弱电监控设备等。隧道养护类别为</w:t>
      </w:r>
      <w:r>
        <w:rPr>
          <w:rFonts w:hint="eastAsia" w:ascii="仿宋" w:hAnsi="仿宋" w:eastAsia="仿宋" w:cs="宋体"/>
          <w:color w:val="auto"/>
          <w:szCs w:val="21"/>
          <w:highlight w:val="none"/>
        </w:rPr>
        <w:t xml:space="preserve">Ⅰ</w:t>
      </w:r>
      <w:r>
        <w:rPr>
          <w:rFonts w:hint="eastAsia" w:ascii="宋体" w:hAnsi="宋体" w:cs="宋体"/>
          <w:color w:val="auto"/>
          <w:szCs w:val="21"/>
          <w:highlight w:val="none"/>
        </w:rPr>
        <w:t xml:space="preserve">类，养护等级为</w:t>
      </w:r>
      <w:r>
        <w:rPr>
          <w:rFonts w:hint="eastAsia" w:ascii="仿宋" w:hAnsi="仿宋" w:eastAsia="仿宋" w:cs="宋体"/>
          <w:color w:val="auto"/>
          <w:szCs w:val="21"/>
          <w:highlight w:val="none"/>
        </w:rPr>
        <w:t xml:space="preserve">Ⅰ</w:t>
      </w:r>
      <w:r>
        <w:rPr>
          <w:rFonts w:hint="eastAsia" w:ascii="宋体" w:hAnsi="宋体" w:cs="宋体"/>
          <w:color w:val="auto"/>
          <w:szCs w:val="21"/>
          <w:highlight w:val="none"/>
        </w:rPr>
        <w:t xml:space="preserve">等。</w:t>
      </w:r>
      <w:r/>
    </w:p>
    <w:p>
      <w:pPr>
        <w:numPr>
          <w:ilvl w:val="0"/>
          <w:numId w:val="5"/>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隧道设施清单：</w:t>
      </w:r>
      <w:r/>
    </w:p>
    <w:tbl>
      <w:tblPr>
        <w:tblStyle w:val="695"/>
        <w:tblW w:w="8520"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276"/>
        <w:gridCol w:w="1701"/>
        <w:gridCol w:w="1559"/>
        <w:gridCol w:w="1701"/>
      </w:tblGrid>
      <w:tr>
        <w:trPr>
          <w:trHeight w:val="350"/>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隧道名称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总长度（m）</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暗埋段长度（m）</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总面积（m</w:t>
            </w:r>
            <w:r>
              <w:rPr>
                <w:rFonts w:ascii="宋体" w:hAnsi="宋体" w:cs="宋体"/>
                <w:bCs/>
                <w:color w:val="auto"/>
                <w:szCs w:val="21"/>
                <w:highlight w:val="none"/>
                <w:vertAlign w:val="superscript"/>
              </w:rPr>
              <w:t xml:space="preserve">2</w:t>
            </w:r>
            <w:r>
              <w:rPr>
                <w:rFonts w:hint="eastAsia" w:ascii="宋体" w:hAnsi="宋体" w:cs="宋体"/>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701"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trHeight w:val="350"/>
        </w:trPr>
        <w:tc>
          <w:tcPr>
            <w:tcBorders>
              <w:top w:val="none" w:color="000000" w:sz="4" w:space="0"/>
              <w:left w:val="single" w:color="auto" w:sz="4" w:space="0"/>
              <w:right w:val="single" w:color="auto" w:sz="4" w:space="0"/>
            </w:tcBorders>
            <w:tcW w:w="724" w:type="dxa"/>
            <w:textDirection w:val="lrTb"/>
            <w:noWrap w:val="false"/>
          </w:tcPr>
          <w:p>
            <w:pPr>
              <w:ind w:firstLine="21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狮子坝隧道</w:t>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60</w:t>
            </w:r>
            <w:r/>
          </w:p>
        </w:tc>
        <w:tc>
          <w:tcPr>
            <w:tcBorders>
              <w:top w:val="none" w:color="000000" w:sz="4" w:space="0"/>
              <w:left w:val="single" w:color="auto" w:sz="4" w:space="0"/>
              <w:bottom w:val="single" w:color="auto" w:sz="4" w:space="0"/>
              <w:right w:val="single" w:color="auto" w:sz="4" w:space="0"/>
            </w:tcBorders>
            <w:tcW w:w="1701"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8</w:t>
            </w:r>
            <w:r>
              <w:rPr>
                <w:rFonts w:ascii="宋体" w:hAnsi="宋体" w:cs="宋体"/>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1559" w:type="dxa"/>
            <w:vAlign w:val="bottom"/>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10010</w:t>
            </w:r>
            <w:r/>
          </w:p>
        </w:tc>
        <w:tc>
          <w:tcPr>
            <w:tcBorders>
              <w:top w:val="none" w:color="000000" w:sz="4" w:space="0"/>
              <w:left w:val="none" w:color="000000" w:sz="4" w:space="0"/>
              <w:bottom w:val="single" w:color="auto" w:sz="4" w:space="0"/>
              <w:right w:val="single" w:color="auto" w:sz="4" w:space="0"/>
            </w:tcBorders>
            <w:tcW w:w="1701"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详见附件</w:t>
            </w:r>
            <w:r/>
          </w:p>
        </w:tc>
      </w:tr>
      <w:tr>
        <w:trPr>
          <w:trHeight w:val="350"/>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红山路隧道</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430</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090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32570</w:t>
            </w:r>
            <w:r/>
          </w:p>
        </w:tc>
        <w:tc>
          <w:tcPr>
            <w:tcBorders>
              <w:top w:val="single" w:color="auto" w:sz="4" w:space="0"/>
              <w:left w:val="none" w:color="000000" w:sz="4" w:space="0"/>
              <w:bottom w:val="single" w:color="auto" w:sz="4" w:space="0"/>
              <w:right w:val="single" w:color="auto" w:sz="4" w:space="0"/>
            </w:tcBorders>
            <w:tcW w:w="1701" w:type="dxa"/>
            <w:textDirection w:val="lrTb"/>
            <w:noWrap w:val="false"/>
          </w:tcPr>
          <w:p>
            <w:pPr>
              <w:pStyle w:val="904"/>
              <w:ind w:firstLine="0"/>
              <w:jc w:val="center"/>
              <w:rPr>
                <w:color w:val="auto"/>
                <w:highlight w:val="none"/>
              </w:rPr>
            </w:pPr>
            <w:r>
              <w:rPr>
                <w:rFonts w:hint="eastAsia" w:ascii="宋体" w:hAnsi="宋体" w:cs="宋体"/>
                <w:color w:val="auto"/>
                <w:szCs w:val="21"/>
                <w:highlight w:val="none"/>
              </w:rPr>
              <w:t xml:space="preserve">详见附件</w:t>
            </w:r>
            <w:r/>
          </w:p>
        </w:tc>
      </w:tr>
    </w:tbl>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3、投标报价：</w:t>
      </w:r>
      <w:r/>
    </w:p>
    <w:p>
      <w:pPr>
        <w:ind w:firstLine="420"/>
        <w:spacing w:line="360" w:lineRule="auto"/>
        <w:shd w:val="clear" w:color="auto" w:fill="ffffff"/>
        <w:widowControl/>
        <w:rPr>
          <w:rFonts w:hint="eastAsia" w:ascii="宋体" w:hAnsi="宋体"/>
          <w:b/>
          <w:bCs/>
          <w:color w:val="auto"/>
          <w:szCs w:val="21"/>
          <w:highlight w:val="none"/>
        </w:rPr>
      </w:pPr>
      <w:r>
        <w:rPr>
          <w:rFonts w:hint="eastAsia" w:ascii="宋体" w:hAnsi="宋体"/>
          <w:b/>
          <w:bCs/>
          <w:color w:val="auto"/>
          <w:szCs w:val="21"/>
          <w:highlight w:val="none"/>
        </w:rPr>
        <w:t xml:space="preserve">采购人设定三年的最高限价为人民币</w:t>
      </w:r>
      <w:r>
        <w:rPr>
          <w:rFonts w:hint="eastAsia" w:ascii="宋体" w:hAnsi="宋体"/>
          <w:b/>
          <w:bCs/>
          <w:color w:val="auto"/>
          <w:szCs w:val="21"/>
          <w:highlight w:val="none"/>
          <w:lang w:val="en-US" w:eastAsia="zh-CN"/>
        </w:rPr>
        <w:t xml:space="preserve">2274</w:t>
      </w:r>
      <w:r>
        <w:rPr>
          <w:rFonts w:hint="eastAsia" w:ascii="宋体" w:hAnsi="宋体"/>
          <w:b/>
          <w:bCs/>
          <w:color w:val="auto"/>
          <w:szCs w:val="21"/>
          <w:highlight w:val="none"/>
        </w:rPr>
        <w:t xml:space="preserve">万元，</w:t>
      </w:r>
      <w:r>
        <w:rPr>
          <w:rFonts w:hint="eastAsia" w:ascii="宋体" w:hAnsi="宋体"/>
          <w:b/>
          <w:bCs/>
          <w:color w:val="auto"/>
          <w:szCs w:val="21"/>
          <w:highlight w:val="none"/>
          <w:lang w:val="en-US" w:eastAsia="zh-CN"/>
        </w:rPr>
        <w:t xml:space="preserve">758</w:t>
      </w:r>
      <w:r>
        <w:rPr>
          <w:rFonts w:hint="eastAsia" w:ascii="宋体" w:hAnsi="宋体"/>
          <w:b/>
          <w:bCs/>
          <w:color w:val="auto"/>
          <w:szCs w:val="21"/>
          <w:highlight w:val="none"/>
        </w:rPr>
        <w:t xml:space="preserve">万元/年，其中狮子坝隧道175万元/年，红山路隧道583万元/年，服务期三年。供应商报价超过最高限价</w:t>
      </w:r>
      <w:r>
        <w:rPr>
          <w:rFonts w:hint="eastAsia" w:ascii="宋体" w:hAnsi="宋体"/>
          <w:b/>
          <w:bCs/>
          <w:color w:val="auto"/>
          <w:szCs w:val="21"/>
          <w:highlight w:val="none"/>
          <w:lang w:eastAsia="zh-CN"/>
        </w:rPr>
        <w:t xml:space="preserve">（单价及总价）</w:t>
      </w:r>
      <w:r>
        <w:rPr>
          <w:rFonts w:hint="eastAsia" w:ascii="宋体" w:hAnsi="宋体"/>
          <w:b/>
          <w:bCs/>
          <w:color w:val="auto"/>
          <w:szCs w:val="21"/>
          <w:highlight w:val="none"/>
        </w:rPr>
        <w:t xml:space="preserve">的为无效报价，按照无效投标处理。</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（1）投标人在报价时应充分考虑合同期内人工工资和市场材料价格波动的风险，中标后中标价格不作调整。</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（2）投标人应自行勘察设施现场，充分了解养护设施的基本情况，根据每个设施完好程度不同，在报价中充分予以考虑。</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）隧道养护管理范围以内、设施清单中未明确列出的设施养护费用，投标人应根据自己的养护经验在报价中综合考虑，中标后中标价格不作调整。</w:t>
      </w:r>
      <w:r/>
    </w:p>
    <w:p>
      <w:pPr>
        <w:ind w:firstLine="420"/>
        <w:spacing w:line="360" w:lineRule="auto"/>
        <w:shd w:val="clear" w:color="auto" w:fill="ffffff"/>
        <w:widowControl/>
        <w:rPr>
          <w:color w:val="auto"/>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养护服务年度经费报价包含：</w:t>
      </w:r>
      <w:r>
        <w:rPr>
          <w:rFonts w:hint="eastAsia" w:ascii="宋体" w:hAnsi="宋体"/>
          <w:bCs/>
          <w:color w:val="auto"/>
          <w:szCs w:val="21"/>
          <w:highlight w:val="none"/>
        </w:rPr>
        <w:t xml:space="preserve">作业成本经费（含人员工资、机械运行成本、材料消耗等）；</w:t>
      </w:r>
      <w:r>
        <w:rPr>
          <w:rFonts w:hint="eastAsia" w:ascii="宋体" w:hAnsi="宋体" w:cs="宋体"/>
          <w:bCs/>
          <w:color w:val="auto"/>
          <w:szCs w:val="21"/>
          <w:highlight w:val="none"/>
        </w:rPr>
        <w:t xml:space="preserve">夜间</w:t>
      </w:r>
      <w:r>
        <w:rPr>
          <w:rFonts w:hint="eastAsia" w:ascii="宋体" w:hAnsi="宋体" w:cs="宋体"/>
          <w:bCs/>
          <w:color w:val="auto"/>
          <w:szCs w:val="21"/>
          <w:highlight w:val="none"/>
          <w:lang w:val="en-US" w:eastAsia="zh-CN"/>
        </w:rPr>
        <w:t xml:space="preserve">养护</w:t>
      </w:r>
      <w:r>
        <w:rPr>
          <w:rFonts w:hint="eastAsia" w:ascii="宋体" w:hAnsi="宋体" w:cs="宋体"/>
          <w:bCs/>
          <w:color w:val="auto"/>
          <w:szCs w:val="21"/>
          <w:highlight w:val="none"/>
        </w:rPr>
        <w:t xml:space="preserve">、环境保护、安全管理等法规要求涉及的保障费用；管理费用、合理利润、税金；突发安全事件、防汛、防台、扫雪防冻应急处置费用、节假日和重大活动保障、投诉处理等相关费用。</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二、隧道养护内容及要求</w:t>
      </w:r>
      <w:r/>
    </w:p>
    <w:p>
      <w:pPr>
        <w:pStyle w:val="998"/>
        <w:numPr>
          <w:ilvl w:val="0"/>
          <w:numId w:val="0"/>
        </w:numPr>
        <w:ind w:firstLine="420"/>
        <w:spacing w:line="360" w:lineRule="auto"/>
        <w:widowControl w:val="off"/>
        <w:rPr>
          <w:rFonts w:ascii="宋体" w:hAnsi="宋体" w:eastAsia="宋体" w:cs="宋体"/>
          <w:color w:val="auto"/>
          <w:sz w:val="21"/>
          <w:szCs w:val="21"/>
          <w:highlight w:val="none"/>
          <w:lang w:eastAsia="zh-CN"/>
        </w:rPr>
      </w:pPr>
      <w:r/>
      <w:bookmarkStart w:id="13" w:name="_Hlk63090543"/>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养护范围包括土建设施、机电设施、其他设施及隧道安全保护区域。养护内容包括根据相关规范和管理要求开展日常巡查、定期检测、养护维修、应急处置（安全事故、防汛、防台、扫雪防冻）、节假日和重大活动保障、投诉处理、指令性任务、设施安全防护管理、养护技术档案管理等。</w:t>
      </w:r>
      <w:r/>
    </w:p>
    <w:p>
      <w:pPr>
        <w:pStyle w:val="998"/>
        <w:numPr>
          <w:ilvl w:val="0"/>
          <w:numId w:val="0"/>
        </w:numPr>
        <w:ind w:firstLine="420"/>
        <w:spacing w:line="360" w:lineRule="auto"/>
        <w:widowControl w:val="off"/>
        <w:rPr>
          <w:rFonts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按照《城市道路管理条例》(国务院令第198号</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、《城市桥梁检测和养护维修管理办法》（建设部118号令）、《城市桥梁养护技术标准》（CJJ99-2017）、《城镇道路养护技术规范》（CJJ36-2016）、《城市道路施工作业交通组织规范》（G</w:t>
      </w:r>
      <w:r>
        <w:rPr>
          <w:rFonts w:ascii="宋体" w:hAnsi="宋体" w:eastAsia="宋体" w:cs="宋体"/>
          <w:color w:val="auto"/>
          <w:sz w:val="21"/>
          <w:szCs w:val="21"/>
          <w:highlight w:val="none"/>
          <w:lang w:eastAsia="zh-CN"/>
        </w:rPr>
        <w:t xml:space="preserve">A</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T900-2010</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《城镇道路工程施工与质量验收规范》（CJJ1-2008）</w:t>
      </w:r>
      <w:r>
        <w:rPr>
          <w:rFonts w:hint="eastAsia" w:ascii="宋体" w:hAnsi="宋体" w:eastAsia="宋体" w:cs="宋体"/>
          <w:color w:val="auto"/>
          <w:sz w:val="21"/>
          <w:szCs w:val="21"/>
          <w:highlight w:val="none"/>
          <w:lang w:eastAsia="zh-CN"/>
        </w:rPr>
        <w:t xml:space="preserve">、《建筑工地扬尘防治标准》（</w:t>
      </w:r>
      <w:r>
        <w:rPr>
          <w:rFonts w:ascii="宋体" w:hAnsi="宋体" w:eastAsia="宋体" w:cs="宋体"/>
          <w:color w:val="auto"/>
          <w:sz w:val="21"/>
          <w:szCs w:val="21"/>
          <w:highlight w:val="none"/>
          <w:lang w:eastAsia="zh-CN"/>
        </w:rPr>
        <w:t xml:space="preserve">DGJ32/J203-2016</w:t>
      </w:r>
      <w:r>
        <w:rPr>
          <w:rFonts w:hint="eastAsia" w:ascii="宋体" w:hAnsi="宋体" w:eastAsia="宋体" w:cs="宋体"/>
          <w:color w:val="auto"/>
          <w:sz w:val="21"/>
          <w:szCs w:val="21"/>
          <w:highlight w:val="none"/>
          <w:lang w:eastAsia="zh-CN"/>
        </w:rPr>
        <w:t xml:space="preserve">）、《省住房城乡建设厅关于印发&lt;江苏省城市隧道建设、运行与维护指南（试行）</w:t>
      </w:r>
      <w:r>
        <w:rPr>
          <w:rFonts w:ascii="宋体" w:hAnsi="宋体" w:eastAsia="宋体" w:cs="宋体"/>
          <w:color w:val="auto"/>
          <w:sz w:val="21"/>
          <w:szCs w:val="21"/>
          <w:highlight w:val="none"/>
          <w:lang w:eastAsia="zh-CN"/>
        </w:rPr>
        <w:t xml:space="preserve">&gt;</w:t>
      </w:r>
      <w:r>
        <w:rPr>
          <w:rFonts w:hint="eastAsia" w:ascii="宋体" w:hAnsi="宋体" w:eastAsia="宋体" w:cs="宋体"/>
          <w:color w:val="auto"/>
          <w:sz w:val="21"/>
          <w:szCs w:val="21"/>
          <w:highlight w:val="none"/>
          <w:lang w:eastAsia="zh-CN"/>
        </w:rPr>
        <w:t xml:space="preserve">的通知》（苏建城〔</w:t>
      </w:r>
      <w:r>
        <w:rPr>
          <w:rFonts w:ascii="宋体" w:hAnsi="宋体" w:eastAsia="宋体" w:cs="宋体"/>
          <w:color w:val="auto"/>
          <w:sz w:val="21"/>
          <w:szCs w:val="21"/>
          <w:highlight w:val="none"/>
          <w:lang w:eastAsia="zh-CN"/>
        </w:rPr>
        <w:t xml:space="preserve">2019</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32</w:t>
      </w:r>
      <w:r>
        <w:rPr>
          <w:rFonts w:hint="eastAsia" w:ascii="宋体" w:hAnsi="宋体" w:eastAsia="宋体" w:cs="宋体"/>
          <w:color w:val="auto"/>
          <w:sz w:val="21"/>
          <w:szCs w:val="21"/>
          <w:highlight w:val="none"/>
          <w:lang w:eastAsia="zh-CN"/>
        </w:rPr>
        <w:t xml:space="preserve">号）等相关的行业法规和规范标准进行养护，并满足《市政府办公厅关于进一步加强城市道路管理工作的若干意见》(宁政办发〔</w:t>
      </w:r>
      <w:r>
        <w:rPr>
          <w:rFonts w:ascii="宋体" w:hAnsi="宋体" w:eastAsia="宋体" w:cs="宋体"/>
          <w:color w:val="auto"/>
          <w:sz w:val="21"/>
          <w:szCs w:val="21"/>
          <w:highlight w:val="none"/>
          <w:lang w:eastAsia="zh-CN"/>
        </w:rPr>
        <w:t xml:space="preserve">2019</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39</w:t>
      </w:r>
      <w:r>
        <w:rPr>
          <w:rFonts w:hint="eastAsia" w:ascii="宋体" w:hAnsi="宋体" w:eastAsia="宋体" w:cs="宋体"/>
          <w:color w:val="auto"/>
          <w:sz w:val="21"/>
          <w:szCs w:val="21"/>
          <w:highlight w:val="none"/>
          <w:lang w:eastAsia="zh-CN"/>
        </w:rPr>
        <w:t xml:space="preserve">号</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、《南京市城市道路设施精细化养护技术指南》的相关要求，养护质量经管理单位验收达到合格标准。</w:t>
      </w:r>
      <w:r/>
    </w:p>
    <w:p>
      <w:pPr>
        <w:pStyle w:val="998"/>
        <w:numPr>
          <w:ilvl w:val="0"/>
          <w:numId w:val="0"/>
        </w:numPr>
        <w:ind w:firstLine="42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根据养护内容制定相应的养护方案，包括达到养护标准的措施、内部管理制度等。另需制定</w:t>
      </w:r>
      <w:r>
        <w:rPr>
          <w:rFonts w:hint="eastAsia" w:ascii="宋体" w:hAnsi="宋体" w:eastAsia="宋体" w:cs="宋体"/>
          <w:color w:val="auto"/>
          <w:sz w:val="21"/>
          <w:szCs w:val="21"/>
          <w:highlight w:val="none"/>
          <w:lang w:val="zh-CN" w:eastAsia="zh-CN"/>
        </w:rPr>
        <w:t xml:space="preserve">应急处置预案（安全事故、防汛、防台、扫雪防冻）、节假日和重大活动保障、安全生产管理等专项方案。</w:t>
      </w:r>
      <w:r/>
    </w:p>
    <w:p>
      <w:pPr>
        <w:pStyle w:val="998"/>
        <w:numPr>
          <w:ilvl w:val="0"/>
          <w:numId w:val="0"/>
        </w:numPr>
        <w:ind w:left="42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人员配备、设备配备要求</w:t>
      </w:r>
      <w:r/>
    </w:p>
    <w:p>
      <w:pPr>
        <w:pStyle w:val="998"/>
        <w:numPr>
          <w:ilvl w:val="0"/>
          <w:numId w:val="0"/>
        </w:numPr>
        <w:ind w:firstLine="420"/>
        <w:spacing w:line="360" w:lineRule="auto"/>
        <w:rPr>
          <w:rFonts w:ascii="宋体" w:hAnsi="宋体" w:eastAsia="宋体" w:cs="宋体"/>
          <w:color w:val="auto"/>
          <w:sz w:val="21"/>
          <w:szCs w:val="21"/>
          <w:highlight w:val="none"/>
          <w:lang w:eastAsia="zh-CN"/>
        </w:rPr>
      </w:pPr>
      <w:r/>
      <w:bookmarkStart w:id="14" w:name="_Hlk63090874"/>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按要求配备齐全满足本项目养护要求的项目负责人、各类专业技术人员和维护作业人员，并保持相对稳定，如果需要更换项目负责人或项目技术负责人，应事先报请甲方同意;按照甲方要求撤换不能胜任工作或玩忽职守、不负责的工作人员。</w:t>
      </w:r>
      <w:r/>
    </w:p>
    <w:p>
      <w:pPr>
        <w:pStyle w:val="998"/>
        <w:ind w:left="0" w:firstLine="315"/>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（2）成交供应商必须配备齐全满足本项目养护要求的机械设备，配备的机械设备的性能和技术指标须满足现行行业规范标准及采购人要求。</w:t>
      </w:r>
      <w:bookmarkEnd w:id="14"/>
      <w:r/>
      <w:r/>
    </w:p>
    <w:p>
      <w:pPr>
        <w:pStyle w:val="998"/>
        <w:numPr>
          <w:ilvl w:val="0"/>
          <w:numId w:val="0"/>
        </w:numPr>
        <w:ind w:left="42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其它养护要求：</w:t>
      </w:r>
      <w:bookmarkEnd w:id="13"/>
      <w:r/>
      <w:bookmarkStart w:id="15" w:name="_Hlk60833601"/>
      <w:r/>
      <w:bookmarkEnd w:id="15"/>
      <w:r/>
      <w:r/>
    </w:p>
    <w:p>
      <w:pPr>
        <w:pStyle w:val="998"/>
        <w:ind w:left="0"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（1）在隧道设施养护范围边界位置处的挡墙（护栏）上设置隧道管养范围界牌，对照设施量清单，对隧道内供配电设备、弱电设备进行编号，按照设备类别及编号开展日常维护管理工作。</w:t>
      </w:r>
      <w:r/>
    </w:p>
    <w:p>
      <w:pPr>
        <w:pStyle w:val="998"/>
        <w:ind w:left="0"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（2）按照相关技术规范、标准和管理单位要求开展日常巡查和每年1次定期检测工作，进行隧道定期检测时，对隧道侧墙装饰板应按不低于总量2</w:t>
      </w:r>
      <w:r>
        <w:rPr>
          <w:rFonts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eastAsia="zh-CN"/>
        </w:rPr>
        <w:t xml:space="preserve">的比例拆除（隧道变形缝位置装饰板必须拆除）检测隧道衬砌结构状况，根据检测情况对隧道技术状况进行评定（评定内容包括隧道土建结构和机电设施的分项技术状况评定和总体技术状况评定），并编制隧道年度技术状况报告。根据隧道日常运行管理、安全管理、应急响应、运行服务质量统计等情况，编制隧道年度运营状况报告。</w:t>
      </w:r>
      <w:r/>
    </w:p>
    <w:p>
      <w:pPr>
        <w:pStyle w:val="998"/>
        <w:ind w:left="0"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eastAsia="zh-CN"/>
        </w:rPr>
        <w:t xml:space="preserve">）按规定对隧道进行沉降观测，渗漏量测定，一氧化碳气体浓度，烟尘含量测定，每年组织有资质单位对消防设施、供配电设备检查一次，根据检测情况进行评估和处置。</w:t>
      </w:r>
      <w:r/>
    </w:p>
    <w:p>
      <w:pPr>
        <w:pStyle w:val="998"/>
        <w:ind w:left="0"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eastAsia="zh-CN"/>
        </w:rPr>
        <w:t xml:space="preserve">）隧道配电房落实2</w:t>
      </w:r>
      <w:r>
        <w:rPr>
          <w:rFonts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eastAsia="zh-CN"/>
        </w:rPr>
        <w:t xml:space="preserve">小时值班制度。</w:t>
      </w:r>
      <w:r/>
    </w:p>
    <w:p>
      <w:pPr>
        <w:pStyle w:val="998"/>
        <w:ind w:left="0"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eastAsia="zh-CN"/>
        </w:rPr>
        <w:t xml:space="preserve">）劝阻清理隧道内摆摊、乞讨等非正常通行人员。</w:t>
      </w:r>
      <w:r/>
    </w:p>
    <w:p>
      <w:pPr>
        <w:pStyle w:val="998"/>
        <w:ind w:left="0"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eastAsia="zh-CN"/>
        </w:rPr>
        <w:t xml:space="preserve">）不得以维修为目的擅自封闭隧道，如确实需要封闭须征得主管部门同意。</w:t>
      </w:r>
      <w:r/>
    </w:p>
    <w:p>
      <w:pPr>
        <w:pStyle w:val="998"/>
        <w:ind w:left="0"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（7）管理单位委托第三方监理单位对中标单位隧道维护管理工作进行监管，中标单位应服从监理单位的管理。</w:t>
      </w:r>
      <w:r/>
    </w:p>
    <w:p>
      <w:pPr>
        <w:pStyle w:val="998"/>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eastAsia="zh-CN"/>
        </w:rPr>
        <w:t xml:space="preserve">）隧道基础资料、日常巡查、检测、维修加固、隧道安全运营管理（隧道安全保护区施工、超限车辆、隧道管线铺设）等信息资料按管理单位要求录入</w:t>
      </w:r>
      <w:r>
        <w:rPr>
          <w:rFonts w:hint="eastAsia" w:ascii="宋体" w:hAnsi="宋体" w:eastAsia="宋体" w:cs="宋体"/>
          <w:color w:val="auto"/>
          <w:sz w:val="21"/>
          <w:szCs w:val="21"/>
          <w:highlight w:val="none"/>
          <w:lang w:val="en-US" w:eastAsia="zh-CN"/>
        </w:rPr>
        <w:t xml:space="preserve">路桥隧智慧</w:t>
      </w:r>
      <w:r>
        <w:rPr>
          <w:rFonts w:hint="eastAsia" w:ascii="宋体" w:hAnsi="宋体" w:eastAsia="宋体" w:cs="宋体"/>
          <w:color w:val="auto"/>
          <w:sz w:val="21"/>
          <w:szCs w:val="21"/>
          <w:highlight w:val="none"/>
          <w:lang w:eastAsia="zh-CN"/>
        </w:rPr>
        <w:t xml:space="preserve">监管系统；对建立健康监测系统的隧道，按要求通过健康监测系统对隧道运行状况进行跟踪管理。</w:t>
      </w:r>
      <w:r/>
    </w:p>
    <w:p>
      <w:pPr>
        <w:pStyle w:val="998"/>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eastAsia="zh-CN"/>
        </w:rPr>
        <w:t xml:space="preserve">）按照管理单位要求，完成通过其他专项经费安排的本项目设施范围内的维护工作（通过建设工程立项程序实施的项目除外）。</w:t>
      </w:r>
      <w:r/>
    </w:p>
    <w:p>
      <w:pPr>
        <w:pStyle w:val="998"/>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）按要求完成设施量年报统计和维护工作开展情况及成效的宣传。</w:t>
      </w:r>
      <w:r/>
    </w:p>
    <w:p>
      <w:pPr>
        <w:pStyle w:val="998"/>
        <w:ind w:left="0" w:firstLine="420"/>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lang w:eastAsia="zh-CN"/>
        </w:rPr>
        <w:t xml:space="preserve">）按照管理单位要求，配合做好上级部门对城市隧道管养情况督查检查。</w:t>
      </w:r>
      <w:r/>
    </w:p>
    <w:p>
      <w:pPr>
        <w:pStyle w:val="998"/>
        <w:ind w:left="0" w:firstLine="422"/>
        <w:spacing w:line="360" w:lineRule="auto"/>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三、检查考核</w:t>
      </w:r>
      <w:r/>
    </w:p>
    <w:p>
      <w:pPr>
        <w:pStyle w:val="998"/>
        <w:ind w:left="0"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管理单位按照《关于修订印发〈南京市城市道路维护管理检查考核办法〉的通知》（宁交道路〔2023〕79号）对乙方维护质量进行考核。若甲方根据需要调整考核办法，则按照调整后的考核办法执行。</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四、服务期</w:t>
      </w:r>
      <w:r/>
    </w:p>
    <w:p>
      <w:pPr>
        <w:ind w:firstLine="420"/>
        <w:jc w:val="left"/>
        <w:spacing w:line="360" w:lineRule="auto"/>
        <w:shd w:val="clear" w:color="ffffff" w:themeColor="background1" w:fill="ffffff" w:themeFill="background1"/>
        <w:rPr>
          <w:rFonts w:ascii="宋体" w:hAnsi="宋体" w:cs="宋体"/>
          <w:bCs/>
          <w:color w:val="auto"/>
          <w:szCs w:val="21"/>
          <w:highlight w:val="none"/>
        </w:rPr>
      </w:pPr>
      <w:r>
        <w:rPr>
          <w:rFonts w:hint="eastAsia" w:ascii="宋体" w:hAnsi="宋体" w:cs="宋体"/>
          <w:bCs/>
          <w:color w:val="auto"/>
          <w:szCs w:val="21"/>
          <w:highlight w:val="none"/>
        </w:rPr>
        <w:t xml:space="preserve">本项目承包期限为</w:t>
      </w:r>
      <w:r>
        <w:rPr>
          <w:rFonts w:hint="eastAsia" w:ascii="宋体" w:hAnsi="宋体" w:cs="宋体"/>
          <w:bCs/>
          <w:color w:val="auto"/>
          <w:szCs w:val="21"/>
          <w:highlight w:val="none"/>
          <w:lang w:val="en-US" w:eastAsia="zh-CN"/>
        </w:rPr>
        <w:t xml:space="preserve">三</w:t>
      </w:r>
      <w:r>
        <w:rPr>
          <w:rFonts w:hint="eastAsia" w:ascii="宋体" w:hAnsi="宋体" w:cs="宋体"/>
          <w:bCs/>
          <w:color w:val="auto"/>
          <w:szCs w:val="21"/>
          <w:highlight w:val="none"/>
        </w:rPr>
        <w:t xml:space="preserve">年（即</w:t>
      </w:r>
      <w:r>
        <w:rPr>
          <w:rFonts w:hint="eastAsia" w:ascii="宋体" w:hAnsi="宋体" w:cs="宋体"/>
          <w:bCs/>
          <w:color w:val="auto"/>
          <w:szCs w:val="21"/>
          <w:highlight w:val="none"/>
          <w:lang w:val="en-US" w:eastAsia="zh-CN"/>
        </w:rPr>
        <w:t xml:space="preserve">36</w:t>
      </w:r>
      <w:r>
        <w:rPr>
          <w:rFonts w:hint="eastAsia" w:ascii="宋体" w:hAnsi="宋体" w:cs="宋体"/>
          <w:bCs/>
          <w:color w:val="auto"/>
          <w:szCs w:val="21"/>
          <w:highlight w:val="none"/>
        </w:rPr>
        <w:t xml:space="preserve">个月)。合同履行期间，采购人可能会根据项目实际情况对上述工作周期做相应调整，供应商须无条件服从采购人工期安排。实时根据采购人相关要求，做好各阶段成果的提交和汇报。年度服务期满后，下一任服务单位进场并办理完交接手续方可撤离，同时采购人根据延续服务天数据实结算延续服务费用。</w:t>
      </w:r>
      <w:r/>
    </w:p>
    <w:p>
      <w:pPr>
        <w:numPr>
          <w:ilvl w:val="0"/>
          <w:numId w:val="6"/>
        </w:num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付款方式</w:t>
      </w:r>
      <w:r/>
    </w:p>
    <w:p>
      <w:pPr>
        <w:pStyle w:val="688"/>
        <w:numPr>
          <w:ilvl w:val="3"/>
          <w:numId w:val="0"/>
        </w:numPr>
        <w:ind w:firstLine="422"/>
        <w:rPr>
          <w:rFonts w:hint="default"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详见合同。</w:t>
      </w:r>
      <w:r/>
    </w:p>
    <w:p>
      <w:pPr>
        <w:ind w:firstLine="420"/>
        <w:spacing w:line="360" w:lineRule="auto"/>
        <w:rPr>
          <w:rFonts w:eastAsiaTheme="minorEastAsia"/>
          <w:b/>
          <w:bCs/>
          <w:color w:val="auto"/>
          <w:szCs w:val="21"/>
          <w:highlight w:val="none"/>
        </w:rPr>
      </w:pPr>
      <w:r>
        <w:rPr>
          <w:rFonts w:hint="eastAsia" w:eastAsiaTheme="minorEastAsia"/>
          <w:b/>
          <w:bCs/>
          <w:color w:val="auto"/>
          <w:szCs w:val="21"/>
          <w:highlight w:val="none"/>
        </w:rPr>
        <w:t xml:space="preserve">附件：</w:t>
      </w:r>
      <w:r/>
    </w:p>
    <w:p>
      <w:pPr>
        <w:pStyle w:val="998"/>
        <w:numPr>
          <w:ilvl w:val="0"/>
          <w:numId w:val="7"/>
        </w:num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《市政府办公厅关于进一步加强城市道路管理工作的若干意见》(宁政办发〔2019〕39号)；</w:t>
      </w:r>
      <w:r/>
    </w:p>
    <w:p>
      <w:pPr>
        <w:pStyle w:val="998"/>
        <w:numPr>
          <w:ilvl w:val="0"/>
          <w:numId w:val="7"/>
        </w:num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《关于印发&lt;南京市城市道路维护管理检查考核办法&gt;的通知》（宁交道路〔2023〕79号）；</w:t>
      </w:r>
      <w:r/>
    </w:p>
    <w:p>
      <w:pPr>
        <w:pStyle w:val="998"/>
        <w:numPr>
          <w:ilvl w:val="0"/>
          <w:numId w:val="7"/>
        </w:num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《省住房城乡建设厅关于印发&lt;江苏省城市隧道建设、运行与维护指南（试行）&gt;的通知》（苏建城〔2019〕32号）</w:t>
      </w:r>
      <w:r/>
    </w:p>
    <w:p>
      <w:pPr>
        <w:pStyle w:val="998"/>
        <w:numPr>
          <w:ilvl w:val="0"/>
          <w:numId w:val="7"/>
        </w:num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《南京市城市道路设施精细化养护技术指南》；</w:t>
      </w:r>
      <w:r/>
    </w:p>
    <w:p>
      <w:pPr>
        <w:pStyle w:val="998"/>
        <w:numPr>
          <w:ilvl w:val="0"/>
          <w:numId w:val="0"/>
        </w:num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狮子坝隧道设施明细表；</w:t>
      </w:r>
      <w:r/>
    </w:p>
    <w:p>
      <w:pPr>
        <w:pStyle w:val="998"/>
        <w:numPr>
          <w:ilvl w:val="0"/>
          <w:numId w:val="0"/>
        </w:numPr>
        <w:spacing w:line="360" w:lineRule="auto"/>
        <w:rPr>
          <w:rFonts w:ascii="Times New Roman" w:hAnsi="Times New Roman"/>
          <w:color w:val="auto"/>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红山路隧道设施明细表</w:t>
      </w:r>
      <w:r>
        <w:rPr>
          <w:rFonts w:hint="eastAsia" w:ascii="Times New Roman" w:hAnsi="Times New Roman"/>
          <w:color w:val="auto"/>
          <w:szCs w:val="21"/>
          <w:highlight w:val="none"/>
          <w:lang w:eastAsia="zh-CN"/>
        </w:rPr>
        <w:t xml:space="preserve">。</w:t>
      </w:r>
      <w:r/>
    </w:p>
    <w:p>
      <w:pPr>
        <w:jc w:val="left"/>
        <w:widowControl/>
        <w:rPr>
          <w:rFonts w:ascii="宋体" w:hAnsi="宋体" w:cs="宋体"/>
          <w:color w:val="auto"/>
          <w:szCs w:val="21"/>
          <w:highlight w:val="none"/>
        </w:rPr>
      </w:pPr>
      <w:r>
        <w:rPr>
          <w:rFonts w:ascii="宋体" w:hAnsi="宋体" w:cs="宋体"/>
          <w:color w:val="auto"/>
          <w:szCs w:val="21"/>
          <w:highlight w:val="none"/>
        </w:rPr>
        <w:br w:type="page" w:clear="all"/>
      </w:r>
      <w:r/>
    </w:p>
    <w:p>
      <w:pPr>
        <w:spacing w:line="360" w:lineRule="auto"/>
        <w:rPr>
          <w:rFonts w:ascii="宋体" w:hAnsi="宋体"/>
          <w:b/>
          <w:color w:val="auto"/>
          <w:sz w:val="28"/>
          <w:szCs w:val="21"/>
          <w:highlight w:val="none"/>
        </w:rPr>
      </w:pPr>
      <w:r>
        <w:rPr>
          <w:rFonts w:hint="eastAsia" w:ascii="宋体" w:hAnsi="宋体"/>
          <w:b/>
          <w:color w:val="auto"/>
          <w:sz w:val="28"/>
          <w:szCs w:val="21"/>
          <w:highlight w:val="none"/>
        </w:rPr>
        <w:t xml:space="preserve">1、</w:t>
      </w:r>
      <w:r>
        <w:rPr>
          <w:rFonts w:hint="eastAsia" w:ascii="宋体" w:hAnsi="宋体"/>
          <w:b/>
          <w:color w:val="auto"/>
          <w:sz w:val="28"/>
          <w:szCs w:val="21"/>
          <w:highlight w:val="none"/>
          <w:lang w:eastAsia="zh-CN"/>
        </w:rPr>
        <w:t xml:space="preserve">狮子坝</w:t>
      </w:r>
      <w:r>
        <w:rPr>
          <w:rFonts w:hint="eastAsia" w:ascii="宋体" w:hAnsi="宋体"/>
          <w:b/>
          <w:color w:val="auto"/>
          <w:sz w:val="28"/>
          <w:szCs w:val="21"/>
          <w:highlight w:val="none"/>
        </w:rPr>
        <w:t xml:space="preserve">隧道设施明细表</w:t>
      </w:r>
      <w:r/>
    </w:p>
    <w:tbl>
      <w:tblPr>
        <w:tblStyle w:val="6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8"/>
        <w:gridCol w:w="1985"/>
        <w:gridCol w:w="3620"/>
        <w:gridCol w:w="866"/>
        <w:gridCol w:w="848"/>
        <w:gridCol w:w="886"/>
      </w:tblGrid>
      <w:tr>
        <w:trPr>
          <w:trHeight w:val="454"/>
        </w:trPr>
        <w:tc>
          <w:tcPr>
            <w:tcW w:w="297" w:type="pct"/>
            <w:vAlign w:val="center"/>
            <w:textDirection w:val="lrTb"/>
            <w:noWrap w:val="false"/>
          </w:tcPr>
          <w:p>
            <w:pPr>
              <w:jc w:val="center"/>
              <w:rPr>
                <w:rFonts w:hint="eastAsia" w:ascii="宋体" w:hAnsi="宋体" w:cs="宋体"/>
                <w:b/>
                <w:sz w:val="20"/>
                <w:highlight w:val="none"/>
              </w:rPr>
            </w:pPr>
            <w:r>
              <w:rPr>
                <w:rFonts w:hint="eastAsia" w:ascii="宋体" w:hAnsi="宋体" w:cs="宋体"/>
                <w:b/>
                <w:sz w:val="20"/>
                <w:highlight w:val="none"/>
              </w:rPr>
              <w:t xml:space="preserve">序号</w:t>
            </w:r>
            <w:r/>
          </w:p>
        </w:tc>
        <w:tc>
          <w:tcPr>
            <w:tcW w:w="1137" w:type="pct"/>
            <w:vAlign w:val="center"/>
            <w:textDirection w:val="lrTb"/>
            <w:noWrap w:val="false"/>
          </w:tcPr>
          <w:p>
            <w:pPr>
              <w:jc w:val="center"/>
              <w:rPr>
                <w:rFonts w:hint="eastAsia" w:ascii="宋体" w:hAnsi="宋体" w:cs="宋体"/>
                <w:b/>
                <w:sz w:val="20"/>
                <w:highlight w:val="none"/>
              </w:rPr>
            </w:pPr>
            <w:r>
              <w:rPr>
                <w:rFonts w:hint="eastAsia" w:ascii="宋体" w:hAnsi="宋体" w:cs="宋体"/>
                <w:b/>
                <w:sz w:val="20"/>
                <w:highlight w:val="none"/>
              </w:rPr>
              <w:t xml:space="preserve">名称</w:t>
            </w:r>
            <w:r/>
          </w:p>
        </w:tc>
        <w:tc>
          <w:tcPr>
            <w:tcW w:w="2074" w:type="pct"/>
            <w:vAlign w:val="center"/>
            <w:textDirection w:val="lrTb"/>
            <w:noWrap w:val="false"/>
          </w:tcPr>
          <w:p>
            <w:pPr>
              <w:jc w:val="center"/>
              <w:rPr>
                <w:rFonts w:hint="eastAsia" w:ascii="宋体" w:hAnsi="宋体" w:cs="宋体"/>
                <w:b/>
                <w:sz w:val="20"/>
                <w:highlight w:val="none"/>
              </w:rPr>
            </w:pPr>
            <w:r>
              <w:rPr>
                <w:rFonts w:hint="eastAsia" w:ascii="宋体" w:hAnsi="宋体" w:cs="宋体"/>
                <w:b/>
                <w:sz w:val="20"/>
                <w:highlight w:val="none"/>
              </w:rPr>
              <w:t xml:space="preserve">规格</w:t>
            </w:r>
            <w:r/>
          </w:p>
        </w:tc>
        <w:tc>
          <w:tcPr>
            <w:tcW w:w="496" w:type="pct"/>
            <w:vAlign w:val="center"/>
            <w:textDirection w:val="lrTb"/>
            <w:noWrap w:val="false"/>
          </w:tcPr>
          <w:p>
            <w:pPr>
              <w:jc w:val="center"/>
              <w:rPr>
                <w:rFonts w:hint="eastAsia" w:ascii="宋体" w:hAnsi="宋体" w:cs="宋体"/>
                <w:b/>
                <w:sz w:val="20"/>
                <w:highlight w:val="none"/>
              </w:rPr>
            </w:pPr>
            <w:r>
              <w:rPr>
                <w:rFonts w:hint="eastAsia" w:ascii="宋体" w:hAnsi="宋体" w:cs="宋体"/>
                <w:b/>
                <w:sz w:val="20"/>
                <w:highlight w:val="none"/>
              </w:rPr>
              <w:t xml:space="preserve">单位</w:t>
            </w:r>
            <w:r/>
          </w:p>
        </w:tc>
        <w:tc>
          <w:tcPr>
            <w:tcW w:w="486" w:type="pct"/>
            <w:vAlign w:val="center"/>
            <w:textDirection w:val="lrTb"/>
            <w:noWrap w:val="false"/>
          </w:tcPr>
          <w:p>
            <w:pPr>
              <w:jc w:val="center"/>
              <w:rPr>
                <w:rFonts w:hint="eastAsia" w:ascii="宋体" w:hAnsi="宋体" w:cs="宋体"/>
                <w:b/>
                <w:sz w:val="20"/>
                <w:highlight w:val="none"/>
              </w:rPr>
            </w:pPr>
            <w:r>
              <w:rPr>
                <w:rFonts w:hint="eastAsia" w:ascii="宋体" w:hAnsi="宋体" w:cs="宋体"/>
                <w:b/>
                <w:sz w:val="20"/>
                <w:highlight w:val="none"/>
              </w:rPr>
              <w:t xml:space="preserve">数量</w:t>
            </w:r>
            <w:r/>
          </w:p>
        </w:tc>
        <w:tc>
          <w:tcPr>
            <w:tcW w:w="507" w:type="pct"/>
            <w:vAlign w:val="center"/>
            <w:textDirection w:val="lrTb"/>
            <w:noWrap w:val="false"/>
          </w:tcPr>
          <w:p>
            <w:pPr>
              <w:jc w:val="center"/>
              <w:rPr>
                <w:rFonts w:hint="eastAsia" w:ascii="宋体" w:hAnsi="宋体" w:cs="宋体"/>
                <w:b/>
                <w:sz w:val="20"/>
                <w:highlight w:val="none"/>
              </w:rPr>
            </w:pPr>
            <w:r>
              <w:rPr>
                <w:rFonts w:hint="eastAsia" w:ascii="宋体" w:hAnsi="宋体" w:cs="宋体"/>
                <w:b/>
                <w:sz w:val="20"/>
                <w:highlight w:val="none"/>
              </w:rPr>
              <w:t xml:space="preserve">品牌</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1</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车行道沥青</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SMA-13</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平方米</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Cs w:val="21"/>
                <w:highlight w:val="none"/>
              </w:rPr>
              <w:t xml:space="preserve">7800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2</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人行道路面</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透水混凝土</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平方米</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Cs w:val="21"/>
                <w:highlight w:val="none"/>
              </w:rPr>
              <w:t xml:space="preserve">2210</w:t>
            </w:r>
            <w:r/>
          </w:p>
        </w:tc>
        <w:tc>
          <w:tcPr>
            <w:tcW w:w="507" w:type="pct"/>
            <w:vAlign w:val="center"/>
            <w:textDirection w:val="lrTb"/>
            <w:noWrap w:val="false"/>
          </w:tcPr>
          <w:p>
            <w:pPr>
              <w:jc w:val="center"/>
              <w:rPr>
                <w:rFonts w:hint="eastAsia" w:ascii="宋体" w:hAnsi="宋体" w:cs="宋体"/>
                <w:color w:val="ff0000"/>
                <w:sz w:val="20"/>
                <w:highlight w:val="none"/>
              </w:rPr>
            </w:pPr>
            <w:r>
              <w:rPr>
                <w:rFonts w:hint="eastAsia" w:ascii="宋体" w:hAnsi="宋体" w:cs="宋体"/>
                <w:color w:val="ff0000"/>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3</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横截沟</w:t>
            </w:r>
            <w:r/>
          </w:p>
        </w:tc>
        <w:tc>
          <w:tcPr>
            <w:tcW w:w="2074"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23米长*8道， 30米长*4道</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米</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304</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4</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排水沟、边沟</w:t>
            </w:r>
            <w:r/>
          </w:p>
        </w:tc>
        <w:tc>
          <w:tcPr>
            <w:tcW w:w="2074"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排水沟491米。边沟581米</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米</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1072</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5</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防撞侧墙</w:t>
            </w:r>
            <w:r/>
          </w:p>
        </w:tc>
        <w:tc>
          <w:tcPr>
            <w:tcW w:w="2074" w:type="pct"/>
            <w:vAlign w:val="center"/>
            <w:textDirection w:val="lrTb"/>
            <w:noWrap w:val="false"/>
          </w:tcPr>
          <w:p>
            <w:pPr>
              <w:jc w:val="center"/>
              <w:rPr>
                <w:rFonts w:ascii="宋体" w:hAnsi="宋体" w:cs="宋体"/>
                <w:sz w:val="20"/>
                <w:highlight w:val="none"/>
              </w:rPr>
            </w:pPr>
            <w:r>
              <w:rPr>
                <w:rFonts w:ascii="宋体" w:hAnsi="宋体" w:cs="宋体"/>
                <w:sz w:val="20"/>
                <w:highlight w:val="none"/>
              </w:rPr>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米</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1040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6</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伸缩缝</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条</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26</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7</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变形缝</w:t>
            </w:r>
            <w:r/>
          </w:p>
        </w:tc>
        <w:tc>
          <w:tcPr>
            <w:tcW w:w="2074"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5处</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米</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5</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8</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配电房</w:t>
            </w:r>
            <w:r/>
          </w:p>
        </w:tc>
        <w:tc>
          <w:tcPr>
            <w:tcW w:w="2074"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2.5*6.8</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平方米</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17</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9</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雨水泵房</w:t>
            </w:r>
            <w:r/>
          </w:p>
        </w:tc>
        <w:tc>
          <w:tcPr>
            <w:tcW w:w="2074"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12.5*6.8</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平方米</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85</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10</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搪瓷钢板</w:t>
            </w:r>
            <w:r/>
          </w:p>
        </w:tc>
        <w:tc>
          <w:tcPr>
            <w:tcW w:w="2074" w:type="pct"/>
            <w:vAlign w:val="center"/>
            <w:textDirection w:val="lrTb"/>
            <w:noWrap w:val="false"/>
          </w:tcPr>
          <w:p>
            <w:pPr>
              <w:jc w:val="center"/>
              <w:rPr>
                <w:rFonts w:ascii="宋体" w:hAnsi="宋体" w:cs="宋体"/>
                <w:sz w:val="20"/>
                <w:highlight w:val="none"/>
              </w:rPr>
            </w:pPr>
            <w:r>
              <w:rPr>
                <w:rFonts w:ascii="宋体" w:hAnsi="宋体" w:cs="宋体"/>
                <w:sz w:val="20"/>
                <w:highlight w:val="none"/>
              </w:rPr>
            </w:r>
            <w:r/>
          </w:p>
        </w:tc>
        <w:tc>
          <w:tcPr>
            <w:tcW w:w="49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平方米</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1980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11</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灰色防火涂料</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c>
          <w:tcPr>
            <w:tcW w:w="49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平方米</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3300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12</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黑色防霉涂料</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c>
          <w:tcPr>
            <w:tcW w:w="49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平方米</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3300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13</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泵房白色防霉涂料</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c>
          <w:tcPr>
            <w:tcW w:w="49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平方米</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321</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14</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防撞墙涂料</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c>
          <w:tcPr>
            <w:tcW w:w="49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平方米</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843</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15</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钢质甲级防火门</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1000*2100</w:t>
            </w:r>
            <w:r/>
          </w:p>
        </w:tc>
        <w:tc>
          <w:tcPr>
            <w:tcW w:w="49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樘</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16</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钢质甲级防火门</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1500*2100</w:t>
            </w:r>
            <w:r/>
          </w:p>
        </w:tc>
        <w:tc>
          <w:tcPr>
            <w:tcW w:w="49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樘</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17</w:t>
            </w:r>
            <w:r/>
          </w:p>
        </w:tc>
        <w:tc>
          <w:tcPr>
            <w:tcW w:w="1137"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石材墙面-敞开段侧墙</w:t>
            </w:r>
            <w:r/>
          </w:p>
        </w:tc>
        <w:tc>
          <w:tcPr>
            <w:tcW w:w="2074" w:type="pct"/>
            <w:vAlign w:val="center"/>
            <w:textDirection w:val="lrTb"/>
            <w:noWrap w:val="false"/>
          </w:tcPr>
          <w:p>
            <w:pPr>
              <w:jc w:val="center"/>
              <w:rPr>
                <w:rFonts w:hint="eastAsia" w:ascii="宋体" w:hAnsi="宋体" w:cs="宋体"/>
                <w:sz w:val="20"/>
                <w:szCs w:val="24"/>
                <w:highlight w:val="none"/>
                <w:lang w:val="en-US" w:eastAsia="zh-CN" w:bidi="ar-SA"/>
              </w:rPr>
            </w:pPr>
            <w:r>
              <w:rPr>
                <w:rFonts w:hint="eastAsia" w:ascii="宋体" w:hAnsi="宋体" w:cs="宋体"/>
                <w:sz w:val="20"/>
                <w:szCs w:val="24"/>
                <w:highlight w:val="none"/>
                <w:lang w:val="en-US" w:eastAsia="zh-CN" w:bidi="ar-SA"/>
              </w:rPr>
            </w:r>
            <w:r/>
          </w:p>
        </w:tc>
        <w:tc>
          <w:tcPr>
            <w:tcW w:w="496" w:type="pct"/>
            <w:vAlign w:val="center"/>
            <w:textDirection w:val="lrTb"/>
            <w:noWrap w:val="false"/>
          </w:tcPr>
          <w:p>
            <w:pPr>
              <w:jc w:val="center"/>
              <w:rPr>
                <w:rFonts w:hint="eastAsia" w:ascii="宋体" w:hAnsi="宋体" w:cs="宋体"/>
                <w:sz w:val="20"/>
                <w:szCs w:val="24"/>
                <w:highlight w:val="none"/>
                <w:lang w:val="en-US" w:eastAsia="zh-CN" w:bidi="ar-SA"/>
              </w:rPr>
            </w:pPr>
            <w:r>
              <w:rPr>
                <w:rFonts w:ascii="宋体" w:hAnsi="宋体" w:cs="宋体"/>
                <w:sz w:val="20"/>
                <w:highlight w:val="none"/>
              </w:rPr>
              <w:t xml:space="preserve">平方米</w:t>
            </w:r>
            <w:r/>
          </w:p>
        </w:tc>
        <w:tc>
          <w:tcPr>
            <w:tcW w:w="486" w:type="pct"/>
            <w:vAlign w:val="center"/>
            <w:textDirection w:val="lrTb"/>
            <w:noWrap w:val="false"/>
          </w:tcPr>
          <w:p>
            <w:pPr>
              <w:jc w:val="center"/>
              <w:rPr>
                <w:rFonts w:ascii="宋体" w:hAnsi="宋体" w:cs="宋体"/>
                <w:sz w:val="20"/>
                <w:szCs w:val="24"/>
                <w:highlight w:val="none"/>
                <w:lang w:val="en-US" w:eastAsia="zh-CN" w:bidi="ar-SA"/>
              </w:rPr>
            </w:pPr>
            <w:r>
              <w:rPr>
                <w:rFonts w:hint="eastAsia" w:ascii="宋体" w:hAnsi="宋体" w:cs="宋体"/>
                <w:sz w:val="20"/>
                <w:highlight w:val="none"/>
              </w:rPr>
              <w:t xml:space="preserve">1050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18</w:t>
            </w:r>
            <w:r/>
          </w:p>
        </w:tc>
        <w:tc>
          <w:tcPr>
            <w:tcW w:w="1137"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石材墙面-敞开段压顶</w:t>
            </w:r>
            <w:r/>
          </w:p>
        </w:tc>
        <w:tc>
          <w:tcPr>
            <w:tcW w:w="2074" w:type="pct"/>
            <w:vAlign w:val="center"/>
            <w:textDirection w:val="lrTb"/>
            <w:noWrap w:val="false"/>
          </w:tcPr>
          <w:p>
            <w:pPr>
              <w:jc w:val="center"/>
              <w:rPr>
                <w:rFonts w:hint="eastAsia" w:ascii="宋体" w:hAnsi="宋体" w:cs="宋体"/>
                <w:sz w:val="20"/>
                <w:szCs w:val="24"/>
                <w:highlight w:val="none"/>
                <w:lang w:val="en-US" w:eastAsia="zh-CN" w:bidi="ar-SA"/>
              </w:rPr>
            </w:pPr>
            <w:r>
              <w:rPr>
                <w:rFonts w:hint="eastAsia" w:ascii="宋体" w:hAnsi="宋体" w:cs="宋体"/>
                <w:sz w:val="20"/>
                <w:szCs w:val="24"/>
                <w:highlight w:val="none"/>
                <w:lang w:val="en-US" w:eastAsia="zh-CN" w:bidi="ar-SA"/>
              </w:rPr>
            </w:r>
            <w:r/>
          </w:p>
        </w:tc>
        <w:tc>
          <w:tcPr>
            <w:tcW w:w="496" w:type="pct"/>
            <w:vAlign w:val="center"/>
            <w:textDirection w:val="lrTb"/>
            <w:noWrap w:val="false"/>
          </w:tcPr>
          <w:p>
            <w:pPr>
              <w:jc w:val="center"/>
              <w:rPr>
                <w:rFonts w:hint="eastAsia" w:ascii="宋体" w:hAnsi="宋体" w:cs="宋体"/>
                <w:sz w:val="20"/>
                <w:szCs w:val="24"/>
                <w:highlight w:val="none"/>
                <w:lang w:val="en-US" w:eastAsia="zh-CN" w:bidi="ar-SA"/>
              </w:rPr>
            </w:pPr>
            <w:r>
              <w:rPr>
                <w:rFonts w:ascii="宋体" w:hAnsi="宋体" w:cs="宋体"/>
                <w:sz w:val="20"/>
                <w:highlight w:val="none"/>
              </w:rPr>
              <w:t xml:space="preserve">平方米</w:t>
            </w:r>
            <w:r/>
          </w:p>
        </w:tc>
        <w:tc>
          <w:tcPr>
            <w:tcW w:w="486" w:type="pct"/>
            <w:vAlign w:val="center"/>
            <w:textDirection w:val="lrTb"/>
            <w:noWrap w:val="false"/>
          </w:tcPr>
          <w:p>
            <w:pPr>
              <w:jc w:val="center"/>
              <w:rPr>
                <w:rFonts w:ascii="宋体" w:hAnsi="宋体" w:cs="宋体"/>
                <w:sz w:val="20"/>
                <w:szCs w:val="24"/>
                <w:highlight w:val="none"/>
                <w:lang w:val="en-US" w:eastAsia="zh-CN" w:bidi="ar-SA"/>
              </w:rPr>
            </w:pPr>
            <w:r>
              <w:rPr>
                <w:rFonts w:hint="eastAsia" w:ascii="宋体" w:hAnsi="宋体" w:cs="宋体"/>
                <w:sz w:val="20"/>
                <w:highlight w:val="none"/>
              </w:rPr>
              <w:t xml:space="preserve">50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19</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智能化一体式箱变</w:t>
            </w:r>
            <w:r/>
          </w:p>
        </w:tc>
        <w:tc>
          <w:tcPr>
            <w:tcW w:w="2074"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供电局定制</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套</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1.00</w:t>
            </w:r>
            <w:r/>
          </w:p>
        </w:tc>
        <w:tc>
          <w:tcPr>
            <w:tcW w:w="507"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定制</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20</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动力配电柜</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防护等级IP44规格:600*2000*450</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1.00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定制</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21</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照明配电箱</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防护等级IP44规格:600*2000*450</w:t>
            </w:r>
            <w:r/>
          </w:p>
        </w:tc>
        <w:tc>
          <w:tcPr>
            <w:tcW w:w="49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1.00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定制</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22</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应急照明配电箱EPS</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防护等级IP44、CCCF认证、应急时间大于90min规格:800*2200*1000</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1.00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定制</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23</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UPS不间断电源</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5KVA</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1.00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科士达</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24</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UPS出线柜</w:t>
            </w:r>
            <w:r/>
          </w:p>
        </w:tc>
        <w:tc>
          <w:tcPr>
            <w:tcW w:w="2074"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定制</w:t>
            </w:r>
            <w:r/>
          </w:p>
        </w:tc>
        <w:tc>
          <w:tcPr>
            <w:tcW w:w="49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1.00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定制</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25</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潜水泵</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Q=1000m3/h,H=20m，P=75KW</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台</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4.00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凯泉</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26</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排空泵</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Q=10L/s,H=20m,P=5.5KW</w:t>
            </w:r>
            <w:r/>
          </w:p>
        </w:tc>
        <w:tc>
          <w:tcPr>
            <w:tcW w:w="49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台</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2.00</w:t>
            </w:r>
            <w:r/>
          </w:p>
        </w:tc>
        <w:tc>
          <w:tcPr>
            <w:tcW w:w="507"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凯泉</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27</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水泵控制柜</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防护等级IP45规格:1000*1800*400</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lang w:val="en-US" w:eastAsia="zh-CN"/>
              </w:rPr>
              <w:t xml:space="preserve">5</w:t>
            </w:r>
            <w:r>
              <w:rPr>
                <w:rFonts w:hint="eastAsia"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定制</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28</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电动葫芦CDI 2-6</w:t>
            </w:r>
            <w:r/>
          </w:p>
        </w:tc>
        <w:tc>
          <w:tcPr>
            <w:tcW w:w="2074"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CDI 2-6</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台</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市购</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29</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混流风机</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SWF（A）-I-3</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1.00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金盾</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30</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诱导风机</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射程：17m；风量：680~780m3/h；功率：120W</w:t>
            </w:r>
            <w:r/>
          </w:p>
        </w:tc>
        <w:tc>
          <w:tcPr>
            <w:tcW w:w="49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1</w:t>
            </w:r>
            <w:r>
              <w:rPr>
                <w:rFonts w:hint="eastAsia" w:ascii="宋体" w:hAnsi="宋体" w:cs="宋体"/>
                <w:sz w:val="20"/>
                <w:highlight w:val="none"/>
              </w:rPr>
              <w:t xml:space="preserve">4</w:t>
            </w:r>
            <w:r>
              <w:rPr>
                <w:rFonts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金盾</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31</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隧道维修 电源箱</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防护等级IP45 规格:300*150*100</w:t>
            </w:r>
            <w:r/>
          </w:p>
        </w:tc>
        <w:tc>
          <w:tcPr>
            <w:tcW w:w="49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8</w:t>
            </w:r>
            <w:r>
              <w:rPr>
                <w:rFonts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定制</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32</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引道照明 配电箱</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防护等级IP65规格:400*500*300</w:t>
            </w:r>
            <w:r/>
          </w:p>
        </w:tc>
        <w:tc>
          <w:tcPr>
            <w:tcW w:w="49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12</w:t>
            </w:r>
            <w:r>
              <w:rPr>
                <w:rFonts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定制</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33</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引道照明 接线箱</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350*300*250</w:t>
            </w:r>
            <w:r/>
          </w:p>
        </w:tc>
        <w:tc>
          <w:tcPr>
            <w:tcW w:w="49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1</w:t>
            </w:r>
            <w:r>
              <w:rPr>
                <w:rFonts w:hint="eastAsia" w:ascii="宋体" w:hAnsi="宋体" w:cs="宋体"/>
                <w:sz w:val="20"/>
                <w:highlight w:val="none"/>
              </w:rPr>
              <w:t xml:space="preserve">6</w:t>
            </w:r>
            <w:r>
              <w:rPr>
                <w:rFonts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定制</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34</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主隧道  LED灯具</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LED光源60W IP65、含灯具支座、附件，cosφ≥0.9</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套</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36</w:t>
            </w:r>
            <w:r>
              <w:rPr>
                <w:rFonts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sz w:val="20"/>
                <w:szCs w:val="20"/>
                <w:highlight w:val="none"/>
              </w:rPr>
              <w:t xml:space="preserve">德洛斯</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35</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主隧道应急照明LED灯具</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LED光源60W IP65、含灯具支座、附件，cosφ≥0.9 、CCCF认证</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套</w:t>
            </w:r>
            <w:r/>
          </w:p>
        </w:tc>
        <w:tc>
          <w:tcPr>
            <w:tcW w:w="48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1</w:t>
            </w:r>
            <w:r>
              <w:rPr>
                <w:rFonts w:hint="eastAsia" w:ascii="宋体" w:hAnsi="宋体" w:cs="宋体"/>
                <w:sz w:val="20"/>
                <w:highlight w:val="none"/>
              </w:rPr>
              <w:t xml:space="preserve">2</w:t>
            </w:r>
            <w:r>
              <w:rPr>
                <w:rFonts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sz w:val="20"/>
                <w:szCs w:val="20"/>
                <w:highlight w:val="none"/>
              </w:rPr>
              <w:t xml:space="preserve">德洛斯</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36</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人非通道LED灯具</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LED光源48W IP65、含灯具支座、附件，cosφ≥0.9</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套</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60</w:t>
            </w:r>
            <w:r>
              <w:rPr>
                <w:rFonts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sz w:val="20"/>
                <w:szCs w:val="20"/>
                <w:highlight w:val="none"/>
              </w:rPr>
              <w:t xml:space="preserve">德洛斯</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37</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人非通道应急照明LED灯具</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LED光源48W IP65、含灯具支座、附件，cosφ≥0.9、CCCF认证</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套</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20</w:t>
            </w:r>
            <w:r>
              <w:rPr>
                <w:rFonts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sz w:val="20"/>
                <w:szCs w:val="20"/>
                <w:highlight w:val="none"/>
              </w:rPr>
              <w:t xml:space="preserve">德洛斯</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38</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疏散指示灯</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LED光源1W、防护等级IP65、CCCF认证</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套</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24</w:t>
            </w:r>
            <w:r>
              <w:rPr>
                <w:rFonts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sz w:val="20"/>
                <w:szCs w:val="20"/>
                <w:highlight w:val="none"/>
              </w:rPr>
              <w:t xml:space="preserve">德洛斯</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39</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三防单管 荧光灯</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防护等级IP65、220V、1x28w配电子镇流器</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套</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10</w:t>
            </w:r>
            <w:r>
              <w:rPr>
                <w:rFonts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sz w:val="20"/>
                <w:szCs w:val="20"/>
                <w:highlight w:val="none"/>
              </w:rPr>
              <w:t xml:space="preserve">德洛斯</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40</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灭火器箱</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4KG磷酸铵盐干粉灭火器4具</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组</w:t>
            </w:r>
            <w:r/>
          </w:p>
        </w:tc>
        <w:tc>
          <w:tcPr>
            <w:tcW w:w="48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1</w:t>
            </w:r>
            <w:r>
              <w:rPr>
                <w:rFonts w:hint="eastAsia" w:ascii="宋体" w:hAnsi="宋体" w:cs="宋体"/>
                <w:sz w:val="20"/>
                <w:highlight w:val="none"/>
                <w:lang w:val="en-US" w:eastAsia="zh-CN"/>
              </w:rPr>
              <w:t xml:space="preserve">8</w:t>
            </w:r>
            <w:r>
              <w:rPr>
                <w:rFonts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市购</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41</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LED双臂 路灯</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LED光源 240+60W</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套</w:t>
            </w:r>
            <w:r/>
          </w:p>
        </w:tc>
        <w:tc>
          <w:tcPr>
            <w:tcW w:w="486" w:type="pct"/>
            <w:vAlign w:val="center"/>
            <w:textDirection w:val="lrTb"/>
            <w:noWrap w:val="false"/>
          </w:tcPr>
          <w:p>
            <w:pPr>
              <w:jc w:val="center"/>
              <w:rPr>
                <w:rFonts w:hint="eastAsia" w:ascii="宋体" w:hAnsi="宋体" w:cs="宋体"/>
                <w:sz w:val="20"/>
                <w:highlight w:val="none"/>
              </w:rPr>
            </w:pPr>
            <w:r>
              <w:rPr>
                <w:rFonts w:ascii="宋体" w:hAnsi="宋体" w:cs="宋体"/>
                <w:sz w:val="20"/>
                <w:highlight w:val="none"/>
              </w:rPr>
              <w:t xml:space="preserve">1</w:t>
            </w:r>
            <w:r>
              <w:rPr>
                <w:rFonts w:hint="eastAsia" w:ascii="宋体" w:hAnsi="宋体" w:cs="宋体"/>
                <w:sz w:val="20"/>
                <w:highlight w:val="none"/>
              </w:rPr>
              <w:t xml:space="preserve">2</w:t>
            </w:r>
            <w:r>
              <w:rPr>
                <w:rFonts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sz w:val="20"/>
                <w:szCs w:val="20"/>
                <w:highlight w:val="none"/>
              </w:rPr>
              <w:t xml:space="preserve">德洛斯</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42</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交换机</w:t>
            </w:r>
            <w:r/>
          </w:p>
        </w:tc>
        <w:tc>
          <w:tcPr>
            <w:tcW w:w="2074" w:type="pct"/>
            <w:vAlign w:val="center"/>
            <w:textDirection w:val="lrTb"/>
            <w:noWrap w:val="false"/>
          </w:tcPr>
          <w:p>
            <w:pPr>
              <w:jc w:val="center"/>
              <w:rPr>
                <w:rFonts w:ascii="宋体" w:hAnsi="宋体" w:cs="宋体"/>
                <w:sz w:val="20"/>
                <w:highlight w:val="none"/>
              </w:rPr>
            </w:pPr>
            <w:r>
              <w:rPr>
                <w:rFonts w:hint="eastAsia" w:ascii="宋体" w:hAnsi="宋体" w:cs="宋体"/>
                <w:sz w:val="20"/>
                <w:szCs w:val="20"/>
                <w:highlight w:val="none"/>
              </w:rPr>
              <w:t xml:space="preserve">JT-GY3424-GFM 4光口+24电口</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台</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lang w:val="en-US" w:eastAsia="zh-CN"/>
              </w:rPr>
              <w:t xml:space="preserve">3</w:t>
            </w:r>
            <w:r>
              <w:rPr>
                <w:rFonts w:hint="eastAsia" w:ascii="宋体" w:hAnsi="宋体" w:cs="宋体"/>
                <w:sz w:val="20"/>
                <w:highlight w:val="none"/>
              </w:rPr>
              <w:t xml:space="preserve">.00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景唐</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43</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视频控制主机</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含2T硬盘，软件等</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1.00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海康</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44</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机柜</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1.2米机柜</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1.00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图腾</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45</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远端控制柜</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RTU</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1.00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傲拓</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46</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区域控制器</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ACU</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1.00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傲拓</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47</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车道信号灯</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红黄蓝三色满显</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套</w:t>
            </w:r>
            <w:r/>
          </w:p>
        </w:tc>
        <w:tc>
          <w:tcPr>
            <w:tcW w:w="486" w:type="pct"/>
            <w:vAlign w:val="center"/>
            <w:textDirection w:val="lrTb"/>
            <w:noWrap w:val="false"/>
          </w:tcPr>
          <w:p>
            <w:pPr>
              <w:jc w:val="center"/>
              <w:rPr>
                <w:rFonts w:ascii="宋体" w:hAnsi="宋体" w:cs="宋体"/>
                <w:sz w:val="20"/>
                <w:highlight w:val="none"/>
              </w:rPr>
            </w:pPr>
            <w:r>
              <w:rPr>
                <w:rFonts w:hint="eastAsia" w:ascii="宋体" w:hAnsi="宋体" w:cs="宋体"/>
                <w:sz w:val="22"/>
                <w:szCs w:val="22"/>
                <w:highlight w:val="none"/>
              </w:rPr>
              <w:t xml:space="preserve">6.00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三思</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48</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车道指示器</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红叉绿箭</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套</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2"/>
                <w:szCs w:val="22"/>
                <w:highlight w:val="none"/>
              </w:rPr>
              <w:t xml:space="preserve">6.00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三思</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49</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龙门架</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定制</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榀</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2"/>
                <w:szCs w:val="22"/>
                <w:highlight w:val="none"/>
              </w:rPr>
              <w:t xml:space="preserve">2.00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定制</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50</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可变情报板</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J型号:C-0630-KXB，点距P31.25mm</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套</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2"/>
                <w:szCs w:val="22"/>
                <w:highlight w:val="none"/>
              </w:rPr>
              <w:t xml:space="preserve">2.00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三思</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51</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禁闭指示灯</w:t>
            </w:r>
            <w:r/>
          </w:p>
        </w:tc>
        <w:tc>
          <w:tcPr>
            <w:tcW w:w="2074" w:type="pct"/>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t xml:space="preserve">龙门架上，正面红叉</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套</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2"/>
                <w:szCs w:val="22"/>
                <w:highlight w:val="none"/>
              </w:rPr>
              <w:t xml:space="preserve">1.00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三思</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52</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可变限速板</w:t>
            </w:r>
            <w:r/>
          </w:p>
        </w:tc>
        <w:tc>
          <w:tcPr>
            <w:tcW w:w="2074" w:type="pct"/>
            <w:vAlign w:val="center"/>
            <w:textDirection w:val="lrTb"/>
            <w:noWrap w:val="false"/>
          </w:tcPr>
          <w:p>
            <w:pPr>
              <w:jc w:val="center"/>
              <w:rPr>
                <w:rFonts w:hint="eastAsia" w:ascii="宋体" w:hAnsi="宋体" w:cs="宋体"/>
                <w:sz w:val="20"/>
                <w:szCs w:val="20"/>
                <w:highlight w:val="none"/>
              </w:rPr>
            </w:pPr>
            <w:r>
              <w:rPr>
                <w:rFonts w:hint="eastAsia" w:ascii="宋体" w:hAnsi="宋体" w:cs="宋体"/>
                <w:sz w:val="20"/>
                <w:szCs w:val="20"/>
                <w:highlight w:val="none"/>
              </w:rPr>
              <w:t xml:space="preserve">C-0630-KXS</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套</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2"/>
                <w:szCs w:val="22"/>
                <w:highlight w:val="none"/>
              </w:rPr>
              <w:t xml:space="preserve">2.00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三思</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53</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线圈式车辆检测器</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3车道、线圈车辆检测器</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个</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2"/>
                <w:szCs w:val="22"/>
                <w:highlight w:val="none"/>
              </w:rPr>
              <w:t xml:space="preserve">12.00</w:t>
            </w:r>
            <w:r/>
          </w:p>
        </w:tc>
        <w:tc>
          <w:tcPr>
            <w:tcW w:w="507" w:type="pct"/>
            <w:vAlign w:val="center"/>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勋飞</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54</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超高监测器</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USRegal OVH 600</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2"/>
                <w:szCs w:val="22"/>
                <w:highlight w:val="none"/>
              </w:rPr>
              <w:t xml:space="preserve">2.00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勋飞</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55</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快球一体化摄像机</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彩色快球一体机，支持1080P（1920x1080）分辨率，200w像素</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2"/>
                <w:szCs w:val="22"/>
                <w:highlight w:val="none"/>
              </w:rPr>
              <w:t xml:space="preserve">2.00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海康</w:t>
            </w:r>
            <w:r/>
          </w:p>
        </w:tc>
      </w:tr>
      <w:tr>
        <w:trPr>
          <w:trHeight w:val="454"/>
        </w:trPr>
        <w:tc>
          <w:tcPr>
            <w:tcW w:w="636"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56</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室外彩色枪式遥控摄像机</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彩色枪式遥控，支持1080P（1920x1080）分辨率，200w像素</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2"/>
                <w:szCs w:val="22"/>
                <w:highlight w:val="none"/>
              </w:rPr>
              <w:t xml:space="preserve">4.00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海康</w:t>
            </w:r>
            <w:r/>
          </w:p>
        </w:tc>
      </w:tr>
      <w:tr>
        <w:trPr>
          <w:trHeight w:val="454"/>
        </w:trPr>
        <w:tc>
          <w:tcPr>
            <w:tcW w:w="297" w:type="pct"/>
            <w:vAlign w:val="center"/>
            <w:textDirection w:val="lrTb"/>
            <w:noWrap w:val="false"/>
          </w:tcPr>
          <w:p>
            <w:pPr>
              <w:jc w:val="center"/>
              <w:rPr>
                <w:rFonts w:hint="default"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57</w:t>
            </w:r>
            <w:r/>
          </w:p>
        </w:tc>
        <w:tc>
          <w:tcPr>
            <w:tcW w:w="1137"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室内彩色半球摄像机</w:t>
            </w:r>
            <w:r/>
          </w:p>
        </w:tc>
        <w:tc>
          <w:tcPr>
            <w:tcW w:w="2074"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彩色半球式，支持1080P（1920x1080）分辨率，200w像素</w:t>
            </w:r>
            <w:r/>
          </w:p>
        </w:tc>
        <w:tc>
          <w:tcPr>
            <w:tcW w:w="49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szCs w:val="20"/>
                <w:highlight w:val="none"/>
              </w:rPr>
              <w:t xml:space="preserve">台</w:t>
            </w:r>
            <w:r/>
          </w:p>
        </w:tc>
        <w:tc>
          <w:tcPr>
            <w:tcW w:w="486" w:type="pct"/>
            <w:vAlign w:val="center"/>
            <w:textDirection w:val="lrTb"/>
            <w:noWrap w:val="false"/>
          </w:tcPr>
          <w:p>
            <w:pPr>
              <w:jc w:val="center"/>
              <w:rPr>
                <w:rFonts w:hint="eastAsia" w:ascii="宋体" w:hAnsi="宋体" w:cs="宋体"/>
                <w:sz w:val="20"/>
                <w:highlight w:val="none"/>
              </w:rPr>
            </w:pPr>
            <w:r>
              <w:rPr>
                <w:rFonts w:hint="eastAsia" w:ascii="宋体" w:hAnsi="宋体" w:cs="宋体"/>
                <w:sz w:val="22"/>
                <w:szCs w:val="22"/>
                <w:highlight w:val="none"/>
              </w:rPr>
              <w:t xml:space="preserve">3.00</w:t>
            </w:r>
            <w:r/>
          </w:p>
        </w:tc>
        <w:tc>
          <w:tcPr>
            <w:tcW w:w="507" w:type="pct"/>
            <w:vAlign w:val="center"/>
            <w:textDirection w:val="lrTb"/>
            <w:noWrap w:val="false"/>
          </w:tcPr>
          <w:p>
            <w:pPr>
              <w:jc w:val="center"/>
              <w:rPr>
                <w:rFonts w:hint="eastAsia" w:ascii="宋体" w:hAnsi="宋体" w:cs="宋体"/>
                <w:sz w:val="20"/>
                <w:highlight w:val="none"/>
              </w:rPr>
            </w:pPr>
            <w:r>
              <w:rPr>
                <w:rFonts w:hint="eastAsia" w:ascii="宋体" w:hAnsi="宋体" w:cs="宋体"/>
                <w:sz w:val="20"/>
                <w:highlight w:val="none"/>
              </w:rPr>
              <w:t xml:space="preserve">海康</w:t>
            </w:r>
            <w:r/>
          </w:p>
        </w:tc>
      </w:tr>
    </w:tbl>
    <w:p>
      <w:pPr>
        <w:spacing w:line="360" w:lineRule="auto"/>
        <w:rPr>
          <w:rFonts w:ascii="宋体" w:hAnsi="宋体"/>
          <w:b/>
          <w:color w:val="auto"/>
          <w:sz w:val="18"/>
          <w:szCs w:val="18"/>
          <w:highlight w:val="none"/>
        </w:rPr>
      </w:pPr>
      <w:r>
        <w:rPr>
          <w:rFonts w:ascii="宋体" w:hAnsi="宋体"/>
          <w:b/>
          <w:color w:val="auto"/>
          <w:sz w:val="18"/>
          <w:szCs w:val="18"/>
          <w:highlight w:val="none"/>
        </w:rPr>
      </w:r>
      <w:r/>
    </w:p>
    <w:p>
      <w:pPr>
        <w:spacing w:line="360" w:lineRule="auto"/>
        <w:rPr>
          <w:rFonts w:hint="eastAsia" w:ascii="宋体" w:hAnsi="宋体"/>
          <w:b/>
          <w:color w:val="auto"/>
          <w:sz w:val="28"/>
          <w:szCs w:val="21"/>
          <w:highlight w:val="none"/>
        </w:rPr>
      </w:pPr>
      <w:r>
        <w:rPr>
          <w:rFonts w:hint="eastAsia" w:ascii="宋体" w:hAnsi="宋体"/>
          <w:b/>
          <w:color w:val="auto"/>
          <w:sz w:val="28"/>
          <w:szCs w:val="21"/>
          <w:highlight w:val="none"/>
          <w:lang w:val="en-US" w:eastAsia="zh-CN"/>
        </w:rPr>
        <w:t xml:space="preserve">2、</w:t>
      </w:r>
      <w:r>
        <w:rPr>
          <w:rFonts w:hint="eastAsia" w:ascii="宋体" w:hAnsi="宋体"/>
          <w:b/>
          <w:color w:val="auto"/>
          <w:sz w:val="28"/>
          <w:szCs w:val="21"/>
          <w:highlight w:val="none"/>
          <w:lang w:eastAsia="zh-CN"/>
        </w:rPr>
        <w:t xml:space="preserve">红山路</w:t>
      </w:r>
      <w:r>
        <w:rPr>
          <w:rFonts w:hint="eastAsia" w:ascii="宋体" w:hAnsi="宋体"/>
          <w:b/>
          <w:color w:val="auto"/>
          <w:sz w:val="28"/>
          <w:szCs w:val="21"/>
          <w:highlight w:val="none"/>
        </w:rPr>
        <w:t xml:space="preserve">隧道设施明细表</w:t>
      </w:r>
      <w:r/>
    </w:p>
    <w:tbl>
      <w:tblPr>
        <w:tblStyle w:val="695"/>
        <w:tblW w:w="48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7"/>
        <w:gridCol w:w="1710"/>
        <w:gridCol w:w="2768"/>
        <w:gridCol w:w="1158"/>
        <w:gridCol w:w="1282"/>
        <w:gridCol w:w="1169"/>
      </w:tblGrid>
      <w:tr>
        <w:trPr>
          <w:trHeight w:val="397"/>
        </w:trPr>
        <w:tc>
          <w:tcPr>
            <w:tcW w:w="199" w:type="pct"/>
            <w:vAlign w:val="center"/>
            <w:textDirection w:val="lrTb"/>
            <w:noWrap w:val="false"/>
          </w:tcPr>
          <w:p>
            <w:pPr>
              <w:jc w:val="center"/>
              <w:rPr>
                <w:rFonts w:hint="eastAsia" w:ascii="宋体" w:hAnsi="宋体" w:cs="宋体"/>
                <w:b/>
                <w:sz w:val="20"/>
                <w:highlight w:val="none"/>
              </w:rPr>
            </w:pPr>
            <w:r>
              <w:rPr>
                <w:rFonts w:hint="eastAsia" w:ascii="宋体" w:hAnsi="宋体" w:cs="宋体"/>
                <w:b/>
                <w:sz w:val="20"/>
                <w:highlight w:val="none"/>
              </w:rPr>
              <w:t xml:space="preserve">序号</w:t>
            </w:r>
            <w:r/>
          </w:p>
        </w:tc>
        <w:tc>
          <w:tcPr>
            <w:tcW w:w="1014" w:type="pct"/>
            <w:vAlign w:val="center"/>
            <w:textDirection w:val="lrTb"/>
            <w:noWrap w:val="false"/>
          </w:tcPr>
          <w:p>
            <w:pPr>
              <w:jc w:val="center"/>
              <w:rPr>
                <w:rFonts w:hint="eastAsia" w:ascii="宋体" w:hAnsi="宋体" w:cs="宋体"/>
                <w:b/>
                <w:sz w:val="20"/>
                <w:highlight w:val="none"/>
              </w:rPr>
            </w:pPr>
            <w:r>
              <w:rPr>
                <w:rFonts w:hint="eastAsia" w:ascii="宋体" w:hAnsi="宋体" w:cs="宋体"/>
                <w:b/>
                <w:sz w:val="20"/>
                <w:highlight w:val="none"/>
              </w:rPr>
              <w:t xml:space="preserve">名称</w:t>
            </w:r>
            <w:r/>
          </w:p>
        </w:tc>
        <w:tc>
          <w:tcPr>
            <w:tcW w:w="1636" w:type="pct"/>
            <w:vAlign w:val="center"/>
            <w:textDirection w:val="lrTb"/>
            <w:noWrap w:val="false"/>
          </w:tcPr>
          <w:p>
            <w:pPr>
              <w:jc w:val="center"/>
              <w:rPr>
                <w:rFonts w:hint="eastAsia" w:ascii="宋体" w:hAnsi="宋体" w:cs="宋体"/>
                <w:b/>
                <w:sz w:val="20"/>
                <w:highlight w:val="none"/>
              </w:rPr>
            </w:pPr>
            <w:r>
              <w:rPr>
                <w:rFonts w:hint="eastAsia" w:ascii="宋体" w:hAnsi="宋体" w:cs="宋体"/>
                <w:b/>
                <w:sz w:val="20"/>
                <w:highlight w:val="none"/>
              </w:rPr>
              <w:t xml:space="preserve">规格</w:t>
            </w:r>
            <w:r/>
          </w:p>
        </w:tc>
        <w:tc>
          <w:tcPr>
            <w:tcW w:w="690" w:type="pct"/>
            <w:vAlign w:val="center"/>
            <w:textDirection w:val="lrTb"/>
            <w:noWrap w:val="false"/>
          </w:tcPr>
          <w:p>
            <w:pPr>
              <w:jc w:val="center"/>
              <w:rPr>
                <w:rFonts w:hint="eastAsia" w:ascii="宋体" w:hAnsi="宋体" w:cs="宋体"/>
                <w:b/>
                <w:sz w:val="20"/>
                <w:highlight w:val="none"/>
              </w:rPr>
            </w:pPr>
            <w:r>
              <w:rPr>
                <w:rFonts w:hint="eastAsia" w:ascii="宋体" w:hAnsi="宋体" w:cs="宋体"/>
                <w:b/>
                <w:sz w:val="20"/>
                <w:highlight w:val="none"/>
              </w:rPr>
              <w:t xml:space="preserve">单位</w:t>
            </w:r>
            <w:r/>
          </w:p>
        </w:tc>
        <w:tc>
          <w:tcPr>
            <w:tcW w:w="762" w:type="pct"/>
            <w:vAlign w:val="center"/>
            <w:textDirection w:val="lrTb"/>
            <w:noWrap w:val="false"/>
          </w:tcPr>
          <w:p>
            <w:pPr>
              <w:jc w:val="center"/>
              <w:rPr>
                <w:rFonts w:hint="eastAsia" w:ascii="宋体" w:hAnsi="宋体" w:cs="宋体"/>
                <w:b/>
                <w:sz w:val="20"/>
                <w:highlight w:val="none"/>
              </w:rPr>
            </w:pPr>
            <w:r>
              <w:rPr>
                <w:rFonts w:hint="eastAsia" w:ascii="宋体" w:hAnsi="宋体" w:cs="宋体"/>
                <w:b/>
                <w:sz w:val="20"/>
                <w:highlight w:val="none"/>
              </w:rPr>
              <w:t xml:space="preserve">数量</w:t>
            </w:r>
            <w:r/>
          </w:p>
        </w:tc>
        <w:tc>
          <w:tcPr>
            <w:tcW w:w="696" w:type="pct"/>
            <w:vAlign w:val="center"/>
            <w:textDirection w:val="lrTb"/>
            <w:noWrap w:val="false"/>
          </w:tcPr>
          <w:p>
            <w:pPr>
              <w:jc w:val="center"/>
              <w:rPr>
                <w:rFonts w:hint="eastAsia" w:ascii="宋体" w:hAnsi="宋体" w:cs="宋体"/>
                <w:b/>
                <w:sz w:val="20"/>
                <w:highlight w:val="none"/>
              </w:rPr>
            </w:pPr>
            <w:r>
              <w:rPr>
                <w:rFonts w:hint="eastAsia" w:ascii="宋体" w:hAnsi="宋体" w:cs="宋体"/>
                <w:b/>
                <w:sz w:val="20"/>
                <w:highlight w:val="none"/>
              </w:rPr>
              <w:t xml:space="preserve">品牌</w:t>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1</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沥青</w:t>
            </w:r>
            <w:r>
              <w:rPr>
                <w:rFonts w:hint="eastAsia" w:ascii="宋体" w:hAnsi="宋体" w:eastAsia="宋体" w:cs="宋体"/>
                <w:sz w:val="20"/>
                <w:szCs w:val="20"/>
                <w:highlight w:val="none"/>
                <w:lang w:val="en-US" w:eastAsia="zh-CN"/>
              </w:rPr>
              <w:t xml:space="preserve">路面</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SMA-13</w:t>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平方米</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32570.0</w:t>
            </w:r>
            <w:r>
              <w:rPr>
                <w:rFonts w:hint="eastAsia" w:ascii="宋体" w:hAnsi="宋体" w:eastAsia="宋体" w:cs="宋体"/>
                <w:sz w:val="20"/>
                <w:szCs w:val="20"/>
                <w:highlight w:val="none"/>
                <w:lang w:val="en-US" w:eastAsia="zh-CN"/>
              </w:rPr>
              <w:t xml:space="preserve">0</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3</w:t>
            </w:r>
            <w:r/>
          </w:p>
        </w:tc>
        <w:tc>
          <w:tcPr>
            <w:tcW w:w="1014"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横截沟</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米</w:t>
            </w:r>
            <w:r/>
          </w:p>
        </w:tc>
        <w:tc>
          <w:tcPr>
            <w:tcW w:w="762"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144.60</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4</w:t>
            </w:r>
            <w:r/>
          </w:p>
        </w:tc>
        <w:tc>
          <w:tcPr>
            <w:tcW w:w="1014"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排水沟、边沟</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米</w:t>
            </w:r>
            <w:r/>
          </w:p>
        </w:tc>
        <w:tc>
          <w:tcPr>
            <w:tcW w:w="762"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5656.00</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5</w:t>
            </w:r>
            <w:r/>
          </w:p>
        </w:tc>
        <w:tc>
          <w:tcPr>
            <w:tcW w:w="1014"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防撞侧墙</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米</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5890.00</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6</w:t>
            </w:r>
            <w:r/>
          </w:p>
        </w:tc>
        <w:tc>
          <w:tcPr>
            <w:tcW w:w="1014"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伸缩缝</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条</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45.00</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7</w:t>
            </w:r>
            <w:r/>
          </w:p>
        </w:tc>
        <w:tc>
          <w:tcPr>
            <w:tcW w:w="1014"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变形缝</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米</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3177.96</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8</w:t>
            </w:r>
            <w:r/>
          </w:p>
        </w:tc>
        <w:tc>
          <w:tcPr>
            <w:tcW w:w="1014"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配电房</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平方米</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496.97</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9</w:t>
            </w:r>
            <w:r/>
          </w:p>
        </w:tc>
        <w:tc>
          <w:tcPr>
            <w:tcW w:w="1014" w:type="pct"/>
            <w:vAlign w:val="center"/>
            <w:textDirection w:val="lrTb"/>
            <w:noWrap w:val="false"/>
          </w:tcPr>
          <w:p>
            <w:pPr>
              <w:jc w:val="cente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泵房</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90" w:type="pct"/>
            <w:vAlign w:val="center"/>
            <w:textDirection w:val="lrTb"/>
            <w:noWrap w:val="false"/>
          </w:tcPr>
          <w:p>
            <w:pPr>
              <w:jc w:val="cente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座</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2</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10</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烤瓷铝板</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平方米</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354</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11</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搪瓷钢板</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平方米</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13100</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12</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多孔吸音板</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平方米</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1300</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13</w:t>
            </w:r>
            <w:r/>
          </w:p>
        </w:tc>
        <w:tc>
          <w:tcPr>
            <w:tcW w:w="1014"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防火涂料</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平方米</w:t>
            </w:r>
            <w:r/>
          </w:p>
        </w:tc>
        <w:tc>
          <w:tcPr>
            <w:tcW w:w="762"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29553</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14</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顶面防霉涂料</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平方米</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29553</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15</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吊顶铝板</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平方米</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47</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16</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甲级防火门</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lang w:val="en-US" w:eastAsia="en-US"/>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樘</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23</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17</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防火卷帘门</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樘</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1</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18</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变电所检修电源箱</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1.00</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苏源</w:t>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19</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UPS 不间断电源</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1</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20</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直流屏</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1</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21</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双电源照明配电箱</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1</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22</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MNS 低压柜</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15</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23</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KYN-28A-12 型中置柜</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8</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24</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干式变压器</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（SCB11-1000/10）</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2</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25</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电动葫芦</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CDI 2-6 起重2 吨 含电动葫芦工字钢Ⅰ 20a L=144000 南泵房</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套</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1.00</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弛宇</w:t>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26</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水泵控制柜</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w:t>
            </w:r>
            <w:r>
              <w:rPr>
                <w:rFonts w:hint="eastAsia" w:ascii="宋体" w:hAnsi="宋体" w:eastAsia="宋体" w:cs="宋体"/>
                <w:sz w:val="20"/>
                <w:szCs w:val="20"/>
                <w:highlight w:val="none"/>
              </w:rPr>
              <w:t xml:space="preserve">.00</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江苏凯泉</w:t>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27</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废水泵控制箱</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FSB1 11KW 南泵房</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1.00</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江苏凯泉</w:t>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28</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潜水泵</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300WQ800-15-55</w:t>
            </w:r>
            <w:r>
              <w:rPr>
                <w:rFonts w:hint="eastAsia" w:ascii="宋体" w:hAnsi="宋体" w:eastAsia="宋体" w:cs="宋体"/>
                <w:sz w:val="20"/>
                <w:szCs w:val="20"/>
                <w:highlight w:val="none"/>
                <w:lang w:val="en-US" w:eastAsia="zh-CN"/>
              </w:rPr>
              <w:t xml:space="preserve">  </w:t>
            </w:r>
            <w:r>
              <w:rPr>
                <w:rFonts w:hint="eastAsia" w:ascii="宋体" w:hAnsi="宋体" w:eastAsia="宋体" w:cs="宋体"/>
                <w:sz w:val="20"/>
                <w:szCs w:val="20"/>
                <w:highlight w:val="none"/>
              </w:rPr>
              <w:t xml:space="preserve">Q=800m3/h H=15m</w:t>
            </w:r>
            <w:r>
              <w:rPr>
                <w:rFonts w:hint="eastAsia" w:ascii="宋体" w:hAnsi="宋体" w:eastAsia="宋体" w:cs="宋体"/>
                <w:sz w:val="20"/>
                <w:szCs w:val="20"/>
                <w:highlight w:val="none"/>
                <w:lang w:val="en-US" w:eastAsia="zh-CN"/>
              </w:rPr>
              <w:t xml:space="preserve"> </w:t>
            </w:r>
            <w:r>
              <w:rPr>
                <w:rFonts w:hint="eastAsia" w:ascii="宋体" w:hAnsi="宋体" w:eastAsia="宋体" w:cs="宋体"/>
                <w:sz w:val="20"/>
                <w:szCs w:val="20"/>
                <w:highlight w:val="none"/>
              </w:rPr>
              <w:t xml:space="preserve">N=55KW</w:t>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台</w:t>
            </w:r>
            <w:r/>
          </w:p>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8</w:t>
            </w:r>
            <w:r>
              <w:rPr>
                <w:rFonts w:hint="eastAsia" w:ascii="宋体" w:hAnsi="宋体" w:eastAsia="宋体" w:cs="宋体"/>
                <w:sz w:val="20"/>
                <w:szCs w:val="20"/>
                <w:highlight w:val="none"/>
              </w:rPr>
              <w:t xml:space="preserve">.00</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江苏凯泉</w:t>
            </w:r>
            <w:r/>
          </w:p>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29</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废水泵</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100WQ76-20-11</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rPr>
              <w:t xml:space="preserve">Q=76m3/h H=20m</w:t>
            </w:r>
            <w:r/>
          </w:p>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N=11KW</w:t>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.00</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江苏凯泉</w:t>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30</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废水泵</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50WQ12-16-1.5</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2.00</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江苏凯泉</w:t>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33</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废水泵</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XBD2.6/1G-GDL</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rPr>
              <w:t xml:space="preserve">Q=1l/S H=26m</w:t>
            </w:r>
            <w:r/>
          </w:p>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N=0.75KW</w:t>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2.00</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江苏凯泉</w:t>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34</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消防泵</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XBD3.6/25G-L</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rPr>
              <w:t xml:space="preserve">Q=21L/s、H=35m、</w:t>
            </w:r>
            <w:r/>
          </w:p>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P=18.5kW</w:t>
            </w:r>
            <w:r/>
          </w:p>
        </w:tc>
        <w:tc>
          <w:tcPr>
            <w:tcW w:w="690"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组</w:t>
            </w:r>
            <w:r/>
          </w:p>
        </w:tc>
        <w:tc>
          <w:tcPr>
            <w:tcW w:w="762"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2</w:t>
            </w:r>
            <w:r/>
          </w:p>
        </w:tc>
        <w:tc>
          <w:tcPr>
            <w:tcW w:w="69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江苏凯泉</w:t>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35</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混流风机</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4</w:t>
            </w:r>
            <w:r>
              <w:rPr>
                <w:rFonts w:hint="eastAsia" w:ascii="宋体" w:hAnsi="宋体" w:eastAsia="宋体" w:cs="宋体"/>
                <w:sz w:val="20"/>
                <w:szCs w:val="20"/>
                <w:highlight w:val="none"/>
              </w:rPr>
              <w:t xml:space="preserve">.00</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江苏宏帝</w:t>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36</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多联体空调室内机</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default"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6</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37</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照明配电箱</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WALB4~5 EALB4~5</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4</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苏源</w:t>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38</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加强照明配电箱</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lang w:val="en-US" w:eastAsia="en-US"/>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4</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苏源</w:t>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39</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LED 双臂路灯</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260W</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套</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26 套</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金豆</w:t>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40</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疏散指示标志灯</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LED 发光、嵌入式</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套</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56</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丁宇</w:t>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41</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隧道灯照明</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LED 60W</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套</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326</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三雄</w:t>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42</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隧道灯照明</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LED 60W(带应急)</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套</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80</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三雄</w:t>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43</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隧道灯照明</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LED 160W</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套</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102</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三雄</w:t>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44</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泡沫灭火器箱</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24.00</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淼淼</w:t>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45</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消火栓箱</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套</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28.00</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淼淼</w:t>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46</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灭火器箱</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个</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53</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淼淼</w:t>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47</w:t>
            </w:r>
            <w:r/>
          </w:p>
        </w:tc>
        <w:tc>
          <w:tcPr>
            <w:tcW w:w="1014" w:type="pct"/>
            <w:vAlign w:val="center"/>
            <w:textDirection w:val="lrTb"/>
            <w:noWrap w:val="false"/>
          </w:tcPr>
          <w:p>
            <w:pPr>
              <w:jc w:val="center"/>
              <w:rPr>
                <w:rFonts w:hint="default"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PLC控制箱</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套</w:t>
            </w:r>
            <w:r/>
          </w:p>
        </w:tc>
        <w:tc>
          <w:tcPr>
            <w:tcW w:w="762" w:type="pct"/>
            <w:vAlign w:val="center"/>
            <w:textDirection w:val="lrTb"/>
            <w:noWrap w:val="false"/>
          </w:tcPr>
          <w:p>
            <w:pPr>
              <w:jc w:val="center"/>
              <w:rPr>
                <w:rFonts w:hint="default"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14</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48</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工业以太网交换机</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MOXA EDS408A</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套</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24</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49</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信号灯</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lang w:val="en-US" w:eastAsia="en-US"/>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套</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4</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50</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车道指示器</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32</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51</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可变情报板</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分辨率 48×96</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rPr>
              <w:t xml:space="preserve">分辨率 480×48</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6</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52</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车辆检测器</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3 车道、线圈车辆检测器</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套</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2</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449"/>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53</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超高检测仪</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IT-B50</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套</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2</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54</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网络枪型摄像机</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DS-2CD5A2CJEFWD-IZS(2.8-12mm)</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8</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55</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球型一体化摄像机</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DS-2DE72CJIW-A</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2</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56</w:t>
            </w:r>
            <w:r/>
          </w:p>
        </w:tc>
        <w:tc>
          <w:tcPr>
            <w:tcW w:w="1014"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交通监控高</w:t>
            </w:r>
            <w:r/>
          </w:p>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清网络枪型摄像机</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DS-2CD502CJEFWD-AP</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29</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57</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紧急电话分机</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LA-08C</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26</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58</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防水号角扬声器</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T-720A</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104</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59</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IP 数字电话机</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eSpace 7910</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个</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2</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60</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光纤光栅应变传感器</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bidi="ar-SA"/>
              </w:rPr>
            </w:pPr>
            <w:r>
              <w:rPr>
                <w:rFonts w:hint="eastAsia" w:ascii="宋体" w:hAnsi="宋体" w:eastAsia="宋体" w:cs="宋体"/>
                <w:sz w:val="20"/>
                <w:szCs w:val="20"/>
                <w:highlight w:val="none"/>
                <w:lang w:val="en-US" w:eastAsia="en-US" w:bidi="ar-SA"/>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32</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61</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光纤光栅位移传感器</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bidi="ar-SA"/>
              </w:rPr>
            </w:pPr>
            <w:r>
              <w:rPr>
                <w:rFonts w:hint="eastAsia" w:ascii="宋体" w:hAnsi="宋体" w:eastAsia="宋体" w:cs="宋体"/>
                <w:sz w:val="20"/>
                <w:szCs w:val="20"/>
                <w:highlight w:val="none"/>
                <w:lang w:val="en-US" w:eastAsia="en-US" w:bidi="ar-SA"/>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16</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62</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光纤光栅温度传感器</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bidi="ar-SA"/>
              </w:rPr>
            </w:pPr>
            <w:r>
              <w:rPr>
                <w:rFonts w:hint="eastAsia" w:ascii="宋体" w:hAnsi="宋体" w:eastAsia="宋体" w:cs="宋体"/>
                <w:sz w:val="20"/>
                <w:szCs w:val="20"/>
                <w:highlight w:val="none"/>
                <w:lang w:val="en-US" w:eastAsia="en-US" w:bidi="ar-SA"/>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48</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63</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光纤光栅信号处理器</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bidi="ar-SA"/>
              </w:rPr>
            </w:pPr>
            <w:r>
              <w:rPr>
                <w:rFonts w:hint="eastAsia" w:ascii="宋体" w:hAnsi="宋体" w:eastAsia="宋体" w:cs="宋体"/>
                <w:sz w:val="20"/>
                <w:szCs w:val="20"/>
                <w:highlight w:val="none"/>
                <w:lang w:val="en-US" w:eastAsia="en-US" w:bidi="ar-SA"/>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1</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64</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区域火灾报警控制器</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lang w:val="en-US" w:eastAsia="en-US"/>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台</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1</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462"/>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65</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消防模块箱</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lang w:val="en-US" w:eastAsia="en-US"/>
              </w:rPr>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个</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52</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66</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手动报警按钮</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1.名称:手动报警按钮</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个</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52</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67</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点型感烟火灾探测器</w:t>
            </w:r>
            <w:r/>
          </w:p>
        </w:tc>
        <w:tc>
          <w:tcPr>
            <w:tcW w:w="1636"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1.名称:点型感烟火灾探测器</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个</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15</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trHeight w:val="397"/>
        </w:trPr>
        <w:tc>
          <w:tcPr>
            <w:tcW w:w="199" w:type="pct"/>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rPr>
              <w:t xml:space="preserve">68</w:t>
            </w:r>
            <w:r/>
          </w:p>
        </w:tc>
        <w:tc>
          <w:tcPr>
            <w:tcW w:w="1014"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火灾声光报警器</w:t>
            </w:r>
            <w:r/>
          </w:p>
        </w:tc>
        <w:tc>
          <w:tcPr>
            <w:tcW w:w="1636" w:type="pct"/>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1.名称:火灾声光报警器</w:t>
            </w:r>
            <w:r/>
          </w:p>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2.规格:含模块、防水盒</w:t>
            </w:r>
            <w:r/>
          </w:p>
        </w:tc>
        <w:tc>
          <w:tcPr>
            <w:tcW w:w="690"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个</w:t>
            </w:r>
            <w:r/>
          </w:p>
        </w:tc>
        <w:tc>
          <w:tcPr>
            <w:tcW w:w="762" w:type="pct"/>
            <w:vAlign w:val="center"/>
            <w:textDirection w:val="lrTb"/>
            <w:noWrap w:val="false"/>
          </w:tcPr>
          <w:p>
            <w:pPr>
              <w:jc w:val="center"/>
              <w:rPr>
                <w:rFonts w:hint="eastAsia" w:ascii="宋体" w:hAnsi="宋体" w:eastAsia="宋体" w:cs="宋体"/>
                <w:sz w:val="20"/>
                <w:szCs w:val="20"/>
                <w:highlight w:val="none"/>
                <w:lang w:val="en-US" w:eastAsia="en-US"/>
              </w:rPr>
            </w:pPr>
            <w:r>
              <w:rPr>
                <w:rFonts w:hint="eastAsia" w:ascii="宋体" w:hAnsi="宋体" w:eastAsia="宋体" w:cs="宋体"/>
                <w:sz w:val="20"/>
                <w:szCs w:val="20"/>
                <w:highlight w:val="none"/>
              </w:rPr>
              <w:t xml:space="preserve">5</w:t>
            </w:r>
            <w:r/>
          </w:p>
        </w:tc>
        <w:tc>
          <w:tcPr>
            <w:tcW w:w="696" w:type="pct"/>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bl>
    <w:p>
      <w:pPr>
        <w:spacing w:line="360" w:lineRule="auto"/>
        <w:rPr>
          <w:rFonts w:hint="eastAsia" w:ascii="宋体" w:hAnsi="宋体"/>
          <w:b/>
          <w:color w:val="auto"/>
          <w:sz w:val="28"/>
          <w:szCs w:val="21"/>
          <w:highlight w:val="none"/>
        </w:rPr>
      </w:pPr>
      <w:r>
        <w:rPr>
          <w:rFonts w:hint="eastAsia" w:ascii="宋体" w:hAnsi="宋体"/>
          <w:b/>
          <w:color w:val="auto"/>
          <w:sz w:val="28"/>
          <w:szCs w:val="21"/>
          <w:highlight w:val="none"/>
        </w:rPr>
      </w:r>
      <w:r/>
    </w:p>
    <w:p>
      <w:pPr>
        <w:rPr>
          <w:rFonts w:ascii="方正仿宋_GBK" w:eastAsia="方正仿宋_GBK"/>
          <w:color w:val="auto"/>
          <w:highlight w:val="none"/>
        </w:rPr>
      </w:pPr>
      <w:r>
        <w:rPr>
          <w:rFonts w:ascii="方正仿宋_GBK" w:eastAsia="方正仿宋_GBK"/>
          <w:color w:val="auto"/>
          <w:highlight w:val="none"/>
        </w:rPr>
      </w:r>
      <w:r/>
    </w:p>
    <w:p>
      <w:pPr>
        <w:ind w:firstLine="420"/>
        <w:spacing w:line="360" w:lineRule="auto"/>
        <w:rPr>
          <w:color w:val="auto"/>
          <w:highlight w:val="none"/>
        </w:rPr>
      </w:pPr>
      <w:r>
        <w:rPr>
          <w:color w:val="auto"/>
          <w:highlight w:val="none"/>
        </w:rPr>
      </w:r>
      <w:r/>
    </w:p>
    <w:p>
      <w:pPr>
        <w:rPr>
          <w:rFonts w:ascii="Arial" w:hAnsi="Arial" w:cs="Arial"/>
          <w:color w:val="auto"/>
          <w:highlight w:val="none"/>
        </w:rPr>
      </w:pPr>
      <w:r>
        <w:rPr>
          <w:color w:val="auto"/>
          <w:highlight w:val="none"/>
        </w:rPr>
        <w:br w:type="page" w:clear="all"/>
      </w:r>
      <w:r/>
    </w:p>
    <w:p>
      <w:pPr>
        <w:pStyle w:val="685"/>
        <w:numPr>
          <w:ilvl w:val="0"/>
          <w:numId w:val="0"/>
        </w:numPr>
        <w:rPr>
          <w:color w:val="auto"/>
          <w:highlight w:val="none"/>
        </w:rPr>
      </w:pPr>
      <w:r/>
      <w:bookmarkStart w:id="16" w:name="_Toc10970"/>
      <w:r>
        <w:rPr>
          <w:rFonts w:ascii="Arial" w:hAnsi="Arial" w:cs="Arial"/>
          <w:color w:val="auto"/>
          <w:highlight w:val="none"/>
        </w:rPr>
        <w:t xml:space="preserve">第五章 主要</w:t>
      </w:r>
      <w:r>
        <w:rPr>
          <w:rFonts w:hint="eastAsia" w:ascii="Arial" w:hAnsi="Arial" w:cs="Arial"/>
          <w:color w:val="auto"/>
          <w:highlight w:val="none"/>
          <w:lang w:val="en-US" w:eastAsia="zh-CN"/>
        </w:rPr>
        <w:t xml:space="preserve">合同</w:t>
      </w:r>
      <w:r>
        <w:rPr>
          <w:rFonts w:ascii="Arial" w:hAnsi="Arial" w:cs="Arial"/>
          <w:color w:val="auto"/>
          <w:highlight w:val="none"/>
        </w:rPr>
        <w:t xml:space="preserve">条款及格式</w:t>
      </w:r>
      <w:bookmarkEnd w:id="12"/>
      <w:r/>
      <w:bookmarkEnd w:id="16"/>
      <w:r/>
      <w:r/>
    </w:p>
    <w:p>
      <w:pPr>
        <w:jc w:val="center"/>
        <w:spacing w:line="360" w:lineRule="auto"/>
        <w:shd w:val="clear" w:color="auto" w:fill="ffffff"/>
        <w:widowControl/>
        <w:rPr>
          <w:rFonts w:ascii="宋体" w:hAnsi="宋体" w:cs="宋体"/>
          <w:color w:val="auto"/>
          <w:sz w:val="44"/>
          <w:szCs w:val="44"/>
          <w:highlight w:val="none"/>
        </w:rPr>
      </w:pPr>
      <w:r/>
      <w:bookmarkStart w:id="17" w:name="_Toc20823315"/>
      <w:r/>
      <w:bookmarkStart w:id="18" w:name="_Toc513029243"/>
      <w:r/>
      <w:bookmarkStart w:id="19" w:name="_Toc16938559"/>
      <w:r>
        <w:rPr>
          <w:rFonts w:hint="eastAsia" w:ascii="宋体" w:hAnsi="宋体" w:cs="宋体"/>
          <w:color w:val="auto"/>
          <w:sz w:val="44"/>
          <w:szCs w:val="44"/>
          <w:highlight w:val="none"/>
        </w:rPr>
        <w:t xml:space="preserve">南京市政府采购合同</w:t>
      </w:r>
      <w:r/>
    </w:p>
    <w:p>
      <w:pPr>
        <w:ind w:firstLine="315"/>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 w:val="32"/>
          <w:szCs w:val="32"/>
          <w:highlight w:val="none"/>
        </w:rPr>
        <w:t xml:space="preserve">           </w:t>
      </w:r>
      <w:r>
        <w:rPr>
          <w:rFonts w:hint="eastAsia" w:ascii="宋体" w:hAnsi="宋体" w:cs="宋体"/>
          <w:b/>
          <w:bCs/>
          <w:color w:val="auto"/>
          <w:sz w:val="32"/>
          <w:highlight w:val="none"/>
        </w:rPr>
        <w:t xml:space="preserve"> </w:t>
      </w:r>
      <w:r>
        <w:rPr>
          <w:rFonts w:hint="eastAsia" w:ascii="宋体" w:hAnsi="宋体" w:cs="宋体"/>
          <w:color w:val="auto"/>
          <w:sz w:val="32"/>
          <w:szCs w:val="32"/>
          <w:highlight w:val="none"/>
        </w:rPr>
        <w:t xml:space="preserve"> </w:t>
      </w:r>
      <w:r/>
    </w:p>
    <w:p>
      <w:pPr>
        <w:ind w:firstLine="315"/>
        <w:spacing w:line="360" w:lineRule="auto"/>
        <w:shd w:val="clear" w:color="auto" w:fill="ffffff"/>
        <w:widowControl/>
        <w:rPr>
          <w:rFonts w:ascii="宋体" w:hAnsi="宋体" w:cs="宋体"/>
          <w:color w:val="auto"/>
          <w:szCs w:val="21"/>
          <w:highlight w:val="none"/>
        </w:rPr>
      </w:pPr>
      <w:r>
        <w:rPr>
          <w:rFonts w:hint="eastAsia" w:ascii="宋体" w:hAnsi="宋体" w:cs="宋体"/>
          <w:color w:val="auto"/>
          <w:sz w:val="32"/>
          <w:szCs w:val="32"/>
          <w:highlight w:val="none"/>
        </w:rPr>
        <w:t xml:space="preserve"> </w:t>
      </w:r>
      <w:r/>
    </w:p>
    <w:p>
      <w:pPr>
        <w:ind w:firstLine="315"/>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 w:val="36"/>
          <w:szCs w:val="36"/>
          <w:highlight w:val="none"/>
        </w:rPr>
        <w:t xml:space="preserve"> </w:t>
      </w:r>
      <w:r/>
    </w:p>
    <w:p>
      <w:pPr>
        <w:ind w:firstLine="315"/>
        <w:spacing w:line="360" w:lineRule="auto"/>
        <w:shd w:val="clear" w:color="auto" w:fill="ffffff"/>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 </w:t>
      </w:r>
      <w:r/>
    </w:p>
    <w:p>
      <w:pPr>
        <w:ind w:firstLine="315"/>
        <w:spacing w:line="360" w:lineRule="auto"/>
        <w:shd w:val="clear" w:color="auto" w:fill="ffffff"/>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360" w:lineRule="auto"/>
        <w:shd w:val="clear" w:color="auto" w:fill="ffffff"/>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合同编号 ：</w:t>
      </w:r>
      <w:r>
        <w:rPr>
          <w:rFonts w:hint="eastAsia" w:ascii="宋体" w:hAnsi="宋体" w:cs="宋体"/>
          <w:b/>
          <w:bCs/>
          <w:color w:val="auto"/>
          <w:sz w:val="32"/>
          <w:szCs w:val="32"/>
          <w:highlight w:val="none"/>
          <w:u w:val="single"/>
        </w:rPr>
        <w:t xml:space="preserve">          </w:t>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项目名称 ：</w:t>
      </w:r>
      <w:r>
        <w:rPr>
          <w:rFonts w:hint="eastAsia" w:ascii="宋体" w:hAnsi="宋体" w:cs="宋体"/>
          <w:b/>
          <w:bCs/>
          <w:color w:val="auto"/>
          <w:sz w:val="32"/>
          <w:szCs w:val="32"/>
          <w:highlight w:val="none"/>
          <w:u w:val="single"/>
        </w:rPr>
        <w:t xml:space="preserve">          </w:t>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使用单位 ：</w:t>
      </w:r>
      <w:r>
        <w:rPr>
          <w:rFonts w:hint="eastAsia" w:ascii="宋体" w:hAnsi="宋体" w:cs="宋体"/>
          <w:b/>
          <w:bCs/>
          <w:color w:val="auto"/>
          <w:sz w:val="32"/>
          <w:szCs w:val="32"/>
          <w:highlight w:val="none"/>
          <w:u w:val="single"/>
        </w:rPr>
        <w:t xml:space="preserve">          </w:t>
      </w:r>
      <w:r/>
    </w:p>
    <w:p>
      <w:pPr>
        <w:ind w:firstLine="1916"/>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供货单位 ：</w:t>
      </w:r>
      <w:r>
        <w:rPr>
          <w:rFonts w:hint="eastAsia" w:ascii="宋体" w:hAnsi="宋体" w:cs="宋体"/>
          <w:b/>
          <w:bCs/>
          <w:color w:val="auto"/>
          <w:sz w:val="32"/>
          <w:szCs w:val="32"/>
          <w:highlight w:val="none"/>
          <w:u w:val="single"/>
        </w:rPr>
        <w:t xml:space="preserve">          </w:t>
      </w:r>
      <w:r/>
    </w:p>
    <w:p>
      <w:pPr>
        <w:ind w:firstLine="1916"/>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签订日期 ：</w:t>
      </w:r>
      <w:r>
        <w:rPr>
          <w:rFonts w:hint="eastAsia" w:ascii="宋体" w:hAnsi="宋体" w:cs="宋体"/>
          <w:b/>
          <w:bCs/>
          <w:color w:val="auto"/>
          <w:sz w:val="32"/>
          <w:szCs w:val="32"/>
          <w:highlight w:val="none"/>
          <w:u w:val="single"/>
        </w:rPr>
        <w:t xml:space="preserve">          </w:t>
      </w:r>
      <w:r/>
    </w:p>
    <w:p>
      <w:pPr>
        <w:spacing w:line="360" w:lineRule="auto"/>
        <w:shd w:val="clear" w:color="auto" w:fill="ffffff"/>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b/>
          <w:bCs/>
          <w:color w:val="auto"/>
          <w:sz w:val="32"/>
          <w:szCs w:val="32"/>
          <w:highlight w:val="none"/>
        </w:rPr>
        <w:t xml:space="preserve">   </w:t>
      </w:r>
      <w:r/>
    </w:p>
    <w:p>
      <w:pPr>
        <w:ind w:firstLine="2984"/>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 </w:t>
      </w:r>
      <w:r/>
    </w:p>
    <w:p>
      <w:pPr>
        <w:spacing w:line="360" w:lineRule="auto"/>
        <w:shd w:val="clear" w:color="auto" w:fill="ffffff"/>
        <w:widowControl/>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南京市工商行政管理局</w:t>
      </w:r>
      <w:r/>
    </w:p>
    <w:p>
      <w:pPr>
        <w:jc w:val="center"/>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南 京 市 财 政 局 监 制</w:t>
      </w:r>
      <w:r/>
    </w:p>
    <w:p>
      <w:pPr>
        <w:spacing w:line="360" w:lineRule="auto"/>
        <w:shd w:val="clear" w:color="auto" w:fill="ffffff"/>
        <w:widowControl/>
        <w:rPr>
          <w:rFonts w:ascii="宋体" w:hAnsi="宋体" w:cs="宋体"/>
          <w:color w:val="auto"/>
          <w:highlight w:val="none"/>
        </w:rPr>
      </w:pPr>
      <w:r>
        <w:rPr>
          <w:rFonts w:hint="eastAsia" w:ascii="宋体" w:hAnsi="宋体" w:cs="宋体"/>
          <w:color w:val="auto"/>
          <w:sz w:val="24"/>
          <w:highlight w:val="none"/>
        </w:rPr>
        <w:br w:type="page" w:clear="all"/>
      </w:r>
      <w:bookmarkEnd w:id="17"/>
      <w:r/>
      <w:bookmarkEnd w:id="18"/>
      <w:r/>
      <w:bookmarkEnd w:id="19"/>
      <w:r>
        <w:rPr>
          <w:rFonts w:hint="eastAsia" w:ascii="宋体" w:hAnsi="宋体" w:cs="宋体"/>
          <w:color w:val="auto"/>
          <w:highlight w:val="none"/>
        </w:rPr>
        <w:t xml:space="preserve">政府采购计划号：</w:t>
      </w:r>
      <w:r/>
    </w:p>
    <w:p>
      <w:pPr>
        <w:jc w:val="center"/>
        <w:spacing w:line="360" w:lineRule="auto"/>
        <w:shd w:val="clear" w:color="auto" w:fill="ffffff"/>
        <w:widowControl/>
        <w:rPr>
          <w:rFonts w:ascii="宋体" w:hAnsi="宋体" w:cs="宋体"/>
          <w:color w:val="auto"/>
          <w:highlight w:val="none"/>
        </w:rPr>
      </w:pPr>
      <w:r>
        <w:rPr>
          <w:rFonts w:ascii="宋体" w:hAnsi="宋体" w:cs="宋体"/>
          <w:color w:val="auto"/>
          <w:highlight w:val="none"/>
        </w:rPr>
      </w:r>
      <w:r/>
    </w:p>
    <w:tbl>
      <w:tblPr>
        <w:tblStyle w:val="695"/>
        <w:tblW w:w="8520" w:type="dxa"/>
        <w:tblInd w:w="108" w:type="dxa"/>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keepLines w:val="0"/>
              <w:keepNext w:val="0"/>
              <w:pageBreakBefore w:val="0"/>
              <w:spacing w:line="460" w:lineRule="exact"/>
              <w:widowControl/>
              <w:rPr>
                <w:rFonts w:ascii="宋体" w:hAnsi="宋体" w:cs="宋体"/>
                <w:color w:val="auto"/>
                <w:highlight w:val="none"/>
              </w:rPr>
            </w:pPr>
            <w:r>
              <w:rPr>
                <w:rFonts w:hint="eastAsia" w:ascii="宋体" w:hAnsi="宋体" w:cs="宋体"/>
                <w:color w:val="auto"/>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keepLines w:val="0"/>
              <w:keepNext w:val="0"/>
              <w:pageBreakBefore w:val="0"/>
              <w:spacing w:line="460" w:lineRule="exact"/>
              <w:widowControl/>
              <w:rPr>
                <w:rFonts w:ascii="宋体" w:hAnsi="宋体" w:cs="宋体"/>
                <w:color w:val="auto"/>
                <w:highlight w:val="none"/>
              </w:rPr>
            </w:pPr>
            <w:r>
              <w:rPr>
                <w:rFonts w:hint="eastAsia" w:ascii="宋体" w:hAnsi="宋体" w:cs="宋体"/>
                <w:color w:val="auto"/>
                <w:highlight w:val="none"/>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keepLines w:val="0"/>
              <w:keepNext w:val="0"/>
              <w:pageBreakBefore w:val="0"/>
              <w:spacing w:line="460" w:lineRule="exact"/>
              <w:widowControl/>
              <w:rPr>
                <w:rFonts w:ascii="宋体" w:hAnsi="宋体" w:cs="宋体"/>
                <w:color w:val="auto"/>
                <w:highlight w:val="none"/>
              </w:rPr>
            </w:pPr>
            <w:r>
              <w:rPr>
                <w:rFonts w:hint="eastAsia" w:ascii="宋体" w:hAnsi="宋体" w:cs="宋体"/>
                <w:color w:val="auto"/>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keepLines w:val="0"/>
              <w:keepNext w:val="0"/>
              <w:pageBreakBefore w:val="0"/>
              <w:spacing w:line="460" w:lineRule="exact"/>
              <w:widowControl/>
              <w:rPr>
                <w:rFonts w:ascii="宋体" w:hAnsi="宋体" w:cs="宋体"/>
                <w:color w:val="auto"/>
                <w:highlight w:val="none"/>
              </w:rPr>
            </w:pPr>
            <w:r>
              <w:rPr>
                <w:rFonts w:hint="eastAsia" w:ascii="宋体" w:hAnsi="宋体" w:cs="宋体"/>
                <w:color w:val="auto"/>
                <w:highlight w:val="none"/>
              </w:rPr>
              <w:t xml:space="preserve">住所地：</w:t>
            </w:r>
            <w:r/>
          </w:p>
        </w:tc>
      </w:tr>
    </w:tbl>
    <w:p>
      <w:pPr>
        <w:ind w:firstLine="420"/>
        <w:keepLines w:val="0"/>
        <w:keepNext w:val="0"/>
        <w:pageBreakBefore w:val="0"/>
        <w:spacing w:line="460" w:lineRule="exact"/>
        <w:rPr>
          <w:rFonts w:ascii="宋体" w:hAnsi="宋体" w:cs="宋体"/>
          <w:bCs/>
          <w:color w:val="auto"/>
          <w:szCs w:val="21"/>
          <w:highlight w:val="none"/>
        </w:rPr>
        <w:outlineLvl w:val="0"/>
      </w:pPr>
      <w:r/>
      <w:bookmarkStart w:id="20" w:name="_Toc28978"/>
      <w:r/>
      <w:bookmarkStart w:id="21" w:name="_Toc1525"/>
      <w:r/>
      <w:bookmarkStart w:id="22" w:name="_Toc10528"/>
      <w:r>
        <w:rPr>
          <w:rFonts w:hint="eastAsia" w:ascii="宋体" w:hAnsi="宋体" w:cs="宋体"/>
          <w:bCs/>
          <w:color w:val="auto"/>
          <w:szCs w:val="21"/>
          <w:highlight w:val="none"/>
        </w:rPr>
        <w:t xml:space="preserve">根据《中华人民共和国政府采购法》、《中华人民共和国民法典》的有关规定，</w:t>
      </w:r>
      <w:r>
        <w:rPr>
          <w:rFonts w:hint="eastAsia" w:ascii="宋体" w:hAnsi="宋体" w:cs="宋体"/>
          <w:color w:val="auto"/>
          <w:szCs w:val="21"/>
          <w:highlight w:val="none"/>
        </w:rPr>
        <w:t xml:space="preserve">甲乙双方按照招标结果，</w:t>
      </w:r>
      <w:r>
        <w:rPr>
          <w:rFonts w:hint="eastAsia" w:ascii="宋体" w:hAnsi="宋体" w:cs="宋体"/>
          <w:bCs/>
          <w:color w:val="auto"/>
          <w:szCs w:val="21"/>
          <w:highlight w:val="none"/>
        </w:rPr>
        <w:t xml:space="preserve">由</w:t>
      </w:r>
      <w:r>
        <w:rPr>
          <w:rFonts w:hint="eastAsia" w:ascii="宋体" w:hAnsi="宋体" w:cs="宋体"/>
          <w:bCs/>
          <w:color w:val="auto"/>
          <w:szCs w:val="21"/>
          <w:highlight w:val="none"/>
          <w:u w:val="single"/>
        </w:rPr>
        <w:t xml:space="preserve">南京市城市道路管理中心</w:t>
      </w:r>
      <w:r>
        <w:rPr>
          <w:rFonts w:hint="eastAsia" w:ascii="宋体" w:hAnsi="宋体" w:cs="宋体"/>
          <w:bCs/>
          <w:color w:val="auto"/>
          <w:szCs w:val="21"/>
          <w:highlight w:val="none"/>
        </w:rPr>
        <w:t xml:space="preserve">（甲方）委托（乙方）承担本合同规定内容，经双方友好协商，签订本合同。</w:t>
      </w:r>
      <w:bookmarkEnd w:id="20"/>
      <w:r/>
      <w:bookmarkEnd w:id="21"/>
      <w:r/>
      <w:bookmarkEnd w:id="22"/>
      <w:r/>
      <w:r/>
    </w:p>
    <w:p>
      <w:pPr>
        <w:ind w:firstLine="422"/>
        <w:jc w:val="left"/>
        <w:keepLines w:val="0"/>
        <w:keepNext w:val="0"/>
        <w:pageBreakBefore w:val="0"/>
        <w:spacing w:line="460" w:lineRule="exact"/>
        <w:rPr>
          <w:b/>
          <w:color w:val="auto"/>
          <w:szCs w:val="21"/>
          <w:highlight w:val="none"/>
        </w:rPr>
      </w:pPr>
      <w:r>
        <w:rPr>
          <w:rFonts w:hint="eastAsia"/>
          <w:b/>
          <w:color w:val="auto"/>
          <w:szCs w:val="21"/>
          <w:highlight w:val="none"/>
        </w:rPr>
        <w:t xml:space="preserve">第一条</w:t>
      </w:r>
      <w:r>
        <w:rPr>
          <w:rFonts w:hint="eastAsia"/>
          <w:b/>
          <w:color w:val="auto"/>
          <w:szCs w:val="21"/>
          <w:highlight w:val="none"/>
          <w:lang w:val="en-US" w:eastAsia="zh-CN"/>
        </w:rPr>
        <w:t xml:space="preserve">项目</w:t>
      </w:r>
      <w:r>
        <w:rPr>
          <w:rFonts w:hint="eastAsia"/>
          <w:b/>
          <w:color w:val="auto"/>
          <w:szCs w:val="21"/>
          <w:highlight w:val="none"/>
        </w:rPr>
        <w:t xml:space="preserve">概况</w:t>
      </w:r>
      <w:r/>
    </w:p>
    <w:p>
      <w:pPr>
        <w:ind w:firstLine="452"/>
        <w:keepLines w:val="0"/>
        <w:keepNext w:val="0"/>
        <w:pageBreakBefore w:val="0"/>
        <w:spacing w:line="460" w:lineRule="exact"/>
        <w:rPr>
          <w:rFonts w:hint="eastAsia"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南京市狮子坝隧道和红山路隧道2座隧道设施养护工作，总面积4.258万m2。其中狮子坝隧道总长260m，面积1.001万m2；红山路隧道总长1430m，面积3.257万m；隧道管理单位为南京市城市道路管理中心。养护范围包括土建设施、机电设施、其他设施。养护内容包括根据相关规范和管理要求开展日常巡查、常规定期检测、养护维修、应急处置（安全事故、防汛、防台、防冻）、节假日和重大活动保障、投诉处理、指令性任务、设施安全防护管理、养护技术档案管理等。</w:t>
      </w:r>
      <w:r/>
    </w:p>
    <w:p>
      <w:pPr>
        <w:ind w:firstLine="422"/>
        <w:jc w:val="left"/>
        <w:keepLines w:val="0"/>
        <w:keepNext w:val="0"/>
        <w:pageBreakBefore w:val="0"/>
        <w:spacing w:line="460" w:lineRule="exact"/>
        <w:rPr>
          <w:b/>
          <w:color w:val="auto"/>
          <w:szCs w:val="21"/>
          <w:highlight w:val="none"/>
        </w:rPr>
      </w:pPr>
      <w:r>
        <w:rPr>
          <w:rFonts w:hint="eastAsia"/>
          <w:b/>
          <w:color w:val="auto"/>
          <w:szCs w:val="21"/>
          <w:highlight w:val="none"/>
        </w:rPr>
        <w:t xml:space="preserve">第二条合同价款及服务期</w:t>
      </w:r>
      <w:r/>
    </w:p>
    <w:p>
      <w:pPr>
        <w:ind w:firstLine="452"/>
        <w:jc w:val="both"/>
        <w:keepLines w:val="0"/>
        <w:keepNext w:val="0"/>
        <w:pageBreakBefore w:val="0"/>
        <w:spacing w:line="460" w:lineRule="exact"/>
        <w:shd w:val="clear" w:color="auto" w:fill="ffffff"/>
        <w:widowControl/>
        <w:rPr>
          <w:rFonts w:hint="default" w:ascii="宋体" w:hAnsi="宋体" w:eastAsia="宋体"/>
          <w:bCs/>
          <w:color w:val="auto"/>
          <w:szCs w:val="21"/>
          <w:highlight w:val="none"/>
          <w:lang w:val="en-US" w:eastAsia="zh-CN"/>
        </w:rPr>
      </w:pPr>
      <w:r>
        <w:rPr>
          <w:rFonts w:hint="eastAsia" w:ascii="Arial" w:hAnsi="Arial" w:cs="Arial"/>
          <w:color w:val="auto"/>
          <w:spacing w:val="8"/>
          <w:szCs w:val="21"/>
          <w:highlight w:val="none"/>
          <w:lang w:val="en-US" w:eastAsia="zh-CN"/>
        </w:rPr>
        <w:t xml:space="preserve">本合同采用总价合同。</w:t>
      </w:r>
      <w:r>
        <w:rPr>
          <w:rFonts w:hint="eastAsia" w:ascii="Arial" w:hAnsi="Arial" w:cs="Arial"/>
          <w:color w:val="auto"/>
          <w:spacing w:val="8"/>
          <w:szCs w:val="21"/>
          <w:highlight w:val="none"/>
          <w:lang w:eastAsia="zh-CN"/>
        </w:rPr>
        <w:t xml:space="preserve">狮子坝隧道和红山路隧道</w:t>
      </w:r>
      <w:r>
        <w:rPr>
          <w:rFonts w:hint="eastAsia"/>
          <w:color w:val="auto"/>
          <w:szCs w:val="21"/>
          <w:highlight w:val="none"/>
        </w:rPr>
        <w:t xml:space="preserve">养护服务年度价款为</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w:t>
      </w:r>
      <w:r>
        <w:rPr>
          <w:rFonts w:hint="eastAsia"/>
          <w:color w:val="auto"/>
          <w:szCs w:val="21"/>
          <w:highlight w:val="none"/>
        </w:rPr>
        <w:t xml:space="preserve">元</w:t>
      </w:r>
      <w:r>
        <w:rPr>
          <w:rFonts w:hint="eastAsia"/>
          <w:color w:val="auto"/>
          <w:szCs w:val="21"/>
          <w:highlight w:val="none"/>
          <w:lang w:val="en-US" w:eastAsia="zh-CN"/>
        </w:rPr>
        <w:t xml:space="preserve">/年，三年养护费合计</w:t>
      </w:r>
      <w:r>
        <w:rPr>
          <w:rFonts w:hint="eastAsia"/>
          <w:color w:val="auto"/>
          <w:szCs w:val="21"/>
          <w:highlight w:val="none"/>
          <w:u w:val="single"/>
          <w:lang w:val="en-US" w:eastAsia="zh-CN"/>
        </w:rPr>
        <w:t xml:space="preserve">         </w:t>
      </w:r>
      <w:r>
        <w:rPr>
          <w:rFonts w:hint="eastAsia"/>
          <w:color w:val="auto"/>
          <w:szCs w:val="21"/>
          <w:highlight w:val="none"/>
          <w:u w:val="none"/>
          <w:lang w:val="en-US" w:eastAsia="zh-CN"/>
        </w:rPr>
        <w:t xml:space="preserve">元</w:t>
      </w:r>
      <w:r>
        <w:rPr>
          <w:rFonts w:hint="eastAsia"/>
          <w:color w:val="auto"/>
          <w:szCs w:val="21"/>
          <w:highlight w:val="none"/>
        </w:rPr>
        <w:t xml:space="preserve">人民币，包含</w:t>
      </w:r>
      <w:r>
        <w:rPr>
          <w:rFonts w:hint="eastAsia"/>
          <w:color w:val="auto"/>
          <w:szCs w:val="21"/>
          <w:highlight w:val="none"/>
          <w:lang w:val="en-US" w:eastAsia="zh-CN"/>
        </w:rPr>
        <w:t xml:space="preserve">但不限于以下价格：</w:t>
      </w:r>
      <w:r/>
    </w:p>
    <w:p>
      <w:pPr>
        <w:ind w:firstLine="420"/>
        <w:keepLines w:val="0"/>
        <w:keepNext w:val="0"/>
        <w:pageBreakBefore w:val="0"/>
        <w:spacing w:line="460" w:lineRule="exact"/>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（1）作业成本经费。含人员工资、机械运行成本、材料消耗等。</w:t>
      </w:r>
      <w:r/>
    </w:p>
    <w:p>
      <w:pPr>
        <w:ind w:firstLine="420"/>
        <w:keepLines w:val="0"/>
        <w:keepNext w:val="0"/>
        <w:pageBreakBefore w:val="0"/>
        <w:spacing w:line="46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（2）夜间</w:t>
      </w:r>
      <w:r>
        <w:rPr>
          <w:rFonts w:hint="eastAsia" w:ascii="宋体" w:hAnsi="宋体" w:cs="宋体"/>
          <w:bCs/>
          <w:color w:val="auto"/>
          <w:szCs w:val="21"/>
          <w:highlight w:val="none"/>
          <w:lang w:eastAsia="zh-CN"/>
        </w:rPr>
        <w:t xml:space="preserve">养护</w:t>
      </w:r>
      <w:r>
        <w:rPr>
          <w:rFonts w:hint="eastAsia" w:ascii="宋体" w:hAnsi="宋体" w:cs="宋体"/>
          <w:bCs/>
          <w:color w:val="auto"/>
          <w:szCs w:val="21"/>
          <w:highlight w:val="none"/>
        </w:rPr>
        <w:t xml:space="preserve">、环境保护、安全管理等法规要求涉及的保障费用。</w:t>
      </w:r>
      <w:r/>
    </w:p>
    <w:p>
      <w:pPr>
        <w:ind w:firstLine="420"/>
        <w:keepLines w:val="0"/>
        <w:keepNext w:val="0"/>
        <w:pageBreakBefore w:val="0"/>
        <w:spacing w:line="46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（3）管理费用、合理利润、税金。</w:t>
      </w:r>
      <w:r/>
    </w:p>
    <w:p>
      <w:pPr>
        <w:ind w:firstLine="420"/>
        <w:keepLines w:val="0"/>
        <w:keepNext w:val="0"/>
        <w:pageBreakBefore w:val="0"/>
        <w:spacing w:line="46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（4）突发安全事件、防汛、防台、扫雪防冻应急处置费用、节假日和重大活动保障、投诉处理等相关费用。</w:t>
      </w:r>
      <w:r/>
    </w:p>
    <w:p>
      <w:pPr>
        <w:ind w:firstLine="420"/>
        <w:jc w:val="left"/>
        <w:keepLines w:val="0"/>
        <w:keepNext w:val="0"/>
        <w:pageBreakBefore w:val="0"/>
        <w:spacing w:line="460" w:lineRule="exact"/>
        <w:rPr>
          <w:rFonts w:ascii="宋体" w:hAnsi="宋体"/>
          <w:color w:val="auto"/>
          <w:szCs w:val="21"/>
          <w:highlight w:val="none"/>
        </w:rPr>
      </w:pPr>
      <w:r>
        <w:rPr>
          <w:rFonts w:hint="eastAsia" w:ascii="宋体" w:hAnsi="宋体" w:cs="宋体"/>
          <w:color w:val="auto"/>
          <w:szCs w:val="21"/>
          <w:highlight w:val="none"/>
        </w:rPr>
        <w:t xml:space="preserve">本合同执行期间年度合同价格不变</w:t>
      </w:r>
      <w:r>
        <w:rPr>
          <w:rFonts w:hint="eastAsia" w:ascii="宋体" w:hAnsi="宋体" w:cs="宋体"/>
          <w:color w:val="auto"/>
          <w:szCs w:val="21"/>
          <w:highlight w:val="none"/>
          <w:lang w:eastAsia="zh-CN"/>
        </w:rPr>
        <w:t xml:space="preserve">，其中狮子坝</w:t>
      </w:r>
      <w:r>
        <w:rPr>
          <w:rFonts w:hint="eastAsia" w:ascii="宋体" w:hAnsi="宋体"/>
          <w:color w:val="auto"/>
          <w:szCs w:val="21"/>
          <w:highlight w:val="none"/>
        </w:rPr>
        <w:t xml:space="preserve">隧道设施年维护经费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万元</w:t>
      </w:r>
      <w:r>
        <w:rPr>
          <w:rFonts w:hint="eastAsia" w:ascii="宋体" w:hAnsi="宋体"/>
          <w:color w:val="auto"/>
          <w:szCs w:val="21"/>
          <w:highlight w:val="none"/>
          <w:lang w:val="en-US" w:eastAsia="zh-CN"/>
        </w:rPr>
        <w:t xml:space="preserve">/年</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红山路</w:t>
      </w:r>
      <w:r>
        <w:rPr>
          <w:rFonts w:hint="eastAsia" w:ascii="宋体" w:hAnsi="宋体"/>
          <w:color w:val="auto"/>
          <w:szCs w:val="21"/>
          <w:highlight w:val="none"/>
        </w:rPr>
        <w:t xml:space="preserve">隧道设施年维护经费</w:t>
      </w:r>
      <w:r>
        <w:rPr>
          <w:rFonts w:hint="eastAsia" w:ascii="宋体" w:hAnsi="宋体"/>
          <w:color w:val="auto"/>
          <w:szCs w:val="21"/>
          <w:highlight w:val="non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万元</w:t>
      </w:r>
      <w:r>
        <w:rPr>
          <w:rFonts w:hint="eastAsia" w:ascii="宋体" w:hAnsi="宋体"/>
          <w:color w:val="auto"/>
          <w:szCs w:val="21"/>
          <w:highlight w:val="none"/>
          <w:lang w:val="en-US" w:eastAsia="zh-CN"/>
        </w:rPr>
        <w:t xml:space="preserve">/年</w:t>
      </w:r>
      <w:r>
        <w:rPr>
          <w:rFonts w:hint="eastAsia" w:ascii="宋体" w:hAnsi="宋体"/>
          <w:color w:val="auto"/>
          <w:szCs w:val="21"/>
          <w:highlight w:val="none"/>
        </w:rPr>
        <w:t xml:space="preserve">。</w:t>
      </w:r>
      <w:r/>
    </w:p>
    <w:p>
      <w:pPr>
        <w:ind w:firstLine="420"/>
        <w:keepLines w:val="0"/>
        <w:keepNext w:val="0"/>
        <w:pageBreakBefore w:val="0"/>
        <w:spacing w:line="460" w:lineRule="exact"/>
        <w:shd w:val="clear" w:color="auto" w:fill="ffffff"/>
        <w:widowControl/>
        <w:rPr>
          <w:color w:val="auto"/>
          <w:highlight w:val="none"/>
        </w:rPr>
      </w:pPr>
      <w:r>
        <w:rPr>
          <w:rFonts w:hint="eastAsia" w:ascii="宋体" w:hAnsi="宋体"/>
          <w:color w:val="auto"/>
          <w:szCs w:val="21"/>
          <w:highlight w:val="none"/>
        </w:rPr>
        <w:t xml:space="preserve">合同期间由于隧道改扩建或占用封闭、主管部门对设施量重新核定等原因，乙方养护设施量发生变化，则合同价格按照实际养护设施量</w:t>
      </w:r>
      <w:r>
        <w:rPr>
          <w:rFonts w:hint="eastAsia" w:ascii="宋体" w:hAnsi="宋体"/>
          <w:color w:val="auto"/>
          <w:szCs w:val="21"/>
          <w:highlight w:val="none"/>
          <w:lang w:val="en-US" w:eastAsia="zh-CN"/>
        </w:rPr>
        <w:t xml:space="preserve">及养护时间</w:t>
      </w:r>
      <w:r>
        <w:rPr>
          <w:rFonts w:hint="eastAsia" w:ascii="宋体" w:hAnsi="宋体"/>
          <w:color w:val="auto"/>
          <w:szCs w:val="21"/>
          <w:highlight w:val="none"/>
        </w:rPr>
        <w:t xml:space="preserve">进行调整。</w:t>
      </w:r>
      <w:r/>
    </w:p>
    <w:p>
      <w:pPr>
        <w:ind w:firstLine="420"/>
        <w:keepLines w:val="0"/>
        <w:keepNext w:val="0"/>
        <w:pageBreakBefore w:val="0"/>
        <w:spacing w:line="460" w:lineRule="exact"/>
        <w:shd w:val="clear" w:color="auto" w:fill="ffffff"/>
        <w:widowControl/>
        <w:rPr>
          <w:rFonts w:ascii="宋体" w:hAnsi="宋体"/>
          <w:color w:val="auto"/>
          <w:szCs w:val="21"/>
          <w:highlight w:val="none"/>
        </w:rPr>
      </w:pPr>
      <w:r>
        <w:rPr>
          <w:rFonts w:hint="eastAsia" w:ascii="宋体" w:hAnsi="宋体" w:cs="宋体"/>
          <w:bCs/>
          <w:color w:val="auto"/>
          <w:szCs w:val="21"/>
          <w:highlight w:val="none"/>
        </w:rPr>
        <w:t xml:space="preserve">本合同服务期</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rPr>
        <w:t xml:space="preserve">年，养护时间2026年</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1日至2029年</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lang w:val="en-US" w:eastAsia="zh-CN"/>
        </w:rPr>
        <w:t xml:space="preserve">31</w:t>
      </w:r>
      <w:r>
        <w:rPr>
          <w:rFonts w:hint="eastAsia" w:ascii="宋体" w:hAnsi="宋体" w:cs="宋体"/>
          <w:bCs/>
          <w:color w:val="auto"/>
          <w:szCs w:val="21"/>
          <w:highlight w:val="none"/>
        </w:rPr>
        <w:t xml:space="preserve">日。</w:t>
      </w:r>
      <w:r>
        <w:rPr>
          <w:rFonts w:hint="eastAsia" w:ascii="宋体" w:hAnsi="宋体"/>
          <w:color w:val="auto"/>
          <w:szCs w:val="21"/>
          <w:highlight w:val="none"/>
        </w:rPr>
        <w:t xml:space="preserve">合同履行期间，</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可能会根据项目实际情况对上述工作周期做相应调整，</w:t>
      </w:r>
      <w:r>
        <w:rPr>
          <w:rFonts w:hint="eastAsia" w:ascii="宋体" w:hAnsi="宋体"/>
          <w:color w:val="auto"/>
          <w:szCs w:val="21"/>
          <w:highlight w:val="none"/>
          <w:lang w:eastAsia="zh-CN"/>
        </w:rPr>
        <w:t xml:space="preserve">乙方</w:t>
      </w:r>
      <w:r>
        <w:rPr>
          <w:rFonts w:hint="eastAsia" w:ascii="宋体" w:hAnsi="宋体"/>
          <w:color w:val="auto"/>
          <w:szCs w:val="21"/>
          <w:highlight w:val="none"/>
        </w:rPr>
        <w:t xml:space="preserve">须无条件服从</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工期安排。实时根据</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相关要求，做好各阶段成果的提交和汇报。年度服务期满后，下一任服务单位进场并办理完交接手续方可撤离，同时</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根据延续服务天数据实结算延续服务费用。</w:t>
      </w:r>
      <w:r/>
    </w:p>
    <w:p>
      <w:pPr>
        <w:ind w:firstLine="422"/>
        <w:jc w:val="left"/>
        <w:keepLines w:val="0"/>
        <w:keepNext w:val="0"/>
        <w:pageBreakBefore w:val="0"/>
        <w:spacing w:line="460" w:lineRule="exact"/>
        <w:rPr>
          <w:rFonts w:ascii="宋体" w:hAnsi="宋体" w:cs="宋体"/>
          <w:b/>
          <w:color w:val="auto"/>
          <w:szCs w:val="21"/>
          <w:highlight w:val="none"/>
        </w:rPr>
      </w:pPr>
      <w:r>
        <w:rPr>
          <w:rFonts w:hint="eastAsia" w:ascii="宋体" w:hAnsi="宋体" w:cs="宋体"/>
          <w:b/>
          <w:color w:val="auto"/>
          <w:szCs w:val="21"/>
          <w:highlight w:val="none"/>
        </w:rPr>
        <w:t xml:space="preserve">第三条  合同所包含服务内容及质量要求</w:t>
      </w:r>
      <w:r/>
    </w:p>
    <w:p>
      <w:pPr>
        <w:ind w:firstLine="420"/>
        <w:keepLines w:val="0"/>
        <w:keepNext w:val="0"/>
        <w:pageBreakBefore w:val="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招标文件和有关附件是本合同不可分割的组成部分，与本合同具有同等法律效力。</w:t>
      </w:r>
      <w:r/>
    </w:p>
    <w:p>
      <w:pPr>
        <w:ind w:firstLine="420"/>
        <w:jc w:val="left"/>
        <w:keepLines w:val="0"/>
        <w:keepNext w:val="0"/>
        <w:pageBreakBefore w:val="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（一）养护承包方式</w:t>
      </w:r>
      <w:r/>
    </w:p>
    <w:p>
      <w:pPr>
        <w:ind w:firstLine="420"/>
        <w:jc w:val="left"/>
        <w:keepLines w:val="0"/>
        <w:keepNext w:val="0"/>
        <w:pageBreakBefore w:val="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1、乙方在确定的范围内以包工包料的方式实施养护总承包。</w:t>
      </w:r>
      <w:r/>
    </w:p>
    <w:p>
      <w:pPr>
        <w:ind w:firstLine="420"/>
        <w:jc w:val="left"/>
        <w:keepLines w:val="0"/>
        <w:keepNext w:val="0"/>
        <w:pageBreakBefore w:val="0"/>
        <w:spacing w:line="460" w:lineRule="exact"/>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、乙方应当按照本合同约定完成养护任务，不得向他人转包或</w:t>
      </w:r>
      <w:r>
        <w:rPr>
          <w:rFonts w:hint="eastAsia" w:ascii="宋体" w:hAnsi="宋体" w:cs="宋体"/>
          <w:color w:val="auto"/>
          <w:szCs w:val="21"/>
          <w:highlight w:val="none"/>
          <w:lang w:eastAsia="zh-CN"/>
        </w:rPr>
        <w:t xml:space="preserve">违规</w:t>
      </w:r>
      <w:r>
        <w:rPr>
          <w:rFonts w:hint="eastAsia" w:ascii="宋体" w:hAnsi="宋体" w:cs="宋体"/>
          <w:color w:val="auto"/>
          <w:szCs w:val="21"/>
          <w:highlight w:val="none"/>
        </w:rPr>
        <w:t xml:space="preserve">分包，一经发现，甲方有权立即终止本合同。乙方因设备或技术等原因无法实施的部分工作，在报请甲方同意后，委托他人实施的，乙方对分包人的所有行为负全责。由上述原因终止合同而产生的法律责任和经济损失由乙方承担。</w:t>
      </w:r>
      <w:r/>
    </w:p>
    <w:p>
      <w:pPr>
        <w:ind w:firstLine="420"/>
        <w:jc w:val="left"/>
        <w:keepLines w:val="0"/>
        <w:keepNext w:val="0"/>
        <w:pageBreakBefore w:val="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3、养护所需一般材料、成品、设备等，均由乙方自行解决，必须符合有关养护及施工技术规程、规范要求，但特殊材料及新工艺、新材料需报甲方认可。</w:t>
      </w:r>
      <w:r/>
    </w:p>
    <w:p>
      <w:pPr>
        <w:ind w:firstLine="420"/>
        <w:jc w:val="left"/>
        <w:keepLines w:val="0"/>
        <w:keepNext w:val="0"/>
        <w:pageBreakBefore w:val="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（二）乙方应满足下列养护内容及要求</w:t>
      </w:r>
      <w:r/>
    </w:p>
    <w:p>
      <w:pPr>
        <w:pStyle w:val="998"/>
        <w:numPr>
          <w:ilvl w:val="0"/>
          <w:numId w:val="0"/>
        </w:numPr>
        <w:ind w:firstLine="420"/>
        <w:jc w:val="both"/>
        <w:keepLines w:val="0"/>
        <w:keepNext w:val="0"/>
        <w:pageBreakBefore w:val="0"/>
        <w:spacing w:line="4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养护范围包括土建设施、机电设施、其他设施及隧道安全保护区域。养护内容包括根据相关规范和管理要求开展日常巡查、定期检测、养护维修、应急处置（安全事故、防汛、防台、扫雪防冻）、节假日和重大活动保障、投诉处理、指令性任务、设施安全防护管理、养护技术档案管理等。</w:t>
      </w:r>
      <w:r/>
    </w:p>
    <w:p>
      <w:pPr>
        <w:pStyle w:val="998"/>
        <w:numPr>
          <w:ilvl w:val="0"/>
          <w:numId w:val="0"/>
        </w:numPr>
        <w:ind w:firstLine="420"/>
        <w:jc w:val="both"/>
        <w:keepLines w:val="0"/>
        <w:keepNext w:val="0"/>
        <w:pageBreakBefore w:val="0"/>
        <w:spacing w:line="460" w:lineRule="exact"/>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按照《城市道路管理条例》(国务院令第198号)、《城市桥梁检测和养护维修管理办法》（建设部118号令）、《城市桥梁养护技术标准》（CJJ99-2017）、《城镇道路养护技术规范》（CJJ36-201</w:t>
      </w:r>
      <w:r>
        <w:rPr>
          <w:rFonts w:hint="eastAsia" w:ascii="宋体" w:hAnsi="宋体" w:eastAsia="宋体" w:cs="宋体"/>
          <w:color w:val="auto"/>
          <w:sz w:val="21"/>
          <w:szCs w:val="21"/>
          <w:highlight w:val="none"/>
          <w:lang w:eastAsia="zh-CN"/>
        </w:rPr>
        <w:t xml:space="preserve">6）、《城市道路施工作业交通组织规范》（GA/T900-2010）、《城镇道路工程施工与质量验收规范》（CJJ1-2008）、《建筑工地扬尘防治标准》（DGJ32/J203-2016）、《省住房城乡建设厅关于印发&lt;江苏省城市隧道建设、运行与维护指南（试行）&gt;的通知》（苏建城〔2019〕32号）等相关的行业法规和规范标准进行养护，并满足《市政府办公厅关于进一步加强城市道路管理工作的若干意见》(宁政办发〔2019〕39号)、《南京市城市道路设施精细化养护技术指南》的相关要求，养护质量经管理单位验收达到合格标准。</w:t>
      </w:r>
      <w:r/>
    </w:p>
    <w:p>
      <w:pPr>
        <w:pStyle w:val="998"/>
        <w:numPr>
          <w:ilvl w:val="0"/>
          <w:numId w:val="0"/>
        </w:numPr>
        <w:ind w:firstLine="420"/>
        <w:jc w:val="both"/>
        <w:keepLines w:val="0"/>
        <w:keepNext w:val="0"/>
        <w:pageBreakBefore w:val="0"/>
        <w:spacing w:line="460" w:lineRule="exact"/>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根据养护内容制定相应的养护方案，包括达到养护标准的措施、内部管理制度等。另需制定应急处置预案（安全事故、防汛、防台、扫雪防冻）、节假日和重大活动保障、安全生产管理等专项方案。</w:t>
      </w:r>
      <w:r/>
    </w:p>
    <w:p>
      <w:pPr>
        <w:numPr>
          <w:ilvl w:val="0"/>
          <w:numId w:val="0"/>
        </w:numPr>
        <w:ind w:left="420"/>
        <w:keepLines w:val="0"/>
        <w:keepNext w:val="0"/>
        <w:pageBreakBefore w:val="0"/>
        <w:spacing w:line="46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人员配备、设备配备要求</w:t>
      </w:r>
      <w:r/>
    </w:p>
    <w:p>
      <w:pPr>
        <w:pStyle w:val="998"/>
        <w:numPr>
          <w:ilvl w:val="0"/>
          <w:numId w:val="0"/>
        </w:numPr>
        <w:ind w:firstLine="420"/>
        <w:keepLines w:val="0"/>
        <w:keepNext w:val="0"/>
        <w:pageBreakBefore w:val="0"/>
        <w:spacing w:line="46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按要求配备齐全满足本项目养护要求的项目负责人、各类专业技术人员和维护作业人员，并保持相对稳定，如果需要更换项目负责人或项目技术负责人，应事先报请甲方同意;按照甲方要求撤换不能胜任工作或玩忽职守、不负责的工作人员。</w:t>
      </w:r>
      <w:r/>
    </w:p>
    <w:p>
      <w:pPr>
        <w:pStyle w:val="998"/>
        <w:ind w:left="0" w:firstLine="315"/>
        <w:keepLines w:val="0"/>
        <w:keepNext w:val="0"/>
        <w:pageBreakBefore w:val="0"/>
        <w:spacing w:line="46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eastAsia="zh-CN"/>
        </w:rPr>
        <w:t xml:space="preserve">供应商必须配备齐全满足本项目养护要求的机械设备，配备的机械设备的性能和技术指标须满足现行行业规范标准及采购人要求。</w:t>
      </w:r>
      <w:r/>
    </w:p>
    <w:p>
      <w:pPr>
        <w:numPr>
          <w:ilvl w:val="0"/>
          <w:numId w:val="0"/>
        </w:numPr>
        <w:ind w:left="420"/>
        <w:jc w:val="left"/>
        <w:keepLines w:val="0"/>
        <w:keepNext w:val="0"/>
        <w:pageBreakBefore w:val="0"/>
        <w:spacing w:line="46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其它养护要求：</w:t>
      </w:r>
      <w:r/>
    </w:p>
    <w:p>
      <w:pPr>
        <w:pStyle w:val="998"/>
        <w:ind w:left="0" w:firstLine="420"/>
        <w:keepLines w:val="0"/>
        <w:keepNext w:val="0"/>
        <w:pageBreakBefore w:val="0"/>
        <w:spacing w:line="46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（1）在隧道设施养护范围边界位置处的挡墙（护栏）上设置隧道管养范围界牌，对照设施量清单，对隧道内供配电设备、弱电设备进行编号，按照设备类别及编号开展日常维护管理工作。</w:t>
      </w:r>
      <w:r/>
    </w:p>
    <w:p>
      <w:pPr>
        <w:pStyle w:val="998"/>
        <w:ind w:left="0" w:firstLine="420"/>
        <w:keepLines w:val="0"/>
        <w:keepNext w:val="0"/>
        <w:pageBreakBefore w:val="0"/>
        <w:spacing w:line="46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（2）按照相关技术规范、标准和管理单位要求开展日常巡查和每年1次定期检测工作，进行隧道定期检测时，对隧道侧墙装饰板应按不低于总量2</w:t>
      </w:r>
      <w:r>
        <w:rPr>
          <w:rFonts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eastAsia="zh-CN"/>
        </w:rPr>
        <w:t xml:space="preserve">的比例拆除（隧道变形缝位置装饰板必须拆除）检测隧道衬砌结构状况，根据检测情况对隧道技术状况进行评定（评定内容包括隧道土建结构和机电设施的分项技术状况评定和总体技术状况评定），并编制隧道年度技术状况报告。根据隧道日常运行管理、安全管理、应急响应、运行服务质量统计等情况，编制隧道年度运营状况报告。</w:t>
      </w:r>
      <w:r/>
    </w:p>
    <w:p>
      <w:pPr>
        <w:pStyle w:val="998"/>
        <w:ind w:left="0" w:firstLine="420"/>
        <w:keepLines w:val="0"/>
        <w:keepNext w:val="0"/>
        <w:pageBreakBefore w:val="0"/>
        <w:spacing w:line="46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eastAsia="zh-CN"/>
        </w:rPr>
        <w:t xml:space="preserve">）按规定对隧道进行沉降观测，渗漏量测定，一氧化碳气体浓度，烟尘含量测定，每年组织有资质单位对消防设施、供配电设备检查一次，根据检测情况进行评估和处置。</w:t>
      </w:r>
      <w:r/>
    </w:p>
    <w:p>
      <w:pPr>
        <w:pStyle w:val="998"/>
        <w:ind w:left="0" w:firstLine="420"/>
        <w:keepLines w:val="0"/>
        <w:keepNext w:val="0"/>
        <w:pageBreakBefore w:val="0"/>
        <w:spacing w:line="46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eastAsia="zh-CN"/>
        </w:rPr>
        <w:t xml:space="preserve">）隧道配电房落实2</w:t>
      </w:r>
      <w:r>
        <w:rPr>
          <w:rFonts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eastAsia="zh-CN"/>
        </w:rPr>
        <w:t xml:space="preserve">小时值班制度。</w:t>
      </w:r>
      <w:r/>
    </w:p>
    <w:p>
      <w:pPr>
        <w:pStyle w:val="998"/>
        <w:ind w:left="0" w:firstLine="420"/>
        <w:keepLines w:val="0"/>
        <w:keepNext w:val="0"/>
        <w:pageBreakBefore w:val="0"/>
        <w:spacing w:line="46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eastAsia="zh-CN"/>
        </w:rPr>
        <w:t xml:space="preserve">）劝阻清理隧道内摆摊、乞讨等非正常通行人员。</w:t>
      </w:r>
      <w:r/>
    </w:p>
    <w:p>
      <w:pPr>
        <w:pStyle w:val="998"/>
        <w:ind w:left="0" w:firstLine="420"/>
        <w:keepLines w:val="0"/>
        <w:keepNext w:val="0"/>
        <w:pageBreakBefore w:val="0"/>
        <w:spacing w:line="46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eastAsia="zh-CN"/>
        </w:rPr>
        <w:t xml:space="preserve">）不得以维修为目擅自封闭隧道，如确实需要封闭须征得主管部门同意。</w:t>
      </w:r>
      <w:r/>
    </w:p>
    <w:p>
      <w:pPr>
        <w:pStyle w:val="998"/>
        <w:ind w:left="0" w:firstLine="420"/>
        <w:keepLines w:val="0"/>
        <w:keepNext w:val="0"/>
        <w:pageBreakBefore w:val="0"/>
        <w:spacing w:line="46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（7）管理单位委托第三方监理单位对中标单位隧道维护管理工作进行监管，中标单位应服从监理单位的管理。</w:t>
      </w:r>
      <w:r/>
    </w:p>
    <w:p>
      <w:pPr>
        <w:pStyle w:val="998"/>
        <w:ind w:left="0" w:firstLine="420"/>
        <w:keepLines w:val="0"/>
        <w:keepNext w:val="0"/>
        <w:pageBreakBefore w:val="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eastAsia="zh-CN"/>
        </w:rPr>
        <w:t xml:space="preserve">）隧道基础资料、日常巡查、检测、维修加固、隧道安全运营管理（隧道安全保护区施工、超限车辆、隧道管线铺设）等信息资料按管理单位要求录入</w:t>
      </w:r>
      <w:r>
        <w:rPr>
          <w:rFonts w:hint="eastAsia" w:ascii="宋体" w:hAnsi="宋体" w:eastAsia="宋体" w:cs="宋体"/>
          <w:color w:val="auto"/>
          <w:sz w:val="21"/>
          <w:szCs w:val="21"/>
          <w:highlight w:val="none"/>
          <w:lang w:val="en-US" w:eastAsia="zh-CN"/>
        </w:rPr>
        <w:t xml:space="preserve">路桥隧智慧</w:t>
      </w:r>
      <w:r>
        <w:rPr>
          <w:rFonts w:hint="eastAsia" w:ascii="宋体" w:hAnsi="宋体" w:eastAsia="宋体" w:cs="宋体"/>
          <w:color w:val="auto"/>
          <w:sz w:val="21"/>
          <w:szCs w:val="21"/>
          <w:highlight w:val="none"/>
          <w:lang w:eastAsia="zh-CN"/>
        </w:rPr>
        <w:t xml:space="preserve">监管系统；对建立健康监测系统的隧道，按要求通过健康监测系统对隧道运行状况进行跟踪管理。</w:t>
      </w:r>
      <w:r/>
    </w:p>
    <w:p>
      <w:pPr>
        <w:pStyle w:val="998"/>
        <w:ind w:left="0" w:firstLine="420"/>
        <w:keepLines w:val="0"/>
        <w:keepNext w:val="0"/>
        <w:pageBreakBefore w:val="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eastAsia="zh-CN"/>
        </w:rPr>
        <w:t xml:space="preserve">）按照管理单位要求，完成通过其他专项经费安排的本项目设施范围内的维护工作（通过建设工程立项程序实施的项目除外）。</w:t>
      </w:r>
      <w:r/>
    </w:p>
    <w:p>
      <w:pPr>
        <w:pStyle w:val="998"/>
        <w:ind w:left="0" w:firstLine="420"/>
        <w:keepLines w:val="0"/>
        <w:keepNext w:val="0"/>
        <w:pageBreakBefore w:val="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）按要求完成设施量年报统计和维护工作开展情况及成效的宣传。</w:t>
      </w:r>
      <w:r/>
    </w:p>
    <w:p>
      <w:pPr>
        <w:pStyle w:val="998"/>
        <w:ind w:left="0" w:firstLine="420"/>
        <w:keepLines w:val="0"/>
        <w:keepNext w:val="0"/>
        <w:pageBreakBefore w:val="0"/>
        <w:spacing w:line="460" w:lineRule="exact"/>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lang w:eastAsia="zh-CN"/>
        </w:rPr>
        <w:t xml:space="preserve">）按照管理单位要求，配合做好上级部门对城市隧道管养情况督查检查。</w:t>
      </w:r>
      <w:r/>
    </w:p>
    <w:p>
      <w:pPr>
        <w:ind w:firstLine="422"/>
        <w:jc w:val="left"/>
        <w:keepLines w:val="0"/>
        <w:keepNext w:val="0"/>
        <w:pageBreakBefore w:val="0"/>
        <w:spacing w:line="460" w:lineRule="exact"/>
        <w:rPr>
          <w:rFonts w:ascii="宋体" w:hAnsi="宋体" w:cs="宋体"/>
          <w:b/>
          <w:color w:val="auto"/>
          <w:szCs w:val="21"/>
          <w:highlight w:val="none"/>
        </w:rPr>
      </w:pPr>
      <w:r>
        <w:rPr>
          <w:rFonts w:hint="eastAsia" w:ascii="宋体" w:hAnsi="宋体" w:cs="宋体"/>
          <w:b/>
          <w:color w:val="auto"/>
          <w:szCs w:val="21"/>
          <w:highlight w:val="none"/>
        </w:rPr>
        <w:t xml:space="preserve">第四条  </w:t>
      </w:r>
      <w:r>
        <w:rPr>
          <w:rFonts w:hint="eastAsia" w:ascii="宋体" w:hAnsi="宋体" w:cs="宋体"/>
          <w:b/>
          <w:bCs/>
          <w:color w:val="auto"/>
          <w:szCs w:val="21"/>
          <w:highlight w:val="none"/>
          <w:lang w:eastAsia="zh-CN"/>
        </w:rPr>
        <w:t xml:space="preserve">双方权利、义务</w:t>
      </w:r>
      <w:r/>
    </w:p>
    <w:p>
      <w:pPr>
        <w:ind w:firstLine="422"/>
        <w:jc w:val="left"/>
        <w:keepLines w:val="0"/>
        <w:keepNext w:val="0"/>
        <w:pageBreakBefore w:val="0"/>
        <w:spacing w:line="460" w:lineRule="exact"/>
        <w:shd w:val="clear" w:color="auto" w:fill="ffffff"/>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（一） </w:t>
      </w:r>
      <w:r>
        <w:rPr>
          <w:rFonts w:hint="eastAsia" w:ascii="宋体" w:hAnsi="宋体" w:cs="宋体"/>
          <w:b/>
          <w:bCs/>
          <w:color w:val="auto"/>
          <w:szCs w:val="21"/>
          <w:highlight w:val="none"/>
          <w:lang w:eastAsia="zh-CN"/>
        </w:rPr>
        <w:t xml:space="preserve">甲方权利、义务</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1、对乙方的</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工作量、</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质量、安全工作及台账资料等进行检查考核，根据考核结果按本合同第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eastAsia="zh-CN"/>
        </w:rPr>
        <w:t xml:space="preserve">条第</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CN"/>
        </w:rPr>
        <w:t xml:space="preserve">款的规定及时拨付费用。</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2、审核乙方提交的</w:t>
      </w:r>
      <w:r>
        <w:rPr>
          <w:rFonts w:hint="eastAsia" w:ascii="宋体" w:hAnsi="宋体" w:eastAsia="宋体" w:cs="宋体"/>
          <w:color w:val="auto"/>
          <w:sz w:val="21"/>
          <w:szCs w:val="21"/>
          <w:highlight w:val="none"/>
          <w:lang w:val="en-US" w:eastAsia="zh-CN"/>
        </w:rPr>
        <w:t xml:space="preserve">月度养护</w:t>
      </w:r>
      <w:r>
        <w:rPr>
          <w:rFonts w:hint="eastAsia" w:ascii="宋体" w:hAnsi="宋体" w:eastAsia="宋体" w:cs="宋体"/>
          <w:color w:val="auto"/>
          <w:sz w:val="21"/>
          <w:szCs w:val="21"/>
          <w:highlight w:val="none"/>
          <w:lang w:eastAsia="zh-CN"/>
        </w:rPr>
        <w:t xml:space="preserve">计划，</w:t>
      </w:r>
      <w:r>
        <w:rPr>
          <w:rFonts w:hint="eastAsia" w:ascii="宋体" w:hAnsi="宋体" w:eastAsia="宋体" w:cs="宋体"/>
          <w:color w:val="auto"/>
          <w:sz w:val="21"/>
          <w:szCs w:val="21"/>
          <w:highlight w:val="none"/>
          <w:lang w:val="en-US" w:eastAsia="zh-CN"/>
        </w:rPr>
        <w:t xml:space="preserve">按需</w:t>
      </w:r>
      <w:r>
        <w:rPr>
          <w:rFonts w:hint="eastAsia" w:ascii="宋体" w:hAnsi="宋体" w:eastAsia="宋体" w:cs="宋体"/>
          <w:color w:val="auto"/>
          <w:sz w:val="21"/>
          <w:szCs w:val="21"/>
          <w:highlight w:val="none"/>
          <w:lang w:eastAsia="zh-CN"/>
        </w:rPr>
        <w:t xml:space="preserve">调整；</w:t>
      </w:r>
      <w:r>
        <w:rPr>
          <w:rFonts w:hint="eastAsia" w:ascii="宋体" w:hAnsi="宋体" w:eastAsia="宋体" w:cs="宋体"/>
          <w:color w:val="auto"/>
          <w:sz w:val="21"/>
          <w:szCs w:val="21"/>
          <w:highlight w:val="none"/>
          <w:lang w:val="en-US" w:eastAsia="zh-CN"/>
        </w:rPr>
        <w:t xml:space="preserve">核查</w:t>
      </w:r>
      <w:r>
        <w:rPr>
          <w:rFonts w:hint="eastAsia" w:ascii="宋体" w:hAnsi="宋体" w:eastAsia="宋体" w:cs="宋体"/>
          <w:color w:val="auto"/>
          <w:sz w:val="21"/>
          <w:szCs w:val="21"/>
          <w:highlight w:val="none"/>
          <w:lang w:eastAsia="zh-CN"/>
        </w:rPr>
        <w:t xml:space="preserve">乙方上报的</w:t>
      </w:r>
      <w:r>
        <w:rPr>
          <w:rFonts w:hint="eastAsia" w:ascii="宋体" w:hAnsi="宋体" w:eastAsia="宋体" w:cs="宋体"/>
          <w:color w:val="auto"/>
          <w:sz w:val="21"/>
          <w:szCs w:val="21"/>
          <w:highlight w:val="none"/>
          <w:lang w:val="en-US" w:eastAsia="zh-CN"/>
        </w:rPr>
        <w:t xml:space="preserve">月度养护完成</w:t>
      </w:r>
      <w:r>
        <w:rPr>
          <w:rFonts w:hint="eastAsia" w:ascii="宋体" w:hAnsi="宋体" w:eastAsia="宋体" w:cs="宋体"/>
          <w:color w:val="auto"/>
          <w:sz w:val="21"/>
          <w:szCs w:val="21"/>
          <w:highlight w:val="none"/>
          <w:lang w:eastAsia="zh-CN"/>
        </w:rPr>
        <w:t xml:space="preserve">工作量。</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、监督检查乙方落实安全作业、环境保护措施。</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、由于建设、</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需要，甲方对乙方所承包的设施实施改造等变动时，应事先书面告知乙方。</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、提供乙方承包</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设施相关工程资料供查阅、复印。</w:t>
      </w:r>
      <w:r/>
    </w:p>
    <w:p>
      <w:pPr>
        <w:pStyle w:val="998"/>
        <w:ind w:left="0" w:firstLine="420"/>
        <w:keepLines w:val="0"/>
        <w:keepNext w:val="0"/>
        <w:pageBreakBefore w:val="0"/>
        <w:spacing w:line="460" w:lineRule="exact"/>
        <w:rPr>
          <w:rFonts w:ascii="宋体" w:hAnsi="宋体" w:cs="宋体"/>
          <w:bCs/>
          <w:color w:val="auto"/>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、在乙方不能履行本合同相应责任、义务或未完全履行而造成严重后果时，按本合同约定的违约责任对乙方追究责任和追偿损失。</w:t>
      </w:r>
      <w:r/>
    </w:p>
    <w:p>
      <w:pPr>
        <w:ind w:firstLine="422"/>
        <w:jc w:val="left"/>
        <w:keepLines w:val="0"/>
        <w:keepNext w:val="0"/>
        <w:pageBreakBefore w:val="0"/>
        <w:spacing w:line="460" w:lineRule="exact"/>
        <w:shd w:val="clear" w:color="auto" w:fill="ffffff" w:themeFill="background1"/>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  乙方</w:t>
      </w:r>
      <w:r>
        <w:rPr>
          <w:rFonts w:hint="eastAsia" w:ascii="宋体" w:hAnsi="宋体" w:cs="宋体"/>
          <w:b/>
          <w:bCs/>
          <w:color w:val="auto"/>
          <w:szCs w:val="21"/>
          <w:highlight w:val="none"/>
          <w:lang w:eastAsia="zh-CN"/>
        </w:rPr>
        <w:t xml:space="preserve">权利、义务</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1、按照《市政府办公厅关于进一步加强南京市城市道路管理工作的若干意见》（宁政办发〔2019〕39号）以及设施规范、规程的要求实施并完成各项设施</w:t>
      </w:r>
      <w:r>
        <w:rPr>
          <w:rFonts w:hint="eastAsia" w:ascii="宋体" w:hAnsi="宋体" w:eastAsia="宋体" w:cs="宋体"/>
          <w:color w:val="auto"/>
          <w:sz w:val="21"/>
          <w:szCs w:val="21"/>
          <w:highlight w:val="none"/>
          <w:lang w:val="en-US" w:eastAsia="zh-CN"/>
        </w:rPr>
        <w:t xml:space="preserve">养</w:t>
      </w:r>
      <w:r>
        <w:rPr>
          <w:rFonts w:hint="eastAsia" w:ascii="宋体" w:hAnsi="宋体" w:eastAsia="宋体" w:cs="宋体"/>
          <w:color w:val="auto"/>
          <w:sz w:val="21"/>
          <w:szCs w:val="21"/>
          <w:highlight w:val="none"/>
          <w:lang w:eastAsia="zh-CN"/>
        </w:rPr>
        <w:t xml:space="preserve">护任务，达到甲方有关设施</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标准，保持所</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设施完好状况的水平。</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2、按照《安全生产法》要求落实企业安全生产主体责任，实施双重预防机制、严格履行南京市各类安全生产管理规定有关安全管理、文明施工等要求；严格落实南京市污染防治各项要求，做好</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施工生态保护工作，并承担</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施工涉及的相关责任。</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3、制定并执行突发事件处置制度，实行全天候值班，及时报告安全事故及人身伤亡事故；履行行风建设职责；对所</w:t>
      </w:r>
      <w:r>
        <w:rPr>
          <w:rFonts w:hint="eastAsia" w:ascii="宋体" w:hAnsi="宋体" w:eastAsia="宋体" w:cs="宋体"/>
          <w:color w:val="auto"/>
          <w:sz w:val="21"/>
          <w:szCs w:val="21"/>
          <w:highlight w:val="none"/>
          <w:lang w:val="en-US" w:eastAsia="zh-CN"/>
        </w:rPr>
        <w:t xml:space="preserve">承包</w:t>
      </w:r>
      <w:r>
        <w:rPr>
          <w:rFonts w:hint="eastAsia" w:ascii="宋体" w:hAnsi="宋体" w:eastAsia="宋体" w:cs="宋体"/>
          <w:color w:val="auto"/>
          <w:sz w:val="21"/>
          <w:szCs w:val="21"/>
          <w:highlight w:val="none"/>
          <w:lang w:eastAsia="zh-CN"/>
        </w:rPr>
        <w:t xml:space="preserve">的设施应开展日常巡查，发现违章挖掘、占用或人为损坏时、</w:t>
      </w:r>
      <w:r>
        <w:rPr>
          <w:rFonts w:hint="eastAsia" w:ascii="宋体" w:hAnsi="宋体" w:eastAsia="宋体" w:cs="宋体"/>
          <w:color w:val="auto"/>
          <w:sz w:val="21"/>
          <w:szCs w:val="21"/>
          <w:highlight w:val="none"/>
          <w:lang w:val="en-US" w:eastAsia="zh-CN"/>
        </w:rPr>
        <w:t xml:space="preserve">未经许可在设施保护区范围内作业</w:t>
      </w:r>
      <w:r>
        <w:rPr>
          <w:rFonts w:hint="eastAsia" w:ascii="宋体" w:hAnsi="宋体" w:eastAsia="宋体" w:cs="宋体"/>
          <w:color w:val="auto"/>
          <w:sz w:val="21"/>
          <w:szCs w:val="21"/>
          <w:highlight w:val="none"/>
          <w:lang w:eastAsia="zh-CN"/>
        </w:rPr>
        <w:t xml:space="preserve">，应予以制止，并采取必要措施保障公共安全，同时及时向甲方报告。</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4、乙方应积极做好养护，消除设施病害未及时处置引发的各类投诉；以高度责任感积极主动做好设施相关的各类投诉处理，提高处理满意度；认真负责地按照甲方指令做好设施相关投诉工作。</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、建立健全各类台帐资料，按规定及时准确地向管理单位报送</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计划和</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报表。</w:t>
      </w:r>
      <w:r/>
    </w:p>
    <w:p>
      <w:pPr>
        <w:pStyle w:val="998"/>
        <w:ind w:left="0" w:firstLine="420"/>
        <w:keepLines w:val="0"/>
        <w:keepNext w:val="0"/>
        <w:pageBreakBefore w:val="0"/>
        <w:spacing w:line="4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6、乙方应按月上报本月养护完成工作量、费用测算和下月养护计划，以便甲方掌握养护计划和经费投入情况。</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、按照甲方要求，制定所承包</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设施职责范围内的防汛、扫雪防冻等应急抢险预案，组织和落实防汛、扫雪防冻的抢险队伍、机具和常用材料。汛期和下雪冰冻期间保持24小时通讯畅通，服从甲方调度和管理。</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、建立健全各类应急预案，做到应急处理全覆盖。</w:t>
      </w:r>
      <w:r>
        <w:rPr>
          <w:rFonts w:hint="eastAsia" w:ascii="宋体" w:hAnsi="宋体" w:eastAsia="宋体" w:cs="宋体"/>
          <w:color w:val="auto"/>
          <w:sz w:val="21"/>
          <w:szCs w:val="21"/>
          <w:highlight w:val="none"/>
          <w:lang w:val="en-US" w:eastAsia="zh-CN"/>
        </w:rPr>
        <w:t xml:space="preserve">依据主管部门、甲方相关应急预案要求，及时响应、处置突发事件，</w:t>
      </w:r>
      <w:r>
        <w:rPr>
          <w:rFonts w:hint="eastAsia" w:ascii="宋体" w:hAnsi="宋体" w:eastAsia="宋体" w:cs="宋体"/>
          <w:color w:val="auto"/>
          <w:sz w:val="21"/>
          <w:szCs w:val="21"/>
          <w:highlight w:val="none"/>
          <w:lang w:eastAsia="zh-CN"/>
        </w:rPr>
        <w:t xml:space="preserve">落实现场安全防范措施，</w:t>
      </w:r>
      <w:r>
        <w:rPr>
          <w:rFonts w:hint="eastAsia" w:ascii="宋体" w:hAnsi="宋体" w:eastAsia="宋体" w:cs="宋体"/>
          <w:color w:val="auto"/>
          <w:sz w:val="21"/>
          <w:szCs w:val="21"/>
          <w:highlight w:val="none"/>
          <w:lang w:val="en-US" w:eastAsia="zh-CN"/>
        </w:rPr>
        <w:t xml:space="preserve">应甲方要求进行</w:t>
      </w:r>
      <w:r>
        <w:rPr>
          <w:rFonts w:hint="eastAsia" w:ascii="宋体" w:hAnsi="宋体" w:eastAsia="宋体" w:cs="宋体"/>
          <w:color w:val="auto"/>
          <w:sz w:val="21"/>
          <w:szCs w:val="21"/>
          <w:highlight w:val="none"/>
          <w:lang w:eastAsia="zh-CN"/>
        </w:rPr>
        <w:t xml:space="preserve">抢修，</w:t>
      </w:r>
      <w:r>
        <w:rPr>
          <w:rFonts w:hint="eastAsia" w:ascii="宋体" w:hAnsi="宋体" w:eastAsia="宋体" w:cs="宋体"/>
          <w:color w:val="auto"/>
          <w:sz w:val="21"/>
          <w:szCs w:val="21"/>
          <w:highlight w:val="none"/>
          <w:lang w:val="en-US" w:eastAsia="zh-CN"/>
        </w:rPr>
        <w:t xml:space="preserve">及时</w:t>
      </w:r>
      <w:r>
        <w:rPr>
          <w:rFonts w:hint="eastAsia" w:ascii="宋体" w:hAnsi="宋体" w:eastAsia="宋体" w:cs="宋体"/>
          <w:color w:val="auto"/>
          <w:sz w:val="21"/>
          <w:szCs w:val="21"/>
          <w:highlight w:val="none"/>
          <w:lang w:eastAsia="zh-CN"/>
        </w:rPr>
        <w:t xml:space="preserve">消除隐患。</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、乙方所采用的</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材料、机具必须符合国家、省、市相关标准和规定，且为合格产品。</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、按照甲方要求，保质保量按期完成甲方交办的其他指令性任务。</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、乙方未经甲方同意，不得将所</w:t>
      </w:r>
      <w:r>
        <w:rPr>
          <w:rFonts w:hint="eastAsia" w:ascii="宋体" w:hAnsi="宋体" w:eastAsia="宋体" w:cs="宋体"/>
          <w:color w:val="auto"/>
          <w:sz w:val="21"/>
          <w:szCs w:val="21"/>
          <w:highlight w:val="none"/>
          <w:lang w:val="en-US" w:eastAsia="zh-CN"/>
        </w:rPr>
        <w:t xml:space="preserve">承包</w:t>
      </w:r>
      <w:r>
        <w:rPr>
          <w:rFonts w:hint="eastAsia" w:ascii="宋体" w:hAnsi="宋体" w:eastAsia="宋体" w:cs="宋体"/>
          <w:color w:val="auto"/>
          <w:sz w:val="21"/>
          <w:szCs w:val="21"/>
          <w:highlight w:val="none"/>
          <w:lang w:eastAsia="zh-CN"/>
        </w:rPr>
        <w:t xml:space="preserve">的设施进行出租、抵押、担保或利用其从事广告等其他经营性行为。如发生此类行为，除不具有法律效力外，乙方须承担由此给甲方和第三方造成的一切损失。</w:t>
      </w:r>
      <w:r/>
    </w:p>
    <w:p>
      <w:pPr>
        <w:pStyle w:val="998"/>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、乙方未经甲方同意，不得私自改动设施或允许他人改动设施。</w:t>
      </w:r>
      <w:r/>
    </w:p>
    <w:p>
      <w:pPr>
        <w:pStyle w:val="998"/>
        <w:ind w:left="0" w:firstLine="420"/>
        <w:keepLines w:val="0"/>
        <w:keepNext w:val="0"/>
        <w:pageBreakBefore w:val="0"/>
        <w:spacing w:line="460" w:lineRule="exact"/>
        <w:rPr>
          <w:color w:val="auto"/>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、乙方应自觉接受甲方委托的第三方监理单位对设施</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相关工作的监督。</w:t>
      </w:r>
      <w:r/>
    </w:p>
    <w:p>
      <w:pPr>
        <w:ind w:firstLine="422"/>
        <w:jc w:val="left"/>
        <w:keepLines w:val="0"/>
        <w:keepNext w:val="0"/>
        <w:pageBreakBefore w:val="0"/>
        <w:spacing w:line="460" w:lineRule="exact"/>
        <w:shd w:val="clear" w:color="auto" w:fill="ffffff" w:themeFill="background1"/>
        <w:rPr>
          <w:rFonts w:ascii="宋体" w:hAnsi="宋体" w:cs="宋体"/>
          <w:b/>
          <w:color w:val="auto"/>
          <w:szCs w:val="21"/>
          <w:highlight w:val="none"/>
        </w:rPr>
      </w:pPr>
      <w:r>
        <w:rPr>
          <w:rFonts w:hint="eastAsia" w:ascii="宋体" w:hAnsi="宋体" w:cs="宋体"/>
          <w:b/>
          <w:color w:val="auto"/>
          <w:szCs w:val="21"/>
          <w:highlight w:val="none"/>
        </w:rPr>
        <w:t xml:space="preserve">第五条  交接和验收</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1、乙方在</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期满后5个工作日内向甲方交付符合招投标文件和合同所规定养护标准的隧道设施，同时提供</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期内</w:t>
      </w:r>
      <w:r>
        <w:rPr>
          <w:rFonts w:hint="eastAsia" w:ascii="宋体" w:hAnsi="宋体" w:cs="宋体"/>
          <w:bCs/>
          <w:color w:val="auto"/>
          <w:szCs w:val="21"/>
          <w:highlight w:val="none"/>
        </w:rPr>
        <w:t xml:space="preserve">日常巡查、定期检测、维修加固、突发事件应急处置、服务保障、安全运营管理等台账资料</w:t>
      </w:r>
      <w:r>
        <w:rPr>
          <w:rFonts w:hint="eastAsia" w:ascii="宋体" w:hAnsi="宋体" w:cs="宋体"/>
          <w:color w:val="auto"/>
          <w:szCs w:val="21"/>
          <w:highlight w:val="none"/>
        </w:rPr>
        <w:t xml:space="preserve">给甲方；乙方不能完整交付本款规定的相应台帐资料的，视为未按合同约定按期交付，乙方负责补齐，因此导致逾期交付的，由乙方承担相关的违约责任。</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2、甲方应当在接收到完整的台帐资料后10个工作日内对隧道设施进行验收。验收合格的，由甲方签署验收单并加盖单位公章。招标文件对</w:t>
      </w:r>
      <w:r>
        <w:rPr>
          <w:rFonts w:hint="eastAsia" w:ascii="宋体" w:hAnsi="宋体" w:cs="宋体"/>
          <w:color w:val="auto"/>
          <w:szCs w:val="21"/>
          <w:highlight w:val="none"/>
          <w:lang w:val="en-US" w:eastAsia="zh-CN"/>
        </w:rPr>
        <w:t xml:space="preserve">验收</w:t>
      </w:r>
      <w:r>
        <w:rPr>
          <w:rFonts w:hint="eastAsia" w:ascii="宋体" w:hAnsi="宋体" w:cs="宋体"/>
          <w:color w:val="auto"/>
          <w:szCs w:val="21"/>
          <w:highlight w:val="none"/>
        </w:rPr>
        <w:t xml:space="preserve">期限另有规定的，从其规定。</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3、乙方交付的隧道设施不符合招投标文件和合同规定的，甲方有权要求乙方进行整改，由此引起的风险和费用，由乙方承担。</w:t>
      </w:r>
      <w:r/>
    </w:p>
    <w:p>
      <w:pPr>
        <w:ind w:firstLine="422"/>
        <w:jc w:val="left"/>
        <w:keepLines w:val="0"/>
        <w:keepNext w:val="0"/>
        <w:pageBreakBefore w:val="0"/>
        <w:spacing w:line="460" w:lineRule="exact"/>
        <w:shd w:val="clear" w:color="auto" w:fill="ffffff" w:themeFill="background1"/>
        <w:widowControl/>
        <w:rPr>
          <w:rFonts w:ascii="宋体" w:hAnsi="宋体" w:cs="宋体"/>
          <w:color w:val="auto"/>
          <w:szCs w:val="21"/>
          <w:highlight w:val="none"/>
        </w:rPr>
      </w:pPr>
      <w:r>
        <w:rPr>
          <w:rFonts w:hint="eastAsia" w:ascii="宋体" w:hAnsi="宋体" w:cs="宋体"/>
          <w:b/>
          <w:bCs/>
          <w:color w:val="auto"/>
          <w:szCs w:val="21"/>
          <w:highlight w:val="none"/>
        </w:rPr>
        <w:t xml:space="preserve">第六条 履约保证金</w:t>
      </w:r>
      <w:r/>
    </w:p>
    <w:p>
      <w:pPr>
        <w:ind w:firstLine="420"/>
        <w:jc w:val="left"/>
        <w:keepLines w:val="0"/>
        <w:keepNext w:val="0"/>
        <w:pageBreakBefore w:val="0"/>
        <w:spacing w:line="460" w:lineRule="exact"/>
        <w:shd w:val="clear" w:color="auto" w:fill="ffffff" w:themeFill="background1"/>
        <w:widowControl/>
        <w:rPr>
          <w:color w:val="auto"/>
          <w:highlight w:val="none"/>
        </w:rPr>
      </w:pPr>
      <w:r>
        <w:rPr>
          <w:rFonts w:hint="eastAsia" w:ascii="宋体" w:hAnsi="宋体" w:cs="宋体"/>
          <w:bCs/>
          <w:color w:val="auto"/>
          <w:szCs w:val="21"/>
          <w:highlight w:val="none"/>
        </w:rPr>
        <w:t xml:space="preserve">无。</w:t>
      </w:r>
      <w:r/>
    </w:p>
    <w:p>
      <w:pPr>
        <w:ind w:firstLine="422"/>
        <w:jc w:val="left"/>
        <w:keepLines w:val="0"/>
        <w:keepNext w:val="0"/>
        <w:pageBreakBefore w:val="0"/>
        <w:spacing w:line="460" w:lineRule="exact"/>
        <w:shd w:val="clear" w:color="auto" w:fill="ffffff" w:themeFill="background1"/>
        <w:rPr>
          <w:rFonts w:ascii="宋体" w:hAnsi="宋体" w:cs="宋体"/>
          <w:b/>
          <w:color w:val="auto"/>
          <w:szCs w:val="21"/>
          <w:highlight w:val="none"/>
        </w:rPr>
      </w:pPr>
      <w:r>
        <w:rPr>
          <w:rFonts w:hint="eastAsia" w:ascii="宋体" w:hAnsi="宋体" w:cs="宋体"/>
          <w:b/>
          <w:color w:val="auto"/>
          <w:szCs w:val="21"/>
          <w:highlight w:val="none"/>
        </w:rPr>
        <w:t xml:space="preserve">第七条   养护服务款项支付</w:t>
      </w:r>
      <w:r/>
    </w:p>
    <w:p>
      <w:pPr>
        <w:pStyle w:val="998"/>
        <w:ind w:left="0" w:firstLine="420"/>
        <w:keepLines w:val="0"/>
        <w:keepNext w:val="0"/>
        <w:pageBreakBefore w:val="0"/>
        <w:spacing w:line="460" w:lineRule="exact"/>
        <w:shd w:val="clear" w:color="auto" w:fill="ffffff" w:themeFill="background1"/>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1、合同价款：本合同为</w:t>
      </w:r>
      <w:r>
        <w:rPr>
          <w:rFonts w:hint="eastAsia" w:ascii="宋体" w:hAnsi="宋体" w:eastAsia="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lang w:eastAsia="zh-CN"/>
        </w:rPr>
        <w:t xml:space="preserve">价合同，合同年度</w:t>
      </w:r>
      <w:r>
        <w:rPr>
          <w:rFonts w:hint="eastAsia" w:ascii="宋体" w:hAnsi="宋体" w:eastAsia="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lang w:eastAsia="zh-CN"/>
        </w:rPr>
        <w:t xml:space="preserve">价款为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元（人民币），</w:t>
      </w:r>
      <w:r>
        <w:rPr>
          <w:rFonts w:hint="eastAsia" w:ascii="宋体" w:hAnsi="宋体" w:eastAsia="宋体" w:cs="宋体"/>
          <w:color w:val="auto"/>
          <w:sz w:val="21"/>
          <w:szCs w:val="21"/>
          <w:highlight w:val="none"/>
          <w:lang w:val="en-US" w:eastAsia="zh-CN"/>
        </w:rPr>
        <w:t xml:space="preserve">但甲方可进行扣减，</w:t>
      </w:r>
      <w:r>
        <w:rPr>
          <w:rFonts w:hint="eastAsia" w:ascii="宋体" w:hAnsi="宋体" w:eastAsia="宋体" w:cs="宋体"/>
          <w:color w:val="auto"/>
          <w:sz w:val="21"/>
          <w:szCs w:val="21"/>
          <w:highlight w:val="none"/>
          <w:lang w:eastAsia="zh-CN"/>
        </w:rPr>
        <w:t xml:space="preserve">最终价款以甲方根据下列因素核定后的金额为准：</w:t>
      </w:r>
      <w:r>
        <w:rPr>
          <w:rFonts w:hint="eastAsia" w:ascii="宋体" w:hAnsi="宋体" w:eastAsia="宋体" w:cs="宋体"/>
          <w:color w:val="auto"/>
          <w:sz w:val="21"/>
          <w:szCs w:val="21"/>
          <w:highlight w:val="none"/>
          <w:lang w:val="en-US" w:eastAsia="zh-CN"/>
        </w:rPr>
        <w:t xml:space="preserve">对乙方</w:t>
      </w:r>
      <w:r>
        <w:rPr>
          <w:rFonts w:hint="eastAsia" w:ascii="宋体" w:hAnsi="宋体" w:eastAsia="宋体" w:cs="宋体"/>
          <w:color w:val="auto"/>
          <w:sz w:val="21"/>
          <w:szCs w:val="21"/>
          <w:highlight w:val="none"/>
          <w:lang w:eastAsia="zh-CN"/>
        </w:rPr>
        <w:t xml:space="preserve">考核</w:t>
      </w:r>
      <w:r>
        <w:rPr>
          <w:rFonts w:hint="eastAsia" w:ascii="宋体" w:hAnsi="宋体" w:eastAsia="宋体" w:cs="宋体"/>
          <w:color w:val="auto"/>
          <w:sz w:val="21"/>
          <w:szCs w:val="21"/>
          <w:highlight w:val="none"/>
          <w:lang w:val="en-US" w:eastAsia="zh-CN"/>
        </w:rPr>
        <w:t xml:space="preserve">成绩所</w:t>
      </w:r>
      <w:r>
        <w:rPr>
          <w:rFonts w:hint="eastAsia" w:ascii="宋体" w:hAnsi="宋体" w:eastAsia="宋体" w:cs="宋体"/>
          <w:color w:val="auto"/>
          <w:sz w:val="21"/>
          <w:szCs w:val="21"/>
          <w:highlight w:val="none"/>
          <w:lang w:eastAsia="zh-CN"/>
        </w:rPr>
        <w:t xml:space="preserve">对应</w:t>
      </w:r>
      <w:r>
        <w:rPr>
          <w:rFonts w:hint="eastAsia" w:ascii="宋体" w:hAnsi="宋体" w:eastAsia="宋体" w:cs="宋体"/>
          <w:color w:val="auto"/>
          <w:sz w:val="21"/>
          <w:szCs w:val="21"/>
          <w:highlight w:val="none"/>
          <w:lang w:val="en-US" w:eastAsia="zh-CN"/>
        </w:rPr>
        <w:t xml:space="preserve">扣减；养护设施量因新建、移交、拆除或出新等发生的实际增减；市级财政对城维资金的调整</w:t>
      </w:r>
      <w:r>
        <w:rPr>
          <w:rFonts w:hint="eastAsia" w:ascii="宋体" w:hAnsi="宋体" w:eastAsia="宋体" w:cs="宋体"/>
          <w:color w:val="auto"/>
          <w:sz w:val="21"/>
          <w:szCs w:val="21"/>
          <w:highlight w:val="none"/>
          <w:lang w:eastAsia="zh-CN"/>
        </w:rPr>
        <w:t xml:space="preserve">。</w:t>
      </w:r>
      <w:r/>
    </w:p>
    <w:p>
      <w:pPr>
        <w:pStyle w:val="998"/>
        <w:ind w:left="0" w:firstLine="420"/>
        <w:keepLines w:val="0"/>
        <w:keepNext w:val="0"/>
        <w:pageBreakBefore w:val="0"/>
        <w:spacing w:line="460" w:lineRule="exact"/>
        <w:shd w:val="clear" w:color="auto" w:fill="ffffff" w:themeFill="background1"/>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2、下列内容不包括在本合同价款内，甲方根据乙方实际发生费用，进行核定后额外拨付：不可抗力或非乙方养护责任造成设施损坏需抢修或维修，经甲方核实同意发生的抢修费用。</w:t>
      </w:r>
      <w:r/>
    </w:p>
    <w:p>
      <w:pPr>
        <w:pStyle w:val="998"/>
        <w:ind w:left="0" w:firstLine="420"/>
        <w:keepLines w:val="0"/>
        <w:keepNext w:val="0"/>
        <w:pageBreakBefore w:val="0"/>
        <w:spacing w:line="460" w:lineRule="exact"/>
        <w:shd w:val="clear" w:color="auto" w:fill="ffffff" w:themeFill="background1"/>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支付</w:t>
      </w:r>
      <w:r>
        <w:rPr>
          <w:rFonts w:hint="eastAsia" w:ascii="宋体" w:hAnsi="宋体" w:eastAsia="宋体" w:cs="宋体"/>
          <w:color w:val="auto"/>
          <w:sz w:val="21"/>
          <w:szCs w:val="21"/>
          <w:highlight w:val="none"/>
          <w:lang w:eastAsia="zh-CN"/>
        </w:rPr>
        <w:t xml:space="preserve">方式：（1）甲方对乙方</w:t>
      </w:r>
      <w:r>
        <w:rPr>
          <w:rFonts w:hint="eastAsia" w:ascii="宋体" w:hAnsi="宋体" w:eastAsia="宋体" w:cs="宋体"/>
          <w:color w:val="auto"/>
          <w:sz w:val="21"/>
          <w:szCs w:val="21"/>
          <w:highlight w:val="none"/>
          <w:lang w:val="en-US" w:eastAsia="zh-CN"/>
        </w:rPr>
        <w:t xml:space="preserve">养护服务</w:t>
      </w:r>
      <w:r>
        <w:rPr>
          <w:rFonts w:hint="eastAsia" w:ascii="宋体" w:hAnsi="宋体" w:eastAsia="宋体" w:cs="宋体"/>
          <w:color w:val="auto"/>
          <w:sz w:val="21"/>
          <w:szCs w:val="21"/>
          <w:highlight w:val="none"/>
          <w:lang w:eastAsia="zh-CN"/>
        </w:rPr>
        <w:t xml:space="preserve">进行履约考核，根据考核结果拨付费用，原则上</w:t>
      </w:r>
      <w:r>
        <w:rPr>
          <w:rFonts w:hint="eastAsia" w:ascii="宋体" w:hAnsi="宋体" w:eastAsia="宋体" w:cs="宋体"/>
          <w:color w:val="auto"/>
          <w:sz w:val="21"/>
          <w:szCs w:val="21"/>
          <w:highlight w:val="none"/>
          <w:lang w:val="en-US" w:eastAsia="zh-CN"/>
        </w:rPr>
        <w:t xml:space="preserve">前三季度每次支付每年合同总价的25%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第四季度根据全年考核情况等支付尾款</w:t>
      </w:r>
      <w:r>
        <w:rPr>
          <w:rFonts w:hint="eastAsia" w:ascii="宋体" w:hAnsi="宋体" w:eastAsia="宋体" w:cs="宋体"/>
          <w:color w:val="auto"/>
          <w:sz w:val="21"/>
          <w:szCs w:val="21"/>
          <w:highlight w:val="none"/>
          <w:lang w:eastAsia="zh-CN"/>
        </w:rPr>
        <w:t xml:space="preserve">。（２）养护经费拨付时，乙方提供正式发票。（3）</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可根据市财政资金指标下达情况和支付业务结束时间相应调整支付</w:t>
      </w:r>
      <w:r>
        <w:rPr>
          <w:rFonts w:hint="eastAsia" w:ascii="宋体" w:hAnsi="宋体" w:eastAsia="宋体" w:cs="宋体"/>
          <w:color w:val="auto"/>
          <w:sz w:val="21"/>
          <w:szCs w:val="21"/>
          <w:highlight w:val="none"/>
          <w:lang w:val="en-US" w:eastAsia="zh-CN"/>
        </w:rPr>
        <w:t xml:space="preserve">金额和</w:t>
      </w:r>
      <w:r>
        <w:rPr>
          <w:rFonts w:hint="eastAsia" w:ascii="宋体" w:hAnsi="宋体" w:eastAsia="宋体" w:cs="宋体"/>
          <w:color w:val="auto"/>
          <w:sz w:val="21"/>
          <w:szCs w:val="21"/>
          <w:highlight w:val="none"/>
          <w:lang w:eastAsia="zh-CN"/>
        </w:rPr>
        <w:t xml:space="preserve">时间。（4）由于资金构成涉及上级多部门，因上级部门拨付时间问题引起的逾期付款，</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不承担违约金及相关利息。</w:t>
      </w:r>
      <w:r/>
    </w:p>
    <w:p>
      <w:pPr>
        <w:pStyle w:val="998"/>
        <w:ind w:left="0" w:firstLine="422"/>
        <w:keepLines w:val="0"/>
        <w:keepNext w:val="0"/>
        <w:pageBreakBefore w:val="0"/>
        <w:spacing w:line="460" w:lineRule="exact"/>
        <w:shd w:val="clear" w:color="auto" w:fill="ffffff" w:themeFill="background1"/>
        <w:rPr>
          <w:rFonts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第八条  质量与考核</w:t>
      </w:r>
      <w:r/>
    </w:p>
    <w:p>
      <w:pPr>
        <w:ind w:firstLine="420"/>
        <w:jc w:val="left"/>
        <w:keepLines w:val="0"/>
        <w:keepNext w:val="0"/>
        <w:pageBreakBefore w:val="0"/>
        <w:spacing w:line="460" w:lineRule="exact"/>
        <w:shd w:val="clear" w:color="auto" w:fill="ffffff" w:themeFill="background1"/>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严格执行《城市桥梁养护技术标准》（CJJ99）《江苏省城市隧道建设、运行与维护指南（试行）》，认真落实《南京市城市道路设施精细化养护技术指南》《南京市城市道路养护作业安全操作指南》。</w:t>
      </w:r>
      <w:r/>
    </w:p>
    <w:p>
      <w:pPr>
        <w:pStyle w:val="998"/>
        <w:ind w:left="0" w:firstLine="420"/>
        <w:keepLines w:val="0"/>
        <w:keepNext w:val="0"/>
        <w:pageBreakBefore w:val="0"/>
        <w:spacing w:line="460" w:lineRule="exact"/>
        <w:shd w:val="clear" w:color="auto" w:fill="ffffff" w:themeFill="background1"/>
        <w:rPr>
          <w:rFonts w:ascii="宋体" w:hAnsi="宋体" w:eastAsia="宋体" w:cs="宋体"/>
          <w:strike/>
          <w:color w:val="auto"/>
          <w:sz w:val="21"/>
          <w:szCs w:val="21"/>
          <w:highlight w:val="none"/>
          <w:lang w:eastAsia="zh-CN"/>
        </w:rPr>
      </w:pPr>
      <w:r>
        <w:rPr>
          <w:rFonts w:hint="eastAsia" w:ascii="宋体" w:hAnsi="宋体" w:eastAsia="宋体" w:cs="宋体"/>
          <w:color w:val="auto"/>
          <w:szCs w:val="21"/>
          <w:highlight w:val="none"/>
          <w:lang w:val="en-US" w:eastAsia="zh-CN"/>
        </w:rPr>
        <w:t xml:space="preserve">甲方根据《南京市城市道路维护管理检查考核办法》（宁交道路[2023]79号）定期对乙方服务质量进行检查考核</w:t>
      </w:r>
      <w:r>
        <w:rPr>
          <w:rFonts w:hint="eastAsia" w:ascii="宋体" w:hAnsi="宋体" w:eastAsia="宋体" w:cs="宋体"/>
          <w:color w:val="auto"/>
          <w:sz w:val="21"/>
          <w:szCs w:val="21"/>
          <w:highlight w:val="none"/>
          <w:lang w:eastAsia="zh-CN"/>
        </w:rPr>
        <w:t xml:space="preserve">。</w:t>
      </w:r>
      <w:r/>
    </w:p>
    <w:p>
      <w:pPr>
        <w:pStyle w:val="998"/>
        <w:ind w:left="0" w:firstLine="422"/>
        <w:keepLines w:val="0"/>
        <w:keepNext w:val="0"/>
        <w:pageBreakBefore w:val="0"/>
        <w:spacing w:line="460" w:lineRule="exact"/>
        <w:shd w:val="clear" w:color="auto" w:fill="ffffff" w:themeFill="background1"/>
        <w:rPr>
          <w:rFonts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第九条　违约责任</w:t>
      </w:r>
      <w:r/>
    </w:p>
    <w:p>
      <w:pPr>
        <w:ind w:firstLine="420"/>
        <w:jc w:val="left"/>
        <w:keepLines w:val="0"/>
        <w:keepNext w:val="0"/>
        <w:pageBreakBefore w:val="0"/>
        <w:spacing w:line="460" w:lineRule="exact"/>
        <w:shd w:val="clear" w:color="auto" w:fill="ffffff" w:themeFill="background1"/>
        <w:widowControl/>
        <w:rPr>
          <w:rFonts w:ascii="宋体" w:hAnsi="宋体" w:cs="宋体"/>
          <w:color w:val="auto"/>
          <w:szCs w:val="21"/>
          <w:highlight w:val="none"/>
        </w:rPr>
      </w:pPr>
      <w:r>
        <w:rPr>
          <w:rFonts w:hint="eastAsia" w:ascii="宋体" w:hAnsi="宋体" w:cs="宋体"/>
          <w:color w:val="auto"/>
          <w:szCs w:val="21"/>
          <w:highlight w:val="none"/>
        </w:rPr>
        <w:t xml:space="preserve">1、甲方无正当理由拒绝验收或拒付合同款的,甲方应向乙方支付</w:t>
      </w:r>
      <w:r>
        <w:rPr>
          <w:rFonts w:hint="eastAsia" w:ascii="宋体" w:hAnsi="宋体" w:cs="宋体"/>
          <w:color w:val="auto"/>
          <w:szCs w:val="21"/>
          <w:highlight w:val="none"/>
          <w:lang w:val="en-US" w:eastAsia="zh-CN"/>
        </w:rPr>
        <w:t xml:space="preserve">年度</w:t>
      </w:r>
      <w:r>
        <w:rPr>
          <w:rFonts w:hint="eastAsia" w:ascii="宋体" w:hAnsi="宋体" w:cs="宋体"/>
          <w:color w:val="auto"/>
          <w:szCs w:val="21"/>
          <w:highlight w:val="none"/>
        </w:rPr>
        <w:t xml:space="preserve">合同总价1% 的违约金。</w:t>
      </w:r>
      <w:r/>
    </w:p>
    <w:p>
      <w:pPr>
        <w:ind w:firstLine="420"/>
        <w:jc w:val="left"/>
        <w:keepLines w:val="0"/>
        <w:keepNext w:val="0"/>
        <w:pageBreakBefore w:val="0"/>
        <w:spacing w:line="460" w:lineRule="exact"/>
        <w:shd w:val="clear" w:color="auto" w:fill="ffffff" w:themeFill="background1"/>
        <w:widowControl/>
        <w:rPr>
          <w:rFonts w:ascii="宋体" w:hAnsi="宋体" w:cs="宋体"/>
          <w:color w:val="auto"/>
          <w:szCs w:val="21"/>
          <w:highlight w:val="none"/>
        </w:rPr>
      </w:pPr>
      <w:r>
        <w:rPr>
          <w:rFonts w:hint="eastAsia" w:ascii="宋体" w:hAnsi="宋体" w:cs="宋体"/>
          <w:color w:val="auto"/>
          <w:szCs w:val="21"/>
          <w:highlight w:val="none"/>
        </w:rPr>
        <w:t xml:space="preserve">2、甲方延期付款（</w:t>
      </w:r>
      <w:r>
        <w:rPr>
          <w:rFonts w:hint="eastAsia" w:ascii="宋体" w:hAnsi="宋体" w:cs="宋体"/>
          <w:color w:val="auto"/>
          <w:highlight w:val="none"/>
        </w:rPr>
        <w:t xml:space="preserve">有正当拒付理由如财政资金拨付延迟等情况除外</w:t>
      </w:r>
      <w:r>
        <w:rPr>
          <w:rFonts w:hint="eastAsia" w:ascii="宋体" w:hAnsi="宋体" w:cs="宋体"/>
          <w:color w:val="auto"/>
          <w:szCs w:val="21"/>
          <w:highlight w:val="none"/>
        </w:rPr>
        <w:t xml:space="preserve">），应向乙方偿付拖欠款项的违约金，金额每日按逾期款金额的万分之三计算，但累计滞纳金总额不超过欠款总额的</w:t>
      </w: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p>
    <w:p>
      <w:pPr>
        <w:ind w:firstLine="420"/>
        <w:jc w:val="left"/>
        <w:keepLines w:val="0"/>
        <w:keepNext w:val="0"/>
        <w:pageBreakBefore w:val="0"/>
        <w:spacing w:line="460" w:lineRule="exact"/>
        <w:shd w:val="clear" w:color="auto" w:fill="ffffff" w:themeFill="background1"/>
        <w:widowControl/>
        <w:rPr>
          <w:rFonts w:ascii="宋体" w:hAnsi="宋体" w:cs="宋体"/>
          <w:color w:val="auto"/>
          <w:szCs w:val="21"/>
          <w:highlight w:val="none"/>
        </w:rPr>
      </w:pPr>
      <w:r>
        <w:rPr>
          <w:rFonts w:hint="eastAsia" w:ascii="宋体" w:hAnsi="宋体" w:cs="宋体"/>
          <w:color w:val="auto"/>
          <w:szCs w:val="21"/>
          <w:highlight w:val="none"/>
        </w:rPr>
        <w:t xml:space="preserve">3、由于乙方过失导致合同终止的，乙方应向甲方支付</w:t>
      </w:r>
      <w:r>
        <w:rPr>
          <w:rFonts w:hint="eastAsia" w:ascii="宋体" w:hAnsi="宋体" w:cs="宋体"/>
          <w:color w:val="auto"/>
          <w:szCs w:val="21"/>
          <w:highlight w:val="none"/>
          <w:lang w:val="en-US" w:eastAsia="zh-CN"/>
        </w:rPr>
        <w:t xml:space="preserve">年度</w:t>
      </w:r>
      <w:r>
        <w:rPr>
          <w:rFonts w:hint="eastAsia" w:ascii="宋体" w:hAnsi="宋体" w:cs="宋体"/>
          <w:color w:val="auto"/>
          <w:szCs w:val="21"/>
          <w:highlight w:val="none"/>
        </w:rPr>
        <w:t xml:space="preserve">合同总价10%的违约金，并承担合同终止后甲方相应损失。未满足合同终止条件，甲方要求终止合同的，甲方应向乙方支付</w:t>
      </w:r>
      <w:r>
        <w:rPr>
          <w:rFonts w:hint="eastAsia" w:ascii="宋体" w:hAnsi="宋体" w:cs="宋体"/>
          <w:color w:val="auto"/>
          <w:szCs w:val="21"/>
          <w:highlight w:val="none"/>
          <w:lang w:val="en-US" w:eastAsia="zh-CN"/>
        </w:rPr>
        <w:t xml:space="preserve">年度</w:t>
      </w:r>
      <w:r>
        <w:rPr>
          <w:rFonts w:hint="eastAsia" w:ascii="宋体" w:hAnsi="宋体" w:cs="宋体"/>
          <w:color w:val="auto"/>
          <w:szCs w:val="21"/>
          <w:highlight w:val="none"/>
        </w:rPr>
        <w:t xml:space="preserve">合同总价10%的违约金，并承担合同终止后乙方相应损失。</w:t>
      </w:r>
      <w:r/>
    </w:p>
    <w:p>
      <w:pPr>
        <w:ind w:firstLine="420"/>
        <w:jc w:val="left"/>
        <w:keepLines w:val="0"/>
        <w:keepNext w:val="0"/>
        <w:pageBreakBefore w:val="0"/>
        <w:spacing w:line="460" w:lineRule="exact"/>
        <w:shd w:val="clear" w:color="auto" w:fill="ffffff" w:themeFill="background1"/>
        <w:widowControl/>
        <w:rPr>
          <w:rFonts w:ascii="宋体" w:hAnsi="宋体" w:cs="宋体"/>
          <w:color w:val="auto"/>
          <w:szCs w:val="21"/>
          <w:highlight w:val="none"/>
        </w:rPr>
      </w:pPr>
      <w:r>
        <w:rPr>
          <w:rFonts w:hint="eastAsia" w:ascii="宋体" w:hAnsi="宋体" w:cs="宋体"/>
          <w:color w:val="auto"/>
          <w:szCs w:val="21"/>
          <w:highlight w:val="none"/>
        </w:rPr>
        <w:t xml:space="preserve">4、由于不可抗力原因使甲、乙方无法履约，可不执行违约责任条款，由双方协商解决。</w:t>
      </w:r>
      <w:r/>
    </w:p>
    <w:p>
      <w:pPr>
        <w:ind w:firstLine="420"/>
        <w:jc w:val="left"/>
        <w:keepLines w:val="0"/>
        <w:keepNext w:val="0"/>
        <w:pageBreakBefore w:val="0"/>
        <w:spacing w:line="460" w:lineRule="exact"/>
        <w:shd w:val="clear" w:color="auto" w:fill="ffffff" w:themeFill="background1"/>
        <w:widowControl/>
        <w:rPr>
          <w:rFonts w:ascii="宋体" w:hAnsi="宋体" w:cs="宋体"/>
          <w:color w:val="auto"/>
          <w:szCs w:val="21"/>
          <w:highlight w:val="none"/>
        </w:rPr>
      </w:pPr>
      <w:r>
        <w:rPr>
          <w:rFonts w:hint="eastAsia" w:ascii="宋体" w:hAnsi="宋体" w:cs="宋体"/>
          <w:color w:val="auto"/>
          <w:szCs w:val="21"/>
          <w:highlight w:val="none"/>
        </w:rPr>
        <w:t xml:space="preserve">5、乙方逾期交付的，乙方应向甲方</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rPr>
        <w:t xml:space="preserve">次性支付合同总价1％的违约金。以</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期满后第</w:t>
      </w:r>
      <w:r>
        <w:rPr>
          <w:rFonts w:ascii="宋体" w:hAnsi="宋体" w:cs="宋体"/>
          <w:color w:val="auto"/>
          <w:szCs w:val="21"/>
          <w:highlight w:val="none"/>
        </w:rPr>
        <w:t xml:space="preserve">6</w:t>
      </w:r>
      <w:r>
        <w:rPr>
          <w:rFonts w:hint="eastAsia" w:ascii="宋体" w:hAnsi="宋体" w:cs="宋体"/>
          <w:color w:val="auto"/>
          <w:szCs w:val="21"/>
          <w:highlight w:val="none"/>
        </w:rPr>
        <w:t xml:space="preserve">个工作日起至乙方补齐台账资料为止，乙方每天向甲方偿付</w:t>
      </w:r>
      <w:r>
        <w:rPr>
          <w:rFonts w:hint="eastAsia" w:ascii="宋体" w:hAnsi="宋体" w:cs="宋体"/>
          <w:color w:val="auto"/>
          <w:szCs w:val="21"/>
          <w:highlight w:val="none"/>
          <w:lang w:val="en-US" w:eastAsia="zh-CN"/>
        </w:rPr>
        <w:t xml:space="preserve">年度</w:t>
      </w:r>
      <w:r>
        <w:rPr>
          <w:rFonts w:hint="eastAsia" w:ascii="宋体" w:hAnsi="宋体" w:cs="宋体"/>
          <w:color w:val="auto"/>
          <w:szCs w:val="21"/>
          <w:highlight w:val="none"/>
        </w:rPr>
        <w:t xml:space="preserve">合同总额的2‰的滞纳金。</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、如乙方不能交付符合质量要求的养护设施，乙方应向甲方</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rPr>
        <w:t xml:space="preserve">次性支付</w:t>
      </w:r>
      <w:r>
        <w:rPr>
          <w:rFonts w:hint="eastAsia" w:ascii="宋体" w:hAnsi="宋体" w:cs="宋体"/>
          <w:color w:val="auto"/>
          <w:szCs w:val="21"/>
          <w:highlight w:val="none"/>
          <w:lang w:val="en-US" w:eastAsia="zh-CN"/>
        </w:rPr>
        <w:t xml:space="preserve">年度</w:t>
      </w:r>
      <w:r>
        <w:rPr>
          <w:rFonts w:hint="eastAsia" w:ascii="宋体" w:hAnsi="宋体" w:cs="宋体"/>
          <w:color w:val="auto"/>
          <w:szCs w:val="21"/>
          <w:highlight w:val="none"/>
        </w:rPr>
        <w:t xml:space="preserve">合同总价1％的违约金。以甲方第一次出具验收结果之日起至甲方验收合格为止，乙方每天向甲方偿付</w:t>
      </w:r>
      <w:r>
        <w:rPr>
          <w:rFonts w:hint="eastAsia" w:ascii="宋体" w:hAnsi="宋体" w:cs="宋体"/>
          <w:color w:val="auto"/>
          <w:szCs w:val="21"/>
          <w:highlight w:val="none"/>
          <w:lang w:val="en-US" w:eastAsia="zh-CN"/>
        </w:rPr>
        <w:t xml:space="preserve">年度</w:t>
      </w:r>
      <w:r>
        <w:rPr>
          <w:rFonts w:hint="eastAsia" w:ascii="宋体" w:hAnsi="宋体" w:cs="宋体"/>
          <w:color w:val="auto"/>
          <w:szCs w:val="21"/>
          <w:highlight w:val="none"/>
        </w:rPr>
        <w:t xml:space="preserve">合同总额的2‰的滞纳金。</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、上述违约金不能补偿对方损失时，双方有权向对方追索实际损失的赔偿金。</w:t>
      </w:r>
      <w:r/>
    </w:p>
    <w:p>
      <w:pPr>
        <w:pStyle w:val="904"/>
        <w:keepLines w:val="0"/>
        <w:keepNext w:val="0"/>
        <w:pageBreakBefore w:val="0"/>
        <w:spacing w:line="460" w:lineRule="exact"/>
        <w:shd w:val="clear" w:color="auto" w:fill="ffffff" w:themeFill="background1"/>
        <w:rPr>
          <w:color w:val="auto"/>
          <w:highlight w:val="none"/>
        </w:rPr>
      </w:pPr>
      <w:r>
        <w:rPr>
          <w:color w:val="auto"/>
          <w:highlight w:val="none"/>
        </w:rPr>
        <w:t xml:space="preserve">8</w:t>
      </w:r>
      <w:r>
        <w:rPr>
          <w:rFonts w:hint="eastAsia"/>
          <w:color w:val="auto"/>
          <w:highlight w:val="none"/>
        </w:rPr>
        <w:t xml:space="preserve">、甲方未履行本合同规定的责任和义务或履行不完全时，应当赔偿乙方由此而造成的一切损失。</w:t>
      </w:r>
      <w:r/>
    </w:p>
    <w:p>
      <w:pPr>
        <w:pStyle w:val="904"/>
        <w:keepLines w:val="0"/>
        <w:keepNext w:val="0"/>
        <w:pageBreakBefore w:val="0"/>
        <w:spacing w:line="460" w:lineRule="exact"/>
        <w:shd w:val="clear" w:color="auto" w:fill="ffffff" w:themeFill="background1"/>
        <w:rPr>
          <w:color w:val="auto"/>
          <w:highlight w:val="none"/>
        </w:rPr>
      </w:pPr>
      <w:r>
        <w:rPr>
          <w:color w:val="auto"/>
          <w:highlight w:val="none"/>
        </w:rPr>
        <w:t xml:space="preserve">9</w:t>
      </w:r>
      <w:r>
        <w:rPr>
          <w:rFonts w:hint="eastAsia"/>
          <w:color w:val="auto"/>
          <w:highlight w:val="none"/>
        </w:rPr>
        <w:t xml:space="preserve">、乙方履行本合同规定的责任和义务不完全时，甲方有权按乙方影响程度扣减乙方本合同设施维护经费。乙方不履行本合同规定的责任和义务或不完全履行本合同规定的责任和义务造成严重后果的，甲方有权以书面形式通知乙方提前终止本合同。甲方除不赔偿乙方损失外，还保留要求乙方赔偿由此造成一切损失的权利。</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经乙方两次维修，隧道仍不能达到合同约定的质量标准，甲方</w:t>
      </w:r>
      <w:r>
        <w:rPr>
          <w:rFonts w:hint="eastAsia" w:ascii="宋体" w:hAnsi="宋体" w:cs="宋体"/>
          <w:bCs/>
          <w:color w:val="auto"/>
          <w:szCs w:val="21"/>
          <w:highlight w:val="none"/>
        </w:rPr>
        <w:t xml:space="preserve">可调用其它维护单位进行处置，发生费用由乙方承担。</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ascii="宋体" w:hAnsi="宋体" w:cs="宋体"/>
          <w:color w:val="auto"/>
          <w:szCs w:val="21"/>
          <w:highlight w:val="none"/>
        </w:rPr>
        <w:t xml:space="preserve">10</w:t>
      </w:r>
      <w:r>
        <w:rPr>
          <w:rFonts w:hint="eastAsia" w:ascii="宋体" w:hAnsi="宋体" w:cs="宋体"/>
          <w:color w:val="auto"/>
          <w:szCs w:val="21"/>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2"/>
        <w:jc w:val="left"/>
        <w:keepLines w:val="0"/>
        <w:keepNext w:val="0"/>
        <w:pageBreakBefore w:val="0"/>
        <w:spacing w:line="460" w:lineRule="exact"/>
        <w:shd w:val="clear" w:color="auto" w:fill="ffffff" w:themeFill="background1"/>
        <w:rPr>
          <w:rFonts w:ascii="宋体" w:hAnsi="宋体" w:cs="宋体"/>
          <w:b/>
          <w:color w:val="auto"/>
          <w:szCs w:val="21"/>
          <w:highlight w:val="none"/>
        </w:rPr>
      </w:pPr>
      <w:r>
        <w:rPr>
          <w:rFonts w:hint="eastAsia" w:ascii="宋体" w:hAnsi="宋体" w:cs="宋体"/>
          <w:b/>
          <w:color w:val="auto"/>
          <w:szCs w:val="21"/>
          <w:highlight w:val="none"/>
        </w:rPr>
        <w:t xml:space="preserve">第十条　合同的变更和终止</w:t>
      </w:r>
      <w:r/>
    </w:p>
    <w:p>
      <w:pPr>
        <w:ind w:firstLine="420"/>
        <w:jc w:val="left"/>
        <w:keepLines w:val="0"/>
        <w:keepNext w:val="0"/>
        <w:pageBreakBefore w:val="0"/>
        <w:spacing w:line="460" w:lineRule="exact"/>
        <w:shd w:val="clear" w:color="auto" w:fill="ffffff" w:themeFill="background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除《政府采购法》第５０条第二款规定的情形外，有下列情形的：</w:t>
      </w:r>
      <w:r/>
    </w:p>
    <w:p>
      <w:pPr>
        <w:pStyle w:val="728"/>
        <w:numPr>
          <w:ilvl w:val="0"/>
          <w:numId w:val="8"/>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乙方发生生产安全事故并负有主要责任的；</w:t>
      </w:r>
      <w:r/>
    </w:p>
    <w:p>
      <w:pPr>
        <w:pStyle w:val="728"/>
        <w:numPr>
          <w:ilvl w:val="0"/>
          <w:numId w:val="8"/>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乙方以所养护设施进行抵押、出租等经营性活动，并拒绝整改的；</w:t>
      </w:r>
      <w:r/>
    </w:p>
    <w:p>
      <w:pPr>
        <w:pStyle w:val="728"/>
        <w:numPr>
          <w:ilvl w:val="0"/>
          <w:numId w:val="8"/>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乙方拖欠员工工资或非法用工，造成影响的；</w:t>
      </w:r>
      <w:r/>
    </w:p>
    <w:p>
      <w:pPr>
        <w:pStyle w:val="728"/>
        <w:numPr>
          <w:ilvl w:val="0"/>
          <w:numId w:val="8"/>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组织管理机构、人员素质、养护人数及机具设备等与投标承诺不符，无法完成养护任务的；</w:t>
      </w:r>
      <w:r/>
    </w:p>
    <w:p>
      <w:pPr>
        <w:pStyle w:val="728"/>
        <w:numPr>
          <w:ilvl w:val="0"/>
          <w:numId w:val="8"/>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乙方没有按标准养护，不能完成养护任务，同一问题抄告 3 次及以上不整改；</w:t>
      </w:r>
      <w:r/>
    </w:p>
    <w:p>
      <w:pPr>
        <w:pStyle w:val="728"/>
        <w:numPr>
          <w:ilvl w:val="0"/>
          <w:numId w:val="8"/>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合同期内连续3个月考核</w:t>
      </w:r>
      <w:r>
        <w:rPr>
          <w:rFonts w:hint="eastAsia"/>
          <w:color w:val="auto"/>
          <w:sz w:val="21"/>
          <w:szCs w:val="21"/>
          <w:highlight w:val="none"/>
          <w:lang w:val="en-US" w:eastAsia="zh-CN"/>
        </w:rPr>
        <w:t xml:space="preserve">结果</w:t>
      </w:r>
      <w:r>
        <w:rPr>
          <w:rFonts w:hint="eastAsia"/>
          <w:color w:val="auto"/>
          <w:sz w:val="21"/>
          <w:szCs w:val="21"/>
          <w:highlight w:val="none"/>
        </w:rPr>
        <w:t xml:space="preserve">低于8</w:t>
      </w:r>
      <w:r>
        <w:rPr>
          <w:color w:val="auto"/>
          <w:sz w:val="21"/>
          <w:szCs w:val="21"/>
          <w:highlight w:val="none"/>
        </w:rPr>
        <w:t xml:space="preserve">0</w:t>
      </w:r>
      <w:r>
        <w:rPr>
          <w:rFonts w:hint="eastAsia"/>
          <w:color w:val="auto"/>
          <w:sz w:val="21"/>
          <w:szCs w:val="21"/>
          <w:highlight w:val="none"/>
        </w:rPr>
        <w:t xml:space="preserve">分；</w:t>
      </w:r>
      <w:r/>
    </w:p>
    <w:p>
      <w:pPr>
        <w:pStyle w:val="728"/>
        <w:numPr>
          <w:ilvl w:val="0"/>
          <w:numId w:val="8"/>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主管部门对设施管养政策有调整，甲方根据政策执行的。</w:t>
      </w:r>
      <w:r/>
    </w:p>
    <w:p>
      <w:pPr>
        <w:pStyle w:val="728"/>
        <w:ind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bCs/>
          <w:color w:val="auto"/>
          <w:sz w:val="21"/>
          <w:szCs w:val="21"/>
          <w:highlight w:val="none"/>
        </w:rPr>
        <w:t xml:space="preserve">甲方可</w:t>
      </w:r>
      <w:r>
        <w:rPr>
          <w:rFonts w:hint="eastAsia"/>
          <w:color w:val="auto"/>
          <w:sz w:val="21"/>
          <w:szCs w:val="21"/>
          <w:highlight w:val="none"/>
        </w:rPr>
        <w:t xml:space="preserve">终止合同，按养护实际发生费用并扣除违约金及损失赔偿后拨付乙方应得费用。终止合同后，乙方须在一周内退场。</w:t>
      </w:r>
      <w:r/>
    </w:p>
    <w:p>
      <w:pPr>
        <w:ind w:firstLine="422"/>
        <w:jc w:val="left"/>
        <w:keepLines w:val="0"/>
        <w:keepNext w:val="0"/>
        <w:pageBreakBefore w:val="0"/>
        <w:spacing w:line="460" w:lineRule="exact"/>
        <w:shd w:val="clear" w:color="auto" w:fill="ffffff" w:themeFill="background1"/>
        <w:rPr>
          <w:rFonts w:ascii="宋体" w:hAnsi="宋体" w:cs="宋体"/>
          <w:b/>
          <w:color w:val="auto"/>
          <w:szCs w:val="21"/>
          <w:highlight w:val="none"/>
        </w:rPr>
      </w:pPr>
      <w:r>
        <w:rPr>
          <w:rFonts w:hint="eastAsia" w:ascii="宋体" w:hAnsi="宋体" w:cs="宋体"/>
          <w:b/>
          <w:color w:val="auto"/>
          <w:szCs w:val="21"/>
          <w:highlight w:val="none"/>
        </w:rPr>
        <w:t xml:space="preserve">第十一条　合同的转让</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乙方不得擅自部分或全部转让其应履行的合同义务。</w:t>
      </w:r>
      <w:r/>
    </w:p>
    <w:p>
      <w:pPr>
        <w:ind w:firstLine="422"/>
        <w:jc w:val="left"/>
        <w:keepLines w:val="0"/>
        <w:keepNext w:val="0"/>
        <w:pageBreakBefore w:val="0"/>
        <w:spacing w:line="460" w:lineRule="exact"/>
        <w:shd w:val="clear" w:color="auto" w:fill="ffffff" w:themeFill="background1"/>
        <w:rPr>
          <w:rFonts w:ascii="宋体" w:hAnsi="宋体" w:cs="宋体"/>
          <w:b/>
          <w:color w:val="auto"/>
          <w:szCs w:val="21"/>
          <w:highlight w:val="none"/>
        </w:rPr>
      </w:pPr>
      <w:r>
        <w:rPr>
          <w:rFonts w:hint="eastAsia" w:ascii="宋体" w:hAnsi="宋体" w:cs="宋体"/>
          <w:b/>
          <w:color w:val="auto"/>
          <w:szCs w:val="21"/>
          <w:highlight w:val="none"/>
        </w:rPr>
        <w:t xml:space="preserve">第十二条  争议的解决</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1、因履行本合同引起的或与本合同有关的争议，甲、乙双方应首先通过友好协商解决，如果协商不能解决争议，则采取以下列方式（2）解决争议：</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（1）向南京仲裁委员会按其仲裁规则申请仲裁。</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（2）向甲方所在地有管辖权的人民法院提起诉讼。</w:t>
      </w:r>
      <w:r/>
    </w:p>
    <w:p>
      <w:pPr>
        <w:ind w:firstLine="420"/>
        <w:jc w:val="left"/>
        <w:keepLines w:val="0"/>
        <w:keepNext w:val="0"/>
        <w:pageBreakBefore w:val="0"/>
        <w:spacing w:line="460" w:lineRule="exact"/>
        <w:shd w:val="clear" w:color="auto" w:fill="ffffff" w:themeFill="background1"/>
        <w:rPr>
          <w:color w:val="auto"/>
          <w:szCs w:val="21"/>
          <w:highlight w:val="none"/>
        </w:rPr>
      </w:pPr>
      <w:r>
        <w:rPr>
          <w:color w:val="auto"/>
          <w:szCs w:val="21"/>
          <w:highlight w:val="none"/>
        </w:rPr>
        <w:t xml:space="preserve">2</w:t>
      </w:r>
      <w:r>
        <w:rPr>
          <w:rFonts w:hint="eastAsia"/>
          <w:color w:val="auto"/>
          <w:szCs w:val="21"/>
          <w:highlight w:val="none"/>
        </w:rPr>
        <w:t xml:space="preserve">、争议期间，本合同应继续履行。</w:t>
      </w:r>
      <w:r/>
    </w:p>
    <w:p>
      <w:pPr>
        <w:ind w:firstLine="422"/>
        <w:jc w:val="left"/>
        <w:keepLines w:val="0"/>
        <w:keepNext w:val="0"/>
        <w:pageBreakBefore w:val="0"/>
        <w:spacing w:line="460" w:lineRule="exact"/>
        <w:shd w:val="clear" w:color="auto" w:fill="ffffff" w:themeFill="background1"/>
        <w:rPr>
          <w:b/>
          <w:color w:val="auto"/>
          <w:szCs w:val="21"/>
          <w:highlight w:val="none"/>
        </w:rPr>
      </w:pPr>
      <w:r>
        <w:rPr>
          <w:rFonts w:hint="eastAsia"/>
          <w:b/>
          <w:color w:val="auto"/>
          <w:szCs w:val="21"/>
          <w:highlight w:val="none"/>
        </w:rPr>
        <w:t xml:space="preserve">第十三条合同生效及其他</w:t>
      </w:r>
      <w:r/>
    </w:p>
    <w:p>
      <w:pPr>
        <w:ind w:firstLine="420"/>
        <w:jc w:val="left"/>
        <w:keepLines w:val="0"/>
        <w:keepNext w:val="0"/>
        <w:pageBreakBefore w:val="0"/>
        <w:spacing w:line="460" w:lineRule="exact"/>
        <w:shd w:val="clear" w:color="auto" w:fill="ffffff" w:themeFill="background1"/>
        <w:rPr>
          <w:color w:val="auto"/>
          <w:szCs w:val="21"/>
          <w:highlight w:val="none"/>
        </w:rPr>
      </w:pPr>
      <w:r>
        <w:rPr>
          <w:color w:val="auto"/>
          <w:szCs w:val="21"/>
          <w:highlight w:val="none"/>
        </w:rPr>
        <w:t xml:space="preserve">1</w:t>
      </w:r>
      <w:r>
        <w:rPr>
          <w:rFonts w:hint="eastAsia"/>
          <w:color w:val="auto"/>
          <w:szCs w:val="21"/>
          <w:highlight w:val="none"/>
        </w:rPr>
        <w:t xml:space="preserve">、本合同自签订之日起生效。</w:t>
      </w:r>
      <w:r/>
    </w:p>
    <w:p>
      <w:pPr>
        <w:ind w:firstLine="420"/>
        <w:jc w:val="left"/>
        <w:keepLines w:val="0"/>
        <w:keepNext w:val="0"/>
        <w:pageBreakBefore w:val="0"/>
        <w:spacing w:line="460" w:lineRule="exact"/>
        <w:shd w:val="clear" w:color="auto" w:fill="ffffff" w:themeFill="background1"/>
        <w:rPr>
          <w:color w:val="auto"/>
          <w:szCs w:val="21"/>
          <w:highlight w:val="none"/>
        </w:rPr>
      </w:pPr>
      <w:r>
        <w:rPr>
          <w:color w:val="auto"/>
          <w:szCs w:val="21"/>
          <w:highlight w:val="none"/>
        </w:rPr>
        <w:t xml:space="preserve">2</w:t>
      </w:r>
      <w:r>
        <w:rPr>
          <w:rFonts w:hint="eastAsia"/>
          <w:color w:val="auto"/>
          <w:szCs w:val="21"/>
          <w:highlight w:val="none"/>
        </w:rPr>
        <w:t xml:space="preserve">、本合同一式柒份，甲乙双方各执叁份，壹份提供给招标代理。</w:t>
      </w:r>
      <w:r/>
    </w:p>
    <w:p>
      <w:pPr>
        <w:ind w:firstLine="420"/>
        <w:jc w:val="left"/>
        <w:keepLines w:val="0"/>
        <w:keepNext w:val="0"/>
        <w:pageBreakBefore w:val="0"/>
        <w:spacing w:line="460" w:lineRule="exact"/>
        <w:shd w:val="clear" w:color="auto" w:fill="ffffff" w:themeFill="background1"/>
        <w:rPr>
          <w:color w:val="auto"/>
          <w:szCs w:val="21"/>
          <w:highlight w:val="none"/>
        </w:rPr>
      </w:pPr>
      <w:r>
        <w:rPr>
          <w:rFonts w:hint="eastAsia"/>
          <w:color w:val="auto"/>
          <w:szCs w:val="21"/>
          <w:highlight w:val="none"/>
          <w:lang w:val="en-US" w:eastAsia="zh-CN"/>
        </w:rPr>
        <w:t xml:space="preserve">3</w:t>
      </w:r>
      <w:r>
        <w:rPr>
          <w:rFonts w:hint="eastAsia"/>
          <w:color w:val="auto"/>
          <w:szCs w:val="21"/>
          <w:highlight w:val="none"/>
        </w:rPr>
        <w:t xml:space="preserve">、本合同在履行过程中如有未尽事宜或需变更合同内容，双方可另行签定补充协议，补充协议与本合同具有同等法律效力。</w:t>
      </w:r>
      <w:r/>
    </w:p>
    <w:p>
      <w:pPr>
        <w:ind w:firstLine="420"/>
        <w:jc w:val="left"/>
        <w:keepLines w:val="0"/>
        <w:keepNext w:val="0"/>
        <w:pageBreakBefore w:val="0"/>
        <w:spacing w:line="460" w:lineRule="exact"/>
        <w:shd w:val="clear" w:color="auto" w:fill="ffffff" w:themeFill="background1"/>
        <w:rPr>
          <w:rFonts w:hint="eastAsia" w:ascii="宋体" w:hAnsi="宋体"/>
          <w:color w:val="auto"/>
          <w:highlight w:val="none"/>
        </w:rPr>
      </w:pPr>
      <w:r>
        <w:rPr>
          <w:rFonts w:hint="eastAsia"/>
          <w:color w:val="auto"/>
          <w:szCs w:val="21"/>
          <w:highlight w:val="none"/>
          <w:lang w:val="en-US" w:eastAsia="zh-CN"/>
        </w:rPr>
        <w:t xml:space="preserve">4</w:t>
      </w:r>
      <w:r>
        <w:rPr>
          <w:rFonts w:hint="eastAsia"/>
          <w:color w:val="auto"/>
          <w:szCs w:val="21"/>
          <w:highlight w:val="none"/>
        </w:rPr>
        <w:t xml:space="preserve">、本合同应按照中华人民共和国的现行法律进行解释</w:t>
      </w:r>
      <w:r>
        <w:rPr>
          <w:rFonts w:hint="eastAsia" w:ascii="宋体" w:hAnsi="宋体"/>
          <w:color w:val="auto"/>
          <w:highlight w:val="none"/>
        </w:rPr>
        <w:t xml:space="preserve">。</w:t>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tbl>
      <w:tblPr>
        <w:tblStyle w:val="695"/>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日期：年月日</w:t>
            </w:r>
            <w:r/>
          </w:p>
        </w:tc>
      </w:tr>
    </w:tbl>
    <w:p>
      <w:pPr>
        <w:rPr>
          <w:b/>
          <w:bCs/>
          <w:color w:val="auto"/>
          <w:sz w:val="32"/>
          <w:szCs w:val="32"/>
          <w:highlight w:val="none"/>
        </w:rPr>
      </w:pPr>
      <w:r>
        <w:rPr>
          <w:b/>
          <w:bCs/>
          <w:color w:val="auto"/>
          <w:sz w:val="32"/>
          <w:szCs w:val="32"/>
          <w:highlight w:val="none"/>
        </w:rPr>
        <w:br w:type="page" w:clear="all"/>
      </w:r>
      <w:r/>
    </w:p>
    <w:p>
      <w:pPr>
        <w:pStyle w:val="904"/>
        <w:rPr>
          <w:color w:val="auto"/>
          <w:highlight w:val="none"/>
        </w:rPr>
      </w:pPr>
      <w:r>
        <w:rPr>
          <w:color w:val="auto"/>
          <w:highlight w:val="none"/>
        </w:rPr>
      </w:r>
      <w:r/>
    </w:p>
    <w:p>
      <w:pPr>
        <w:pStyle w:val="685"/>
        <w:numPr>
          <w:ilvl w:val="0"/>
          <w:numId w:val="0"/>
        </w:numPr>
        <w:rPr>
          <w:rFonts w:hint="default" w:ascii="Arial" w:hAnsi="Arial" w:eastAsia="宋体" w:cs="Arial"/>
          <w:color w:val="auto"/>
          <w:highlight w:val="none"/>
          <w:lang w:val="en-US" w:eastAsia="zh-CN"/>
        </w:rPr>
      </w:pPr>
      <w:r/>
      <w:bookmarkStart w:id="23" w:name="_Toc22117"/>
      <w:r>
        <w:rPr>
          <w:rFonts w:ascii="Arial" w:hAnsi="Arial" w:cs="Arial"/>
          <w:color w:val="auto"/>
          <w:highlight w:val="none"/>
        </w:rPr>
        <w:t xml:space="preserve">第六章 </w:t>
      </w:r>
      <w:r>
        <w:rPr>
          <w:rFonts w:hint="eastAsia" w:ascii="Arial" w:hAnsi="Arial" w:cs="Arial"/>
          <w:color w:val="auto"/>
          <w:highlight w:val="none"/>
          <w:lang w:val="en-US" w:eastAsia="zh-CN"/>
        </w:rPr>
        <w:t xml:space="preserve">投标文件格式</w:t>
      </w:r>
      <w:bookmarkEnd w:id="23"/>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8"/>
          <w:szCs w:val="28"/>
          <w:highlight w:val="none"/>
        </w:rPr>
        <w:t xml:space="preserve">（项目名称）</w:t>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44"/>
          <w:szCs w:val="44"/>
          <w:highlight w:val="none"/>
        </w:rPr>
      </w:pPr>
      <w:r>
        <w:rPr>
          <w:rFonts w:ascii="Arial" w:hAnsi="Arial" w:eastAsia="黑体" w:cs="Arial"/>
          <w:color w:val="auto"/>
          <w:sz w:val="44"/>
          <w:szCs w:val="44"/>
          <w:highlight w:val="none"/>
        </w:rPr>
        <w:t xml:space="preserve">投标文件</w:t>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u w:val="single"/>
        </w:rPr>
      </w:pPr>
      <w:r>
        <w:rPr>
          <w:rFonts w:ascii="Arial" w:hAnsi="Arial" w:eastAsia="黑体" w:cs="Arial"/>
          <w:color w:val="auto"/>
          <w:sz w:val="28"/>
          <w:szCs w:val="28"/>
          <w:highlight w:val="none"/>
        </w:rPr>
        <w:t xml:space="preserve">投标人：（盖单位章）</w:t>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 xml:space="preserve">年 月  日</w:t>
      </w:r>
      <w:r/>
    </w:p>
    <w:p>
      <w:pPr>
        <w:jc w:val="left"/>
        <w:widowControl/>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投标人编制文件须知</w:t>
      </w:r>
      <w:r/>
    </w:p>
    <w:p>
      <w:pPr>
        <w:jc w:val="left"/>
        <w:spacing w:line="620" w:lineRule="exact"/>
        <w:shd w:val="clear" w:color="auto" w:fill="ffffff"/>
        <w:widowControl/>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1、如标书制作工具中格式和内容与“南京公共采购信息网</w:t>
      </w:r>
      <w:r>
        <w:rPr>
          <w:rFonts w:ascii="Arial" w:hAnsi="Arial" w:eastAsia="黑体" w:cs="Arial"/>
          <w:color w:val="auto"/>
          <w:sz w:val="24"/>
          <w:szCs w:val="28"/>
          <w:highlight w:val="none"/>
        </w:rPr>
        <w:t xml:space="preserve">/江苏政府采购网/中国政府采购网”发布的招标文件不一致的，以上述网站发布的招标文件为准。</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 2、全部声明及所附材料必须是真实的、准确的和完整的。</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3、供应商承诺不实的，依据《中华人民共和国政府采购法》第七十七条“提供虚假材料谋取中标、成交的”有关规定予以处理。</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4.招标文件要求的证明材料，投标文件应使用原件的电子件(电子件指复印件、扫描件、照片、电子证照、电子证书等形式电子文件)并加盖供应商电子公章; </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5、供应商可根据招标文件及评标标准内容需要，自行细化或补充内容。</w:t>
      </w:r>
      <w:r/>
    </w:p>
    <w:p>
      <w:pPr>
        <w:jc w:val="left"/>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spacing w:line="440" w:lineRule="exact"/>
        <w:rPr>
          <w:rFonts w:ascii="Arial" w:hAnsi="Arial" w:eastAsia="黑体" w:cs="Arial"/>
          <w:color w:val="auto"/>
          <w:sz w:val="32"/>
          <w:szCs w:val="32"/>
          <w:highlight w:val="none"/>
        </w:rPr>
      </w:pPr>
      <w:r>
        <w:rPr>
          <w:rFonts w:ascii="Arial" w:hAnsi="Arial" w:eastAsia="黑体" w:cs="Arial"/>
          <w:color w:val="auto"/>
          <w:sz w:val="32"/>
          <w:szCs w:val="32"/>
          <w:highlight w:val="none"/>
        </w:rPr>
      </w:r>
      <w:r/>
    </w:p>
    <w:p>
      <w:pPr>
        <w:pStyle w:val="728"/>
        <w:jc w:val="center"/>
        <w:spacing w:before="0" w:beforeAutospacing="0" w:after="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一、投标函</w:t>
      </w:r>
      <w:r/>
    </w:p>
    <w:p>
      <w:pPr>
        <w:pStyle w:val="728"/>
        <w:spacing w:before="0" w:beforeAutospacing="0" w:after="0" w:afterAutospacing="0" w:line="419" w:lineRule="atLeast"/>
        <w:rPr>
          <w:color w:val="auto"/>
          <w:highlight w:val="none"/>
        </w:rPr>
      </w:pPr>
      <w:r>
        <w:rPr>
          <w:color w:val="auto"/>
          <w:highlight w:val="none"/>
        </w:rPr>
        <w:t xml:space="preserve">致：（采购人）</w:t>
      </w:r>
      <w:r/>
    </w:p>
    <w:p>
      <w:pPr>
        <w:pStyle w:val="728"/>
        <w:ind w:firstLine="480"/>
        <w:spacing w:before="0" w:beforeAutospacing="0" w:after="0" w:afterAutospacing="0" w:line="419" w:lineRule="atLeast"/>
        <w:rPr>
          <w:color w:val="auto"/>
          <w:highlight w:val="none"/>
        </w:rPr>
      </w:pPr>
      <w:r>
        <w:rPr>
          <w:color w:val="auto"/>
          <w:highlight w:val="none"/>
        </w:rPr>
        <w:t xml:space="preserve">根据贵方的</w:t>
      </w:r>
      <w:r>
        <w:rPr>
          <w:rFonts w:hint="eastAsia"/>
          <w:color w:val="auto"/>
          <w:sz w:val="32"/>
          <w:szCs w:val="32"/>
          <w:highlight w:val="none"/>
          <w:u w:val="single"/>
          <w:lang w:eastAsia="zh-CN"/>
        </w:rPr>
        <w:t xml:space="preserve">（</w:t>
      </w:r>
      <w:r>
        <w:rPr>
          <w:rFonts w:hint="eastAsia"/>
          <w:color w:val="auto"/>
          <w:sz w:val="32"/>
          <w:szCs w:val="32"/>
          <w:highlight w:val="none"/>
          <w:u w:val="single"/>
          <w:lang w:val="en-US" w:eastAsia="zh-CN"/>
        </w:rPr>
        <w:t xml:space="preserve">项目编号</w:t>
      </w:r>
      <w:r>
        <w:rPr>
          <w:rFonts w:hint="eastAsia"/>
          <w:color w:val="auto"/>
          <w:sz w:val="32"/>
          <w:szCs w:val="32"/>
          <w:highlight w:val="none"/>
          <w:u w:val="single"/>
          <w:lang w:eastAsia="zh-CN"/>
        </w:rPr>
        <w:t xml:space="preserve">）（</w:t>
      </w:r>
      <w:r>
        <w:rPr>
          <w:rFonts w:hint="eastAsia"/>
          <w:color w:val="auto"/>
          <w:sz w:val="32"/>
          <w:szCs w:val="32"/>
          <w:highlight w:val="none"/>
          <w:u w:val="single"/>
          <w:lang w:val="en-US" w:eastAsia="zh-CN"/>
        </w:rPr>
        <w:t xml:space="preserve">项目名称）</w:t>
      </w:r>
      <w:r>
        <w:rPr>
          <w:color w:val="auto"/>
          <w:highlight w:val="none"/>
        </w:rPr>
        <w:t xml:space="preserve">招标文件，正式授权下述签字人_________________(姓名)代表我方______________（投标人的名称），全权处理本次项目投标的有关事宜。</w:t>
      </w:r>
      <w:r/>
    </w:p>
    <w:p>
      <w:pPr>
        <w:pStyle w:val="728"/>
        <w:spacing w:before="0" w:beforeAutospacing="0" w:after="0" w:afterAutospacing="0" w:line="419" w:lineRule="atLeast"/>
        <w:rPr>
          <w:color w:val="auto"/>
          <w:highlight w:val="none"/>
        </w:rPr>
      </w:pPr>
      <w:r>
        <w:rPr>
          <w:color w:val="auto"/>
          <w:highlight w:val="none"/>
        </w:rPr>
        <w:t xml:space="preserve">据此函，__________签字人兹宣布同意如下：</w:t>
      </w:r>
      <w:r/>
    </w:p>
    <w:p>
      <w:pPr>
        <w:pStyle w:val="728"/>
        <w:ind w:firstLine="480"/>
        <w:spacing w:before="0" w:beforeAutospacing="0" w:after="0" w:afterAutospacing="0" w:line="419" w:lineRule="atLeast"/>
        <w:rPr>
          <w:color w:val="auto"/>
          <w:highlight w:val="none"/>
        </w:rPr>
      </w:pPr>
      <w:r>
        <w:rPr>
          <w:color w:val="auto"/>
          <w:highlight w:val="none"/>
        </w:rPr>
        <w:t xml:space="preserve">1.按招标文件规定的各项要求，向买方提供所需服务（包含与服务相关的货物）。</w:t>
      </w:r>
      <w:r/>
    </w:p>
    <w:p>
      <w:pPr>
        <w:pStyle w:val="728"/>
        <w:ind w:firstLine="480"/>
        <w:spacing w:before="0" w:beforeAutospacing="0" w:after="0" w:afterAutospacing="0" w:line="419" w:lineRule="atLeast"/>
        <w:rPr>
          <w:color w:val="auto"/>
          <w:highlight w:val="none"/>
        </w:rPr>
      </w:pPr>
      <w:r>
        <w:rPr>
          <w:color w:val="auto"/>
          <w:highlight w:val="none"/>
        </w:rPr>
        <w:t xml:space="preserve">2.我们完全理解贵方不一定将合同授予最低报价的投标人。</w:t>
      </w:r>
      <w:r/>
    </w:p>
    <w:p>
      <w:pPr>
        <w:pStyle w:val="728"/>
        <w:ind w:firstLine="480"/>
        <w:spacing w:before="0" w:beforeAutospacing="0" w:after="0" w:afterAutospacing="0" w:line="419" w:lineRule="atLeast"/>
        <w:rPr>
          <w:color w:val="auto"/>
          <w:highlight w:val="none"/>
        </w:rPr>
      </w:pPr>
      <w:r>
        <w:rPr>
          <w:color w:val="auto"/>
          <w:highlight w:val="none"/>
        </w:rPr>
        <w:t xml:space="preserve">3.我们已详细审核全部招标文件及其有效补充文件，我们知道必须放弃提出含糊不清或误解问题的权利。</w:t>
      </w:r>
      <w:r/>
    </w:p>
    <w:p>
      <w:pPr>
        <w:pStyle w:val="728"/>
        <w:ind w:firstLine="480"/>
        <w:spacing w:before="0" w:beforeAutospacing="0" w:after="0" w:afterAutospacing="0" w:line="419" w:lineRule="atLeast"/>
        <w:rPr>
          <w:color w:val="auto"/>
          <w:highlight w:val="none"/>
        </w:rPr>
      </w:pPr>
      <w:r>
        <w:rPr>
          <w:color w:val="auto"/>
          <w:highlight w:val="none"/>
        </w:rPr>
        <w:t xml:space="preserve">4.我们同意从规定的开标日期起遵循本投标文件，并在规定的投标有效期期满之前均具有约束力。</w:t>
      </w:r>
      <w:r/>
    </w:p>
    <w:p>
      <w:pPr>
        <w:pStyle w:val="728"/>
        <w:ind w:firstLine="480"/>
        <w:spacing w:before="0" w:beforeAutospacing="0" w:after="0" w:afterAutospacing="0" w:line="419" w:lineRule="atLeast"/>
        <w:rPr>
          <w:color w:val="auto"/>
          <w:highlight w:val="none"/>
        </w:rPr>
      </w:pPr>
      <w:r>
        <w:rPr>
          <w:color w:val="auto"/>
          <w:highlight w:val="none"/>
        </w:rPr>
        <w:t xml:space="preserve">5.同意向贵方提供贵方可能另外要求的与投标有关的任何证据或资料，并保证我方已提供和将要提供的文件是真实的、准确的。</w:t>
      </w:r>
      <w:r/>
    </w:p>
    <w:p>
      <w:pPr>
        <w:pStyle w:val="728"/>
        <w:ind w:firstLine="480"/>
        <w:spacing w:before="0" w:beforeAutospacing="0" w:after="0" w:afterAutospacing="0" w:line="419" w:lineRule="atLeast"/>
        <w:rPr>
          <w:color w:val="auto"/>
          <w:highlight w:val="none"/>
        </w:rPr>
      </w:pPr>
      <w:r>
        <w:rPr>
          <w:color w:val="auto"/>
          <w:highlight w:val="none"/>
        </w:rPr>
        <w:t xml:space="preserve">6.一旦我方中标,我方将根据招标文件的规定，严格履行合同的责任和义务,并保证在招标文件规定的时间完成项目，交付买方验收、使用。</w:t>
      </w:r>
      <w:r/>
    </w:p>
    <w:p>
      <w:pPr>
        <w:pStyle w:val="728"/>
        <w:ind w:firstLine="480"/>
        <w:spacing w:before="0" w:beforeAutospacing="0" w:after="0" w:afterAutospacing="0" w:line="419" w:lineRule="atLeast"/>
        <w:rPr>
          <w:color w:val="auto"/>
          <w:highlight w:val="none"/>
        </w:rPr>
      </w:pPr>
      <w:r>
        <w:rPr>
          <w:color w:val="auto"/>
          <w:highlight w:val="none"/>
        </w:rPr>
        <w:t xml:space="preserve">7.与本投标有关的正式通讯地址为：</w:t>
      </w:r>
      <w:r/>
    </w:p>
    <w:p>
      <w:pPr>
        <w:pStyle w:val="728"/>
        <w:ind w:left="420"/>
        <w:spacing w:before="0" w:beforeAutospacing="0" w:after="0" w:afterAutospacing="0" w:line="419" w:lineRule="atLeast"/>
        <w:rPr>
          <w:color w:val="auto"/>
          <w:highlight w:val="none"/>
        </w:rPr>
      </w:pPr>
      <w:r>
        <w:rPr>
          <w:color w:val="auto"/>
          <w:highlight w:val="none"/>
        </w:rPr>
      </w:r>
      <w:r/>
    </w:p>
    <w:p>
      <w:pPr>
        <w:pStyle w:val="728"/>
        <w:ind w:left="420"/>
        <w:spacing w:before="0" w:beforeAutospacing="0" w:after="0" w:afterAutospacing="0" w:line="419" w:lineRule="atLeast"/>
        <w:rPr>
          <w:rFonts w:hint="eastAsia"/>
          <w:color w:val="auto"/>
          <w:highlight w:val="none"/>
          <w:lang w:eastAsia="zh-CN"/>
        </w:rPr>
      </w:pPr>
      <w:r>
        <w:rPr>
          <w:rFonts w:hint="eastAsia"/>
          <w:color w:val="auto"/>
          <w:highlight w:val="none"/>
        </w:rPr>
        <w:t xml:space="preserve">投标人名称：                （加盖CA电子公章</w:t>
      </w:r>
      <w:r>
        <w:rPr>
          <w:rFonts w:hint="eastAsia"/>
          <w:color w:val="auto"/>
          <w:highlight w:val="none"/>
          <w:lang w:eastAsia="zh-CN"/>
        </w:rPr>
        <w:t xml:space="preserve">）</w:t>
      </w:r>
      <w:r/>
    </w:p>
    <w:p>
      <w:pPr>
        <w:pStyle w:val="728"/>
        <w:ind w:left="420"/>
        <w:spacing w:before="0" w:beforeAutospacing="0" w:after="0" w:afterAutospacing="0" w:line="419" w:lineRule="atLeast"/>
        <w:rPr>
          <w:color w:val="auto"/>
          <w:highlight w:val="none"/>
        </w:rPr>
      </w:pPr>
      <w:r>
        <w:rPr>
          <w:color w:val="auto"/>
          <w:highlight w:val="none"/>
        </w:rPr>
        <w:t xml:space="preserve">地址：</w:t>
      </w:r>
      <w:r/>
    </w:p>
    <w:p>
      <w:pPr>
        <w:pStyle w:val="728"/>
        <w:ind w:left="420"/>
        <w:spacing w:before="0" w:beforeAutospacing="0" w:after="0" w:afterAutospacing="0" w:line="419" w:lineRule="atLeast"/>
        <w:rPr>
          <w:color w:val="auto"/>
          <w:highlight w:val="none"/>
        </w:rPr>
      </w:pPr>
      <w:r>
        <w:rPr>
          <w:color w:val="auto"/>
          <w:highlight w:val="none"/>
        </w:rPr>
        <w:t xml:space="preserve">邮编：</w:t>
      </w:r>
      <w:r/>
    </w:p>
    <w:p>
      <w:pPr>
        <w:pStyle w:val="728"/>
        <w:ind w:left="420"/>
        <w:spacing w:before="0" w:beforeAutospacing="0" w:after="0" w:afterAutospacing="0" w:line="419" w:lineRule="atLeast"/>
        <w:rPr>
          <w:color w:val="auto"/>
          <w:highlight w:val="none"/>
        </w:rPr>
      </w:pPr>
      <w:r>
        <w:rPr>
          <w:color w:val="auto"/>
          <w:highlight w:val="none"/>
        </w:rPr>
        <w:t xml:space="preserve">电话：</w:t>
      </w:r>
      <w:r/>
    </w:p>
    <w:p>
      <w:pPr>
        <w:pStyle w:val="728"/>
        <w:ind w:left="420"/>
        <w:spacing w:before="0" w:beforeAutospacing="0" w:after="0" w:afterAutospacing="0" w:line="419" w:lineRule="atLeast"/>
        <w:rPr>
          <w:color w:val="auto"/>
          <w:highlight w:val="none"/>
        </w:rPr>
      </w:pPr>
      <w:r>
        <w:rPr>
          <w:color w:val="auto"/>
          <w:highlight w:val="none"/>
        </w:rPr>
        <w:t xml:space="preserve">传真：</w:t>
      </w:r>
      <w:r/>
    </w:p>
    <w:p>
      <w:pPr>
        <w:pStyle w:val="728"/>
        <w:ind w:left="420"/>
        <w:spacing w:before="0" w:beforeAutospacing="0" w:after="0" w:afterAutospacing="0" w:line="419" w:lineRule="atLeast"/>
        <w:rPr>
          <w:color w:val="auto"/>
          <w:highlight w:val="none"/>
        </w:rPr>
      </w:pPr>
      <w:r>
        <w:rPr>
          <w:color w:val="auto"/>
          <w:highlight w:val="none"/>
        </w:rPr>
        <w:t xml:space="preserve">投标人开户行：</w:t>
      </w:r>
      <w:r/>
    </w:p>
    <w:p>
      <w:pPr>
        <w:pStyle w:val="728"/>
        <w:ind w:left="420"/>
        <w:spacing w:before="0" w:beforeAutospacing="0" w:after="0" w:afterAutospacing="0" w:line="419" w:lineRule="atLeast"/>
        <w:rPr>
          <w:color w:val="auto"/>
          <w:highlight w:val="none"/>
        </w:rPr>
      </w:pPr>
      <w:r>
        <w:rPr>
          <w:color w:val="auto"/>
          <w:highlight w:val="none"/>
        </w:rPr>
        <w:t xml:space="preserve">账户： </w:t>
      </w:r>
      <w:r/>
    </w:p>
    <w:p>
      <w:pPr>
        <w:pStyle w:val="728"/>
        <w:ind w:left="420"/>
        <w:spacing w:before="0" w:beforeAutospacing="0" w:after="0" w:afterAutospacing="0" w:line="419" w:lineRule="atLeast"/>
        <w:rPr>
          <w:color w:val="auto"/>
          <w:highlight w:val="none"/>
        </w:rPr>
      </w:pPr>
      <w:r>
        <w:rPr>
          <w:color w:val="auto"/>
          <w:highlight w:val="none"/>
        </w:rPr>
        <w:t xml:space="preserve">日期：________年____月____日</w:t>
      </w:r>
      <w:r/>
    </w:p>
    <w:p>
      <w:pPr>
        <w:pStyle w:val="728"/>
        <w:spacing w:before="0" w:beforeAutospacing="0" w:after="0" w:afterAutospacing="0"/>
        <w:rPr>
          <w:color w:val="auto"/>
          <w:highlight w:val="none"/>
        </w:rPr>
      </w:pPr>
      <w:r>
        <w:rPr>
          <w:color w:val="auto"/>
          <w:highlight w:val="none"/>
        </w:rPr>
        <w:t xml:space="preserve"> </w:t>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28"/>
        <w:jc w:val="center"/>
        <w:spacing w:before="0" w:beforeAutospacing="0" w:after="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w:t>
      </w:r>
      <w:bookmarkStart w:id="24" w:name="_Hlk72765989"/>
      <w:r>
        <w:rPr>
          <w:rFonts w:hint="eastAsia" w:ascii="宋体" w:hAnsi="宋体" w:eastAsia="宋体" w:cs="宋体"/>
          <w:b/>
          <w:color w:val="auto"/>
          <w:sz w:val="32"/>
          <w:szCs w:val="32"/>
          <w:highlight w:val="none"/>
        </w:rPr>
        <w:t xml:space="preserve">法人授权书</w:t>
      </w:r>
      <w:r/>
    </w:p>
    <w:p>
      <w:pPr>
        <w:pStyle w:val="728"/>
        <w:ind w:firstLine="482"/>
        <w:spacing w:before="240" w:beforeAutospacing="0" w:after="240" w:afterAutospacing="0" w:line="440" w:lineRule="exact"/>
        <w:rPr>
          <w:color w:val="auto"/>
          <w:highlight w:val="none"/>
        </w:rPr>
      </w:pPr>
      <w:r>
        <w:rPr>
          <w:color w:val="auto"/>
          <w:highlight w:val="none"/>
        </w:rPr>
        <w:t xml:space="preserve">本授权书声明：____________（投标人名称）授权</w:t>
      </w:r>
      <w:r>
        <w:rPr>
          <w:rFonts w:ascii="Times New Roman" w:hAnsi="Times New Roman" w:cs="Times New Roman"/>
          <w:color w:val="auto"/>
          <w:highlight w:val="none"/>
        </w:rPr>
        <w:t xml:space="preserve">________________</w:t>
      </w:r>
      <w:r>
        <w:rPr>
          <w:color w:val="auto"/>
          <w:highlight w:val="none"/>
        </w:rPr>
        <w:t xml:space="preserve">（被授权人的姓名）为我方就</w:t>
      </w:r>
      <w:r>
        <w:rPr>
          <w:rFonts w:hint="eastAsia" w:ascii="Times New Roman" w:hAnsi="Times New Roman" w:cs="Times New Roman"/>
          <w:color w:val="auto"/>
          <w:highlight w:val="none"/>
          <w:lang w:val="en-US" w:eastAsia="zh-CN"/>
        </w:rPr>
        <w:t xml:space="preserve"> </w:t>
      </w:r>
      <w:r>
        <w:rPr>
          <w:color w:val="auto"/>
          <w:highlight w:val="none"/>
          <w:u w:val="single"/>
        </w:rPr>
        <w:t xml:space="preserve">        </w:t>
      </w:r>
      <w:r>
        <w:rPr>
          <w:rFonts w:hint="eastAsia"/>
          <w:color w:val="auto"/>
          <w:highlight w:val="none"/>
          <w:lang w:eastAsia="zh-CN"/>
        </w:rPr>
        <w:t xml:space="preserve">（</w:t>
      </w:r>
      <w:r>
        <w:rPr>
          <w:rFonts w:hint="eastAsia"/>
          <w:color w:val="auto"/>
          <w:highlight w:val="none"/>
          <w:lang w:val="en-US" w:eastAsia="zh-CN"/>
        </w:rPr>
        <w:t xml:space="preserve">项目名称）</w:t>
      </w:r>
      <w:r>
        <w:rPr>
          <w:color w:val="auto"/>
          <w:highlight w:val="none"/>
        </w:rPr>
        <w:t xml:space="preserve">采购活动的合法代理人，以本单位名义全权处理一切与该项目采购有关的事务。</w:t>
      </w:r>
      <w:r/>
    </w:p>
    <w:p>
      <w:pPr>
        <w:pStyle w:val="728"/>
        <w:ind w:firstLine="480"/>
        <w:spacing w:before="240" w:beforeAutospacing="0" w:after="240" w:afterAutospacing="0"/>
        <w:rPr>
          <w:color w:val="auto"/>
          <w:highlight w:val="none"/>
        </w:rPr>
      </w:pPr>
      <w:r>
        <w:rPr>
          <w:color w:val="auto"/>
          <w:highlight w:val="none"/>
        </w:rPr>
        <w:t xml:space="preserve">本授权书于______年</w:t>
      </w:r>
      <w:r>
        <w:rPr>
          <w:rFonts w:ascii="Times New Roman" w:hAnsi="Times New Roman" w:cs="Times New Roman"/>
          <w:color w:val="auto"/>
          <w:highlight w:val="none"/>
        </w:rPr>
        <w:t xml:space="preserve">____</w:t>
      </w:r>
      <w:r>
        <w:rPr>
          <w:color w:val="auto"/>
          <w:highlight w:val="none"/>
        </w:rPr>
        <w:t xml:space="preserve">月</w:t>
      </w:r>
      <w:r>
        <w:rPr>
          <w:rFonts w:ascii="Times New Roman" w:hAnsi="Times New Roman" w:cs="Times New Roman"/>
          <w:color w:val="auto"/>
          <w:highlight w:val="none"/>
        </w:rPr>
        <w:t xml:space="preserve">____</w:t>
      </w:r>
      <w:r>
        <w:rPr>
          <w:color w:val="auto"/>
          <w:highlight w:val="none"/>
        </w:rPr>
        <w:t xml:space="preserve">日起生效，特此声明。</w:t>
      </w:r>
      <w:r/>
    </w:p>
    <w:p>
      <w:pPr>
        <w:pStyle w:val="728"/>
        <w:jc w:val="both"/>
        <w:spacing w:before="240" w:beforeAutospacing="0" w:after="240" w:afterAutospacing="0"/>
        <w:rPr>
          <w:color w:val="auto"/>
          <w:highlight w:val="none"/>
        </w:rPr>
      </w:pPr>
      <w:r>
        <w:rPr>
          <w:color w:val="auto"/>
          <w:highlight w:val="none"/>
        </w:rPr>
        <w:t xml:space="preserve">            被授权人身份证号码：</w:t>
      </w:r>
      <w:r>
        <w:rPr>
          <w:color w:val="auto"/>
          <w:highlight w:val="none"/>
          <w:u w:val="single"/>
        </w:rPr>
        <w:t xml:space="preserve">             </w:t>
      </w:r>
      <w:r/>
    </w:p>
    <w:p>
      <w:pPr>
        <w:pStyle w:val="728"/>
        <w:ind w:firstLine="1440"/>
        <w:jc w:val="both"/>
        <w:spacing w:before="240" w:beforeAutospacing="0" w:after="240" w:afterAutospacing="0"/>
        <w:rPr>
          <w:color w:val="auto"/>
          <w:highlight w:val="none"/>
        </w:rPr>
      </w:pPr>
      <w:r>
        <w:rPr>
          <w:color w:val="auto"/>
          <w:highlight w:val="none"/>
        </w:rPr>
        <w:t xml:space="preserve">被授权人联系电话：（手</w:t>
      </w:r>
      <w:r>
        <w:rPr>
          <w:rFonts w:hint="eastAsia"/>
          <w:color w:val="auto"/>
          <w:highlight w:val="none"/>
        </w:rPr>
        <w:t xml:space="preserve">机</w:t>
      </w:r>
      <w:r>
        <w:rPr>
          <w:color w:val="auto"/>
          <w:highlight w:val="none"/>
        </w:rPr>
        <w:t xml:space="preserve">）</w:t>
      </w:r>
      <w:r>
        <w:rPr>
          <w:color w:val="auto"/>
          <w:highlight w:val="none"/>
          <w:u w:val="single"/>
        </w:rPr>
        <w:t xml:space="preserve">           </w:t>
      </w:r>
      <w:r/>
    </w:p>
    <w:p>
      <w:pPr>
        <w:pStyle w:val="728"/>
        <w:ind w:firstLine="1200"/>
        <w:jc w:val="both"/>
        <w:spacing w:before="240" w:beforeAutospacing="0" w:after="240" w:afterAutospacing="0"/>
        <w:rPr>
          <w:color w:val="auto"/>
          <w:highlight w:val="none"/>
        </w:rPr>
      </w:pPr>
      <w:r>
        <w:rPr>
          <w:color w:val="auto"/>
          <w:highlight w:val="none"/>
        </w:rPr>
        <w:t xml:space="preserve">  授权单位名称：</w:t>
      </w:r>
      <w:r>
        <w:rPr>
          <w:color w:val="auto"/>
          <w:highlight w:val="none"/>
          <w:u w:val="single"/>
        </w:rPr>
        <w:t xml:space="preserve">（加盖CA电子公章）</w:t>
      </w:r>
      <w:r/>
    </w:p>
    <w:p>
      <w:pPr>
        <w:pStyle w:val="728"/>
        <w:ind w:firstLine="480"/>
        <w:jc w:val="both"/>
        <w:spacing w:before="240" w:beforeAutospacing="0" w:after="240" w:afterAutospacing="0"/>
        <w:rPr>
          <w:color w:val="auto"/>
          <w:highlight w:val="none"/>
        </w:rPr>
      </w:pPr>
      <w:r>
        <w:rPr>
          <w:color w:val="auto"/>
          <w:highlight w:val="none"/>
        </w:rPr>
        <w:t xml:space="preserve">        单位地址：</w:t>
      </w:r>
      <w:r>
        <w:rPr>
          <w:color w:val="auto"/>
          <w:highlight w:val="none"/>
          <w:u w:val="single"/>
        </w:rPr>
        <w:t xml:space="preserve">         </w:t>
      </w:r>
      <w:r/>
    </w:p>
    <w:p>
      <w:pPr>
        <w:pStyle w:val="728"/>
        <w:ind w:firstLine="0"/>
        <w:jc w:val="both"/>
        <w:spacing w:before="240" w:beforeAutospacing="0" w:after="240" w:afterAutospacing="0"/>
        <w:rPr>
          <w:color w:val="auto"/>
          <w:highlight w:val="none"/>
        </w:rPr>
      </w:pPr>
      <w:r>
        <w:rPr>
          <w:rFonts w:hint="eastAsia"/>
          <w:color w:val="auto"/>
          <w:highlight w:val="none"/>
        </w:rPr>
        <w:t xml:space="preserve">            日</w:t>
      </w:r>
      <w:r>
        <w:rPr>
          <w:color w:val="auto"/>
          <w:highlight w:val="none"/>
        </w:rPr>
        <w:t xml:space="preserve">期：</w:t>
      </w:r>
      <w:r>
        <w:rPr>
          <w:color w:val="auto"/>
          <w:highlight w:val="none"/>
          <w:u w:val="single"/>
        </w:rPr>
        <w:t xml:space="preserve">              </w:t>
      </w:r>
      <w:r/>
    </w:p>
    <w:p>
      <w:pPr>
        <w:ind w:firstLine="480"/>
        <w:jc w:val="left"/>
        <w:widowControl/>
        <w:rPr>
          <w:rFonts w:ascii="宋体" w:hAnsi="宋体"/>
          <w:color w:val="auto"/>
          <w:highlight w:val="none"/>
        </w:rPr>
      </w:pPr>
      <w:r>
        <w:rPr>
          <w:rFonts w:ascii="宋体" w:hAnsi="宋体"/>
          <w:color w:val="auto"/>
          <w:highlight w:val="none"/>
        </w:rPr>
      </w:r>
      <w:r/>
    </w:p>
    <w:p>
      <w:pPr>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br w:type="page" w:clear="all"/>
      </w:r>
      <w:r/>
    </w:p>
    <w:p>
      <w:pPr>
        <w:ind w:firstLine="643"/>
        <w:jc w:val="center"/>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三、</w:t>
      </w:r>
      <w:r>
        <w:rPr>
          <w:rFonts w:hint="eastAsia" w:ascii="宋体" w:hAnsi="宋体" w:cs="宋体"/>
          <w:b/>
          <w:color w:val="auto"/>
          <w:sz w:val="32"/>
          <w:szCs w:val="32"/>
          <w:highlight w:val="none"/>
        </w:rPr>
        <w:t xml:space="preserve">开标一览表</w:t>
      </w:r>
      <w:r/>
    </w:p>
    <w:p>
      <w:pPr>
        <w:jc w:val="center"/>
        <w:spacing w:line="360" w:lineRule="auto"/>
        <w:shd w:val="clear" w:color="auto" w:fill="ffffff"/>
        <w:widowControl/>
        <w:rPr>
          <w:rFonts w:ascii="宋体" w:hAnsi="宋体" w:cs="宋体"/>
          <w:color w:val="auto"/>
          <w:highlight w:val="none"/>
        </w:rPr>
      </w:pPr>
      <w:r>
        <w:rPr>
          <w:rFonts w:ascii="宋体" w:hAnsi="宋体" w:cs="宋体"/>
          <w:color w:val="auto"/>
          <w:highlight w:val="none"/>
        </w:rPr>
      </w:r>
      <w:r/>
    </w:p>
    <w:p>
      <w:pPr>
        <w:pStyle w:val="698"/>
        <w:ind w:firstLine="474"/>
        <w:spacing w:line="440" w:lineRule="exact"/>
        <w:rPr>
          <w:rFonts w:ascii="宋体" w:hAnsi="宋体" w:cs="宋体"/>
          <w:color w:val="auto"/>
          <w:sz w:val="21"/>
          <w:highlight w:val="none"/>
        </w:rPr>
      </w:pPr>
      <w:r>
        <w:rPr>
          <w:rFonts w:hint="eastAsia" w:ascii="宋体" w:hAnsi="宋体" w:cs="宋体"/>
          <w:color w:val="auto"/>
          <w:sz w:val="21"/>
          <w:highlight w:val="none"/>
        </w:rPr>
        <w:t xml:space="preserve">项目名称：                                   项目编号 ：           </w:t>
      </w:r>
      <w:r/>
    </w:p>
    <w:tbl>
      <w:tblPr>
        <w:tblStyle w:val="69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4095"/>
        <w:gridCol w:w="3021"/>
      </w:tblGrid>
      <w:tr>
        <w:trPr>
          <w:cantSplit/>
          <w:trHeight w:val="1010"/>
        </w:trPr>
        <w:tc>
          <w:tcPr>
            <w:tcW w:w="1524"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eastAsia="zh-CN"/>
              </w:rPr>
              <w:t xml:space="preserve">（</w:t>
            </w:r>
            <w:r>
              <w:rPr>
                <w:rFonts w:hint="eastAsia"/>
                <w:color w:val="auto"/>
                <w:highlight w:val="none"/>
                <w:lang w:val="en-US" w:eastAsia="zh-CN"/>
              </w:rPr>
              <w:t xml:space="preserve">三年）</w:t>
            </w:r>
            <w:r/>
          </w:p>
        </w:tc>
        <w:tc>
          <w:tcPr>
            <w:tcW w:w="4095" w:type="dxa"/>
            <w:vAlign w:val="center"/>
            <w:textDirection w:val="lrTb"/>
            <w:noWrap w:val="false"/>
          </w:tcPr>
          <w:p>
            <w:pPr>
              <w:pStyle w:val="698"/>
              <w:ind w:firstLine="1522"/>
              <w:rPr>
                <w:rFonts w:ascii="宋体" w:hAnsi="宋体" w:cs="宋体"/>
                <w:bCs/>
                <w:color w:val="auto"/>
                <w:sz w:val="21"/>
                <w:highlight w:val="none"/>
              </w:rPr>
            </w:pPr>
            <w:r>
              <w:rPr>
                <w:rFonts w:hint="eastAsia" w:ascii="宋体" w:hAnsi="宋体" w:cs="宋体"/>
                <w:bCs/>
                <w:color w:val="auto"/>
                <w:sz w:val="21"/>
                <w:highlight w:val="none"/>
                <w:lang w:val="en-US" w:eastAsia="zh-CN"/>
              </w:rPr>
              <w:t xml:space="preserve">            万</w:t>
            </w:r>
            <w:r>
              <w:rPr>
                <w:rFonts w:hint="eastAsia" w:ascii="宋体" w:hAnsi="宋体" w:cs="宋体"/>
                <w:bCs/>
                <w:color w:val="auto"/>
                <w:sz w:val="21"/>
                <w:highlight w:val="none"/>
              </w:rPr>
              <w:t xml:space="preserve">元</w:t>
            </w:r>
            <w:r/>
          </w:p>
        </w:tc>
        <w:tc>
          <w:tcPr>
            <w:tcW w:w="3021" w:type="dxa"/>
            <w:vAlign w:val="center"/>
            <w:textDirection w:val="lrTb"/>
            <w:noWrap w:val="false"/>
          </w:tcPr>
          <w:p>
            <w:pPr>
              <w:spacing w:line="44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           备注</w:t>
            </w:r>
            <w:r/>
          </w:p>
        </w:tc>
      </w:tr>
      <w:tr>
        <w:trPr>
          <w:trHeight w:val="829"/>
        </w:trPr>
        <w:tc>
          <w:tcPr>
            <w:tcW w:w="1524" w:type="dxa"/>
            <w:vAlign w:val="center"/>
            <w:textDirection w:val="lrTb"/>
            <w:noWrap w:val="false"/>
          </w:tcPr>
          <w:p>
            <w:pPr>
              <w:spacing w:line="440" w:lineRule="exact"/>
              <w:rPr>
                <w:rFonts w:ascii="宋体" w:hAnsi="宋体" w:cs="宋体"/>
                <w:color w:val="auto"/>
                <w:highlight w:val="none"/>
              </w:rPr>
            </w:pPr>
            <w:r>
              <w:rPr>
                <w:rFonts w:hint="eastAsia" w:ascii="宋体" w:hAnsi="宋体" w:cs="宋体"/>
                <w:color w:val="auto"/>
                <w:highlight w:val="none"/>
              </w:rPr>
              <w:t xml:space="preserve">服务时间</w:t>
            </w:r>
            <w:r/>
          </w:p>
        </w:tc>
        <w:tc>
          <w:tcPr>
            <w:tcW w:w="4095" w:type="dxa"/>
            <w:vAlign w:val="center"/>
            <w:textDirection w:val="lrTb"/>
            <w:noWrap w:val="false"/>
          </w:tcPr>
          <w:p>
            <w:pPr>
              <w:pStyle w:val="698"/>
              <w:ind w:firstLine="472"/>
              <w:rPr>
                <w:rFonts w:ascii="宋体" w:hAnsi="宋体" w:cs="宋体"/>
                <w:bCs/>
                <w:color w:val="auto"/>
                <w:sz w:val="21"/>
                <w:highlight w:val="none"/>
              </w:rPr>
            </w:pPr>
            <w:r>
              <w:rPr>
                <w:rFonts w:hint="eastAsia" w:ascii="宋体" w:hAnsi="宋体" w:cs="宋体"/>
                <w:bCs/>
                <w:color w:val="auto"/>
                <w:sz w:val="21"/>
                <w:highlight w:val="none"/>
                <w:u w:val="single"/>
                <w:lang w:val="en-US" w:eastAsia="zh-CN"/>
              </w:rPr>
              <w:t xml:space="preserve">     三     </w:t>
            </w:r>
            <w:r>
              <w:rPr>
                <w:rFonts w:hint="eastAsia" w:ascii="宋体" w:hAnsi="宋体" w:cs="宋体"/>
                <w:bCs/>
                <w:color w:val="auto"/>
                <w:sz w:val="21"/>
                <w:highlight w:val="none"/>
                <w:u w:val="none"/>
                <w:lang w:val="en-US" w:eastAsia="zh-CN"/>
              </w:rPr>
              <w:t xml:space="preserve">年</w:t>
            </w:r>
            <w:r>
              <w:rPr>
                <w:rFonts w:hint="eastAsia" w:ascii="宋体" w:hAnsi="宋体" w:cs="宋体"/>
                <w:bCs/>
                <w:color w:val="auto"/>
                <w:sz w:val="21"/>
                <w:highlight w:val="none"/>
              </w:rPr>
              <w:t xml:space="preserve">。</w:t>
            </w:r>
            <w:r/>
          </w:p>
        </w:tc>
        <w:tc>
          <w:tcPr>
            <w:tcW w:w="3021" w:type="dxa"/>
            <w:vAlign w:val="center"/>
            <w:textDirection w:val="lrTb"/>
            <w:noWrap w:val="false"/>
          </w:tcPr>
          <w:p>
            <w:pPr>
              <w:ind w:firstLine="472"/>
              <w:spacing w:line="440" w:lineRule="exact"/>
              <w:rPr>
                <w:rFonts w:ascii="宋体" w:hAnsi="宋体" w:cs="宋体"/>
                <w:color w:val="auto"/>
                <w:highlight w:val="none"/>
              </w:rPr>
            </w:pPr>
            <w:r>
              <w:rPr>
                <w:rFonts w:ascii="宋体" w:hAnsi="宋体" w:cs="宋体"/>
                <w:color w:val="auto"/>
                <w:highlight w:val="none"/>
              </w:rPr>
            </w:r>
            <w:r/>
          </w:p>
          <w:p>
            <w:pPr>
              <w:ind w:firstLine="472"/>
              <w:spacing w:line="440" w:lineRule="exact"/>
              <w:rPr>
                <w:rFonts w:ascii="宋体" w:hAnsi="宋体" w:cs="宋体"/>
                <w:color w:val="auto"/>
                <w:highlight w:val="none"/>
              </w:rPr>
            </w:pPr>
            <w:r>
              <w:rPr>
                <w:rFonts w:ascii="宋体" w:hAnsi="宋体" w:cs="宋体"/>
                <w:color w:val="auto"/>
                <w:highlight w:val="none"/>
              </w:rPr>
            </w:r>
            <w:r/>
          </w:p>
        </w:tc>
      </w:tr>
      <w:tr>
        <w:trPr>
          <w:trHeight w:val="829"/>
        </w:trPr>
        <w:tc>
          <w:tcPr>
            <w:tcW w:w="1524" w:type="dxa"/>
            <w:vAlign w:val="center"/>
            <w:textDirection w:val="lrTb"/>
            <w:noWrap w:val="false"/>
          </w:tcPr>
          <w:p>
            <w:pPr>
              <w:pStyle w:val="698"/>
              <w:ind w:firstLine="0"/>
              <w:jc w:val="center"/>
              <w:rPr>
                <w:rFonts w:ascii="宋体" w:hAnsi="宋体" w:cs="宋体"/>
                <w:color w:val="auto"/>
                <w:highlight w:val="none"/>
              </w:rPr>
            </w:pPr>
            <w:r>
              <w:rPr>
                <w:rFonts w:hint="eastAsia" w:ascii="宋体" w:hAnsi="宋体" w:cs="宋体"/>
                <w:color w:val="auto"/>
                <w:sz w:val="21"/>
                <w:highlight w:val="none"/>
              </w:rPr>
              <w:t xml:space="preserve">是否小微企业</w:t>
            </w:r>
            <w:r/>
          </w:p>
        </w:tc>
        <w:tc>
          <w:tcPr>
            <w:tcW w:w="4095" w:type="dxa"/>
            <w:vAlign w:val="center"/>
            <w:textDirection w:val="lrTb"/>
            <w:noWrap w:val="false"/>
          </w:tcPr>
          <w:p>
            <w:pPr>
              <w:pStyle w:val="698"/>
              <w:ind w:firstLine="474"/>
              <w:rPr>
                <w:rFonts w:ascii="宋体" w:hAnsi="宋体" w:cs="宋体"/>
                <w:color w:val="auto"/>
                <w:highlight w:val="none"/>
                <w:u w:val="single"/>
              </w:rPr>
            </w:pPr>
            <w:r>
              <w:rPr>
                <w:rFonts w:hint="eastAsia" w:ascii="宋体" w:hAnsi="宋体" w:cs="宋体"/>
                <w:color w:val="auto"/>
                <w:sz w:val="21"/>
                <w:highlight w:val="none"/>
              </w:rPr>
              <w:t xml:space="preserve">（</w:t>
            </w:r>
            <w:r>
              <w:rPr>
                <w:rFonts w:hint="eastAsia" w:ascii="宋体" w:hAnsi="宋体" w:cs="宋体"/>
                <w:color w:val="auto"/>
                <w:sz w:val="21"/>
                <w:highlight w:val="none"/>
                <w:lang w:val="zh-CN"/>
              </w:rPr>
              <w:t xml:space="preserve">填写“是”或“否</w:t>
            </w:r>
            <w:r>
              <w:rPr>
                <w:rFonts w:hint="eastAsia" w:ascii="宋体" w:hAnsi="宋体" w:cs="宋体"/>
                <w:color w:val="auto"/>
                <w:sz w:val="21"/>
                <w:highlight w:val="none"/>
              </w:rPr>
              <w:t xml:space="preserve">）</w:t>
            </w:r>
            <w:r/>
          </w:p>
        </w:tc>
        <w:tc>
          <w:tcPr>
            <w:tcW w:w="3021" w:type="dxa"/>
            <w:vAlign w:val="center"/>
            <w:textDirection w:val="lrTb"/>
            <w:noWrap w:val="false"/>
          </w:tcPr>
          <w:p>
            <w:pPr>
              <w:ind w:firstLine="472"/>
              <w:spacing w:line="440" w:lineRule="exact"/>
              <w:rPr>
                <w:rFonts w:ascii="宋体" w:hAnsi="宋体" w:cs="宋体"/>
                <w:color w:val="auto"/>
                <w:highlight w:val="none"/>
              </w:rPr>
            </w:pPr>
            <w:r>
              <w:rPr>
                <w:rFonts w:ascii="宋体" w:hAnsi="宋体" w:cs="宋体"/>
                <w:color w:val="auto"/>
                <w:highlight w:val="none"/>
              </w:rPr>
            </w:r>
            <w:r/>
          </w:p>
        </w:tc>
      </w:tr>
    </w:tbl>
    <w:p>
      <w:pPr>
        <w:pStyle w:val="698"/>
        <w:ind w:firstLine="474"/>
        <w:spacing w:line="440" w:lineRule="exact"/>
        <w:rPr>
          <w:rFonts w:ascii="宋体" w:hAnsi="宋体" w:cs="宋体"/>
          <w:color w:val="auto"/>
          <w:sz w:val="21"/>
          <w:highlight w:val="none"/>
        </w:rPr>
      </w:pPr>
      <w:r>
        <w:rPr>
          <w:rFonts w:ascii="宋体" w:hAnsi="宋体" w:cs="宋体"/>
          <w:color w:val="auto"/>
          <w:sz w:val="21"/>
          <w:highlight w:val="none"/>
        </w:rPr>
      </w:r>
      <w:r/>
    </w:p>
    <w:p>
      <w:pPr>
        <w:jc w:val="left"/>
        <w:spacing w:line="360" w:lineRule="auto"/>
        <w:shd w:val="clear" w:color="auto" w:fill="ffffff"/>
        <w:widowControl/>
        <w:rPr>
          <w:rFonts w:ascii="宋体" w:hAnsi="宋体" w:cs="宋体"/>
          <w:color w:val="auto"/>
          <w:highlight w:val="none"/>
        </w:rPr>
      </w:pPr>
      <w:r>
        <w:rPr>
          <w:rFonts w:ascii="宋体" w:hAnsi="宋体" w:cs="宋体"/>
          <w:color w:val="auto"/>
          <w:highlight w:val="none"/>
        </w:rPr>
      </w:r>
      <w:r/>
    </w:p>
    <w:p>
      <w:pPr>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投标单位（加盖CA电子公章）：</w:t>
      </w:r>
      <w:r>
        <w:rPr>
          <w:rFonts w:hint="eastAsia" w:ascii="宋体" w:hAnsi="宋体" w:cs="宋体"/>
          <w:color w:val="auto"/>
          <w:highlight w:val="none"/>
          <w:u w:val="single"/>
        </w:rPr>
        <w:t xml:space="preserve">               </w:t>
      </w:r>
      <w:r/>
    </w:p>
    <w:p>
      <w:pPr>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说明：</w:t>
      </w:r>
      <w:r/>
    </w:p>
    <w:p>
      <w:pPr>
        <w:numPr>
          <w:ilvl w:val="0"/>
          <w:numId w:val="9"/>
        </w:numPr>
        <w:ind w:firstLine="422"/>
        <w:jc w:val="left"/>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2、“是否小微企业</w:t>
      </w:r>
      <w:r>
        <w:rPr>
          <w:rFonts w:hint="eastAsia" w:ascii="宋体" w:hAnsi="宋体" w:cs="宋体"/>
          <w:b/>
          <w:bCs/>
          <w:color w:val="auto"/>
          <w:highlight w:val="none"/>
          <w:lang w:val="zh-CN"/>
        </w:rPr>
        <w:t xml:space="preserve">”栏内填写“是”或“否”。如填写“是”，</w:t>
      </w:r>
      <w:r>
        <w:rPr>
          <w:rFonts w:hint="eastAsia" w:ascii="宋体" w:hAnsi="宋体" w:cs="宋体"/>
          <w:b/>
          <w:bCs/>
          <w:color w:val="auto"/>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color w:val="auto"/>
          <w:highlight w:val="none"/>
          <w:lang w:val="zh-CN"/>
        </w:rPr>
      </w:pPr>
      <w:r>
        <w:rPr>
          <w:rFonts w:hint="eastAsia" w:ascii="宋体" w:hAnsi="宋体" w:cs="宋体"/>
          <w:b/>
          <w:bCs/>
          <w:color w:val="auto"/>
          <w:highlight w:val="none"/>
          <w:lang w:val="zh-CN"/>
        </w:rPr>
        <w:br w:type="page" w:clear="all"/>
      </w:r>
      <w:bookmarkEnd w:id="24"/>
      <w:r/>
      <w:r/>
    </w:p>
    <w:p>
      <w:pPr>
        <w:jc w:val="center"/>
        <w:rPr>
          <w:b/>
          <w:color w:val="auto"/>
          <w:sz w:val="32"/>
          <w:szCs w:val="32"/>
          <w:highlight w:val="none"/>
        </w:rPr>
      </w:pPr>
      <w:r>
        <w:rPr>
          <w:rFonts w:hint="eastAsia"/>
          <w:b/>
          <w:color w:val="auto"/>
          <w:sz w:val="32"/>
          <w:szCs w:val="32"/>
          <w:highlight w:val="none"/>
        </w:rPr>
        <w:t xml:space="preserve">分项报价</w:t>
      </w:r>
      <w:r>
        <w:rPr>
          <w:b/>
          <w:color w:val="auto"/>
          <w:sz w:val="32"/>
          <w:szCs w:val="32"/>
          <w:highlight w:val="none"/>
        </w:rPr>
        <w:t xml:space="preserve">表</w:t>
      </w:r>
      <w:r/>
    </w:p>
    <w:p>
      <w:pPr>
        <w:jc w:val="center"/>
        <w:spacing w:line="360" w:lineRule="auto"/>
        <w:shd w:val="clear" w:color="auto" w:fill="ffffff"/>
        <w:widowControl/>
        <w:rPr>
          <w:color w:val="auto"/>
          <w:sz w:val="24"/>
          <w:highlight w:val="none"/>
        </w:rPr>
      </w:pPr>
      <w:r>
        <w:rPr>
          <w:color w:val="auto"/>
          <w:sz w:val="24"/>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项目名称：                                         项目编号：</w:t>
      </w:r>
      <w:r/>
    </w:p>
    <w:tbl>
      <w:tblPr>
        <w:tblStyle w:val="695"/>
        <w:tblW w:w="861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0"/>
        <w:gridCol w:w="1615"/>
        <w:gridCol w:w="2370"/>
        <w:gridCol w:w="1890"/>
        <w:gridCol w:w="1496"/>
      </w:tblGrid>
      <w:tr>
        <w:trPr>
          <w:cantSplit/>
          <w:trHeight w:val="367"/>
        </w:trPr>
        <w:tc>
          <w:tcPr>
            <w:tcW w:w="1240" w:type="dxa"/>
            <w:vAlign w:val="center"/>
            <w:vMerge w:val="restart"/>
            <w:textDirection w:val="lrTb"/>
            <w:noWrap w:val="false"/>
          </w:tcPr>
          <w:p>
            <w:pPr>
              <w:pStyle w:val="698"/>
              <w:ind w:firstLine="0"/>
              <w:spacing w:line="440" w:lineRule="exact"/>
              <w:rPr>
                <w:color w:val="auto"/>
                <w:sz w:val="21"/>
                <w:szCs w:val="21"/>
                <w:highlight w:val="none"/>
              </w:rPr>
            </w:pPr>
            <w:r>
              <w:rPr>
                <w:color w:val="auto"/>
                <w:sz w:val="21"/>
                <w:szCs w:val="21"/>
                <w:highlight w:val="none"/>
              </w:rPr>
              <w:t xml:space="preserve">投标价格</w:t>
            </w:r>
            <w:r/>
          </w:p>
        </w:tc>
        <w:tc>
          <w:tcPr>
            <w:tcW w:w="1615" w:type="dxa"/>
            <w:vAlign w:val="center"/>
            <w:textDirection w:val="lrTb"/>
            <w:noWrap w:val="false"/>
          </w:tcPr>
          <w:p>
            <w:pPr>
              <w:pStyle w:val="698"/>
              <w:ind w:firstLine="0"/>
              <w:jc w:val="center"/>
              <w:spacing w:line="440" w:lineRule="exact"/>
              <w:rPr>
                <w:color w:val="auto"/>
                <w:sz w:val="21"/>
                <w:szCs w:val="21"/>
                <w:highlight w:val="none"/>
              </w:rPr>
            </w:pPr>
            <w:r>
              <w:rPr>
                <w:color w:val="auto"/>
                <w:sz w:val="21"/>
                <w:szCs w:val="21"/>
                <w:highlight w:val="none"/>
              </w:rPr>
              <w:t xml:space="preserve">设施名称</w:t>
            </w:r>
            <w:r/>
          </w:p>
        </w:tc>
        <w:tc>
          <w:tcPr>
            <w:tcW w:w="2370" w:type="dxa"/>
            <w:vAlign w:val="center"/>
            <w:textDirection w:val="lrTb"/>
            <w:noWrap w:val="false"/>
          </w:tcPr>
          <w:p>
            <w:pPr>
              <w:pStyle w:val="698"/>
              <w:ind w:firstLine="0"/>
              <w:jc w:val="center"/>
              <w:spacing w:line="440" w:lineRule="exact"/>
              <w:rPr>
                <w:color w:val="auto"/>
                <w:sz w:val="21"/>
                <w:szCs w:val="21"/>
                <w:highlight w:val="none"/>
              </w:rPr>
            </w:pPr>
            <w:r>
              <w:rPr>
                <w:color w:val="auto"/>
                <w:sz w:val="21"/>
                <w:szCs w:val="21"/>
                <w:highlight w:val="none"/>
              </w:rPr>
              <w:t xml:space="preserve">年度养护价格（</w:t>
            </w:r>
            <w:r>
              <w:rPr>
                <w:rFonts w:hint="eastAsia"/>
                <w:color w:val="auto"/>
                <w:sz w:val="21"/>
                <w:szCs w:val="21"/>
                <w:highlight w:val="none"/>
                <w:lang w:eastAsia="zh-CN"/>
              </w:rPr>
              <w:t xml:space="preserve">万</w:t>
            </w:r>
            <w:r>
              <w:rPr>
                <w:color w:val="auto"/>
                <w:sz w:val="21"/>
                <w:szCs w:val="21"/>
                <w:highlight w:val="none"/>
              </w:rPr>
              <w:t xml:space="preserve">元</w:t>
            </w:r>
            <w:r>
              <w:rPr>
                <w:rFonts w:hint="eastAsia"/>
                <w:color w:val="auto"/>
                <w:sz w:val="21"/>
                <w:szCs w:val="21"/>
                <w:highlight w:val="none"/>
                <w:lang w:val="en-US" w:eastAsia="zh-CN"/>
              </w:rPr>
              <w:t xml:space="preserve">/年</w:t>
            </w:r>
            <w:r>
              <w:rPr>
                <w:color w:val="auto"/>
                <w:sz w:val="21"/>
                <w:szCs w:val="21"/>
                <w:highlight w:val="none"/>
              </w:rPr>
              <w:t xml:space="preserve">）</w:t>
            </w:r>
            <w:r/>
          </w:p>
        </w:tc>
        <w:tc>
          <w:tcPr>
            <w:tcW w:w="1890" w:type="dxa"/>
            <w:vAlign w:val="center"/>
            <w:textDirection w:val="lrTb"/>
            <w:noWrap w:val="false"/>
          </w:tcPr>
          <w:p>
            <w:pPr>
              <w:pStyle w:val="698"/>
              <w:ind w:firstLine="0"/>
              <w:jc w:val="center"/>
              <w:spacing w:line="440" w:lineRule="exact"/>
              <w:rPr>
                <w:rFonts w:hint="eastAsia" w:eastAsia="宋体"/>
                <w:color w:val="auto"/>
                <w:sz w:val="21"/>
                <w:szCs w:val="21"/>
                <w:highlight w:val="none"/>
                <w:lang w:eastAsia="zh-CN"/>
              </w:rPr>
            </w:pPr>
            <w:r>
              <w:rPr>
                <w:color w:val="auto"/>
                <w:sz w:val="21"/>
                <w:szCs w:val="21"/>
                <w:highlight w:val="none"/>
              </w:rPr>
              <w:t xml:space="preserve">养护</w:t>
            </w:r>
            <w:r>
              <w:rPr>
                <w:rFonts w:hint="eastAsia"/>
                <w:color w:val="auto"/>
                <w:sz w:val="21"/>
                <w:szCs w:val="21"/>
                <w:highlight w:val="none"/>
                <w:lang w:eastAsia="zh-CN"/>
              </w:rPr>
              <w:t xml:space="preserve">时间（年）</w:t>
            </w:r>
            <w:r/>
          </w:p>
        </w:tc>
        <w:tc>
          <w:tcPr>
            <w:tcW w:w="1496" w:type="dxa"/>
            <w:textDirection w:val="lrTb"/>
            <w:noWrap w:val="false"/>
          </w:tcPr>
          <w:p>
            <w:pPr>
              <w:pStyle w:val="698"/>
              <w:ind w:firstLine="0"/>
              <w:jc w:val="center"/>
              <w:spacing w:line="440" w:lineRule="exact"/>
              <w:rPr>
                <w:rFonts w:hint="eastAsia" w:eastAsia="宋体"/>
                <w:color w:val="auto"/>
                <w:sz w:val="21"/>
                <w:szCs w:val="21"/>
                <w:highlight w:val="none"/>
                <w:lang w:eastAsia="zh-CN"/>
              </w:rPr>
            </w:pPr>
            <w:r>
              <w:rPr>
                <w:rFonts w:hint="eastAsia"/>
                <w:color w:val="auto"/>
                <w:sz w:val="21"/>
                <w:szCs w:val="21"/>
                <w:highlight w:val="none"/>
                <w:lang w:eastAsia="zh-CN"/>
              </w:rPr>
              <w:t xml:space="preserve">小计（万元）</w:t>
            </w:r>
            <w:r/>
          </w:p>
        </w:tc>
      </w:tr>
      <w:tr>
        <w:trPr>
          <w:cantSplit/>
          <w:trHeight w:val="1198"/>
        </w:trPr>
        <w:tc>
          <w:tcPr>
            <w:tcW w:w="1240" w:type="dxa"/>
            <w:vAlign w:val="center"/>
            <w:vMerge w:val="continue"/>
            <w:textDirection w:val="lrTb"/>
            <w:noWrap w:val="false"/>
          </w:tcPr>
          <w:p>
            <w:pPr>
              <w:pStyle w:val="698"/>
              <w:ind w:firstLine="0"/>
              <w:spacing w:line="440" w:lineRule="exact"/>
              <w:rPr>
                <w:color w:val="auto"/>
                <w:sz w:val="21"/>
                <w:szCs w:val="21"/>
                <w:highlight w:val="none"/>
              </w:rPr>
            </w:pPr>
            <w:r>
              <w:rPr>
                <w:color w:val="auto"/>
                <w:sz w:val="21"/>
                <w:szCs w:val="21"/>
                <w:highlight w:val="none"/>
              </w:rPr>
            </w:r>
            <w:r/>
          </w:p>
        </w:tc>
        <w:tc>
          <w:tcPr>
            <w:tcW w:w="1615" w:type="dxa"/>
            <w:vAlign w:val="center"/>
            <w:textDirection w:val="lrTb"/>
            <w:noWrap w:val="false"/>
          </w:tcPr>
          <w:p>
            <w:pPr>
              <w:pStyle w:val="698"/>
              <w:ind w:firstLine="0"/>
              <w:spacing w:line="440" w:lineRule="exact"/>
              <w:rPr>
                <w:color w:val="auto"/>
                <w:sz w:val="21"/>
                <w:szCs w:val="21"/>
                <w:highlight w:val="none"/>
              </w:rPr>
            </w:pPr>
            <w:r>
              <w:rPr>
                <w:rFonts w:hint="eastAsia"/>
                <w:color w:val="auto"/>
                <w:sz w:val="21"/>
                <w:szCs w:val="21"/>
                <w:highlight w:val="none"/>
                <w:lang w:eastAsia="zh-CN"/>
              </w:rPr>
              <w:t xml:space="preserve">狮子坝</w:t>
            </w:r>
            <w:r>
              <w:rPr>
                <w:color w:val="auto"/>
                <w:sz w:val="21"/>
                <w:szCs w:val="21"/>
                <w:highlight w:val="none"/>
              </w:rPr>
              <w:t xml:space="preserve">隧道</w:t>
            </w:r>
            <w:r/>
          </w:p>
        </w:tc>
        <w:tc>
          <w:tcPr>
            <w:tcW w:w="2370" w:type="dxa"/>
            <w:vAlign w:val="center"/>
            <w:textDirection w:val="lrTb"/>
            <w:noWrap w:val="false"/>
          </w:tcPr>
          <w:p>
            <w:pPr>
              <w:pStyle w:val="698"/>
              <w:ind w:firstLine="0"/>
              <w:spacing w:line="440" w:lineRule="exact"/>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tc>
        <w:tc>
          <w:tcPr>
            <w:tcW w:w="1890" w:type="dxa"/>
            <w:vAlign w:val="center"/>
            <w:textDirection w:val="lrTb"/>
            <w:noWrap w:val="false"/>
          </w:tcPr>
          <w:p>
            <w:pPr>
              <w:pStyle w:val="698"/>
              <w:ind w:firstLine="0"/>
              <w:jc w:val="center"/>
              <w:spacing w:line="440" w:lineRule="exact"/>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3</w:t>
            </w:r>
            <w:r/>
          </w:p>
        </w:tc>
        <w:tc>
          <w:tcPr>
            <w:tcW w:w="1496" w:type="dxa"/>
            <w:textDirection w:val="lrTb"/>
            <w:noWrap w:val="false"/>
          </w:tcPr>
          <w:p>
            <w:pPr>
              <w:pStyle w:val="698"/>
              <w:ind w:firstLine="0"/>
              <w:spacing w:line="440" w:lineRule="exact"/>
              <w:rPr>
                <w:color w:val="auto"/>
                <w:sz w:val="21"/>
                <w:szCs w:val="21"/>
                <w:highlight w:val="none"/>
              </w:rPr>
            </w:pPr>
            <w:r>
              <w:rPr>
                <w:color w:val="auto"/>
                <w:sz w:val="21"/>
                <w:szCs w:val="21"/>
                <w:highlight w:val="none"/>
              </w:rPr>
            </w:r>
            <w:r/>
          </w:p>
        </w:tc>
      </w:tr>
      <w:tr>
        <w:trPr>
          <w:trHeight w:val="829"/>
        </w:trPr>
        <w:tc>
          <w:tcPr>
            <w:tcW w:w="1240" w:type="dxa"/>
            <w:vAlign w:val="center"/>
            <w:vMerge w:val="continue"/>
            <w:textDirection w:val="lrTb"/>
            <w:noWrap w:val="false"/>
          </w:tcPr>
          <w:p>
            <w:pPr>
              <w:pStyle w:val="698"/>
              <w:ind w:firstLine="0"/>
              <w:spacing w:line="440" w:lineRule="exact"/>
              <w:rPr>
                <w:color w:val="auto"/>
                <w:sz w:val="21"/>
                <w:szCs w:val="21"/>
                <w:highlight w:val="none"/>
              </w:rPr>
            </w:pPr>
            <w:r>
              <w:rPr>
                <w:color w:val="auto"/>
                <w:sz w:val="21"/>
                <w:szCs w:val="21"/>
                <w:highlight w:val="none"/>
              </w:rPr>
            </w:r>
            <w:r/>
          </w:p>
        </w:tc>
        <w:tc>
          <w:tcPr>
            <w:tcW w:w="1615" w:type="dxa"/>
            <w:vAlign w:val="center"/>
            <w:textDirection w:val="lrTb"/>
            <w:noWrap w:val="false"/>
          </w:tcPr>
          <w:p>
            <w:pPr>
              <w:pStyle w:val="698"/>
              <w:ind w:firstLine="0"/>
              <w:spacing w:line="440" w:lineRule="exact"/>
              <w:tabs>
                <w:tab w:val="left" w:pos="3624" w:leader="none"/>
              </w:tabs>
              <w:rPr>
                <w:color w:val="auto"/>
                <w:sz w:val="21"/>
                <w:szCs w:val="21"/>
                <w:highlight w:val="none"/>
              </w:rPr>
            </w:pPr>
            <w:r>
              <w:rPr>
                <w:rFonts w:hint="eastAsia"/>
                <w:color w:val="auto"/>
                <w:sz w:val="21"/>
                <w:szCs w:val="21"/>
                <w:highlight w:val="none"/>
                <w:lang w:eastAsia="zh-CN"/>
              </w:rPr>
              <w:t xml:space="preserve">红山路</w:t>
            </w:r>
            <w:r>
              <w:rPr>
                <w:color w:val="auto"/>
                <w:sz w:val="21"/>
                <w:szCs w:val="21"/>
                <w:highlight w:val="none"/>
              </w:rPr>
              <w:t xml:space="preserve">隧道</w:t>
            </w:r>
            <w:r/>
          </w:p>
        </w:tc>
        <w:tc>
          <w:tcPr>
            <w:tcW w:w="2370" w:type="dxa"/>
            <w:vAlign w:val="center"/>
            <w:textDirection w:val="lrTb"/>
            <w:noWrap w:val="false"/>
          </w:tcPr>
          <w:p>
            <w:pPr>
              <w:pStyle w:val="698"/>
              <w:ind w:firstLine="0"/>
              <w:spacing w:line="440" w:lineRule="exact"/>
              <w:tabs>
                <w:tab w:val="left" w:pos="3624" w:leader="none"/>
              </w:tabs>
              <w:rPr>
                <w:rFonts w:hint="eastAsia" w:eastAsia="宋体"/>
                <w:color w:val="auto"/>
                <w:sz w:val="21"/>
                <w:szCs w:val="21"/>
                <w:highlight w:val="none"/>
                <w:u w:val="single"/>
                <w:lang w:eastAsia="zh-CN"/>
              </w:rPr>
            </w:pPr>
            <w:r>
              <w:rPr>
                <w:rFonts w:hint="eastAsia" w:eastAsia="宋体"/>
                <w:color w:val="auto"/>
                <w:sz w:val="21"/>
                <w:szCs w:val="21"/>
                <w:highlight w:val="none"/>
                <w:u w:val="single"/>
                <w:lang w:eastAsia="zh-CN"/>
              </w:rPr>
            </w:r>
            <w:r/>
          </w:p>
        </w:tc>
        <w:tc>
          <w:tcPr>
            <w:tcW w:w="1890" w:type="dxa"/>
            <w:vAlign w:val="center"/>
            <w:textDirection w:val="lrTb"/>
            <w:noWrap w:val="false"/>
          </w:tcPr>
          <w:p>
            <w:pPr>
              <w:pStyle w:val="698"/>
              <w:ind w:firstLine="0"/>
              <w:jc w:val="center"/>
              <w:spacing w:line="440" w:lineRule="exact"/>
              <w:tabs>
                <w:tab w:val="left" w:pos="3624" w:leader="none"/>
              </w:tabs>
              <w:rPr>
                <w:rFonts w:hint="default" w:eastAsia="宋体"/>
                <w:color w:val="auto"/>
                <w:sz w:val="21"/>
                <w:szCs w:val="21"/>
                <w:highlight w:val="none"/>
                <w:u w:val="none"/>
                <w:lang w:val="en-US" w:eastAsia="zh-CN"/>
              </w:rPr>
            </w:pPr>
            <w:r>
              <w:rPr>
                <w:rFonts w:hint="eastAsia"/>
                <w:color w:val="auto"/>
                <w:sz w:val="21"/>
                <w:szCs w:val="21"/>
                <w:highlight w:val="none"/>
                <w:u w:val="none"/>
                <w:lang w:val="en-US" w:eastAsia="zh-CN"/>
              </w:rPr>
              <w:t xml:space="preserve">3</w:t>
            </w:r>
            <w:r/>
          </w:p>
        </w:tc>
        <w:tc>
          <w:tcPr>
            <w:tcW w:w="1496" w:type="dxa"/>
            <w:textDirection w:val="lrTb"/>
            <w:noWrap w:val="false"/>
          </w:tcPr>
          <w:p>
            <w:pPr>
              <w:pStyle w:val="698"/>
              <w:ind w:firstLine="0"/>
              <w:spacing w:line="440" w:lineRule="exact"/>
              <w:rPr>
                <w:color w:val="auto"/>
                <w:sz w:val="21"/>
                <w:szCs w:val="21"/>
                <w:highlight w:val="none"/>
              </w:rPr>
            </w:pPr>
            <w:r>
              <w:rPr>
                <w:color w:val="auto"/>
                <w:sz w:val="21"/>
                <w:szCs w:val="21"/>
                <w:highlight w:val="none"/>
              </w:rPr>
            </w:r>
            <w:r/>
          </w:p>
        </w:tc>
      </w:tr>
      <w:tr>
        <w:trPr>
          <w:trHeight w:val="829"/>
        </w:trPr>
        <w:tc>
          <w:tcPr>
            <w:tcW w:w="1240" w:type="dxa"/>
            <w:vAlign w:val="center"/>
            <w:vMerge w:val="continue"/>
            <w:textDirection w:val="lrTb"/>
            <w:noWrap w:val="false"/>
          </w:tcPr>
          <w:p>
            <w:pPr>
              <w:pStyle w:val="698"/>
              <w:ind w:firstLine="0"/>
              <w:spacing w:line="440" w:lineRule="exact"/>
              <w:rPr>
                <w:color w:val="auto"/>
                <w:sz w:val="21"/>
                <w:szCs w:val="21"/>
                <w:highlight w:val="none"/>
              </w:rPr>
            </w:pPr>
            <w:r>
              <w:rPr>
                <w:color w:val="auto"/>
                <w:sz w:val="21"/>
                <w:szCs w:val="21"/>
                <w:highlight w:val="none"/>
              </w:rPr>
            </w:r>
            <w:r/>
          </w:p>
        </w:tc>
        <w:tc>
          <w:tcPr>
            <w:tcW w:w="1615" w:type="dxa"/>
            <w:vAlign w:val="center"/>
            <w:textDirection w:val="lrTb"/>
            <w:noWrap w:val="false"/>
          </w:tcPr>
          <w:p>
            <w:pPr>
              <w:pStyle w:val="698"/>
              <w:ind w:firstLine="0"/>
              <w:spacing w:line="440" w:lineRule="exact"/>
              <w:tabs>
                <w:tab w:val="left" w:pos="3624" w:leader="none"/>
              </w:tabs>
              <w:rPr>
                <w:rFonts w:hint="eastAsia" w:eastAsia="宋体"/>
                <w:color w:val="auto"/>
                <w:sz w:val="21"/>
                <w:szCs w:val="21"/>
                <w:highlight w:val="none"/>
                <w:lang w:eastAsia="zh-CN"/>
              </w:rPr>
            </w:pPr>
            <w:r>
              <w:rPr>
                <w:color w:val="auto"/>
                <w:sz w:val="21"/>
                <w:szCs w:val="21"/>
                <w:highlight w:val="none"/>
              </w:rPr>
              <w:t xml:space="preserve">合计</w:t>
            </w:r>
            <w:r>
              <w:rPr>
                <w:rFonts w:hint="eastAsia"/>
                <w:color w:val="auto"/>
                <w:sz w:val="21"/>
                <w:szCs w:val="21"/>
                <w:highlight w:val="none"/>
                <w:lang w:eastAsia="zh-CN"/>
              </w:rPr>
              <w:t xml:space="preserve">（万元）</w:t>
            </w:r>
            <w:r/>
          </w:p>
        </w:tc>
        <w:tc>
          <w:tcPr>
            <w:gridSpan w:val="3"/>
            <w:tcW w:w="5756" w:type="dxa"/>
            <w:vAlign w:val="center"/>
            <w:textDirection w:val="lrTb"/>
            <w:noWrap w:val="false"/>
          </w:tcPr>
          <w:p>
            <w:pPr>
              <w:pStyle w:val="698"/>
              <w:ind w:firstLine="0"/>
              <w:spacing w:line="440" w:lineRule="exact"/>
              <w:rPr>
                <w:color w:val="auto"/>
                <w:sz w:val="21"/>
                <w:szCs w:val="21"/>
                <w:highlight w:val="none"/>
              </w:rPr>
            </w:pPr>
            <w:r>
              <w:rPr>
                <w:color w:val="auto"/>
                <w:sz w:val="21"/>
                <w:szCs w:val="21"/>
                <w:highlight w:val="none"/>
              </w:rPr>
            </w:r>
            <w:r/>
          </w:p>
        </w:tc>
      </w:tr>
    </w:tbl>
    <w:p>
      <w:pPr>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投标单位（加盖CA电子公章）：</w:t>
      </w:r>
      <w:r>
        <w:rPr>
          <w:rFonts w:hint="eastAsia" w:ascii="宋体" w:hAnsi="宋体" w:cs="宋体"/>
          <w:color w:val="auto"/>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说明：</w:t>
      </w:r>
      <w:r/>
    </w:p>
    <w:p>
      <w:pPr>
        <w:numPr>
          <w:ilvl w:val="0"/>
          <w:numId w:val="0"/>
        </w:numPr>
        <w:ind w:firstLine="422"/>
        <w:jc w:val="left"/>
        <w:keepLines w:val="0"/>
        <w:keepNext w:val="0"/>
        <w:pageBreakBefore w:val="0"/>
        <w:spacing w:line="440" w:lineRule="exact"/>
        <w:shd w:val="clear" w:color="auto" w:fill="ffffff"/>
        <w:widowControl/>
        <w:rPr>
          <w:b/>
          <w:bCs/>
          <w:color w:val="auto"/>
          <w:szCs w:val="21"/>
          <w:highlight w:val="none"/>
        </w:rPr>
      </w:pPr>
      <w:r>
        <w:rPr>
          <w:rFonts w:hint="eastAsia"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lang w:val="en-US" w:eastAsia="zh-CN"/>
        </w:rPr>
        <w:t xml:space="preserve">、</w:t>
      </w:r>
      <w:r>
        <w:rPr>
          <w:b/>
          <w:bCs/>
          <w:color w:val="auto"/>
          <w:szCs w:val="21"/>
          <w:highlight w:val="none"/>
        </w:rPr>
        <w:t xml:space="preserve">本项目仅接受一个价格，不得填报有选择性报价方案。若有优惠条款须注明，但不得影响报价，影响产品整体功能。</w:t>
      </w:r>
      <w:r/>
    </w:p>
    <w:p>
      <w:pPr>
        <w:pStyle w:val="752"/>
        <w:ind w:firstLine="422"/>
        <w:keepLines w:val="0"/>
        <w:keepNext w:val="0"/>
        <w:pageBreakBefore w:val="0"/>
        <w:spacing w:line="440" w:lineRule="exact"/>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rPr>
        <w:t xml:space="preserve">采购人设定</w:t>
      </w:r>
      <w:r>
        <w:rPr>
          <w:rFonts w:hint="eastAsia" w:ascii="Times New Roman" w:hAnsi="Times New Roman" w:eastAsia="宋体" w:cs="Times New Roman"/>
          <w:b/>
          <w:bCs/>
          <w:color w:val="auto"/>
          <w:sz w:val="21"/>
          <w:szCs w:val="21"/>
          <w:highlight w:val="none"/>
          <w:lang w:val="en-US" w:eastAsia="zh-CN"/>
        </w:rPr>
        <w:t xml:space="preserve">三</w:t>
      </w:r>
      <w:r>
        <w:rPr>
          <w:rFonts w:hint="eastAsia" w:ascii="Times New Roman" w:hAnsi="Times New Roman" w:eastAsia="宋体" w:cs="Times New Roman"/>
          <w:b/>
          <w:bCs/>
          <w:color w:val="auto"/>
          <w:sz w:val="21"/>
          <w:szCs w:val="21"/>
          <w:highlight w:val="none"/>
        </w:rPr>
        <w:t xml:space="preserve">年的最高限价为人民币</w:t>
      </w:r>
      <w:r>
        <w:rPr>
          <w:rFonts w:hint="eastAsia" w:ascii="Times New Roman" w:hAnsi="Times New Roman" w:eastAsia="宋体" w:cs="Times New Roman"/>
          <w:b/>
          <w:bCs/>
          <w:color w:val="auto"/>
          <w:sz w:val="21"/>
          <w:szCs w:val="21"/>
          <w:highlight w:val="none"/>
          <w:lang w:val="en-US" w:eastAsia="zh-CN"/>
        </w:rPr>
        <w:t xml:space="preserve">2274</w:t>
      </w:r>
      <w:r>
        <w:rPr>
          <w:rFonts w:hint="eastAsia" w:ascii="Times New Roman" w:hAnsi="Times New Roman" w:eastAsia="宋体" w:cs="Times New Roman"/>
          <w:b/>
          <w:bCs/>
          <w:color w:val="auto"/>
          <w:sz w:val="21"/>
          <w:szCs w:val="21"/>
          <w:highlight w:val="none"/>
        </w:rPr>
        <w:t xml:space="preserve">万元，</w:t>
      </w:r>
      <w:r>
        <w:rPr>
          <w:rFonts w:hint="eastAsia" w:ascii="Times New Roman" w:hAnsi="Times New Roman" w:eastAsia="宋体" w:cs="Times New Roman"/>
          <w:b/>
          <w:bCs/>
          <w:color w:val="auto"/>
          <w:sz w:val="21"/>
          <w:szCs w:val="21"/>
          <w:highlight w:val="none"/>
          <w:lang w:val="en-US" w:eastAsia="zh-CN"/>
        </w:rPr>
        <w:t xml:space="preserve">758</w:t>
      </w:r>
      <w:r>
        <w:rPr>
          <w:rFonts w:hint="eastAsia" w:ascii="Times New Roman" w:hAnsi="Times New Roman" w:eastAsia="宋体" w:cs="Times New Roman"/>
          <w:b/>
          <w:bCs/>
          <w:color w:val="auto"/>
          <w:sz w:val="21"/>
          <w:szCs w:val="21"/>
          <w:highlight w:val="none"/>
        </w:rPr>
        <w:t xml:space="preserve">万元/年，其中其中狮子坝隧道</w:t>
      </w:r>
      <w:r>
        <w:rPr>
          <w:rFonts w:hint="default" w:ascii="Times New Roman" w:hAnsi="Times New Roman" w:eastAsia="宋体" w:cs="Times New Roman"/>
          <w:b/>
          <w:bCs/>
          <w:color w:val="auto"/>
          <w:sz w:val="21"/>
          <w:szCs w:val="21"/>
          <w:highlight w:val="none"/>
        </w:rPr>
        <w:t xml:space="preserve">175</w:t>
      </w:r>
      <w:r>
        <w:rPr>
          <w:rFonts w:hint="eastAsia" w:ascii="Times New Roman" w:hAnsi="Times New Roman" w:eastAsia="宋体" w:cs="Times New Roman"/>
          <w:b/>
          <w:bCs/>
          <w:color w:val="auto"/>
          <w:sz w:val="21"/>
          <w:szCs w:val="21"/>
          <w:highlight w:val="none"/>
        </w:rPr>
        <w:t xml:space="preserve">万元/年，红山路隧道</w:t>
      </w:r>
      <w:r>
        <w:rPr>
          <w:rFonts w:hint="default" w:ascii="Times New Roman" w:hAnsi="Times New Roman" w:eastAsia="宋体" w:cs="Times New Roman"/>
          <w:b/>
          <w:bCs/>
          <w:color w:val="auto"/>
          <w:sz w:val="21"/>
          <w:szCs w:val="21"/>
          <w:highlight w:val="none"/>
        </w:rPr>
        <w:t xml:space="preserve">583</w:t>
      </w:r>
      <w:r>
        <w:rPr>
          <w:rFonts w:hint="eastAsia" w:ascii="Times New Roman" w:hAnsi="Times New Roman" w:eastAsia="宋体" w:cs="Times New Roman"/>
          <w:b/>
          <w:bCs/>
          <w:color w:val="auto"/>
          <w:sz w:val="21"/>
          <w:szCs w:val="21"/>
          <w:highlight w:val="none"/>
        </w:rPr>
        <w:t xml:space="preserve">万元/年，服务期</w:t>
      </w:r>
      <w:r>
        <w:rPr>
          <w:rFonts w:hint="eastAsia" w:ascii="Times New Roman" w:hAnsi="Times New Roman" w:eastAsia="宋体" w:cs="Times New Roman"/>
          <w:b/>
          <w:bCs/>
          <w:color w:val="auto"/>
          <w:sz w:val="21"/>
          <w:szCs w:val="21"/>
          <w:highlight w:val="none"/>
          <w:lang w:val="en-US" w:eastAsia="zh-CN"/>
        </w:rPr>
        <w:t xml:space="preserve">三</w:t>
      </w:r>
      <w:r>
        <w:rPr>
          <w:rFonts w:hint="eastAsia" w:ascii="Times New Roman" w:hAnsi="Times New Roman" w:eastAsia="宋体" w:cs="Times New Roman"/>
          <w:b/>
          <w:bCs/>
          <w:color w:val="auto"/>
          <w:sz w:val="21"/>
          <w:szCs w:val="21"/>
          <w:highlight w:val="none"/>
        </w:rPr>
        <w:t xml:space="preserve">年。供应商超过最高限价</w:t>
      </w:r>
      <w:r>
        <w:rPr>
          <w:rFonts w:hint="eastAsia" w:ascii="Times New Roman" w:hAnsi="Times New Roman" w:eastAsia="宋体" w:cs="Times New Roman"/>
          <w:b/>
          <w:bCs/>
          <w:color w:val="auto"/>
          <w:sz w:val="21"/>
          <w:szCs w:val="21"/>
          <w:highlight w:val="none"/>
          <w:lang w:eastAsia="zh-CN"/>
        </w:rPr>
        <w:t xml:space="preserve">（单价及总价）</w:t>
      </w:r>
      <w:r>
        <w:rPr>
          <w:rFonts w:hint="eastAsia" w:ascii="Times New Roman" w:hAnsi="Times New Roman" w:eastAsia="宋体" w:cs="Times New Roman"/>
          <w:b/>
          <w:bCs/>
          <w:color w:val="auto"/>
          <w:sz w:val="21"/>
          <w:szCs w:val="21"/>
          <w:highlight w:val="none"/>
        </w:rPr>
        <w:t xml:space="preserve">的为无效报价，按照无效投标处理。</w:t>
      </w:r>
      <w:r/>
    </w:p>
    <w:p>
      <w:pPr>
        <w:pStyle w:val="728"/>
        <w:ind w:left="0" w:right="0"/>
        <w:jc w:val="center"/>
        <w:keepLines w:val="0"/>
        <w:keepNext w:val="0"/>
        <w:spacing w:before="0" w:beforeAutospacing="0" w:after="0" w:afterAutospacing="0" w:line="360" w:lineRule="auto"/>
        <w:widowControl w:val="off"/>
        <w:rPr>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cs="宋体"/>
          <w:b/>
          <w:color w:val="auto"/>
          <w:sz w:val="32"/>
          <w:szCs w:val="32"/>
          <w:highlight w:val="none"/>
          <w:lang w:val="zh-CN"/>
        </w:rPr>
        <w:br w:type="page" w:clear="all"/>
      </w:r>
      <w:r>
        <w:rPr>
          <w:rFonts w:ascii="方正小标宋简体" w:hAnsi="方正小标宋简体" w:eastAsia="方正小标宋简体" w:cs="方正小标宋简体"/>
          <w:color w:val="000000"/>
          <w:sz w:val="28"/>
          <w:szCs w:val="28"/>
          <w:highlight w:val="none"/>
        </w:rPr>
        <w:t xml:space="preserve">关于符合本国产品标准的声明函（</w:t>
      </w:r>
      <w:r>
        <w:rPr>
          <w:rFonts w:hint="eastAsia" w:ascii="方正小标宋简体" w:hAnsi="方正小标宋简体" w:eastAsia="方正小标宋简体" w:cs="方正小标宋简体"/>
          <w:color w:val="000000"/>
          <w:sz w:val="28"/>
          <w:szCs w:val="28"/>
          <w:highlight w:val="none"/>
          <w:lang w:val="en-US" w:eastAsia="zh-CN"/>
        </w:rPr>
        <w:t xml:space="preserve">如有</w:t>
      </w:r>
      <w:r>
        <w:rPr>
          <w:rFonts w:ascii="方正小标宋简体" w:hAnsi="方正小标宋简体" w:eastAsia="方正小标宋简体" w:cs="方正小标宋简体"/>
          <w:color w:val="000000"/>
          <w:sz w:val="28"/>
          <w:szCs w:val="28"/>
          <w:highlight w:val="none"/>
        </w:rPr>
        <w:t xml:space="preserve">）</w:t>
      </w:r>
      <w:r/>
    </w:p>
    <w:p>
      <w:pPr>
        <w:pStyle w:val="728"/>
        <w:ind w:left="0" w:firstLine="420"/>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8"/>
        <w:ind w:left="0" w:firstLine="420"/>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生产厂为（厂名）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i/>
          <w:iCs/>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i/>
          <w:iCs/>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i/>
          <w:iCs/>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i/>
          <w:iCs/>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i/>
          <w:iCs/>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i/>
          <w:iCs/>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728"/>
        <w:ind w:left="0" w:firstLine="420"/>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i/>
          <w:iCs/>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i/>
          <w:iCs/>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i/>
          <w:iCs/>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i/>
          <w:iCs/>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i/>
          <w:iCs/>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i/>
          <w:iCs/>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p>
    <w:p>
      <w:pPr>
        <w:pStyle w:val="728"/>
        <w:ind w:left="0" w:firstLine="420"/>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728"/>
        <w:ind w:left="0" w:firstLine="420"/>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25" w:name="OLE_LINK6"/>
      <w:r>
        <w:rPr>
          <w:rFonts w:hint="eastAsia" w:ascii="宋体" w:hAnsi="宋体" w:eastAsia="宋体" w:cs="宋体"/>
          <w:color w:val="000000"/>
          <w:sz w:val="24"/>
          <w:szCs w:val="24"/>
          <w:highlight w:val="none"/>
          <w:shd w:val="clear" w:color="auto" w:fill="ffffff"/>
        </w:rPr>
        <w:t xml:space="preserve">本公司（单位）</w:t>
      </w:r>
      <w:bookmarkEnd w:id="25"/>
      <w:r>
        <w:rPr>
          <w:rFonts w:hint="eastAsia" w:ascii="宋体" w:hAnsi="宋体" w:eastAsia="宋体" w:cs="宋体"/>
          <w:color w:val="000000"/>
          <w:sz w:val="24"/>
          <w:szCs w:val="24"/>
          <w:highlight w:val="none"/>
          <w:shd w:val="clear" w:color="auto" w:fill="ffffff"/>
        </w:rPr>
        <w:t xml:space="preserve">对上述声明内容的真实性负责。如有虚假，愿承担相应法律责任。</w:t>
      </w:r>
      <w:r/>
    </w:p>
    <w:p>
      <w:pPr>
        <w:pStyle w:val="728"/>
        <w:jc w:val="right"/>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公司（单位）名称（盖章）：         </w:t>
      </w:r>
      <w:r/>
    </w:p>
    <w:p>
      <w:pPr>
        <w:pStyle w:val="728"/>
        <w:jc w:val="right"/>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rPr>
        <w:t xml:space="preserve">日期：      年   月   日    </w:t>
      </w:r>
      <w:r>
        <w:rPr>
          <w:rFonts w:hint="eastAsia" w:ascii="宋体" w:hAnsi="宋体" w:eastAsia="宋体" w:cs="宋体"/>
          <w:color w:val="000000"/>
          <w:sz w:val="28"/>
          <w:szCs w:val="28"/>
          <w:highlight w:val="none"/>
          <w:shd w:val="clear" w:color="auto" w:fill="ffffff"/>
        </w:rPr>
        <w:t xml:space="preserve">     </w:t>
      </w:r>
      <w:r/>
    </w:p>
    <w:p>
      <w:pPr>
        <w:pStyle w:val="728"/>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shd w:val="clear" w:color="auto" w:fill="ffffff"/>
        </w:rPr>
        <w:t xml:space="preserve">__________________</w:t>
      </w:r>
      <w:r/>
    </w:p>
    <w:p>
      <w:pPr>
        <w:pStyle w:val="1055"/>
        <w:ind w:firstLine="420"/>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1.产品如有型号，请在“产品名称”栏一并填写。</w:t>
      </w:r>
      <w:r/>
    </w:p>
    <w:p>
      <w:pPr>
        <w:pStyle w:val="1055"/>
        <w:ind w:firstLine="420"/>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2.生产厂名与厂址应与生产厂营业执照载明的相关信息保持一致。</w:t>
      </w:r>
      <w:r/>
    </w:p>
    <w:p>
      <w:pPr>
        <w:pStyle w:val="1055"/>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rPr>
      </w:pPr>
      <w:r>
        <w:rPr>
          <w:rFonts w:ascii="Times New Roman" w:hAnsi="Times New Roman" w:cs="Times New Roman"/>
          <w:b/>
          <w:bCs/>
          <w:color w:val="000000"/>
          <w:sz w:val="21"/>
          <w:szCs w:val="21"/>
          <w:highlight w:val="none"/>
          <w:shd w:val="clear" w:color="auto" w:fill="ffffff"/>
        </w:rPr>
        <w:t xml:space="preserve">3.该产品的中国境内生产的组件成本占比相关要求实施前，“规定比例”栏可不填。</w:t>
      </w:r>
      <w:r/>
    </w:p>
    <w:p>
      <w:pPr>
        <w:pStyle w:val="1055"/>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shd w:val="clear" w:color="auto" w:fill="ffffff"/>
        </w:rPr>
      </w:pPr>
      <w:r>
        <w:rPr>
          <w:rFonts w:ascii="Times New Roman" w:hAnsi="Times New Roman" w:cs="Times New Roman"/>
          <w:b/>
          <w:bCs/>
          <w:color w:val="000000"/>
          <w:sz w:val="21"/>
          <w:szCs w:val="21"/>
          <w:highlight w:val="none"/>
          <w:shd w:val="clear" w:color="auto" w:fill="ffffff"/>
        </w:rPr>
        <w:t xml:space="preserve">4.该产品的关键组件要求实施前，“关键组件”栏可不填。</w:t>
      </w:r>
      <w:r/>
    </w:p>
    <w:p>
      <w:pPr>
        <w:pStyle w:val="1055"/>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shd w:val="clear" w:color="auto" w:fill="ffffff"/>
        </w:rPr>
      </w:pPr>
      <w:r>
        <w:rPr>
          <w:rFonts w:ascii="Times New Roman" w:hAnsi="Times New Roman" w:cs="Times New Roman"/>
          <w:b/>
          <w:bCs/>
          <w:color w:val="000000"/>
          <w:sz w:val="21"/>
          <w:szCs w:val="21"/>
          <w:highlight w:val="none"/>
          <w:shd w:val="clear" w:color="auto" w:fill="ffffff"/>
        </w:rPr>
        <w:t xml:space="preserve">5.该产品的关键工序要求实施前，“关键工序”栏可不填。</w:t>
      </w:r>
      <w:r/>
    </w:p>
    <w:p>
      <w:pPr>
        <w:pStyle w:val="1055"/>
        <w:ind w:firstLine="420"/>
        <w:spacing w:before="0" w:beforeAutospacing="0" w:after="0" w:afterAutospacing="0" w:line="360" w:lineRule="auto"/>
        <w:shd w:val="clear" w:color="auto" w:fill="ffffff"/>
        <w:rPr>
          <w:rFonts w:ascii="Times New Roman" w:hAnsi="Times New Roman" w:cs="Times New Roman"/>
          <w:b/>
          <w:bCs/>
          <w:color w:val="000000"/>
          <w:sz w:val="21"/>
          <w:highlight w:val="none"/>
        </w:rPr>
      </w:pPr>
      <w:r>
        <w:rPr>
          <w:rFonts w:ascii="Times New Roman" w:hAnsi="Times New Roman" w:cs="Times New Roman"/>
          <w:b/>
          <w:bCs/>
          <w:color w:val="000000"/>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left"/>
        <w:widowControl/>
        <w:rPr>
          <w:rFonts w:ascii="Times New Roman" w:hAnsi="Times New Roman" w:cs="Times New Roman"/>
          <w:color w:val="000000"/>
          <w:highlight w:val="none"/>
        </w:rPr>
      </w:pPr>
      <w:r>
        <w:rPr>
          <w:rFonts w:ascii="Times New Roman" w:hAnsi="Times New Roman" w:cs="Times New Roman"/>
          <w:color w:val="000000"/>
          <w:highlight w:val="none"/>
        </w:rPr>
      </w:r>
      <w:r/>
    </w:p>
    <w:p>
      <w:pPr>
        <w:ind w:firstLine="210"/>
        <w:rPr>
          <w:rFonts w:hint="default" w:eastAsia="宋体"/>
          <w:highlight w:val="none"/>
          <w:lang w:val="en-US" w:eastAsia="zh-CN"/>
        </w:rPr>
      </w:pPr>
      <w:r>
        <w:rPr>
          <w:rFonts w:hint="default" w:eastAsia="宋体"/>
          <w:highlight w:val="none"/>
          <w:lang w:val="en-US" w:eastAsia="zh-CN"/>
        </w:rPr>
      </w:r>
      <w:r/>
    </w:p>
    <w:p>
      <w:pPr>
        <w:rPr>
          <w:rFonts w:ascii="宋体" w:hAnsi="宋体" w:cs="宋体"/>
          <w:b/>
          <w:color w:val="auto"/>
          <w:sz w:val="32"/>
          <w:szCs w:val="32"/>
          <w:highlight w:val="none"/>
          <w:lang w:val="zh-CN"/>
        </w:rPr>
      </w:pPr>
      <w:r>
        <w:rPr>
          <w:rFonts w:ascii="宋体" w:hAnsi="宋体" w:cs="宋体"/>
          <w:b/>
          <w:color w:val="auto"/>
          <w:sz w:val="32"/>
          <w:szCs w:val="32"/>
          <w:highlight w:val="none"/>
          <w:lang w:val="zh-CN"/>
        </w:rPr>
        <w:br w:type="page" w:clear="all"/>
      </w:r>
      <w:r/>
    </w:p>
    <w:p>
      <w:pPr>
        <w:pStyle w:val="748"/>
        <w:rPr>
          <w:highlight w:val="none"/>
          <w:lang w:val="zh-CN"/>
        </w:rPr>
      </w:pPr>
      <w:r>
        <w:rPr>
          <w:highlight w:val="none"/>
          <w:lang w:val="zh-CN"/>
        </w:rPr>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四、商务条款偏离表</w:t>
      </w:r>
      <w:r/>
    </w:p>
    <w:tbl>
      <w:tblPr>
        <w:tblStyle w:val="695"/>
        <w:tblW w:w="8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79"/>
        <w:gridCol w:w="1081"/>
        <w:gridCol w:w="2044"/>
        <w:gridCol w:w="2227"/>
      </w:tblGrid>
      <w:tr>
        <w:trPr>
          <w:gridAfter w:val="3"/>
          <w:jc w:val="center"/>
          <w:trHeight w:val="284"/>
          <w:tblHeader/>
        </w:trPr>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序号</w:t>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招标文件要求的商务条款</w:t>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投标响应</w:t>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Pr>
        <w:tc>
          <w:tcPr>
            <w:tcW w:w="651"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c>
          <w:tcPr>
            <w:gridSpan w:val="2"/>
            <w:tcW w:w="3260"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c>
          <w:tcPr>
            <w:tcW w:w="2044"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c>
          <w:tcPr>
            <w:tcW w:w="2227"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r>
    </w:tbl>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供应商名称：（加盖CA电子公章）</w:t>
      </w:r>
      <w:r/>
    </w:p>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说明：若无偏离在招标</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要求的商务条款</w:t>
      </w:r>
      <w:r>
        <w:rPr>
          <w:rFonts w:hint="eastAsia" w:ascii="宋体" w:hAnsi="宋体" w:cs="宋体"/>
          <w:color w:val="auto"/>
          <w:highlight w:val="none"/>
          <w:lang w:val="zh-CN"/>
        </w:rPr>
        <w:t xml:space="preserve">中填写所有条款，在偏离栏中填写无偏离。</w:t>
      </w:r>
      <w:r/>
    </w:p>
    <w:p>
      <w:pPr>
        <w:ind w:firstLine="480"/>
        <w:jc w:val="left"/>
        <w:spacing w:line="240" w:lineRule="atLeast"/>
        <w:widowControl/>
        <w:rPr>
          <w:rFonts w:ascii="宋体" w:cs="宋体"/>
          <w:color w:val="auto"/>
          <w:highlight w:val="none"/>
          <w:lang w:val="zh-CN"/>
        </w:rPr>
      </w:pPr>
      <w:r>
        <w:rPr>
          <w:rFonts w:ascii="宋体" w:cs="宋体"/>
          <w:color w:val="auto"/>
          <w:highlight w:val="none"/>
          <w:lang w:val="zh-CN"/>
        </w:rPr>
      </w:r>
      <w:r/>
    </w:p>
    <w:p>
      <w:pPr>
        <w:ind w:firstLine="643"/>
        <w:jc w:val="center"/>
        <w:spacing w:line="44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五、技术偏离表</w:t>
      </w:r>
      <w:r/>
    </w:p>
    <w:tbl>
      <w:tblPr>
        <w:tblStyle w:val="695"/>
        <w:tblW w:w="8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79"/>
        <w:gridCol w:w="1081"/>
        <w:gridCol w:w="2044"/>
        <w:gridCol w:w="2123"/>
      </w:tblGrid>
      <w:tr>
        <w:trPr>
          <w:gridAfter w:val="3"/>
          <w:jc w:val="center"/>
          <w:trHeight w:val="284"/>
          <w:tblHeader/>
        </w:trPr>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序号</w:t>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cs="宋体"/>
                <w:color w:val="auto"/>
                <w:highlight w:val="none"/>
                <w:lang w:val="zh-CN"/>
              </w:rPr>
              <w:t xml:space="preserve">技术要求</w:t>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投标响应</w:t>
            </w:r>
            <w:r/>
          </w:p>
        </w:tc>
        <w:tc>
          <w:tcPr>
            <w:tcW w:w="2123"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123"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123"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123"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123"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123"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123"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Pr>
        <w:tc>
          <w:tcPr>
            <w:tcW w:w="651"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c>
          <w:tcPr>
            <w:gridSpan w:val="2"/>
            <w:tcW w:w="3260"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c>
          <w:tcPr>
            <w:tcW w:w="2044"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c>
          <w:tcPr>
            <w:tcW w:w="2123"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r>
    </w:tbl>
    <w:p>
      <w:pPr>
        <w:ind w:firstLine="480"/>
        <w:jc w:val="left"/>
        <w:spacing w:line="360" w:lineRule="auto"/>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供应商名称：（加盖CA电子公章）</w:t>
      </w:r>
      <w:r/>
    </w:p>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说明：若无偏离在招标</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技术要求</w:t>
      </w:r>
      <w:r>
        <w:rPr>
          <w:rFonts w:hint="eastAsia" w:ascii="宋体" w:hAnsi="宋体" w:cs="宋体"/>
          <w:color w:val="auto"/>
          <w:highlight w:val="none"/>
          <w:lang w:val="zh-CN"/>
        </w:rPr>
        <w:t xml:space="preserve">中填写所有条款，在偏离栏中填写无偏离。</w:t>
      </w:r>
      <w:r/>
    </w:p>
    <w:p>
      <w:pPr>
        <w:ind w:firstLine="0"/>
        <w:jc w:val="center"/>
        <w:widowControl/>
        <w:rPr>
          <w:rFonts w:ascii="宋体" w:hAnsi="宋体" w:eastAsia="仿宋" w:cs="宋体"/>
          <w:b/>
          <w:color w:val="auto"/>
          <w:sz w:val="32"/>
          <w:szCs w:val="32"/>
          <w:highlight w:val="none"/>
          <w:lang w:val="zh-CN"/>
        </w:rPr>
      </w:pPr>
      <w:r>
        <w:rPr>
          <w:rFonts w:ascii="宋体"/>
          <w:color w:val="auto"/>
          <w:highlight w:val="none"/>
          <w:lang w:val="zh-CN"/>
        </w:rPr>
        <w:br w:type="page" w:clear="all"/>
      </w:r>
      <w:r>
        <w:rPr>
          <w:rFonts w:hint="eastAsia" w:ascii="宋体" w:hAnsi="宋体" w:cs="宋体"/>
          <w:b/>
          <w:color w:val="auto"/>
          <w:sz w:val="32"/>
          <w:szCs w:val="32"/>
          <w:highlight w:val="none"/>
          <w:lang w:val="zh-CN"/>
        </w:rPr>
        <w:t xml:space="preserve">六、《南京市政府采购供应商信用记录表暨信用承诺书》网站在线打印</w:t>
      </w:r>
      <w:r/>
    </w:p>
    <w:p>
      <w:pPr>
        <w:ind w:left="420" w:firstLine="480"/>
        <w:jc w:val="left"/>
        <w:spacing w:line="360" w:lineRule="auto"/>
        <w:widowControl/>
        <w:rPr>
          <w:rFonts w:ascii="仿宋" w:hAnsi="仿宋" w:eastAsia="仿宋" w:cs="仿宋"/>
          <w:color w:val="auto"/>
          <w:highlight w:val="none"/>
        </w:rPr>
      </w:pPr>
      <w:r>
        <w:rPr>
          <w:rFonts w:ascii="仿宋" w:hAnsi="仿宋" w:eastAsia="仿宋" w:cs="仿宋"/>
          <w:color w:val="auto"/>
          <w:highlight w:val="none"/>
        </w:rPr>
      </w:r>
      <w:r/>
    </w:p>
    <w:p>
      <w:pPr>
        <w:ind w:firstLine="482"/>
        <w:jc w:val="left"/>
        <w:spacing w:line="360" w:lineRule="auto"/>
        <w:widowControl/>
        <w:rPr>
          <w:rFonts w:ascii="仿宋" w:hAnsi="仿宋" w:eastAsia="仿宋" w:cs="仿宋"/>
          <w:b/>
          <w:color w:val="auto"/>
          <w:highlight w:val="none"/>
          <w:lang w:val="zh-CN"/>
        </w:rPr>
      </w:pPr>
      <w:r>
        <w:rPr>
          <w:rFonts w:hint="eastAsia" w:ascii="仿宋" w:hAnsi="仿宋" w:eastAsia="仿宋" w:cs="仿宋"/>
          <w:b/>
          <w:color w:val="auto"/>
          <w:highlight w:val="none"/>
          <w:lang w:val="zh-CN"/>
        </w:rPr>
        <w:t xml:space="preserve">打印时间为本采购文件发布之日起至递交投标文件截止日前，未按要求提供《南京市政府采购供应商信用记录表暨信用承诺书》则该供应商投标文件按无效投标处理。</w:t>
      </w:r>
      <w:r/>
    </w:p>
    <w:p>
      <w:pPr>
        <w:ind w:firstLine="482"/>
        <w:jc w:val="left"/>
        <w:widowControl/>
        <w:rPr>
          <w:rFonts w:ascii="宋体" w:hAnsi="宋体"/>
          <w:b/>
          <w:bCs/>
          <w:color w:val="auto"/>
          <w:sz w:val="28"/>
          <w:szCs w:val="20"/>
          <w:highlight w:val="none"/>
        </w:rPr>
      </w:pPr>
      <w:r>
        <w:rPr>
          <w:rFonts w:hint="eastAsia" w:ascii="仿宋" w:hAnsi="仿宋" w:eastAsia="仿宋" w:cs="仿宋"/>
          <w:b/>
          <w:color w:val="auto"/>
          <w:highlight w:val="none"/>
          <w:lang w:val="zh-CN"/>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七、202</w:t>
      </w:r>
      <w:r>
        <w:rPr>
          <w:rFonts w:hint="eastAsia" w:ascii="宋体" w:hAnsi="宋体" w:cs="宋体"/>
          <w:b/>
          <w:color w:val="auto"/>
          <w:sz w:val="32"/>
          <w:szCs w:val="32"/>
          <w:highlight w:val="none"/>
          <w:lang w:val="en-US" w:eastAsia="zh-CN"/>
        </w:rPr>
        <w:t xml:space="preserve">3</w:t>
      </w:r>
      <w:r>
        <w:rPr>
          <w:rFonts w:ascii="宋体" w:hAnsi="宋体" w:cs="宋体"/>
          <w:b/>
          <w:color w:val="auto"/>
          <w:sz w:val="32"/>
          <w:szCs w:val="32"/>
          <w:highlight w:val="none"/>
          <w:lang w:val="zh-CN"/>
        </w:rPr>
        <w:t xml:space="preserve">年</w:t>
      </w:r>
      <w:r>
        <w:rPr>
          <w:rFonts w:hint="eastAsia" w:ascii="宋体" w:hAnsi="宋体" w:cs="宋体"/>
          <w:b/>
          <w:color w:val="auto"/>
          <w:sz w:val="32"/>
          <w:szCs w:val="32"/>
          <w:highlight w:val="none"/>
          <w:lang w:val="zh-CN"/>
        </w:rPr>
        <w:t xml:space="preserve">1月1日</w:t>
      </w:r>
      <w:r>
        <w:rPr>
          <w:rFonts w:ascii="宋体" w:hAnsi="宋体" w:cs="宋体"/>
          <w:b/>
          <w:color w:val="auto"/>
          <w:sz w:val="32"/>
          <w:szCs w:val="32"/>
          <w:highlight w:val="none"/>
          <w:lang w:val="zh-CN"/>
        </w:rPr>
        <w:t xml:space="preserve">以来类似项目业绩</w:t>
      </w:r>
      <w:r/>
    </w:p>
    <w:p>
      <w:pPr>
        <w:pStyle w:val="1053"/>
        <w:ind w:firstLine="480"/>
        <w:rPr>
          <w:color w:val="auto"/>
          <w:highlight w:val="none"/>
          <w:lang w:val="zh-CN"/>
        </w:rPr>
      </w:pPr>
      <w:r>
        <w:rPr>
          <w:color w:val="auto"/>
          <w:highlight w:val="none"/>
          <w:lang w:val="zh-CN"/>
        </w:rPr>
      </w:r>
      <w:r/>
    </w:p>
    <w:tbl>
      <w:tblPr>
        <w:tblStyle w:val="695"/>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32"/>
        <w:gridCol w:w="1276"/>
        <w:gridCol w:w="1842"/>
        <w:gridCol w:w="1418"/>
        <w:gridCol w:w="1843"/>
      </w:tblGrid>
      <w:tr>
        <w:trPr>
          <w:trHeight w:val="606"/>
        </w:trPr>
        <w:tc>
          <w:tcPr>
            <w:tcW w:w="720" w:type="dxa"/>
            <w:vAlign w:val="center"/>
            <w:textDirection w:val="lrTb"/>
            <w:noWrap w:val="false"/>
          </w:tcPr>
          <w:p>
            <w:pPr>
              <w:jc w:val="center"/>
              <w:spacing w:line="440" w:lineRule="exact"/>
              <w:rPr>
                <w:rFonts w:ascii="宋体" w:hAnsi="宋体"/>
                <w:b/>
                <w:color w:val="auto"/>
                <w:highlight w:val="none"/>
              </w:rPr>
            </w:pPr>
            <w:r>
              <w:rPr>
                <w:rFonts w:hint="eastAsia" w:ascii="宋体" w:hAnsi="宋体"/>
                <w:b/>
                <w:color w:val="auto"/>
                <w:highlight w:val="none"/>
              </w:rPr>
              <w:t xml:space="preserve">序号</w:t>
            </w:r>
            <w:r/>
          </w:p>
        </w:tc>
        <w:tc>
          <w:tcPr>
            <w:tcW w:w="1832" w:type="dxa"/>
            <w:vAlign w:val="center"/>
            <w:textDirection w:val="lrTb"/>
            <w:noWrap w:val="false"/>
          </w:tcPr>
          <w:p>
            <w:pPr>
              <w:jc w:val="center"/>
              <w:spacing w:line="440" w:lineRule="exact"/>
              <w:rPr>
                <w:rFonts w:ascii="宋体" w:hAnsi="宋体"/>
                <w:b/>
                <w:color w:val="auto"/>
                <w:highlight w:val="none"/>
              </w:rPr>
            </w:pPr>
            <w:r>
              <w:rPr>
                <w:rFonts w:hint="eastAsia" w:ascii="宋体" w:hAnsi="宋体"/>
                <w:b/>
                <w:color w:val="auto"/>
                <w:highlight w:val="none"/>
              </w:rPr>
              <w:t xml:space="preserve">项目名称</w:t>
            </w:r>
            <w:r/>
          </w:p>
        </w:tc>
        <w:tc>
          <w:tcPr>
            <w:tcW w:w="1276" w:type="dxa"/>
            <w:vAlign w:val="center"/>
            <w:textDirection w:val="lrTb"/>
            <w:noWrap w:val="false"/>
          </w:tcPr>
          <w:p>
            <w:pPr>
              <w:jc w:val="center"/>
              <w:spacing w:line="440" w:lineRule="exact"/>
              <w:rPr>
                <w:rFonts w:ascii="宋体" w:hAnsi="宋体"/>
                <w:b/>
                <w:color w:val="auto"/>
                <w:highlight w:val="none"/>
              </w:rPr>
            </w:pPr>
            <w:r>
              <w:rPr>
                <w:rFonts w:hint="eastAsia" w:ascii="宋体" w:hAnsi="宋体"/>
                <w:b/>
                <w:color w:val="auto"/>
                <w:highlight w:val="none"/>
              </w:rPr>
              <w:t xml:space="preserve">工作内容</w:t>
            </w:r>
            <w:r/>
          </w:p>
        </w:tc>
        <w:tc>
          <w:tcPr>
            <w:tcW w:w="1842" w:type="dxa"/>
            <w:vAlign w:val="center"/>
            <w:textDirection w:val="lrTb"/>
            <w:noWrap w:val="false"/>
          </w:tcPr>
          <w:p>
            <w:pPr>
              <w:jc w:val="center"/>
              <w:spacing w:line="440" w:lineRule="exact"/>
              <w:rPr>
                <w:rFonts w:ascii="宋体" w:hAnsi="宋体"/>
                <w:b/>
                <w:color w:val="auto"/>
                <w:highlight w:val="none"/>
              </w:rPr>
            </w:pPr>
            <w:r>
              <w:rPr>
                <w:rFonts w:hint="eastAsia" w:ascii="宋体" w:hAnsi="宋体"/>
                <w:b/>
                <w:color w:val="auto"/>
                <w:highlight w:val="none"/>
              </w:rPr>
              <w:t xml:space="preserve">合同履行期限</w:t>
            </w:r>
            <w:r/>
          </w:p>
        </w:tc>
        <w:tc>
          <w:tcPr>
            <w:tcW w:w="1418" w:type="dxa"/>
            <w:vAlign w:val="center"/>
            <w:textDirection w:val="lrTb"/>
            <w:noWrap w:val="false"/>
          </w:tcPr>
          <w:p>
            <w:pPr>
              <w:jc w:val="center"/>
              <w:spacing w:line="440" w:lineRule="exact"/>
              <w:rPr>
                <w:rFonts w:ascii="宋体" w:hAnsi="宋体"/>
                <w:b/>
                <w:color w:val="auto"/>
                <w:highlight w:val="none"/>
              </w:rPr>
            </w:pPr>
            <w:r>
              <w:rPr>
                <w:rFonts w:hint="eastAsia" w:ascii="宋体" w:hAnsi="宋体"/>
                <w:b/>
                <w:color w:val="auto"/>
                <w:highlight w:val="none"/>
              </w:rPr>
              <w:t xml:space="preserve">合同金额</w:t>
            </w:r>
            <w:r/>
          </w:p>
        </w:tc>
        <w:tc>
          <w:tcPr>
            <w:tcW w:w="1843" w:type="dxa"/>
            <w:vAlign w:val="center"/>
            <w:textDirection w:val="lrTb"/>
            <w:noWrap w:val="false"/>
          </w:tcPr>
          <w:p>
            <w:pPr>
              <w:jc w:val="center"/>
              <w:spacing w:line="440" w:lineRule="exact"/>
              <w:rPr>
                <w:rFonts w:ascii="宋体" w:hAnsi="宋体"/>
                <w:b/>
                <w:color w:val="auto"/>
                <w:highlight w:val="none"/>
              </w:rPr>
            </w:pPr>
            <w:r>
              <w:rPr>
                <w:rFonts w:hint="eastAsia" w:ascii="宋体" w:hAnsi="宋体"/>
                <w:b/>
                <w:color w:val="auto"/>
                <w:highlight w:val="none"/>
              </w:rPr>
              <w:t xml:space="preserve">备注</w:t>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bl>
    <w:p>
      <w:pPr>
        <w:ind w:firstLine="482"/>
        <w:spacing w:line="440" w:lineRule="exact"/>
        <w:rPr>
          <w:rFonts w:ascii="宋体" w:hAnsi="宋体"/>
          <w:b/>
          <w:bCs/>
          <w:color w:val="auto"/>
          <w:highlight w:val="none"/>
        </w:rPr>
      </w:pPr>
      <w:r>
        <w:rPr>
          <w:rFonts w:hint="eastAsia" w:ascii="宋体" w:hAnsi="宋体"/>
          <w:b/>
          <w:color w:val="auto"/>
          <w:highlight w:val="none"/>
        </w:rPr>
        <w:t xml:space="preserve">注：供应商业绩应汇总填报在本表中，且业绩</w:t>
      </w:r>
      <w:r>
        <w:rPr>
          <w:rFonts w:hint="eastAsia" w:ascii="宋体" w:hAnsi="宋体"/>
          <w:b/>
          <w:bCs/>
          <w:color w:val="auto"/>
          <w:highlight w:val="none"/>
        </w:rPr>
        <w:t xml:space="preserve">证明材料附后</w:t>
      </w:r>
      <w:r>
        <w:rPr>
          <w:rFonts w:hint="eastAsia" w:ascii="宋体" w:hAnsi="宋体"/>
          <w:b/>
          <w:color w:val="auto"/>
          <w:highlight w:val="none"/>
        </w:rPr>
        <w:t xml:space="preserve">。</w:t>
      </w:r>
      <w:r/>
    </w:p>
    <w:p>
      <w:pPr>
        <w:ind w:firstLine="482"/>
        <w:spacing w:line="440" w:lineRule="exact"/>
        <w:rPr>
          <w:rFonts w:ascii="宋体" w:hAnsi="宋体"/>
          <w:b/>
          <w:bCs/>
          <w:color w:val="auto"/>
          <w:szCs w:val="20"/>
          <w:highlight w:val="none"/>
        </w:rPr>
      </w:pPr>
      <w:r>
        <w:rPr>
          <w:rFonts w:ascii="宋体" w:hAnsi="宋体"/>
          <w:b/>
          <w:bCs/>
          <w:color w:val="auto"/>
          <w:szCs w:val="20"/>
          <w:highlight w:val="none"/>
        </w:rPr>
      </w:r>
      <w:r/>
    </w:p>
    <w:p>
      <w:pPr>
        <w:ind w:firstLine="274"/>
        <w:spacing w:before="50" w:after="50" w:line="440" w:lineRule="exact"/>
        <w:rPr>
          <w:rFonts w:ascii="宋体" w:hAnsi="宋体"/>
          <w:b/>
          <w:bCs/>
          <w:color w:val="auto"/>
          <w:sz w:val="28"/>
          <w:szCs w:val="28"/>
          <w:highlight w:val="none"/>
        </w:rPr>
      </w:pPr>
      <w:r>
        <w:rPr>
          <w:rFonts w:ascii="宋体" w:hAnsi="宋体"/>
          <w:b/>
          <w:bCs/>
          <w:color w:val="auto"/>
          <w:sz w:val="28"/>
          <w:szCs w:val="28"/>
          <w:highlight w:val="none"/>
        </w:rPr>
      </w:r>
      <w:r/>
    </w:p>
    <w:p>
      <w:pPr>
        <w:ind w:firstLine="480"/>
        <w:jc w:val="left"/>
        <w:spacing w:line="440" w:lineRule="exact"/>
        <w:widowControl/>
        <w:rPr>
          <w:rFonts w:cs="宋体"/>
          <w:color w:val="auto"/>
          <w:highlight w:val="none"/>
          <w:lang w:val="zh-CN"/>
        </w:rPr>
      </w:pPr>
      <w:r>
        <w:rPr>
          <w:rFonts w:cs="宋体"/>
          <w:color w:val="auto"/>
          <w:highlight w:val="none"/>
          <w:lang w:val="zh-CN"/>
        </w:rPr>
      </w:r>
      <w:r/>
    </w:p>
    <w:p>
      <w:pPr>
        <w:ind w:firstLine="480"/>
        <w:jc w:val="left"/>
        <w:spacing w:line="440" w:lineRule="exact"/>
        <w:widowControl/>
        <w:rPr>
          <w:rFonts w:cs="宋体"/>
          <w:color w:val="auto"/>
          <w:highlight w:val="none"/>
          <w:lang w:val="zh-CN"/>
        </w:rPr>
      </w:pPr>
      <w:r>
        <w:rPr>
          <w:rFonts w:cs="宋体"/>
          <w:color w:val="auto"/>
          <w:highlight w:val="none"/>
          <w:lang w:val="zh-CN"/>
        </w:rPr>
      </w:r>
      <w:r/>
    </w:p>
    <w:p>
      <w:pPr>
        <w:ind w:firstLine="480"/>
        <w:jc w:val="left"/>
        <w:spacing w:line="440" w:lineRule="exact"/>
        <w:widowControl/>
        <w:rPr>
          <w:rFonts w:cs="宋体"/>
          <w:color w:val="auto"/>
          <w:highlight w:val="none"/>
          <w:lang w:val="zh-CN"/>
        </w:rPr>
      </w:pPr>
      <w:r>
        <w:rPr>
          <w:rFonts w:cs="宋体"/>
          <w:color w:val="auto"/>
          <w:highlight w:val="none"/>
          <w:lang w:val="zh-CN"/>
        </w:rPr>
      </w:r>
      <w:r/>
    </w:p>
    <w:p>
      <w:pPr>
        <w:jc w:val="center"/>
        <w:widowControl/>
        <w:rPr>
          <w:rFonts w:ascii="宋体" w:hAnsi="宋体" w:cs="宋体"/>
          <w:b/>
          <w:color w:val="auto"/>
          <w:sz w:val="32"/>
          <w:szCs w:val="32"/>
          <w:highlight w:val="none"/>
          <w:lang w:val="zh-CN"/>
        </w:rPr>
      </w:pPr>
      <w:r>
        <w:rPr>
          <w:rFonts w:ascii="宋体" w:cs="宋体"/>
          <w:b/>
          <w:color w:val="auto"/>
          <w:highlight w:val="none"/>
          <w:lang w:val="zh-CN"/>
        </w:rPr>
        <w:br w:type="page" w:clear="all"/>
      </w:r>
      <w:r>
        <w:rPr>
          <w:rFonts w:hint="eastAsia" w:ascii="宋体" w:hAnsi="宋体" w:cs="宋体"/>
          <w:b/>
          <w:color w:val="auto"/>
          <w:sz w:val="32"/>
          <w:szCs w:val="32"/>
          <w:highlight w:val="none"/>
          <w:lang w:val="zh-CN"/>
        </w:rPr>
        <w:t xml:space="preserve">八、拟委任人员基本情况表（总表）</w:t>
      </w:r>
      <w:r/>
    </w:p>
    <w:p>
      <w:pPr>
        <w:pStyle w:val="1053"/>
        <w:ind w:firstLine="480"/>
        <w:rPr>
          <w:color w:val="auto"/>
          <w:highlight w:val="none"/>
          <w:lang w:val="zh-CN"/>
        </w:rPr>
      </w:pPr>
      <w:r>
        <w:rPr>
          <w:color w:val="auto"/>
          <w:highlight w:val="none"/>
          <w:lang w:val="zh-CN"/>
        </w:rPr>
      </w:r>
      <w:r/>
    </w:p>
    <w:tbl>
      <w:tblPr>
        <w:tblStyle w:val="695"/>
        <w:tblW w:w="9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10"/>
        <w:gridCol w:w="1471"/>
        <w:gridCol w:w="723"/>
        <w:gridCol w:w="1559"/>
        <w:gridCol w:w="1418"/>
        <w:gridCol w:w="1828"/>
      </w:tblGrid>
      <w:tr>
        <w:trPr>
          <w:jc w:val="center"/>
          <w:trHeight w:val="763"/>
        </w:trPr>
        <w:tc>
          <w:tcPr>
            <w:tcW w:w="704" w:type="dxa"/>
            <w:vAlign w:val="center"/>
            <w:textDirection w:val="lrTb"/>
            <w:noWrap w:val="false"/>
          </w:tcPr>
          <w:p>
            <w:pPr>
              <w:jc w:val="center"/>
              <w:spacing w:line="440" w:lineRule="exact"/>
              <w:rPr>
                <w:rFonts w:ascii="宋体" w:hAnsi="宋体" w:cs="宋体"/>
                <w:b/>
                <w:color w:val="auto"/>
                <w:highlight w:val="none"/>
              </w:rPr>
            </w:pPr>
            <w:r>
              <w:rPr>
                <w:rFonts w:hint="eastAsia" w:ascii="宋体" w:hAnsi="宋体" w:cs="宋体"/>
                <w:b/>
                <w:color w:val="auto"/>
                <w:highlight w:val="none"/>
              </w:rPr>
              <w:t xml:space="preserve">序号</w:t>
            </w:r>
            <w:r/>
          </w:p>
        </w:tc>
        <w:tc>
          <w:tcPr>
            <w:tcW w:w="1910" w:type="dxa"/>
            <w:vAlign w:val="center"/>
            <w:textDirection w:val="lrTb"/>
            <w:noWrap w:val="false"/>
          </w:tcPr>
          <w:p>
            <w:pPr>
              <w:jc w:val="center"/>
              <w:spacing w:line="440" w:lineRule="exact"/>
              <w:rPr>
                <w:rFonts w:ascii="宋体" w:hAnsi="宋体" w:cs="宋体"/>
                <w:b/>
                <w:color w:val="auto"/>
                <w:highlight w:val="none"/>
              </w:rPr>
            </w:pPr>
            <w:r>
              <w:rPr>
                <w:rFonts w:hint="eastAsia" w:ascii="宋体" w:hAnsi="宋体" w:cs="宋体"/>
                <w:b/>
                <w:color w:val="auto"/>
                <w:highlight w:val="none"/>
              </w:rPr>
              <w:t xml:space="preserve">拟在本项目中担任的职务</w:t>
            </w:r>
            <w:r/>
          </w:p>
        </w:tc>
        <w:tc>
          <w:tcPr>
            <w:tcW w:w="1471" w:type="dxa"/>
            <w:vAlign w:val="center"/>
            <w:textDirection w:val="lrTb"/>
            <w:noWrap w:val="false"/>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姓名</w:t>
            </w:r>
            <w:r/>
          </w:p>
        </w:tc>
        <w:tc>
          <w:tcPr>
            <w:tcW w:w="723" w:type="dxa"/>
            <w:vAlign w:val="center"/>
            <w:textDirection w:val="lrTb"/>
            <w:noWrap w:val="false"/>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年龄</w:t>
            </w:r>
            <w:r/>
          </w:p>
        </w:tc>
        <w:tc>
          <w:tcPr>
            <w:tcW w:w="1559" w:type="dxa"/>
            <w:vAlign w:val="center"/>
            <w:textDirection w:val="lrTb"/>
            <w:noWrap w:val="false"/>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技术职称</w:t>
            </w:r>
            <w:r/>
          </w:p>
        </w:tc>
        <w:tc>
          <w:tcPr>
            <w:tcBorders>
              <w:right w:val="single" w:color="auto" w:sz="4" w:space="0"/>
            </w:tcBorders>
            <w:tcW w:w="1418" w:type="dxa"/>
            <w:vAlign w:val="center"/>
            <w:textDirection w:val="lrTb"/>
            <w:noWrap w:val="false"/>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职称专业</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center"/>
              <w:spacing w:line="440" w:lineRule="exact"/>
              <w:rPr>
                <w:rFonts w:ascii="宋体" w:hAnsi="宋体" w:cs="宋体"/>
                <w:b/>
                <w:color w:val="auto"/>
                <w:highlight w:val="none"/>
              </w:rPr>
            </w:pPr>
            <w:r>
              <w:rPr>
                <w:rFonts w:hint="eastAsia" w:ascii="宋体" w:hAnsi="宋体" w:cs="宋体"/>
                <w:b/>
                <w:color w:val="auto"/>
                <w:highlight w:val="none"/>
              </w:rPr>
              <w:t xml:space="preserve">执业资格及专业（证书号码）</w:t>
            </w:r>
            <w:r/>
          </w:p>
        </w:tc>
      </w:tr>
      <w:tr>
        <w:trPr>
          <w:jc w:val="center"/>
          <w:trHeight w:val="617"/>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932"/>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632"/>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bl>
    <w:p>
      <w:pPr>
        <w:ind w:firstLine="482"/>
        <w:spacing w:line="440" w:lineRule="exact"/>
        <w:rPr>
          <w:rFonts w:ascii="宋体" w:hAnsi="宋体"/>
          <w:color w:val="auto"/>
          <w:szCs w:val="20"/>
          <w:highlight w:val="none"/>
        </w:rPr>
      </w:pPr>
      <w:r/>
      <w:bookmarkStart w:id="26" w:name="_Hlk80217143"/>
      <w:r>
        <w:rPr>
          <w:rFonts w:hint="eastAsia" w:ascii="宋体" w:hAnsi="宋体"/>
          <w:b/>
          <w:color w:val="auto"/>
          <w:szCs w:val="20"/>
          <w:highlight w:val="none"/>
        </w:rPr>
        <w:t xml:space="preserve">注：供应商拟委任人员应汇总填报在本表中</w:t>
      </w:r>
      <w:r>
        <w:rPr>
          <w:rFonts w:hint="eastAsia" w:ascii="宋体" w:hAnsi="宋体"/>
          <w:b/>
          <w:color w:val="auto"/>
          <w:szCs w:val="20"/>
          <w:highlight w:val="none"/>
          <w:lang w:eastAsia="zh-CN"/>
        </w:rPr>
        <w:t xml:space="preserve">，身份证，职称证书、</w:t>
      </w:r>
      <w:r>
        <w:rPr>
          <w:rFonts w:hint="eastAsia" w:ascii="宋体" w:hAnsi="宋体"/>
          <w:b/>
          <w:color w:val="auto"/>
          <w:szCs w:val="20"/>
          <w:highlight w:val="none"/>
          <w:lang w:val="en-US" w:eastAsia="zh-CN"/>
        </w:rPr>
        <w:t xml:space="preserve">执业资格证（如有）、社保证明材料</w:t>
      </w:r>
      <w:r>
        <w:rPr>
          <w:rFonts w:hint="eastAsia" w:ascii="宋体" w:hAnsi="宋体"/>
          <w:b/>
          <w:color w:val="auto"/>
          <w:szCs w:val="20"/>
          <w:highlight w:val="none"/>
        </w:rPr>
        <w:t xml:space="preserve">。</w:t>
      </w:r>
      <w:bookmarkEnd w:id="26"/>
      <w:r/>
      <w:r/>
    </w:p>
    <w:p>
      <w:pPr>
        <w:ind w:left="358" w:firstLine="643"/>
        <w:jc w:val="center"/>
        <w:spacing w:line="440" w:lineRule="exact"/>
        <w:rPr>
          <w:rFonts w:ascii="宋体" w:hAnsi="宋体"/>
          <w:b/>
          <w:bCs/>
          <w:color w:val="auto"/>
          <w:szCs w:val="22"/>
          <w:highlight w:val="none"/>
        </w:rPr>
      </w:pPr>
      <w:r>
        <w:rPr>
          <w:rFonts w:ascii="宋体" w:hAnsi="宋体"/>
          <w:b/>
          <w:bCs/>
          <w:color w:val="auto"/>
          <w:sz w:val="32"/>
          <w:szCs w:val="20"/>
          <w:highlight w:val="none"/>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九、</w:t>
      </w:r>
      <w:bookmarkStart w:id="27" w:name="_Toc51644062"/>
      <w:r/>
      <w:bookmarkStart w:id="28" w:name="_Toc51584278"/>
      <w:r/>
      <w:bookmarkStart w:id="29" w:name="_Toc51644285"/>
      <w:r/>
      <w:bookmarkStart w:id="30" w:name="_Toc51642843"/>
      <w:r/>
      <w:bookmarkStart w:id="31" w:name="_Toc51642930"/>
      <w:r>
        <w:rPr>
          <w:rFonts w:hint="eastAsia" w:ascii="宋体" w:hAnsi="宋体" w:cs="宋体"/>
          <w:b/>
          <w:color w:val="auto"/>
          <w:sz w:val="32"/>
          <w:szCs w:val="32"/>
          <w:highlight w:val="none"/>
          <w:lang w:val="zh-CN"/>
        </w:rPr>
        <w:t xml:space="preserve">拟委任的项目负责人</w:t>
      </w:r>
      <w:bookmarkEnd w:id="27"/>
      <w:r/>
      <w:bookmarkEnd w:id="28"/>
      <w:r/>
      <w:bookmarkEnd w:id="29"/>
      <w:r/>
      <w:bookmarkEnd w:id="30"/>
      <w:r/>
      <w:bookmarkEnd w:id="31"/>
      <w:r>
        <w:rPr>
          <w:rFonts w:hint="eastAsia" w:ascii="宋体" w:hAnsi="宋体" w:cs="宋体"/>
          <w:b/>
          <w:color w:val="auto"/>
          <w:sz w:val="32"/>
          <w:szCs w:val="32"/>
          <w:highlight w:val="none"/>
          <w:lang w:val="zh-CN"/>
        </w:rPr>
        <w:t xml:space="preserve">资历表</w:t>
      </w:r>
      <w:r/>
    </w:p>
    <w:p>
      <w:pPr>
        <w:pStyle w:val="1053"/>
        <w:ind w:firstLine="480"/>
        <w:rPr>
          <w:color w:val="auto"/>
          <w:highlight w:val="none"/>
          <w:lang w:val="zh-CN"/>
        </w:rPr>
      </w:pPr>
      <w:r>
        <w:rPr>
          <w:color w:val="auto"/>
          <w:highlight w:val="none"/>
          <w:lang w:val="zh-CN"/>
        </w:rPr>
      </w:r>
      <w:r/>
    </w:p>
    <w:tbl>
      <w:tblPr>
        <w:tblStyle w:val="695"/>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425"/>
        <w:gridCol w:w="567"/>
        <w:gridCol w:w="1206"/>
        <w:gridCol w:w="1062"/>
        <w:gridCol w:w="709"/>
        <w:gridCol w:w="1628"/>
        <w:gridCol w:w="214"/>
        <w:gridCol w:w="1843"/>
      </w:tblGrid>
      <w:tr>
        <w:trPr>
          <w:trHeight w:val="559"/>
        </w:trPr>
        <w:tc>
          <w:tcPr>
            <w:tcW w:w="127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姓  名</w:t>
            </w:r>
            <w:r/>
          </w:p>
        </w:tc>
        <w:tc>
          <w:tcPr>
            <w:gridSpan w:val="3"/>
            <w:tcW w:w="1276"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tcW w:w="120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出生年月</w:t>
            </w:r>
            <w:r/>
          </w:p>
        </w:tc>
        <w:tc>
          <w:tcPr>
            <w:gridSpan w:val="2"/>
            <w:tcW w:w="1771"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1842"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学    历</w:t>
            </w:r>
            <w:r/>
          </w:p>
        </w:tc>
        <w:tc>
          <w:tcPr>
            <w:tcW w:w="1843"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557"/>
        </w:trPr>
        <w:tc>
          <w:tcPr>
            <w:tcW w:w="127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执业资格</w:t>
            </w:r>
            <w:r/>
          </w:p>
        </w:tc>
        <w:tc>
          <w:tcPr>
            <w:gridSpan w:val="3"/>
            <w:tcW w:w="1276"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tcW w:w="120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职    称</w:t>
            </w:r>
            <w:r/>
          </w:p>
        </w:tc>
        <w:tc>
          <w:tcPr>
            <w:gridSpan w:val="2"/>
            <w:tcW w:w="1771"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1842"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从事专业</w:t>
            </w:r>
            <w:r/>
          </w:p>
        </w:tc>
        <w:tc>
          <w:tcPr>
            <w:tcW w:w="1843"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557"/>
        </w:trPr>
        <w:tc>
          <w:tcPr>
            <w:tcW w:w="127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其他证书</w:t>
            </w:r>
            <w:r/>
          </w:p>
        </w:tc>
        <w:tc>
          <w:tcPr>
            <w:gridSpan w:val="9"/>
            <w:tcW w:w="7938"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628"/>
        </w:trPr>
        <w:tc>
          <w:tcPr>
            <w:gridSpan w:val="4"/>
            <w:tcW w:w="2552" w:type="dxa"/>
            <w:vAlign w:val="center"/>
            <w:textDirection w:val="lrTb"/>
            <w:noWrap w:val="false"/>
          </w:tcPr>
          <w:p>
            <w:pPr>
              <w:jc w:val="center"/>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毕业学校</w:t>
            </w:r>
            <w:r/>
          </w:p>
        </w:tc>
        <w:tc>
          <w:tcPr>
            <w:gridSpan w:val="6"/>
            <w:tcW w:w="6662" w:type="dxa"/>
            <w:vAlign w:val="center"/>
            <w:textDirection w:val="lrTb"/>
            <w:noWrap w:val="false"/>
          </w:tcPr>
          <w:p>
            <w:pP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年月</w:t>
            </w:r>
            <w:r/>
          </w:p>
          <w:p>
            <w:pP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毕业于 大学（院、学校）专业，</w:t>
            </w:r>
            <w:r/>
          </w:p>
          <w:p>
            <w:pPr>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学制年</w:t>
            </w:r>
            <w:r/>
          </w:p>
        </w:tc>
      </w:tr>
      <w:tr>
        <w:trPr>
          <w:trHeight w:val="551"/>
        </w:trPr>
        <w:tc>
          <w:tcPr>
            <w:gridSpan w:val="10"/>
            <w:tcW w:w="9214"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经              历</w:t>
            </w:r>
            <w:r/>
          </w:p>
        </w:tc>
      </w:tr>
      <w:tr>
        <w:trPr>
          <w:trHeight w:val="985"/>
        </w:trPr>
        <w:tc>
          <w:tcPr>
            <w:gridSpan w:val="3"/>
            <w:tcW w:w="1985" w:type="dxa"/>
            <w:vAlign w:val="center"/>
            <w:textDirection w:val="lrTb"/>
            <w:noWrap w:val="false"/>
          </w:tcPr>
          <w:p>
            <w:pPr>
              <w:ind w:left="240"/>
              <w:spacing w:line="400" w:lineRule="exact"/>
              <w:rPr>
                <w:rFonts w:hint="default" w:ascii="宋体" w:hAnsi="宋体" w:eastAsia="宋体" w:cs="宋体"/>
                <w:color w:val="auto"/>
                <w:szCs w:val="20"/>
                <w:highlight w:val="none"/>
                <w:u w:val="single"/>
                <w:lang w:val="en-US" w:eastAsia="zh-CN"/>
              </w:rPr>
            </w:pPr>
            <w:r>
              <w:rPr>
                <w:rFonts w:hint="eastAsia" w:ascii="宋体" w:hAnsi="宋体" w:cs="宋体"/>
                <w:color w:val="auto"/>
                <w:szCs w:val="20"/>
                <w:highlight w:val="none"/>
                <w:u w:val="single"/>
                <w:lang w:val="en-US" w:eastAsia="zh-CN"/>
              </w:rPr>
              <w:t xml:space="preserve">服务时间</w:t>
            </w:r>
            <w:r/>
          </w:p>
        </w:tc>
        <w:tc>
          <w:tcPr>
            <w:gridSpan w:val="3"/>
            <w:tcW w:w="2835"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参加过类似服务的项目名称</w:t>
            </w:r>
            <w:r/>
          </w:p>
        </w:tc>
        <w:tc>
          <w:tcPr>
            <w:gridSpan w:val="2"/>
            <w:tcW w:w="2337"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担任何职</w:t>
            </w:r>
            <w:r/>
          </w:p>
        </w:tc>
        <w:tc>
          <w:tcPr>
            <w:gridSpan w:val="2"/>
            <w:tcW w:w="2057"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采购人</w:t>
            </w:r>
            <w:r/>
          </w:p>
        </w:tc>
      </w:tr>
      <w:tr>
        <w:trPr>
          <w:trHeight w:val="794"/>
        </w:trPr>
        <w:tc>
          <w:tcPr>
            <w:gridSpan w:val="3"/>
            <w:tcW w:w="1985"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3"/>
            <w:tcW w:w="2835"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2337"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2057"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p>
            <w:pP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6"/>
            <w:tcW w:w="482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获奖情况</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2"/>
            <w:tcW w:w="1560" w:type="dxa"/>
            <w:vAlign w:val="center"/>
            <w:vMerge w:val="restart"/>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目前任职项目情况</w:t>
            </w:r>
            <w:r/>
          </w:p>
        </w:tc>
        <w:tc>
          <w:tcPr>
            <w:gridSpan w:val="4"/>
            <w:tcW w:w="326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项目名称</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2"/>
            <w:tcW w:w="1560" w:type="dxa"/>
            <w:vAlign w:val="center"/>
            <w:vMerge w:val="continue"/>
            <w:textDirection w:val="lrTb"/>
            <w:noWrap w:val="false"/>
          </w:tcPr>
          <w:p>
            <w:pPr>
              <w:jc w:val="cente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4"/>
            <w:tcW w:w="326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担任职位</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6"/>
            <w:tcW w:w="482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备注</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bl>
    <w:p>
      <w:pPr>
        <w:ind w:firstLine="480"/>
        <w:spacing w:line="440" w:lineRule="exact"/>
        <w:rPr>
          <w:rFonts w:ascii="宋体" w:hAnsi="宋体"/>
          <w:b/>
          <w:bCs/>
          <w:color w:val="auto"/>
          <w:szCs w:val="22"/>
          <w:highlight w:val="none"/>
        </w:rPr>
      </w:pPr>
      <w:r>
        <w:rPr>
          <w:rFonts w:hint="eastAsia" w:hAnsi="宋体" w:cs="宋体"/>
          <w:color w:val="auto"/>
          <w:szCs w:val="20"/>
          <w:highlight w:val="none"/>
        </w:rPr>
        <w:t xml:space="preserve">说明：</w:t>
      </w:r>
      <w:r>
        <w:rPr>
          <w:rFonts w:hint="eastAsia" w:hAnsi="宋体" w:cs="宋体"/>
          <w:color w:val="auto"/>
          <w:szCs w:val="20"/>
          <w:highlight w:val="none"/>
          <w:lang w:val="en-US" w:eastAsia="zh-CN"/>
        </w:rPr>
        <w:t xml:space="preserve">后附业绩证明材料</w:t>
      </w:r>
      <w:r>
        <w:rPr>
          <w:rFonts w:hint="eastAsia" w:hAnsi="宋体" w:cs="宋体"/>
          <w:color w:val="auto"/>
          <w:szCs w:val="20"/>
          <w:highlight w:val="none"/>
        </w:rPr>
        <w:t xml:space="preserve">。</w:t>
      </w:r>
      <w:r/>
    </w:p>
    <w:p>
      <w:pPr>
        <w:ind w:firstLine="602"/>
        <w:jc w:val="left"/>
        <w:spacing w:line="360" w:lineRule="auto"/>
        <w:rPr>
          <w:color w:val="auto"/>
          <w:szCs w:val="20"/>
          <w:highlight w:val="none"/>
        </w:rPr>
        <w:outlineLvl w:val="3"/>
      </w:pPr>
      <w:r>
        <w:rPr>
          <w:rFonts w:ascii="宋体" w:cs="宋体"/>
          <w:b/>
          <w:color w:val="auto"/>
          <w:highlight w:val="none"/>
        </w:rPr>
        <w:br w:type="page" w:clear="all"/>
      </w:r>
      <w:r/>
    </w:p>
    <w:p>
      <w:pPr>
        <w:ind w:firstLine="562"/>
        <w:jc w:val="center"/>
        <w:rPr>
          <w:rFonts w:hint="eastAsia" w:eastAsia="宋体"/>
          <w:b/>
          <w:bCs/>
          <w:color w:val="auto"/>
          <w:sz w:val="28"/>
          <w:szCs w:val="28"/>
          <w:highlight w:val="none"/>
          <w:lang w:val="en-US" w:eastAsia="zh-CN"/>
        </w:rPr>
      </w:pPr>
      <w:r>
        <w:rPr>
          <w:rFonts w:hint="eastAsia"/>
          <w:b/>
          <w:bCs/>
          <w:color w:val="auto"/>
          <w:sz w:val="28"/>
          <w:szCs w:val="28"/>
          <w:highlight w:val="none"/>
        </w:rPr>
        <w:t xml:space="preserve">十、拟委任的</w:t>
      </w:r>
      <w:r>
        <w:rPr>
          <w:rFonts w:hint="eastAsia"/>
          <w:b/>
          <w:bCs/>
          <w:color w:val="auto"/>
          <w:sz w:val="28"/>
          <w:szCs w:val="28"/>
          <w:highlight w:val="none"/>
          <w:lang w:val="en-US" w:eastAsia="zh-CN"/>
        </w:rPr>
        <w:t xml:space="preserve">其他人员</w:t>
      </w:r>
      <w:r>
        <w:rPr>
          <w:rFonts w:hint="eastAsia"/>
          <w:b/>
          <w:bCs/>
          <w:color w:val="auto"/>
          <w:sz w:val="28"/>
          <w:szCs w:val="28"/>
          <w:highlight w:val="none"/>
        </w:rPr>
        <w:t xml:space="preserve">资历</w:t>
      </w:r>
      <w:r>
        <w:rPr>
          <w:rFonts w:hint="eastAsia"/>
          <w:b/>
          <w:bCs/>
          <w:color w:val="auto"/>
          <w:sz w:val="28"/>
          <w:szCs w:val="28"/>
          <w:highlight w:val="none"/>
          <w:lang w:val="en-US" w:eastAsia="zh-CN"/>
        </w:rPr>
        <w:t xml:space="preserve">表</w:t>
      </w:r>
      <w:r/>
    </w:p>
    <w:tbl>
      <w:tblPr>
        <w:tblStyle w:val="695"/>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425"/>
        <w:gridCol w:w="567"/>
        <w:gridCol w:w="1206"/>
        <w:gridCol w:w="1062"/>
        <w:gridCol w:w="709"/>
        <w:gridCol w:w="1628"/>
        <w:gridCol w:w="214"/>
        <w:gridCol w:w="1843"/>
      </w:tblGrid>
      <w:tr>
        <w:trPr>
          <w:trHeight w:val="559"/>
        </w:trPr>
        <w:tc>
          <w:tcPr>
            <w:tcW w:w="127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姓  名</w:t>
            </w:r>
            <w:r/>
          </w:p>
        </w:tc>
        <w:tc>
          <w:tcPr>
            <w:gridSpan w:val="3"/>
            <w:tcW w:w="1276"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tcW w:w="120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出生年月</w:t>
            </w:r>
            <w:r/>
          </w:p>
        </w:tc>
        <w:tc>
          <w:tcPr>
            <w:gridSpan w:val="2"/>
            <w:tcW w:w="1771"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1842"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学    历</w:t>
            </w:r>
            <w:r/>
          </w:p>
        </w:tc>
        <w:tc>
          <w:tcPr>
            <w:tcW w:w="1843"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557"/>
        </w:trPr>
        <w:tc>
          <w:tcPr>
            <w:tcW w:w="127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职    称</w:t>
            </w:r>
            <w:r/>
          </w:p>
        </w:tc>
        <w:tc>
          <w:tcPr>
            <w:gridSpan w:val="3"/>
            <w:tcW w:w="1276"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tcW w:w="1206" w:type="dxa"/>
            <w:vAlign w:val="center"/>
            <w:textDirection w:val="lrTb"/>
            <w:noWrap w:val="false"/>
          </w:tcPr>
          <w:p>
            <w:pPr>
              <w:jc w:val="center"/>
              <w:spacing w:line="400" w:lineRule="exact"/>
              <w:rPr>
                <w:rFonts w:hint="default" w:ascii="宋体" w:hAnsi="宋体" w:eastAsia="宋体" w:cs="宋体"/>
                <w:color w:val="auto"/>
                <w:szCs w:val="20"/>
                <w:highlight w:val="none"/>
                <w:lang w:val="en-US" w:eastAsia="zh-CN"/>
              </w:rPr>
            </w:pPr>
            <w:r>
              <w:rPr>
                <w:rFonts w:hint="eastAsia" w:ascii="宋体" w:hAnsi="宋体" w:cs="宋体"/>
                <w:color w:val="auto"/>
                <w:szCs w:val="20"/>
                <w:highlight w:val="none"/>
                <w:lang w:val="en-US" w:eastAsia="zh-CN"/>
              </w:rPr>
              <w:t xml:space="preserve">在本项目担任的职务</w:t>
            </w:r>
            <w:r/>
          </w:p>
        </w:tc>
        <w:tc>
          <w:tcPr>
            <w:gridSpan w:val="2"/>
            <w:tcW w:w="1771"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1842"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从事专业</w:t>
            </w:r>
            <w:r/>
          </w:p>
        </w:tc>
        <w:tc>
          <w:tcPr>
            <w:tcW w:w="1843"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628"/>
        </w:trPr>
        <w:tc>
          <w:tcPr>
            <w:gridSpan w:val="4"/>
            <w:tcW w:w="2552" w:type="dxa"/>
            <w:vAlign w:val="center"/>
            <w:textDirection w:val="lrTb"/>
            <w:noWrap w:val="false"/>
          </w:tcPr>
          <w:p>
            <w:pPr>
              <w:jc w:val="center"/>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毕业学校</w:t>
            </w:r>
            <w:r/>
          </w:p>
        </w:tc>
        <w:tc>
          <w:tcPr>
            <w:gridSpan w:val="6"/>
            <w:tcW w:w="6662" w:type="dxa"/>
            <w:vAlign w:val="center"/>
            <w:textDirection w:val="lrTb"/>
            <w:noWrap w:val="false"/>
          </w:tcPr>
          <w:p>
            <w:pP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年月</w:t>
            </w:r>
            <w:r/>
          </w:p>
          <w:p>
            <w:pP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毕业于 大学（院、学校）专业，</w:t>
            </w:r>
            <w:r/>
          </w:p>
          <w:p>
            <w:pPr>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学制年</w:t>
            </w:r>
            <w:r/>
          </w:p>
        </w:tc>
      </w:tr>
      <w:tr>
        <w:trPr>
          <w:trHeight w:val="551"/>
        </w:trPr>
        <w:tc>
          <w:tcPr>
            <w:gridSpan w:val="10"/>
            <w:tcW w:w="9214"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经              历</w:t>
            </w:r>
            <w:r/>
          </w:p>
        </w:tc>
      </w:tr>
      <w:tr>
        <w:trPr>
          <w:trHeight w:val="985"/>
        </w:trPr>
        <w:tc>
          <w:tcPr>
            <w:gridSpan w:val="3"/>
            <w:tcW w:w="1985" w:type="dxa"/>
            <w:vAlign w:val="center"/>
            <w:textDirection w:val="lrTb"/>
            <w:noWrap w:val="false"/>
          </w:tcPr>
          <w:p>
            <w:pPr>
              <w:ind w:left="240"/>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年月</w:t>
            </w:r>
            <w:r/>
          </w:p>
          <w:p>
            <w:pPr>
              <w:ind w:left="240"/>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至年月</w:t>
            </w:r>
            <w:r/>
          </w:p>
        </w:tc>
        <w:tc>
          <w:tcPr>
            <w:gridSpan w:val="3"/>
            <w:tcW w:w="2835"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参加过类似服务的项目名称</w:t>
            </w:r>
            <w:r/>
          </w:p>
        </w:tc>
        <w:tc>
          <w:tcPr>
            <w:gridSpan w:val="2"/>
            <w:tcW w:w="2337"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担任何职</w:t>
            </w:r>
            <w:r/>
          </w:p>
        </w:tc>
        <w:tc>
          <w:tcPr>
            <w:gridSpan w:val="2"/>
            <w:tcW w:w="2057"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采购人</w:t>
            </w:r>
            <w:r/>
          </w:p>
        </w:tc>
      </w:tr>
      <w:tr>
        <w:trPr>
          <w:trHeight w:val="794"/>
        </w:trPr>
        <w:tc>
          <w:tcPr>
            <w:gridSpan w:val="3"/>
            <w:tcW w:w="1985"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3"/>
            <w:tcW w:w="2835"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2337"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2057"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p>
            <w:pP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6"/>
            <w:tcW w:w="482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获奖情况</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2"/>
            <w:tcW w:w="1560" w:type="dxa"/>
            <w:vAlign w:val="center"/>
            <w:vMerge w:val="restart"/>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目前任职项目情况</w:t>
            </w:r>
            <w:r/>
          </w:p>
        </w:tc>
        <w:tc>
          <w:tcPr>
            <w:gridSpan w:val="4"/>
            <w:tcW w:w="326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项目名称</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2"/>
            <w:tcW w:w="1560" w:type="dxa"/>
            <w:vAlign w:val="center"/>
            <w:vMerge w:val="continue"/>
            <w:textDirection w:val="lrTb"/>
            <w:noWrap w:val="false"/>
          </w:tcPr>
          <w:p>
            <w:pPr>
              <w:jc w:val="cente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4"/>
            <w:tcW w:w="326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担任职位</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6"/>
            <w:tcW w:w="482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备注</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bl>
    <w:p>
      <w:pPr>
        <w:ind w:firstLine="480"/>
        <w:spacing w:line="440" w:lineRule="exact"/>
        <w:rPr>
          <w:rFonts w:hint="eastAsia" w:hAnsi="宋体" w:cs="宋体"/>
          <w:color w:val="auto"/>
          <w:szCs w:val="20"/>
          <w:highlight w:val="none"/>
          <w:lang w:val="en-US" w:eastAsia="zh-CN"/>
        </w:rPr>
      </w:pPr>
      <w:r>
        <w:rPr>
          <w:rFonts w:hint="eastAsia" w:hAnsi="宋体" w:cs="宋体"/>
          <w:color w:val="auto"/>
          <w:szCs w:val="20"/>
          <w:highlight w:val="none"/>
        </w:rPr>
        <w:t xml:space="preserve">说明：</w:t>
      </w:r>
      <w:r>
        <w:rPr>
          <w:rFonts w:hint="eastAsia" w:hAnsi="宋体" w:cs="宋体"/>
          <w:color w:val="auto"/>
          <w:szCs w:val="20"/>
          <w:highlight w:val="none"/>
          <w:lang w:val="en-US" w:eastAsia="zh-CN"/>
        </w:rPr>
        <w:t xml:space="preserve">1.土建技术负责人、机电技术负责人须填写此表</w:t>
      </w:r>
      <w:r/>
    </w:p>
    <w:p>
      <w:pPr>
        <w:ind w:firstLine="1104"/>
        <w:spacing w:line="440" w:lineRule="exact"/>
        <w:rPr>
          <w:rFonts w:hAnsi="宋体" w:cs="宋体"/>
          <w:color w:val="auto"/>
          <w:szCs w:val="20"/>
          <w:highlight w:val="none"/>
        </w:rPr>
      </w:pPr>
      <w:r>
        <w:rPr>
          <w:rFonts w:hint="eastAsia" w:hAnsi="宋体" w:cs="宋体"/>
          <w:color w:val="auto"/>
          <w:szCs w:val="20"/>
          <w:highlight w:val="none"/>
          <w:lang w:val="en-US" w:eastAsia="zh-CN"/>
        </w:rPr>
        <w:t xml:space="preserve">2.后附</w:t>
      </w:r>
      <w:r>
        <w:rPr>
          <w:rFonts w:hint="eastAsia" w:hAnsi="宋体" w:cs="宋体"/>
          <w:color w:val="auto"/>
          <w:szCs w:val="20"/>
          <w:highlight w:val="none"/>
        </w:rPr>
        <w:t xml:space="preserve">业绩证明材料。</w:t>
      </w:r>
      <w:r/>
    </w:p>
    <w:p>
      <w:pPr>
        <w:jc w:val="left"/>
        <w:widowControl/>
        <w:rPr>
          <w:rFonts w:hAnsi="宋体" w:cs="宋体"/>
          <w:color w:val="auto"/>
          <w:szCs w:val="20"/>
          <w:highlight w:val="none"/>
        </w:rPr>
      </w:pPr>
      <w:r>
        <w:rPr>
          <w:rFonts w:hAnsi="宋体" w:cs="宋体"/>
          <w:color w:val="auto"/>
          <w:szCs w:val="20"/>
          <w:highlight w:val="none"/>
        </w:rPr>
        <w:br w:type="page" w:clear="all"/>
      </w:r>
      <w:r/>
    </w:p>
    <w:p>
      <w:pPr>
        <w:pStyle w:val="904"/>
        <w:rPr>
          <w:color w:val="auto"/>
          <w:highlight w:val="none"/>
        </w:rPr>
      </w:pPr>
      <w:r>
        <w:rPr>
          <w:color w:val="auto"/>
          <w:highlight w:val="none"/>
        </w:rPr>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rPr>
        <w:t xml:space="preserve">、中小企业声明函等格式</w:t>
      </w:r>
      <w:r/>
    </w:p>
    <w:p>
      <w:pPr>
        <w:ind w:firstLine="480"/>
        <w:jc w:val="center"/>
        <w:spacing w:line="440" w:lineRule="exact"/>
        <w:rPr>
          <w:rFonts w:ascii="宋体" w:hAnsi="宋体"/>
          <w:color w:val="auto"/>
          <w:highlight w:val="none"/>
        </w:rPr>
      </w:pPr>
      <w:r>
        <w:rPr>
          <w:rFonts w:ascii="宋体" w:hAnsi="宋体"/>
          <w:color w:val="auto"/>
          <w:highlight w:val="none"/>
        </w:rPr>
      </w:r>
      <w:r/>
    </w:p>
    <w:p>
      <w:pPr>
        <w:ind w:firstLine="480"/>
        <w:jc w:val="center"/>
        <w:spacing w:line="440" w:lineRule="exact"/>
        <w:rPr>
          <w:rFonts w:ascii="宋体" w:hAnsi="宋体"/>
          <w:color w:val="auto"/>
          <w:highlight w:val="none"/>
        </w:rPr>
      </w:pPr>
      <w:r>
        <w:rPr>
          <w:rFonts w:hint="eastAsia" w:ascii="宋体" w:hAnsi="宋体"/>
          <w:color w:val="auto"/>
          <w:highlight w:val="none"/>
        </w:rPr>
        <w:t xml:space="preserve">中小企业声明函</w:t>
      </w:r>
      <w:r/>
    </w:p>
    <w:p>
      <w:pPr>
        <w:ind w:firstLine="480"/>
        <w:spacing w:line="440" w:lineRule="exact"/>
        <w:rPr>
          <w:rFonts w:ascii="宋体" w:hAnsi="宋体"/>
          <w:color w:val="auto"/>
          <w:highlight w:val="none"/>
        </w:rPr>
      </w:pPr>
      <w:r>
        <w:rPr>
          <w:rFonts w:hint="eastAsia" w:ascii="宋体" w:hAnsi="宋体"/>
          <w:color w:val="auto"/>
          <w:highlight w:val="none"/>
        </w:rPr>
        <w:t xml:space="preserve">本公司（联合体）郑重声明，根据《政府采购促进中小企业发展管理办法》（财库﹝2020﹞46号）的规定，本公司（联合体）参加</w:t>
      </w:r>
      <w:r>
        <w:rPr>
          <w:rFonts w:hint="eastAsia" w:ascii="宋体" w:hAnsi="宋体"/>
          <w:i/>
          <w:color w:val="auto"/>
          <w:highlight w:val="none"/>
          <w:u w:val="single"/>
        </w:rPr>
        <w:t xml:space="preserve">（单位名称）</w:t>
      </w:r>
      <w:r>
        <w:rPr>
          <w:rFonts w:hint="eastAsia" w:ascii="宋体" w:hAnsi="宋体"/>
          <w:color w:val="auto"/>
          <w:highlight w:val="none"/>
        </w:rPr>
        <w:t xml:space="preserve">的</w:t>
      </w:r>
      <w:r>
        <w:rPr>
          <w:rFonts w:hint="eastAsia" w:ascii="宋体" w:hAnsi="宋体"/>
          <w:i/>
          <w:color w:val="auto"/>
          <w:highlight w:val="none"/>
          <w:u w:val="single"/>
        </w:rPr>
        <w:t xml:space="preserve">（项目名称）</w:t>
      </w:r>
      <w:r>
        <w:rPr>
          <w:rFonts w:hint="eastAsia" w:ascii="宋体" w:hAnsi="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ascii="宋体" w:hAnsi="宋体"/>
          <w:color w:val="auto"/>
          <w:highlight w:val="none"/>
        </w:rPr>
      </w:pPr>
      <w:r>
        <w:rPr>
          <w:rFonts w:hint="eastAsia" w:ascii="宋体" w:hAnsi="宋体"/>
          <w:color w:val="auto"/>
          <w:highlight w:val="none"/>
        </w:rPr>
        <w:t xml:space="preserve">1．</w:t>
      </w:r>
      <w:r>
        <w:rPr>
          <w:rFonts w:hint="eastAsia" w:ascii="宋体" w:hAnsi="宋体"/>
          <w:i/>
          <w:color w:val="auto"/>
          <w:highlight w:val="none"/>
          <w:u w:val="single"/>
        </w:rPr>
        <w:t xml:space="preserve">（标的名称） </w:t>
      </w:r>
      <w:r>
        <w:rPr>
          <w:rFonts w:hint="eastAsia" w:ascii="宋体" w:hAnsi="宋体"/>
          <w:color w:val="auto"/>
          <w:highlight w:val="none"/>
        </w:rPr>
        <w:t xml:space="preserve">，属于</w:t>
      </w:r>
      <w:r>
        <w:rPr>
          <w:rFonts w:hint="eastAsia" w:ascii="宋体" w:hAnsi="宋体"/>
          <w:i/>
          <w:color w:val="auto"/>
          <w:highlight w:val="none"/>
          <w:u w:val="single"/>
        </w:rPr>
        <w:t xml:space="preserve">（采购文件中明确的所属行业）</w:t>
      </w:r>
      <w:r>
        <w:rPr>
          <w:rFonts w:hint="eastAsia" w:ascii="宋体" w:hAnsi="宋体"/>
          <w:color w:val="auto"/>
          <w:highlight w:val="none"/>
        </w:rPr>
        <w:t xml:space="preserve">；承建（承接）企业为</w:t>
      </w:r>
      <w:r>
        <w:rPr>
          <w:rFonts w:hint="eastAsia" w:ascii="宋体" w:hAnsi="宋体"/>
          <w:i/>
          <w:color w:val="auto"/>
          <w:highlight w:val="none"/>
          <w:u w:val="single"/>
        </w:rPr>
        <w:t xml:space="preserve">（企业名称）</w:t>
      </w:r>
      <w:r>
        <w:rPr>
          <w:rFonts w:hint="eastAsia" w:ascii="宋体" w:hAnsi="宋体"/>
          <w:color w:val="auto"/>
          <w:highlight w:val="none"/>
        </w:rPr>
        <w:t xml:space="preserve">，从业人员人，营业收入为万元，资产总额为万元，属于</w:t>
      </w:r>
      <w:r>
        <w:rPr>
          <w:rFonts w:hint="eastAsia" w:ascii="宋体" w:hAnsi="宋体"/>
          <w:i/>
          <w:color w:val="auto"/>
          <w:highlight w:val="none"/>
          <w:u w:val="single"/>
        </w:rPr>
        <w:t xml:space="preserve">（中型企业、小型企业、微型企业）</w:t>
      </w:r>
      <w:r>
        <w:rPr>
          <w:rFonts w:hint="eastAsia" w:ascii="宋体" w:hAnsi="宋体"/>
          <w:color w:val="auto"/>
          <w:highlight w:val="none"/>
        </w:rPr>
        <w:t xml:space="preserve">；</w:t>
      </w:r>
      <w:r/>
    </w:p>
    <w:p>
      <w:pPr>
        <w:ind w:firstLine="480"/>
        <w:spacing w:line="440" w:lineRule="exact"/>
        <w:rPr>
          <w:rFonts w:ascii="宋体" w:hAnsi="宋体"/>
          <w:color w:val="auto"/>
          <w:highlight w:val="none"/>
        </w:rPr>
      </w:pPr>
      <w:r>
        <w:rPr>
          <w:rFonts w:hint="eastAsia" w:ascii="宋体" w:hAnsi="宋体"/>
          <w:color w:val="auto"/>
          <w:highlight w:val="none"/>
        </w:rPr>
        <w:t xml:space="preserve">2．</w:t>
      </w:r>
      <w:r>
        <w:rPr>
          <w:rFonts w:hint="eastAsia" w:ascii="宋体" w:hAnsi="宋体"/>
          <w:i/>
          <w:color w:val="auto"/>
          <w:highlight w:val="none"/>
          <w:u w:val="single"/>
        </w:rPr>
        <w:t xml:space="preserve">（标的名称） </w:t>
      </w:r>
      <w:r>
        <w:rPr>
          <w:rFonts w:hint="eastAsia" w:ascii="宋体" w:hAnsi="宋体"/>
          <w:color w:val="auto"/>
          <w:highlight w:val="none"/>
        </w:rPr>
        <w:t xml:space="preserve">，属于</w:t>
      </w:r>
      <w:r>
        <w:rPr>
          <w:rFonts w:hint="eastAsia" w:ascii="宋体" w:hAnsi="宋体"/>
          <w:i/>
          <w:color w:val="auto"/>
          <w:highlight w:val="none"/>
          <w:u w:val="single"/>
        </w:rPr>
        <w:t xml:space="preserve">（采购文件中明确的所属行业）</w:t>
      </w:r>
      <w:r>
        <w:rPr>
          <w:rFonts w:hint="eastAsia" w:ascii="宋体" w:hAnsi="宋体"/>
          <w:color w:val="auto"/>
          <w:highlight w:val="none"/>
        </w:rPr>
        <w:t xml:space="preserve">；承建（承接）企业为</w:t>
      </w:r>
      <w:r>
        <w:rPr>
          <w:rFonts w:hint="eastAsia" w:ascii="宋体" w:hAnsi="宋体"/>
          <w:i/>
          <w:color w:val="auto"/>
          <w:highlight w:val="none"/>
          <w:u w:val="single"/>
        </w:rPr>
        <w:t xml:space="preserve">（企业名称）</w:t>
      </w:r>
      <w:r>
        <w:rPr>
          <w:rFonts w:hint="eastAsia" w:ascii="宋体" w:hAnsi="宋体"/>
          <w:color w:val="auto"/>
          <w:highlight w:val="none"/>
        </w:rPr>
        <w:t xml:space="preserve">，从业人员人，营业收入为万元，资产总额为万元，属于</w:t>
      </w:r>
      <w:r>
        <w:rPr>
          <w:rFonts w:hint="eastAsia" w:ascii="宋体" w:hAnsi="宋体"/>
          <w:i/>
          <w:color w:val="auto"/>
          <w:highlight w:val="none"/>
          <w:u w:val="single"/>
        </w:rPr>
        <w:t xml:space="preserve">（中型企业、小型企业、微型企业）</w:t>
      </w:r>
      <w:r>
        <w:rPr>
          <w:rFonts w:hint="eastAsia" w:ascii="宋体" w:hAnsi="宋体"/>
          <w:color w:val="auto"/>
          <w:highlight w:val="none"/>
        </w:rPr>
        <w:t xml:space="preserve">；</w:t>
      </w:r>
      <w:r/>
    </w:p>
    <w:p>
      <w:pPr>
        <w:ind w:firstLine="480"/>
        <w:spacing w:line="440" w:lineRule="exact"/>
        <w:rPr>
          <w:rFonts w:ascii="宋体" w:hAnsi="宋体"/>
          <w:color w:val="auto"/>
          <w:highlight w:val="none"/>
        </w:rPr>
      </w:pPr>
      <w:r>
        <w:rPr>
          <w:rFonts w:hint="eastAsia" w:ascii="宋体" w:hAnsi="宋体"/>
          <w:color w:val="auto"/>
          <w:highlight w:val="none"/>
        </w:rPr>
        <w:t xml:space="preserve">……</w:t>
      </w:r>
      <w:r/>
    </w:p>
    <w:p>
      <w:pPr>
        <w:ind w:firstLine="480"/>
        <w:spacing w:line="440" w:lineRule="exact"/>
        <w:rPr>
          <w:rFonts w:ascii="宋体" w:hAnsi="宋体"/>
          <w:color w:val="auto"/>
          <w:highlight w:val="none"/>
        </w:rPr>
      </w:pPr>
      <w:r>
        <w:rPr>
          <w:rFonts w:hint="eastAsia" w:ascii="宋体" w:hAnsi="宋体"/>
          <w:color w:val="auto"/>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olor w:val="auto"/>
          <w:highlight w:val="none"/>
        </w:rPr>
      </w:pPr>
      <w:r>
        <w:rPr>
          <w:rFonts w:hint="eastAsia" w:ascii="宋体" w:hAnsi="宋体"/>
          <w:color w:val="auto"/>
          <w:highlight w:val="none"/>
        </w:rPr>
        <w:t xml:space="preserve">本企业对上述声明内容的真实性负责。如有虚假，将依法承担相应责任。</w:t>
      </w:r>
      <w:r/>
    </w:p>
    <w:p>
      <w:pPr>
        <w:ind w:right="150" w:firstLine="480"/>
        <w:jc w:val="right"/>
        <w:spacing w:line="440" w:lineRule="exact"/>
        <w:rPr>
          <w:rFonts w:ascii="宋体" w:hAnsi="宋体"/>
          <w:color w:val="auto"/>
          <w:highlight w:val="none"/>
        </w:rPr>
      </w:pPr>
      <w:r>
        <w:rPr>
          <w:rFonts w:hint="eastAsia" w:ascii="宋体" w:hAnsi="宋体"/>
          <w:color w:val="auto"/>
          <w:highlight w:val="none"/>
          <w:lang w:eastAsia="zh-CN"/>
        </w:rPr>
        <w:t xml:space="preserve">供应商</w:t>
      </w:r>
      <w:r>
        <w:rPr>
          <w:rFonts w:hint="eastAsia" w:ascii="宋体" w:hAnsi="宋体"/>
          <w:color w:val="auto"/>
          <w:highlight w:val="none"/>
        </w:rPr>
        <w:t xml:space="preserve">名称（加盖CA电子公章）：</w:t>
      </w:r>
      <w:r/>
    </w:p>
    <w:p>
      <w:pPr>
        <w:ind w:right="960" w:firstLine="480"/>
        <w:jc w:val="center"/>
        <w:spacing w:line="44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日 期：</w:t>
      </w:r>
      <w:r/>
    </w:p>
    <w:p>
      <w:pPr>
        <w:ind w:firstLine="480"/>
        <w:spacing w:line="440" w:lineRule="exact"/>
        <w:rPr>
          <w:rFonts w:ascii="宋体" w:hAnsi="宋体"/>
          <w:color w:val="auto"/>
          <w:highlight w:val="none"/>
        </w:rPr>
      </w:pPr>
      <w:r/>
      <w:bookmarkStart w:id="32" w:name="_Hlk73391674"/>
      <w:r>
        <w:rPr>
          <w:rFonts w:hint="eastAsia" w:ascii="宋体" w:hAnsi="宋体"/>
          <w:color w:val="auto"/>
          <w:highlight w:val="none"/>
        </w:rPr>
        <w:t xml:space="preserve">备注1：从业人员、营业收入、资产总额填报上一年度数据，无上一年度数据的新成立企业可不填报。</w:t>
      </w:r>
      <w:r/>
    </w:p>
    <w:p>
      <w:pPr>
        <w:ind w:firstLine="480"/>
        <w:spacing w:line="440" w:lineRule="exact"/>
        <w:rPr>
          <w:rFonts w:ascii="宋体" w:hAnsi="宋体"/>
          <w:color w:val="auto"/>
          <w:highlight w:val="none"/>
        </w:rPr>
      </w:pPr>
      <w:r>
        <w:rPr>
          <w:rFonts w:hint="eastAsia" w:ascii="宋体" w:hAnsi="宋体"/>
          <w:color w:val="auto"/>
          <w:highlight w:val="none"/>
        </w:rPr>
        <w:t xml:space="preserve">备注2：供应商如不提供此声明函，价格将不做相应扣除。</w:t>
      </w:r>
      <w:bookmarkStart w:id="33" w:name="_Hlk88399532"/>
      <w:r>
        <w:rPr>
          <w:rFonts w:hint="eastAsia" w:ascii="宋体" w:hAnsi="宋体"/>
          <w:color w:val="auto"/>
          <w:highlight w:val="none"/>
        </w:rPr>
        <w:t xml:space="preserve">中标供应商如享受本项目中小企业扶持政策的，其声明函将随中标结果同时公告，接受社会监督。</w:t>
      </w:r>
      <w:bookmarkEnd w:id="33"/>
      <w:r/>
      <w:r/>
    </w:p>
    <w:p>
      <w:pPr>
        <w:ind w:firstLine="480"/>
        <w:spacing w:line="440" w:lineRule="exact"/>
        <w:rPr>
          <w:rFonts w:ascii="宋体" w:hAnsi="宋体"/>
          <w:color w:val="auto"/>
          <w:highlight w:val="none"/>
        </w:rPr>
      </w:pPr>
      <w:r/>
      <w:bookmarkStart w:id="34" w:name="_Hlk72665336"/>
      <w:r>
        <w:rPr>
          <w:rFonts w:hint="eastAsia" w:ascii="宋体" w:hAnsi="宋体"/>
          <w:color w:val="auto"/>
          <w:highlight w:val="none"/>
        </w:rPr>
        <w:t xml:space="preserve">备注3：“中小企业划型标准”详见《关于印发中小企业划型标准规定的通知》工信部联企业〔2011〕300号，供应商也可登录中华人民共和国工信部官网，使用“中小企业规模类型自测小程序”进行企业规模自测。</w:t>
      </w:r>
      <w:bookmarkEnd w:id="32"/>
      <w:r/>
      <w:bookmarkEnd w:id="34"/>
      <w:r/>
      <w:r/>
    </w:p>
    <w:p>
      <w:pPr>
        <w:ind w:firstLine="542"/>
        <w:jc w:val="both"/>
        <w:spacing w:line="440" w:lineRule="exact"/>
        <w:widowControl/>
        <w:rPr>
          <w:b/>
          <w:color w:val="auto"/>
          <w:sz w:val="27"/>
          <w:szCs w:val="20"/>
          <w:highlight w:val="none"/>
        </w:rPr>
      </w:pPr>
      <w:r>
        <w:rPr>
          <w:rFonts w:hint="eastAsia"/>
          <w:b/>
          <w:color w:val="auto"/>
          <w:sz w:val="27"/>
          <w:szCs w:val="20"/>
          <w:highlight w:val="none"/>
          <w:lang w:eastAsia="zh-CN"/>
        </w:rPr>
        <w:t xml:space="preserve">本项目所属行业：其他未列明行业</w:t>
      </w:r>
      <w:r>
        <w:rPr>
          <w:rFonts w:hint="eastAsia"/>
          <w:b/>
          <w:color w:val="auto"/>
          <w:sz w:val="27"/>
          <w:szCs w:val="20"/>
          <w:highlight w:val="none"/>
          <w:lang w:val="en-US" w:eastAsia="zh-CN"/>
        </w:rPr>
        <w:t xml:space="preserve">中的公共设施管理业</w:t>
      </w:r>
      <w:r>
        <w:rPr>
          <w:rFonts w:hint="eastAsia"/>
          <w:b/>
          <w:color w:val="auto"/>
          <w:sz w:val="27"/>
          <w:szCs w:val="20"/>
          <w:highlight w:val="none"/>
          <w:lang w:eastAsia="zh-CN"/>
        </w:rPr>
        <w:t xml:space="preserve">。</w:t>
      </w:r>
      <w:r>
        <w:rPr>
          <w:b/>
          <w:color w:val="auto"/>
          <w:sz w:val="27"/>
          <w:szCs w:val="20"/>
          <w:highlight w:val="none"/>
        </w:rPr>
        <w:br w:type="page" w:clear="all"/>
      </w:r>
      <w:r/>
    </w:p>
    <w:p>
      <w:pPr>
        <w:ind w:firstLine="643"/>
        <w:jc w:val="center"/>
        <w:spacing w:before="4" w:line="440" w:lineRule="exact"/>
        <w:rPr>
          <w:rFonts w:ascii="宋体" w:hAnsi="宋体" w:cs="宋体"/>
          <w:b/>
          <w:color w:val="auto"/>
          <w:sz w:val="32"/>
          <w:szCs w:val="22"/>
          <w:highlight w:val="none"/>
        </w:rPr>
      </w:pPr>
      <w:r/>
      <w:bookmarkStart w:id="35" w:name="_Hlk73478900"/>
      <w:r>
        <w:rPr>
          <w:rFonts w:hint="eastAsia" w:ascii="宋体" w:hAnsi="宋体" w:cs="宋体"/>
          <w:b/>
          <w:color w:val="auto"/>
          <w:sz w:val="32"/>
          <w:szCs w:val="22"/>
          <w:highlight w:val="none"/>
        </w:rPr>
        <w:t xml:space="preserve">残疾人福利性单位声明函</w:t>
      </w:r>
      <w:r/>
    </w:p>
    <w:p>
      <w:pPr>
        <w:ind w:firstLine="480"/>
        <w:jc w:val="left"/>
        <w:spacing w:line="440" w:lineRule="exact"/>
        <w:widowControl/>
        <w:rPr>
          <w:color w:val="auto"/>
          <w:szCs w:val="20"/>
          <w:highlight w:val="none"/>
        </w:rPr>
      </w:pPr>
      <w:r>
        <w:rPr>
          <w:color w:val="auto"/>
          <w:szCs w:val="20"/>
          <w:highlight w:val="none"/>
        </w:rPr>
      </w:r>
      <w:r/>
    </w:p>
    <w:p>
      <w:pPr>
        <w:ind w:right="327" w:firstLine="480"/>
        <w:spacing w:line="440" w:lineRule="exact"/>
        <w:rPr>
          <w:rFonts w:ascii="宋体" w:hAnsi="宋体"/>
          <w:color w:val="auto"/>
          <w:highlight w:val="none"/>
        </w:rPr>
      </w:pPr>
      <w:r>
        <w:rPr>
          <w:rFonts w:ascii="宋体" w:hAnsi="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ascii="宋体" w:hAnsi="宋体"/>
          <w:color w:val="auto"/>
          <w:highlight w:val="none"/>
          <w:u w:val="single"/>
        </w:rPr>
        <w:tab/>
      </w:r>
      <w:r>
        <w:rPr>
          <w:rFonts w:ascii="宋体" w:hAnsi="宋体"/>
          <w:color w:val="auto"/>
          <w:highlight w:val="none"/>
        </w:rPr>
        <w:t xml:space="preserve">单位的</w:t>
      </w:r>
      <w:r>
        <w:rPr>
          <w:rFonts w:ascii="宋体" w:hAnsi="宋体"/>
          <w:color w:val="auto"/>
          <w:highlight w:val="none"/>
          <w:u w:val="single"/>
        </w:rPr>
        <w:tab/>
      </w:r>
      <w:r>
        <w:rPr>
          <w:rFonts w:ascii="宋体" w:hAnsi="宋体"/>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40" w:lineRule="exact"/>
        <w:rPr>
          <w:rFonts w:ascii="宋体" w:hAnsi="宋体"/>
          <w:color w:val="auto"/>
          <w:highlight w:val="none"/>
        </w:rPr>
      </w:pPr>
      <w:r>
        <w:rPr>
          <w:rFonts w:hint="eastAsia" w:ascii="宋体" w:hAnsi="宋体"/>
          <w:color w:val="auto"/>
          <w:highlight w:val="none"/>
        </w:rPr>
        <w:t xml:space="preserve">本单位在本次政府采购活动中提供的残疾人福利单位产品报价合计为人民币（大写）圆整（¥：     ）。</w:t>
      </w:r>
      <w:r/>
    </w:p>
    <w:p>
      <w:pPr>
        <w:ind w:firstLine="480"/>
        <w:spacing w:before="2" w:line="440" w:lineRule="exact"/>
        <w:rPr>
          <w:rFonts w:ascii="宋体" w:hAnsi="宋体"/>
          <w:color w:val="auto"/>
          <w:highlight w:val="none"/>
        </w:rPr>
      </w:pPr>
      <w:r>
        <w:rPr>
          <w:rFonts w:ascii="宋体" w:hAnsi="宋体"/>
          <w:color w:val="auto"/>
          <w:highlight w:val="none"/>
        </w:rPr>
        <w:t xml:space="preserve">本单位对上述声明的真实性负责。如有虚假，将依法承担相应责任。</w:t>
      </w:r>
      <w:r/>
    </w:p>
    <w:p>
      <w:pPr>
        <w:ind w:firstLine="480"/>
        <w:spacing w:line="440" w:lineRule="exact"/>
        <w:rPr>
          <w:rFonts w:ascii="宋体" w:hAnsi="宋体"/>
          <w:color w:val="auto"/>
          <w:highlight w:val="none"/>
        </w:rPr>
      </w:pPr>
      <w:r/>
      <w:bookmarkStart w:id="36" w:name="_Hlk73391707"/>
      <w:r>
        <w:rPr>
          <w:rFonts w:hint="eastAsia" w:ascii="宋体" w:hAnsi="宋体"/>
          <w:color w:val="auto"/>
          <w:highlight w:val="none"/>
        </w:rPr>
        <w:t xml:space="preserve">（备注：1．供应商如不提供此声明函，价格将不做相应扣除。2．中标供应商为残疾人福利单位的，此声明函将随中标结果同时公告，接受社会监督）</w:t>
      </w:r>
      <w:r/>
    </w:p>
    <w:p>
      <w:pPr>
        <w:ind w:firstLine="624"/>
        <w:spacing w:line="44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80"/>
        <w:spacing w:before="2" w:line="440" w:lineRule="exact"/>
        <w:rPr>
          <w:rFonts w:ascii="宋体" w:hAnsi="宋体"/>
          <w:color w:val="auto"/>
          <w:highlight w:val="none"/>
        </w:rPr>
      </w:pPr>
      <w:r>
        <w:rPr>
          <w:rFonts w:ascii="宋体" w:hAnsi="宋体"/>
          <w:color w:val="auto"/>
          <w:highlight w:val="none"/>
        </w:rPr>
      </w:r>
      <w:r/>
    </w:p>
    <w:p>
      <w:pPr>
        <w:ind w:right="960" w:firstLine="480"/>
        <w:jc w:val="right"/>
        <w:spacing w:line="440" w:lineRule="exact"/>
        <w:rPr>
          <w:rFonts w:hint="eastAsia"/>
          <w:color w:val="auto"/>
          <w:highlight w:val="none"/>
        </w:rPr>
      </w:pPr>
      <w:r>
        <w:rPr>
          <w:rFonts w:hint="eastAsia"/>
          <w:color w:val="auto"/>
          <w:highlight w:val="none"/>
        </w:rPr>
        <w:t xml:space="preserve">供应商名称（加盖CA电子公章）：</w:t>
      </w:r>
      <w:r/>
    </w:p>
    <w:p>
      <w:pPr>
        <w:ind w:right="960" w:firstLine="480"/>
        <w:jc w:val="right"/>
        <w:spacing w:line="440" w:lineRule="exact"/>
        <w:rPr>
          <w:rFonts w:ascii="宋体" w:hAnsi="宋体"/>
          <w:color w:val="auto"/>
          <w:highlight w:val="none"/>
        </w:rPr>
      </w:pPr>
      <w:r>
        <w:rPr>
          <w:rFonts w:hint="eastAsia" w:ascii="宋体" w:hAnsi="宋体"/>
          <w:color w:val="auto"/>
          <w:highlight w:val="none"/>
        </w:rPr>
        <w:t xml:space="preserve">日 期：</w:t>
      </w:r>
      <w:bookmarkEnd w:id="35"/>
      <w:r/>
      <w:bookmarkEnd w:id="36"/>
      <w:r/>
      <w:r/>
    </w:p>
    <w:p>
      <w:pPr>
        <w:ind w:firstLine="643"/>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643"/>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643"/>
        <w:jc w:val="left"/>
        <w:spacing w:line="440" w:lineRule="exact"/>
        <w:widowControl/>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480"/>
        <w:jc w:val="left"/>
        <w:spacing w:line="440" w:lineRule="exact"/>
        <w:widowControl/>
        <w:rPr>
          <w:color w:val="auto"/>
          <w:szCs w:val="20"/>
          <w:highlight w:val="none"/>
        </w:rPr>
      </w:pPr>
      <w:r>
        <w:rPr>
          <w:color w:val="auto"/>
          <w:szCs w:val="20"/>
          <w:highlight w:val="none"/>
        </w:rPr>
      </w:r>
      <w:r/>
    </w:p>
    <w:p>
      <w:pPr>
        <w:ind w:firstLine="480"/>
        <w:jc w:val="left"/>
        <w:spacing w:line="440" w:lineRule="exact"/>
        <w:widowControl/>
        <w:rPr>
          <w:color w:val="auto"/>
          <w:szCs w:val="20"/>
          <w:highlight w:val="none"/>
        </w:rPr>
      </w:pPr>
      <w:r>
        <w:rPr>
          <w:color w:val="auto"/>
          <w:szCs w:val="20"/>
          <w:highlight w:val="none"/>
        </w:rPr>
      </w:r>
      <w:r/>
    </w:p>
    <w:p>
      <w:pPr>
        <w:ind w:firstLine="643"/>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643"/>
        <w:jc w:val="center"/>
        <w:spacing w:line="44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属于监狱企业的证明文件</w:t>
      </w:r>
      <w:r/>
    </w:p>
    <w:p>
      <w:pPr>
        <w:ind w:firstLine="480"/>
        <w:jc w:val="left"/>
        <w:spacing w:line="440" w:lineRule="exact"/>
        <w:widowControl/>
        <w:rPr>
          <w:color w:val="auto"/>
          <w:szCs w:val="20"/>
          <w:highlight w:val="none"/>
        </w:rPr>
      </w:pPr>
      <w:r>
        <w:rPr>
          <w:color w:val="auto"/>
          <w:szCs w:val="20"/>
          <w:highlight w:val="none"/>
        </w:rPr>
      </w:r>
      <w:r/>
    </w:p>
    <w:p>
      <w:pPr>
        <w:ind w:left="102" w:firstLine="480"/>
        <w:jc w:val="left"/>
        <w:spacing w:line="440" w:lineRule="exact"/>
        <w:rPr>
          <w:rFonts w:ascii="宋体" w:hAnsi="宋体"/>
          <w:color w:val="auto"/>
          <w:highlight w:val="none"/>
        </w:rPr>
      </w:pPr>
      <w:r>
        <w:rPr>
          <w:rFonts w:ascii="宋体" w:hAnsi="宋体"/>
          <w:color w:val="auto"/>
          <w:highlight w:val="none"/>
        </w:rPr>
        <w:t xml:space="preserve">（提供由省级以上监狱管理局、戒毒管理局</w:t>
      </w:r>
      <w:r>
        <w:rPr>
          <w:rFonts w:hint="eastAsia" w:ascii="宋体" w:hAnsi="宋体"/>
          <w:color w:val="auto"/>
          <w:highlight w:val="none"/>
        </w:rPr>
        <w:t xml:space="preserve">（</w:t>
      </w:r>
      <w:r>
        <w:rPr>
          <w:rFonts w:ascii="宋体" w:hAnsi="宋体"/>
          <w:color w:val="auto"/>
          <w:highlight w:val="none"/>
        </w:rPr>
        <w:t xml:space="preserve">含新疆生产建设兵团</w:t>
      </w:r>
      <w:r>
        <w:rPr>
          <w:rFonts w:hint="eastAsia" w:ascii="宋体" w:hAnsi="宋体"/>
          <w:color w:val="auto"/>
          <w:highlight w:val="none"/>
        </w:rPr>
        <w:t xml:space="preserve">）</w:t>
      </w:r>
      <w:r>
        <w:rPr>
          <w:rFonts w:ascii="宋体" w:hAnsi="宋体"/>
          <w:color w:val="auto"/>
          <w:highlight w:val="none"/>
        </w:rPr>
        <w:t xml:space="preserve">出具的属于监狱企业的证明文件</w:t>
      </w:r>
      <w:r>
        <w:rPr>
          <w:rFonts w:hint="eastAsia" w:ascii="宋体" w:hAnsi="宋体"/>
          <w:color w:val="auto"/>
          <w:highlight w:val="none"/>
        </w:rPr>
        <w:t xml:space="preserve">，监狱企业标准请参照《关于政府采购支持监狱企业发展有关问题的通知》（</w:t>
      </w:r>
      <w:r>
        <w:rPr>
          <w:rFonts w:ascii="宋体" w:hAnsi="宋体"/>
          <w:color w:val="auto"/>
          <w:highlight w:val="none"/>
        </w:rPr>
        <w:t xml:space="preserve">财库[2014]68号）</w:t>
      </w:r>
      <w:r>
        <w:rPr>
          <w:rFonts w:hint="eastAsia" w:ascii="宋体" w:hAnsi="宋体"/>
          <w:color w:val="auto"/>
          <w:highlight w:val="none"/>
        </w:rPr>
        <w:t xml:space="preserve">。</w:t>
      </w:r>
      <w:r/>
    </w:p>
    <w:p>
      <w:pPr>
        <w:ind w:left="102" w:firstLine="480"/>
        <w:jc w:val="left"/>
        <w:spacing w:line="440" w:lineRule="exact"/>
        <w:rPr>
          <w:rFonts w:ascii="宋体" w:hAnsi="宋体"/>
          <w:color w:val="auto"/>
          <w:highlight w:val="none"/>
        </w:rPr>
      </w:pPr>
      <w:r>
        <w:rPr>
          <w:rFonts w:hint="eastAsia" w:ascii="宋体" w:hAnsi="宋体"/>
          <w:color w:val="auto"/>
          <w:highlight w:val="none"/>
        </w:rPr>
        <w:t xml:space="preserve">备注：1．供应商如不提供此声明函，价格将不做相应扣除。2．中标供应商为残疾人福利单位的，此声明函将随中标结果同时公告，接受社会监督。</w:t>
      </w:r>
      <w:r/>
    </w:p>
    <w:p>
      <w:pPr>
        <w:ind w:firstLine="643"/>
        <w:jc w:val="center"/>
        <w:spacing w:line="440" w:lineRule="exact"/>
        <w:rPr>
          <w:rFonts w:ascii="黑体"/>
          <w:b/>
          <w:color w:val="auto"/>
          <w:sz w:val="32"/>
          <w:szCs w:val="32"/>
          <w:highlight w:val="none"/>
        </w:rPr>
      </w:pPr>
      <w:r>
        <w:rPr>
          <w:rFonts w:ascii="黑体"/>
          <w:b/>
          <w:color w:val="auto"/>
          <w:sz w:val="32"/>
          <w:szCs w:val="32"/>
          <w:highlight w:val="none"/>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rPr>
        <w:t xml:space="preserve">、养护方案</w:t>
      </w:r>
      <w:r/>
    </w:p>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ascii="宋体" w:hAnsi="宋体"/>
          <w:b/>
          <w:color w:val="auto"/>
          <w:sz w:val="32"/>
          <w:szCs w:val="32"/>
          <w:highlight w:val="none"/>
        </w:rPr>
      </w:pPr>
      <w:r>
        <w:rPr>
          <w:rFonts w:hint="eastAsia" w:ascii="宋体" w:hAnsi="宋体"/>
          <w:color w:val="auto"/>
          <w:highlight w:val="none"/>
        </w:rPr>
        <w:t xml:space="preserve">由投标人根据评分项自拟</w:t>
      </w:r>
      <w:r>
        <w:rPr>
          <w:rFonts w:ascii="宋体" w:hAnsi="宋体"/>
          <w:color w:val="auto"/>
          <w:szCs w:val="20"/>
          <w:highlight w:val="none"/>
        </w:rPr>
        <w:br w:type="page" w:clear="all"/>
      </w:r>
      <w:bookmarkStart w:id="37" w:name="_Toc489655335"/>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lang w:val="zh-CN"/>
        </w:rPr>
        <w:t xml:space="preserve">、资格证明文件</w:t>
      </w:r>
      <w:bookmarkEnd w:id="37"/>
      <w:r/>
      <w:r/>
    </w:p>
    <w:p>
      <w:pPr>
        <w:ind w:firstLine="643"/>
        <w:jc w:val="center"/>
        <w:spacing w:line="440" w:lineRule="exact"/>
        <w:rPr>
          <w:rFonts w:ascii="宋体" w:hAnsi="宋体"/>
          <w:b/>
          <w:color w:val="auto"/>
          <w:sz w:val="32"/>
          <w:szCs w:val="32"/>
          <w:highlight w:val="none"/>
        </w:rPr>
      </w:pPr>
      <w:r>
        <w:rPr>
          <w:rFonts w:ascii="宋体" w:hAnsi="宋体"/>
          <w:b/>
          <w:color w:val="auto"/>
          <w:sz w:val="32"/>
          <w:szCs w:val="32"/>
          <w:highlight w:val="none"/>
        </w:rPr>
      </w:r>
      <w:r/>
    </w:p>
    <w:p>
      <w:pPr>
        <w:ind w:firstLine="480"/>
        <w:spacing w:line="440" w:lineRule="exact"/>
        <w:rPr>
          <w:rFonts w:ascii="宋体" w:hAnsi="宋体"/>
          <w:color w:val="auto"/>
          <w:highlight w:val="none"/>
        </w:rPr>
      </w:pPr>
      <w:r/>
      <w:bookmarkStart w:id="38" w:name="_Hlk75178461"/>
      <w:r/>
      <w:bookmarkStart w:id="39" w:name="_Hlk84150684"/>
      <w:r/>
      <w:bookmarkStart w:id="40" w:name="_Hlk73479082"/>
      <w:r>
        <w:rPr>
          <w:rFonts w:hint="eastAsia" w:ascii="宋体" w:hAnsi="宋体"/>
          <w:color w:val="auto"/>
          <w:highlight w:val="none"/>
        </w:rPr>
        <w:t xml:space="preserve">1</w:t>
      </w:r>
      <w:r>
        <w:rPr>
          <w:rFonts w:hint="eastAsia" w:ascii="宋体" w:hAnsi="宋体"/>
          <w:bCs/>
          <w:color w:val="auto"/>
          <w:highlight w:val="none"/>
        </w:rPr>
        <w:t xml:space="preserve">．</w:t>
      </w:r>
      <w:r>
        <w:rPr>
          <w:rFonts w:hint="eastAsia" w:ascii="宋体" w:hAnsi="宋体"/>
          <w:color w:val="auto"/>
          <w:highlight w:val="none"/>
        </w:rPr>
        <w:t xml:space="preserve">供应商营业执照副本或事业单位法人登记证书或组织机构代码证（复印件，加盖公章）或自然人身份证复印件；</w:t>
      </w:r>
      <w:bookmarkStart w:id="41" w:name="_Hlk73391795"/>
      <w:r/>
      <w:r/>
    </w:p>
    <w:p>
      <w:pPr>
        <w:ind w:firstLine="480"/>
        <w:spacing w:line="440" w:lineRule="exact"/>
        <w:rPr>
          <w:rFonts w:ascii="宋体" w:hAnsi="宋体"/>
          <w:color w:val="auto"/>
          <w:highlight w:val="none"/>
        </w:rPr>
      </w:pPr>
      <w:r>
        <w:rPr>
          <w:rFonts w:hint="eastAsia" w:ascii="宋体" w:hAnsi="宋体"/>
          <w:color w:val="auto"/>
          <w:highlight w:val="none"/>
        </w:rPr>
        <w:t xml:space="preserve">2</w:t>
      </w:r>
      <w:r>
        <w:rPr>
          <w:rFonts w:hint="eastAsia" w:ascii="宋体" w:hAnsi="宋体"/>
          <w:bCs/>
          <w:color w:val="auto"/>
          <w:highlight w:val="none"/>
        </w:rPr>
        <w:t xml:space="preserve">．</w:t>
      </w:r>
      <w:r>
        <w:rPr>
          <w:rFonts w:hint="eastAsia" w:ascii="宋体" w:hAnsi="宋体"/>
          <w:color w:val="auto"/>
          <w:highlight w:val="none"/>
        </w:rPr>
        <w:t xml:space="preserve">符合特殊要求的证明材料或者情况说明（复印件，加盖公章）</w:t>
      </w:r>
      <w:r/>
    </w:p>
    <w:p>
      <w:pPr>
        <w:ind w:firstLine="480"/>
        <w:spacing w:line="440" w:lineRule="exact"/>
        <w:rPr>
          <w:rFonts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bCs/>
          <w:color w:val="auto"/>
          <w:highlight w:val="none"/>
        </w:rPr>
        <w:t xml:space="preserve">．</w:t>
      </w:r>
      <w:r>
        <w:rPr>
          <w:rFonts w:hint="eastAsia"/>
          <w:color w:val="auto"/>
          <w:szCs w:val="32"/>
          <w:highlight w:val="none"/>
        </w:rPr>
        <w:t xml:space="preserve">信用中国、中国政府采购网供应商信用信息查询记录截图</w:t>
      </w:r>
      <w:r>
        <w:rPr>
          <w:rFonts w:hint="eastAsia" w:ascii="宋体" w:hAnsi="宋体"/>
          <w:color w:val="auto"/>
          <w:highlight w:val="none"/>
        </w:rPr>
        <w:t xml:space="preserve">（供应商在响应文件提交截止时间前登录“信用中国”（www.creditchina.gov.cn）、“中国政府采购网”（www.ccgp.gov.cn）进行信用信息查询，并在响应文件中提供网站查询有关记录截图。）</w:t>
      </w:r>
      <w:bookmarkEnd w:id="38"/>
      <w:r/>
      <w:bookmarkEnd w:id="39"/>
      <w:r/>
      <w:bookmarkEnd w:id="40"/>
      <w:r/>
      <w:bookmarkEnd w:id="41"/>
      <w:r/>
      <w:r/>
    </w:p>
    <w:p>
      <w:pPr>
        <w:jc w:val="center"/>
        <w:widowControl/>
        <w:rPr>
          <w:b/>
          <w:bCs/>
          <w:color w:val="auto"/>
          <w:sz w:val="32"/>
          <w:szCs w:val="32"/>
          <w:highlight w:val="none"/>
        </w:rPr>
      </w:pPr>
      <w:r>
        <w:rPr>
          <w:color w:val="auto"/>
          <w:szCs w:val="20"/>
          <w:highlight w:val="none"/>
        </w:rPr>
        <w:br w:type="page" w:clear="all"/>
      </w:r>
      <w:bookmarkStart w:id="42" w:name="_Hlk97212578"/>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lang w:val="zh-CN"/>
        </w:rPr>
        <w:t xml:space="preserve">、供应商</w:t>
      </w:r>
      <w:r>
        <w:rPr>
          <w:rFonts w:hint="eastAsia" w:ascii="宋体" w:hAnsi="宋体" w:cs="宋体"/>
          <w:b/>
          <w:color w:val="auto"/>
          <w:sz w:val="32"/>
          <w:szCs w:val="32"/>
          <w:highlight w:val="none"/>
          <w:lang w:val="en-US" w:eastAsia="zh-CN"/>
        </w:rPr>
        <w:t xml:space="preserve">资格</w:t>
      </w:r>
      <w:r>
        <w:rPr>
          <w:rFonts w:hint="eastAsia" w:ascii="宋体" w:hAnsi="宋体" w:cs="宋体"/>
          <w:b/>
          <w:color w:val="auto"/>
          <w:sz w:val="32"/>
          <w:szCs w:val="32"/>
          <w:highlight w:val="none"/>
          <w:lang w:val="zh-CN"/>
        </w:rPr>
        <w:t xml:space="preserve">承诺书</w:t>
      </w:r>
      <w:bookmarkEnd w:id="42"/>
      <w:r/>
      <w:r/>
    </w:p>
    <w:p>
      <w:pPr>
        <w:ind w:firstLine="480"/>
        <w:rPr>
          <w:rFonts w:ascii="宋体"/>
          <w:color w:val="auto"/>
          <w:highlight w:val="none"/>
          <w:u w:val="single"/>
        </w:rPr>
      </w:pPr>
      <w:r>
        <w:rPr>
          <w:rFonts w:ascii="宋体"/>
          <w:color w:val="auto"/>
          <w:highlight w:val="none"/>
          <w:u w:val="single"/>
        </w:rPr>
      </w:r>
      <w:r/>
    </w:p>
    <w:p>
      <w:pPr>
        <w:ind w:firstLine="480"/>
        <w:spacing w:line="400" w:lineRule="exact"/>
        <w:rPr>
          <w:color w:val="auto"/>
          <w:highlight w:val="none"/>
        </w:rPr>
      </w:pPr>
      <w:r>
        <w:rPr>
          <w:rFonts w:hint="eastAsia" w:ascii="宋体"/>
          <w:color w:val="auto"/>
          <w:highlight w:val="none"/>
          <w:u w:val="single"/>
          <w:lang w:val="zh-CN"/>
        </w:rPr>
        <w:t xml:space="preserve">南京市城市道路管理中心</w:t>
      </w:r>
      <w:r>
        <w:rPr>
          <w:rFonts w:hint="eastAsia" w:ascii="宋体"/>
          <w:color w:val="auto"/>
          <w:highlight w:val="none"/>
        </w:rPr>
        <w:t xml:space="preserve">：</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在参与本次项目投标中，我公司承诺：我公司符合下列要求：</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（一）具有良好的商业信誉和健全的财务会计制度；</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（二）具有履行合同所必需的设备和专业技术能力；</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（三）有依法缴纳税收和社会保障资金的良好记录；</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（四）参加政府采购活动前三年内，在经营活动中没有重大违法记录；</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五</w:t>
      </w:r>
      <w:r>
        <w:rPr>
          <w:rFonts w:ascii="宋体" w:hAnsi="宋体" w:eastAsia="宋体" w:cs="宋体"/>
          <w:color w:val="auto"/>
          <w:sz w:val="21"/>
          <w:highlight w:val="none"/>
        </w:rPr>
        <w:t xml:space="preserve">）我单位不存在为采购项目提供整体设计、规范编制或者项目管理、监理、检测等服务后，再参加该采购项目的其他采购活动的情形（单一来源采购项目除外）；</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六</w:t>
      </w:r>
      <w:r>
        <w:rPr>
          <w:rFonts w:ascii="宋体" w:hAnsi="宋体" w:eastAsia="宋体" w:cs="宋体"/>
          <w:color w:val="auto"/>
          <w:sz w:val="21"/>
          <w:highlight w:val="none"/>
        </w:rPr>
        <w:t xml:space="preserve">）我单位未被“信用中国”网站列入失信被执行人、重大税收违法案件当事人名单、政府采购严重失信行为记录名单</w:t>
      </w:r>
      <w:r>
        <w:rPr>
          <w:rFonts w:ascii="宋体" w:hAnsi="宋体" w:eastAsia="宋体" w:cs="宋体"/>
          <w:color w:val="auto"/>
          <w:sz w:val="21"/>
          <w:highlight w:val="none"/>
        </w:rPr>
        <w:t xml:space="preserve">；</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七</w:t>
      </w:r>
      <w:r>
        <w:rPr>
          <w:rFonts w:ascii="宋体" w:hAnsi="宋体" w:eastAsia="宋体" w:cs="宋体"/>
          <w:color w:val="auto"/>
          <w:sz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相互关系</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420"/>
        <w:spacing w:before="0" w:after="0" w:line="340" w:lineRule="atLeast"/>
        <w:rPr>
          <w:color w:val="auto"/>
          <w:highlight w:val="none"/>
        </w:rPr>
        <w:pBdr>
          <w:top w:val="none" w:color="000000" w:sz="0" w:space="0"/>
          <w:left w:val="none" w:color="000000" w:sz="0" w:space="0"/>
          <w:bottom w:val="none" w:color="000000" w:sz="0" w:space="0"/>
          <w:right w:val="none" w:color="000000" w:sz="0" w:space="0"/>
        </w:pBdr>
      </w:pPr>
      <w:r/>
      <w:bookmarkStart w:id="43" w:name="_GoBack"/>
      <w:r/>
      <w:bookmarkEnd w:id="43"/>
      <w:r>
        <w:rPr>
          <w:rFonts w:ascii="宋体" w:hAnsi="宋体" w:eastAsia="宋体" w:cs="宋体"/>
          <w:color w:val="auto"/>
          <w:sz w:val="21"/>
          <w:highlight w:val="none"/>
        </w:rPr>
        <w:t xml:space="preserve">如果我公司中标，将在结果公告发布后7个工作日内向采购代理机构提供下列材料核验：</w:t>
      </w:r>
      <w:r/>
    </w:p>
    <w:p>
      <w:pPr>
        <w:ind w:left="0" w:right="0" w:firstLine="420"/>
        <w:spacing w:before="0" w:after="0" w:line="3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Arial" w:hAnsi="Arial" w:cs="Arial"/>
          <w:bCs/>
          <w:color w:val="auto"/>
          <w:sz w:val="21"/>
          <w:szCs w:val="21"/>
          <w:highlight w:val="none"/>
          <w:lang w:val="en-US" w:eastAsia="zh-CN"/>
        </w:rPr>
        <w:t xml:space="preserve">2024年度或</w:t>
      </w:r>
      <w:r>
        <w:rPr>
          <w:rFonts w:hint="eastAsia" w:ascii="Arial" w:hAnsi="Arial" w:cs="Arial"/>
          <w:bCs/>
          <w:color w:val="auto"/>
          <w:sz w:val="21"/>
          <w:szCs w:val="21"/>
          <w:highlight w:val="none"/>
        </w:rPr>
        <w:t xml:space="preserve">202</w:t>
      </w:r>
      <w:r>
        <w:rPr>
          <w:rFonts w:hint="eastAsia" w:ascii="Arial" w:hAnsi="Arial" w:cs="Arial"/>
          <w:bCs/>
          <w:color w:val="auto"/>
          <w:sz w:val="21"/>
          <w:szCs w:val="21"/>
          <w:highlight w:val="none"/>
          <w:lang w:val="en-US" w:eastAsia="zh-CN"/>
        </w:rPr>
        <w:t xml:space="preserve">5</w:t>
      </w:r>
      <w:r>
        <w:rPr>
          <w:rFonts w:hint="eastAsia" w:ascii="Arial" w:hAnsi="Arial" w:cs="Arial"/>
          <w:bCs/>
          <w:color w:val="auto"/>
          <w:sz w:val="21"/>
          <w:szCs w:val="21"/>
          <w:highlight w:val="none"/>
        </w:rPr>
        <w:t xml:space="preserve">年度经审计的财务报告，或投标截止时间前六个月内银行出具的资信证明，或财政部门认可的政府采购专业担保机构出具的投标担保函</w:t>
      </w:r>
      <w:r>
        <w:rPr>
          <w:rFonts w:ascii="宋体" w:hAnsi="宋体" w:eastAsia="宋体" w:cs="宋体"/>
          <w:color w:val="auto"/>
          <w:sz w:val="21"/>
          <w:highlight w:val="none"/>
        </w:rPr>
        <w:t xml:space="preserve">，成立不满一年无需提供；</w:t>
      </w:r>
      <w:r/>
    </w:p>
    <w:p>
      <w:pPr>
        <w:ind w:left="0" w:right="0" w:firstLine="420"/>
        <w:spacing w:before="0" w:after="0" w:line="3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参加本次政府采购活动前半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left="0" w:right="0" w:firstLine="420"/>
        <w:spacing w:before="0" w:after="0" w:line="32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（3）我单位具有履行本项目采购合同所必需的设备和专业技术能力</w:t>
      </w:r>
      <w:r>
        <w:rPr>
          <w:rFonts w:hint="eastAsia" w:ascii="宋体" w:hAnsi="宋体" w:cs="宋体"/>
          <w:color w:val="auto"/>
          <w:sz w:val="21"/>
          <w:highlight w:val="none"/>
          <w:lang w:eastAsia="zh-CN"/>
        </w:rPr>
        <w:t xml:space="preserve">。</w:t>
      </w:r>
      <w:r/>
    </w:p>
    <w:p>
      <w:pPr>
        <w:ind w:left="0" w:right="0" w:firstLine="420"/>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（4）我单位在参加采购项目政府采购活动前三年内，在经营活动中，未因违法经营受到刑事处罚或者责令停产停业、吊销许可证或者执照、较大数额罚款等行政处罚。</w:t>
      </w:r>
      <w:r/>
    </w:p>
    <w:p>
      <w:pPr>
        <w:ind w:left="0" w:right="0" w:firstLine="420"/>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本公司对上述承诺的真实性负责，如有虚假，将依法承担相应责任。</w:t>
      </w:r>
      <w:r/>
    </w:p>
    <w:p>
      <w:pPr>
        <w:ind w:left="0" w:right="840" w:firstLine="420"/>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840" w:firstLine="0"/>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供应商</w:t>
      </w:r>
      <w:r>
        <w:rPr>
          <w:rFonts w:ascii="宋体" w:hAnsi="宋体" w:eastAsia="宋体" w:cs="宋体"/>
          <w:color w:val="auto"/>
          <w:sz w:val="21"/>
          <w:highlight w:val="none"/>
        </w:rPr>
        <w:t xml:space="preserve">名称（加盖CA电子公章）：</w:t>
      </w:r>
      <w:r>
        <w:rPr>
          <w:rFonts w:ascii="宋体" w:hAnsi="宋体" w:eastAsia="宋体" w:cs="宋体"/>
          <w:color w:val="auto"/>
          <w:sz w:val="21"/>
          <w:highlight w:val="none"/>
          <w:u w:val="single"/>
        </w:rPr>
        <w:t xml:space="preserve">        </w:t>
      </w:r>
      <w:r/>
    </w:p>
    <w:p>
      <w:pPr>
        <w:ind w:left="0" w:right="1800" w:firstLine="0"/>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numPr>
          <w:ilvl w:val="0"/>
          <w:numId w:val="0"/>
        </w:numPr>
        <w:jc w:val="center"/>
        <w:widowControl/>
        <w:rPr>
          <w:rFonts w:hint="eastAsia" w:ascii="宋体" w:hAnsi="宋体" w:cs="宋体"/>
          <w:b/>
          <w:sz w:val="32"/>
          <w:szCs w:val="32"/>
          <w:highlight w:val="none"/>
          <w:lang w:val="zh-CN"/>
        </w:rPr>
      </w:pPr>
      <w:r>
        <w:rPr>
          <w:rFonts w:hint="eastAsia" w:ascii="宋体" w:hAnsi="宋体" w:cs="宋体"/>
          <w:b/>
          <w:sz w:val="32"/>
          <w:szCs w:val="32"/>
          <w:highlight w:val="none"/>
          <w:lang w:val="en-US" w:eastAsia="zh-CN"/>
        </w:rPr>
        <w:t xml:space="preserve">十五、养护</w:t>
      </w:r>
      <w:r>
        <w:rPr>
          <w:rFonts w:hint="eastAsia" w:ascii="宋体" w:hAnsi="宋体" w:cs="宋体"/>
          <w:b/>
          <w:sz w:val="32"/>
          <w:szCs w:val="32"/>
          <w:highlight w:val="none"/>
          <w:lang w:val="zh-CN"/>
        </w:rPr>
        <w:t xml:space="preserve">设备一览表</w:t>
      </w:r>
      <w:r/>
    </w:p>
    <w:tbl>
      <w:tblPr>
        <w:tblStyle w:val="1056"/>
        <w:tblW w:w="75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9"/>
        <w:gridCol w:w="1085"/>
        <w:gridCol w:w="760"/>
        <w:gridCol w:w="671"/>
        <w:gridCol w:w="737"/>
        <w:gridCol w:w="1838"/>
        <w:gridCol w:w="1770"/>
      </w:tblGrid>
      <w:tr>
        <w:trPr>
          <w:trHeight w:val="884"/>
        </w:trPr>
        <w:tc>
          <w:tcPr>
            <w:tcW w:w="669" w:type="dxa"/>
            <w:vAlign w:val="top"/>
            <w:textDirection w:val="lrTb"/>
            <w:noWrap w:val="false"/>
          </w:tcPr>
          <w:p>
            <w:pPr>
              <w:spacing w:line="322" w:lineRule="auto"/>
              <w:rPr>
                <w:rFonts w:ascii="Arial"/>
                <w:sz w:val="21"/>
                <w:highlight w:val="none"/>
              </w:rPr>
            </w:pPr>
            <w:r>
              <w:rPr>
                <w:rFonts w:ascii="Arial"/>
                <w:sz w:val="21"/>
                <w:highlight w:val="none"/>
              </w:rPr>
            </w:r>
            <w:r/>
          </w:p>
          <w:p>
            <w:pPr>
              <w:pStyle w:val="1057"/>
              <w:ind w:left="110"/>
              <w:spacing w:before="68" w:line="220" w:lineRule="auto"/>
              <w:rPr>
                <w:highlight w:val="none"/>
              </w:rPr>
            </w:pPr>
            <w:r>
              <w:rPr>
                <w:spacing w:val="-2"/>
                <w:highlight w:val="none"/>
              </w:rPr>
              <w:t xml:space="preserve">序号</w:t>
            </w:r>
            <w:r/>
          </w:p>
        </w:tc>
        <w:tc>
          <w:tcPr>
            <w:tcW w:w="1085" w:type="dxa"/>
            <w:vAlign w:val="top"/>
            <w:textDirection w:val="lrTb"/>
            <w:noWrap w:val="false"/>
          </w:tcPr>
          <w:p>
            <w:pPr>
              <w:spacing w:line="322" w:lineRule="auto"/>
              <w:rPr>
                <w:rFonts w:ascii="Arial"/>
                <w:sz w:val="21"/>
                <w:highlight w:val="none"/>
              </w:rPr>
            </w:pPr>
            <w:r>
              <w:rPr>
                <w:rFonts w:ascii="Arial"/>
                <w:sz w:val="21"/>
                <w:highlight w:val="none"/>
              </w:rPr>
            </w:r>
            <w:r/>
          </w:p>
          <w:p>
            <w:pPr>
              <w:pStyle w:val="1057"/>
              <w:ind w:left="125"/>
              <w:spacing w:before="68" w:line="220" w:lineRule="auto"/>
              <w:rPr>
                <w:highlight w:val="none"/>
              </w:rPr>
            </w:pPr>
            <w:r>
              <w:rPr>
                <w:spacing w:val="-3"/>
                <w:highlight w:val="none"/>
              </w:rPr>
              <w:t xml:space="preserve">设备名称</w:t>
            </w:r>
            <w:r/>
          </w:p>
        </w:tc>
        <w:tc>
          <w:tcPr>
            <w:tcW w:w="760" w:type="dxa"/>
            <w:vAlign w:val="top"/>
            <w:textDirection w:val="lrTb"/>
            <w:noWrap w:val="false"/>
          </w:tcPr>
          <w:p>
            <w:pPr>
              <w:pStyle w:val="1057"/>
              <w:ind w:left="174"/>
              <w:spacing w:before="172" w:line="220" w:lineRule="auto"/>
              <w:rPr>
                <w:highlight w:val="none"/>
              </w:rPr>
            </w:pPr>
            <w:r>
              <w:rPr>
                <w:spacing w:val="-4"/>
                <w:highlight w:val="none"/>
              </w:rPr>
              <w:t xml:space="preserve">型号</w:t>
            </w:r>
            <w:r/>
          </w:p>
          <w:p>
            <w:pPr>
              <w:pStyle w:val="1057"/>
              <w:ind w:left="171"/>
              <w:spacing w:before="189" w:line="219" w:lineRule="auto"/>
              <w:rPr>
                <w:highlight w:val="none"/>
              </w:rPr>
            </w:pPr>
            <w:r>
              <w:rPr>
                <w:spacing w:val="-3"/>
                <w:highlight w:val="none"/>
              </w:rPr>
              <w:t xml:space="preserve">规格</w:t>
            </w:r>
            <w:r/>
          </w:p>
        </w:tc>
        <w:tc>
          <w:tcPr>
            <w:tcW w:w="671" w:type="dxa"/>
            <w:vAlign w:val="top"/>
            <w:textDirection w:val="lrTb"/>
            <w:noWrap w:val="false"/>
          </w:tcPr>
          <w:p>
            <w:pPr>
              <w:pStyle w:val="1057"/>
              <w:ind w:left="148"/>
              <w:spacing w:before="171" w:line="220" w:lineRule="auto"/>
              <w:rPr>
                <w:highlight w:val="none"/>
              </w:rPr>
            </w:pPr>
            <w:r>
              <w:rPr>
                <w:spacing w:val="-8"/>
                <w:highlight w:val="none"/>
              </w:rPr>
              <w:t xml:space="preserve">国别</w:t>
            </w:r>
            <w:r/>
          </w:p>
          <w:p>
            <w:pPr>
              <w:pStyle w:val="1057"/>
              <w:ind w:left="128"/>
              <w:spacing w:before="190" w:line="219" w:lineRule="auto"/>
              <w:rPr>
                <w:highlight w:val="none"/>
              </w:rPr>
            </w:pPr>
            <w:r>
              <w:rPr>
                <w:spacing w:val="-3"/>
                <w:highlight w:val="none"/>
              </w:rPr>
              <w:t xml:space="preserve">产地</w:t>
            </w:r>
            <w:r/>
          </w:p>
        </w:tc>
        <w:tc>
          <w:tcPr>
            <w:tcW w:w="737" w:type="dxa"/>
            <w:vAlign w:val="top"/>
            <w:textDirection w:val="lrTb"/>
            <w:noWrap w:val="false"/>
          </w:tcPr>
          <w:p>
            <w:pPr>
              <w:pStyle w:val="1057"/>
              <w:ind w:left="162"/>
              <w:spacing w:before="171" w:line="220" w:lineRule="auto"/>
              <w:rPr>
                <w:highlight w:val="none"/>
              </w:rPr>
            </w:pPr>
            <w:r>
              <w:rPr>
                <w:spacing w:val="-3"/>
                <w:highlight w:val="none"/>
              </w:rPr>
              <w:t xml:space="preserve">制造</w:t>
            </w:r>
            <w:r/>
          </w:p>
          <w:p>
            <w:pPr>
              <w:pStyle w:val="1057"/>
              <w:ind w:left="163"/>
              <w:spacing w:before="190" w:line="219" w:lineRule="auto"/>
              <w:rPr>
                <w:highlight w:val="none"/>
              </w:rPr>
            </w:pPr>
            <w:r>
              <w:rPr>
                <w:spacing w:val="-3"/>
                <w:highlight w:val="none"/>
              </w:rPr>
              <w:t xml:space="preserve">年份</w:t>
            </w:r>
            <w:r/>
          </w:p>
        </w:tc>
        <w:tc>
          <w:tcPr>
            <w:tcW w:w="1838" w:type="dxa"/>
            <w:vAlign w:val="top"/>
            <w:textDirection w:val="lrTb"/>
            <w:noWrap w:val="false"/>
          </w:tcPr>
          <w:p>
            <w:pPr>
              <w:pStyle w:val="1057"/>
              <w:ind w:left="230"/>
              <w:spacing w:before="191" w:line="230" w:lineRule="auto"/>
              <w:rPr>
                <w:rFonts w:hint="eastAsia" w:eastAsia="宋体"/>
                <w:highlight w:val="none"/>
                <w:lang w:eastAsia="zh-CN"/>
              </w:rPr>
            </w:pPr>
            <w:r>
              <w:rPr>
                <w:rFonts w:hint="eastAsia"/>
                <w:highlight w:val="none"/>
                <w:lang w:eastAsia="zh-CN"/>
              </w:rPr>
              <w:t xml:space="preserve">设备主要参数</w:t>
            </w:r>
            <w:r/>
          </w:p>
        </w:tc>
        <w:tc>
          <w:tcPr>
            <w:tcW w:w="1770" w:type="dxa"/>
            <w:vAlign w:val="top"/>
            <w:textDirection w:val="lrTb"/>
            <w:noWrap w:val="false"/>
          </w:tcPr>
          <w:p>
            <w:pPr>
              <w:spacing w:line="322" w:lineRule="auto"/>
              <w:rPr>
                <w:rFonts w:ascii="Arial"/>
                <w:sz w:val="21"/>
                <w:highlight w:val="none"/>
              </w:rPr>
            </w:pPr>
            <w:r>
              <w:rPr>
                <w:rFonts w:ascii="Arial"/>
                <w:sz w:val="21"/>
                <w:highlight w:val="none"/>
              </w:rPr>
            </w:r>
            <w:r/>
          </w:p>
          <w:p>
            <w:pPr>
              <w:pStyle w:val="1057"/>
              <w:ind w:left="146"/>
              <w:spacing w:before="68" w:line="220" w:lineRule="auto"/>
              <w:rPr>
                <w:rFonts w:hint="eastAsia" w:eastAsia="宋体"/>
                <w:highlight w:val="none"/>
                <w:lang w:eastAsia="zh-CN"/>
              </w:rPr>
            </w:pPr>
            <w:r>
              <w:rPr>
                <w:spacing w:val="-3"/>
                <w:highlight w:val="none"/>
              </w:rPr>
              <w:t xml:space="preserve">备注</w:t>
            </w:r>
            <w:r>
              <w:rPr>
                <w:rFonts w:hint="eastAsia"/>
                <w:spacing w:val="-3"/>
                <w:highlight w:val="none"/>
                <w:lang w:eastAsia="zh-CN"/>
              </w:rPr>
              <w:t xml:space="preserve">（自有或租赁）</w:t>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4"/>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bl>
    <w:p>
      <w:pPr>
        <w:pStyle w:val="703"/>
        <w:rPr>
          <w:rFonts w:hint="eastAsia" w:ascii="宋体" w:hAnsi="宋体" w:cs="宋体"/>
          <w:b/>
          <w:sz w:val="32"/>
          <w:szCs w:val="32"/>
          <w:highlight w:val="none"/>
          <w:lang w:val="zh-CN"/>
        </w:rPr>
      </w:pPr>
      <w:r>
        <w:rPr>
          <w:rFonts w:hint="eastAsia" w:ascii="宋体" w:hAnsi="宋体" w:cs="宋体"/>
          <w:b/>
          <w:sz w:val="32"/>
          <w:szCs w:val="32"/>
          <w:highlight w:val="none"/>
          <w:lang w:val="zh-CN"/>
        </w:rPr>
      </w:r>
      <w:r/>
    </w:p>
    <w:p>
      <w:pPr>
        <w:rPr>
          <w:rFonts w:hint="eastAsia" w:eastAsia="宋体"/>
          <w:highlight w:val="none"/>
          <w:lang w:val="zh-CN" w:eastAsia="zh-CN"/>
        </w:rPr>
      </w:pPr>
      <w:r>
        <w:rPr>
          <w:rFonts w:hint="eastAsia" w:ascii="宋体" w:hAnsi="宋体"/>
          <w:highlight w:val="none"/>
        </w:rPr>
        <w:t xml:space="preserve">投标人根据</w:t>
      </w:r>
      <w:r>
        <w:rPr>
          <w:rFonts w:hint="eastAsia" w:ascii="宋体" w:hAnsi="宋体"/>
          <w:highlight w:val="none"/>
          <w:lang w:eastAsia="zh-CN"/>
        </w:rPr>
        <w:t xml:space="preserve">采购需求及</w:t>
      </w:r>
      <w:r>
        <w:rPr>
          <w:rFonts w:hint="eastAsia" w:ascii="宋体" w:hAnsi="宋体"/>
          <w:highlight w:val="none"/>
        </w:rPr>
        <w:t xml:space="preserve">评分项自拟</w:t>
      </w:r>
      <w:r>
        <w:rPr>
          <w:rFonts w:hint="eastAsia" w:ascii="宋体" w:hAnsi="宋体"/>
          <w:highlight w:val="none"/>
          <w:lang w:eastAsia="zh-CN"/>
        </w:rPr>
        <w:t xml:space="preserve">。</w:t>
      </w:r>
      <w:r/>
    </w:p>
    <w:p>
      <w:pPr>
        <w:rPr>
          <w:b/>
          <w:bCs/>
          <w:sz w:val="32"/>
          <w:szCs w:val="32"/>
          <w:highlight w:val="none"/>
        </w:rPr>
      </w:pPr>
      <w:r>
        <w:rPr>
          <w:rFonts w:hint="eastAsia" w:ascii="宋体" w:hAnsi="宋体" w:cs="宋体"/>
          <w:b/>
          <w:sz w:val="32"/>
          <w:szCs w:val="32"/>
          <w:highlight w:val="none"/>
          <w:lang w:val="zh-CN"/>
        </w:rPr>
        <w:br w:type="page" w:clear="all"/>
      </w:r>
      <w:r/>
    </w:p>
    <w:p>
      <w:pPr>
        <w:jc w:val="center"/>
        <w:widowControl/>
        <w:rPr>
          <w:b/>
          <w:bCs/>
          <w:color w:val="auto"/>
          <w:sz w:val="32"/>
          <w:szCs w:val="32"/>
          <w:highlight w:val="none"/>
        </w:rPr>
      </w:pPr>
      <w:r>
        <w:rPr>
          <w:rFonts w:hint="eastAsia" w:ascii="宋体" w:hAnsi="宋体" w:cs="宋体"/>
          <w:b/>
          <w:color w:val="auto"/>
          <w:sz w:val="32"/>
          <w:szCs w:val="32"/>
          <w:highlight w:val="none"/>
          <w:lang w:val="en-US" w:eastAsia="zh-CN"/>
        </w:rPr>
        <w:t xml:space="preserve">十六、</w:t>
      </w:r>
      <w:r>
        <w:rPr>
          <w:rFonts w:hint="eastAsia" w:ascii="宋体" w:hAnsi="宋体" w:cs="宋体"/>
          <w:b/>
          <w:color w:val="auto"/>
          <w:sz w:val="32"/>
          <w:szCs w:val="32"/>
          <w:highlight w:val="none"/>
          <w:lang w:val="zh-CN"/>
        </w:rPr>
        <w:t xml:space="preserve">供应商认为应提供的其他材料</w:t>
      </w:r>
      <w:r/>
    </w:p>
    <w:p>
      <w:pPr>
        <w:rPr>
          <w:b/>
          <w:bCs/>
          <w:color w:val="auto"/>
          <w:sz w:val="32"/>
          <w:szCs w:val="32"/>
          <w:highlight w:val="none"/>
        </w:rPr>
      </w:pPr>
      <w:r>
        <w:rPr>
          <w:b/>
          <w:bCs/>
          <w:color w:val="auto"/>
          <w:sz w:val="32"/>
          <w:szCs w:val="32"/>
          <w:highlight w:val="none"/>
        </w:rPr>
      </w:r>
      <w:r/>
    </w:p>
    <w:p>
      <w:pPr>
        <w:ind w:right="840" w:firstLine="5760"/>
        <w:spacing w:line="400" w:lineRule="exact"/>
        <w:rPr>
          <w:color w:val="auto"/>
          <w:highlight w:val="none"/>
        </w:rPr>
      </w:pPr>
      <w:r>
        <w:rPr>
          <w:color w:val="auto"/>
          <w:highlight w:val="none"/>
        </w:rPr>
      </w:r>
      <w:r/>
    </w:p>
    <w:p>
      <w:pPr>
        <w:pStyle w:val="1053"/>
        <w:ind w:firstLine="480"/>
        <w:rPr>
          <w:color w:val="auto"/>
          <w:highlight w:val="none"/>
          <w:lang w:val="zh-CN"/>
        </w:rPr>
      </w:pPr>
      <w:r>
        <w:rPr>
          <w:color w:val="auto"/>
          <w:highlight w:val="none"/>
          <w:lang w:val="zh-CN"/>
        </w:rPr>
      </w:r>
      <w:r/>
    </w:p>
    <w:p>
      <w:pPr>
        <w:ind w:firstLine="482"/>
        <w:spacing w:line="360" w:lineRule="auto"/>
        <w:rPr>
          <w:rFonts w:ascii="仿宋" w:hAnsi="仿宋" w:eastAsia="仿宋" w:cs="仿宋"/>
          <w:b/>
          <w:color w:val="auto"/>
          <w:highlight w:val="none"/>
          <w:lang w:val="zh-CN"/>
        </w:rPr>
      </w:pPr>
      <w:r>
        <w:rPr>
          <w:rFonts w:ascii="仿宋" w:hAnsi="仿宋" w:eastAsia="仿宋" w:cs="仿宋"/>
          <w:b/>
          <w:color w:val="auto"/>
          <w:highlight w:val="none"/>
          <w:lang w:val="zh-CN"/>
        </w:rPr>
      </w:r>
      <w:r/>
    </w:p>
    <w:p>
      <w:pPr>
        <w:jc w:val="left"/>
        <w:spacing w:line="360" w:lineRule="auto"/>
        <w:rPr>
          <w:rFonts w:ascii="宋体" w:hAnsi="宋体" w:cs="宋体"/>
          <w:bCs/>
          <w:color w:val="auto"/>
          <w:szCs w:val="21"/>
          <w:highlight w:val="none"/>
        </w:rPr>
      </w:pPr>
      <w:r>
        <w:rPr>
          <w:rFonts w:ascii="宋体" w:hAnsi="宋体" w:cs="宋体"/>
          <w:bCs/>
          <w:color w:val="auto"/>
          <w:szCs w:val="21"/>
          <w:highlight w:val="none"/>
        </w:rPr>
      </w:r>
      <w:r/>
    </w:p>
    <w:sectPr>
      <w:headerReference w:type="default" r:id="rId9"/>
      <w:footerReference w:type="default" r:id="rId10"/>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仿宋">
    <w:panose1 w:val="02010609060101010101"/>
  </w:font>
  <w:font w:name="Arial Unicode MS">
    <w:panose1 w:val="020B0604020202020204"/>
  </w:font>
  <w:font w:name="Symbol">
    <w:panose1 w:val="05050102010706020507"/>
  </w:font>
  <w:font w:name="Wingdings">
    <w:panose1 w:val="05000000000000000000"/>
  </w:font>
  <w:font w:name="Courier New">
    <w:panose1 w:val="02070309020205020404"/>
  </w:font>
  <w:font w:name="方正仿宋简体">
    <w:panose1 w:val="020B0503020202020204"/>
  </w:font>
  <w:font w:name="Tahoma">
    <w:panose1 w:val="020B0604030504040204"/>
  </w:font>
  <w:font w:name="Segoe UI">
    <w:panose1 w:val="020B0502040204020203"/>
  </w:font>
  <w:font w:name="华文细黑">
    <w:panose1 w:val="02010600040101010101"/>
  </w:font>
  <w:font w:name="KNLe">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
    <w:panose1 w:val="020B0606020202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w:rPr>
        <w:rFonts w:hint="eastAsia"/>
      </w:rPr>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9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15"/>
      <w:isLgl/>
      <w:suff w:val="tab"/>
      <w:lvlText w:val="%1.%2"/>
      <w:lvlJc w:val="left"/>
      <w:pPr>
        <w:ind w:left="425" w:hanging="425"/>
      </w:pPr>
      <w:rPr>
        <w:rFonts w:hint="eastAsia" w:ascii="Arial Unicode MS" w:hAnsi="Arial Unicode MS" w:eastAsia="微软雅黑"/>
        <w:b/>
        <w:i w:val="0"/>
      </w:rPr>
    </w:lvl>
    <w:lvl w:ilvl="2">
      <w:start w:val="1"/>
      <w:numFmt w:val="decimal"/>
      <w:pStyle w:val="102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347" w:hanging="1110"/>
      </w:pPr>
      <w:rPr>
        <w:rFonts w:hint="eastAsia" w:ascii="方正仿宋简体" w:hAnsi="Times New Roman" w:eastAsia="方正仿宋简体"/>
      </w:rPr>
    </w:lvl>
    <w:lvl w:ilvl="1">
      <w:start w:val="1"/>
      <w:numFmt w:val="lowerLetter"/>
      <w:isLgl w:val="false"/>
      <w:suff w:val="tab"/>
      <w:lvlText w:val="%2)"/>
      <w:lvlJc w:val="left"/>
      <w:pPr>
        <w:ind w:left="-295" w:hanging="420"/>
      </w:pPr>
    </w:lvl>
    <w:lvl w:ilvl="2">
      <w:start w:val="1"/>
      <w:numFmt w:val="lowerRoman"/>
      <w:isLgl w:val="false"/>
      <w:suff w:val="tab"/>
      <w:lvlText w:val="%3."/>
      <w:lvlJc w:val="right"/>
      <w:pPr>
        <w:ind w:left="125" w:hanging="420"/>
      </w:pPr>
    </w:lvl>
    <w:lvl w:ilvl="3">
      <w:start w:val="1"/>
      <w:numFmt w:val="decimal"/>
      <w:isLgl w:val="false"/>
      <w:suff w:val="tab"/>
      <w:lvlText w:val="%4."/>
      <w:lvlJc w:val="left"/>
      <w:pPr>
        <w:ind w:left="545" w:hanging="420"/>
      </w:pPr>
    </w:lvl>
    <w:lvl w:ilvl="4">
      <w:start w:val="1"/>
      <w:numFmt w:val="lowerLetter"/>
      <w:isLgl w:val="false"/>
      <w:suff w:val="tab"/>
      <w:lvlText w:val="%5)"/>
      <w:lvlJc w:val="left"/>
      <w:pPr>
        <w:ind w:left="965" w:hanging="420"/>
      </w:pPr>
    </w:lvl>
    <w:lvl w:ilvl="5">
      <w:start w:val="1"/>
      <w:numFmt w:val="lowerRoman"/>
      <w:isLgl w:val="false"/>
      <w:suff w:val="tab"/>
      <w:lvlText w:val="%6."/>
      <w:lvlJc w:val="right"/>
      <w:pPr>
        <w:ind w:left="1385" w:hanging="420"/>
      </w:pPr>
    </w:lvl>
    <w:lvl w:ilvl="6">
      <w:start w:val="1"/>
      <w:numFmt w:val="decimal"/>
      <w:isLgl w:val="false"/>
      <w:suff w:val="tab"/>
      <w:lvlText w:val="%7."/>
      <w:lvlJc w:val="left"/>
      <w:pPr>
        <w:ind w:left="1805" w:hanging="420"/>
      </w:pPr>
    </w:lvl>
    <w:lvl w:ilvl="7">
      <w:start w:val="1"/>
      <w:numFmt w:val="lowerLetter"/>
      <w:isLgl w:val="false"/>
      <w:suff w:val="tab"/>
      <w:lvlText w:val="%8)"/>
      <w:lvlJc w:val="left"/>
      <w:pPr>
        <w:ind w:left="2225" w:hanging="420"/>
      </w:pPr>
    </w:lvl>
    <w:lvl w:ilvl="8">
      <w:start w:val="1"/>
      <w:numFmt w:val="lowerRoman"/>
      <w:isLgl w:val="false"/>
      <w:suff w:val="tab"/>
      <w:lvlText w:val="%9."/>
      <w:lvlJc w:val="right"/>
      <w:pPr>
        <w:ind w:left="2645" w:hanging="420"/>
      </w:pPr>
    </w:lvl>
  </w:abstractNum>
  <w:abstractNum w:abstractNumId="4">
    <w:multiLevelType w:val="hybridMultilevel"/>
    <w:lvl w:ilvl="0">
      <w:start w:val="1"/>
      <w:numFmt w:val="chineseCountingThousand"/>
      <w:pStyle w:val="685"/>
      <w:isLgl w:val="false"/>
      <w:suff w:val="nothing"/>
      <w:lvlText w:val="第%1章"/>
      <w:lvlJc w:val="left"/>
      <w:pPr>
        <w:ind w:left="0" w:firstLine="0"/>
      </w:pPr>
    </w:lvl>
    <w:lvl w:ilvl="1">
      <w:start w:val="1"/>
      <w:numFmt w:val="none"/>
      <w:pStyle w:val="686"/>
      <w:isLgl w:val="false"/>
      <w:suff w:val="nothing"/>
      <w:lvlText w:val=""/>
      <w:lvlJc w:val="left"/>
      <w:pPr>
        <w:ind w:left="0" w:firstLine="0"/>
      </w:pPr>
    </w:lvl>
    <w:lvl w:ilvl="2">
      <w:start w:val="1"/>
      <w:numFmt w:val="none"/>
      <w:pStyle w:val="687"/>
      <w:isLgl w:val="false"/>
      <w:suff w:val="nothing"/>
      <w:lvlText w:val=""/>
      <w:lvlJc w:val="left"/>
      <w:pPr>
        <w:ind w:left="0" w:firstLine="0"/>
      </w:pPr>
    </w:lvl>
    <w:lvl w:ilvl="3">
      <w:start w:val="1"/>
      <w:numFmt w:val="none"/>
      <w:pStyle w:val="688"/>
      <w:isLgl w:val="false"/>
      <w:suff w:val="nothing"/>
      <w:lvlText w:val=""/>
      <w:lvlJc w:val="left"/>
      <w:pPr>
        <w:ind w:left="0" w:firstLine="0"/>
      </w:pPr>
    </w:lvl>
    <w:lvl w:ilvl="4">
      <w:start w:val="1"/>
      <w:numFmt w:val="none"/>
      <w:pStyle w:val="689"/>
      <w:isLgl w:val="false"/>
      <w:suff w:val="nothing"/>
      <w:lvlText w:val=""/>
      <w:lvlJc w:val="left"/>
      <w:pPr>
        <w:ind w:left="0" w:firstLine="0"/>
      </w:pPr>
    </w:lvl>
    <w:lvl w:ilvl="5">
      <w:start w:val="1"/>
      <w:numFmt w:val="none"/>
      <w:pStyle w:val="690"/>
      <w:isLgl w:val="false"/>
      <w:suff w:val="nothing"/>
      <w:lvlText w:val=""/>
      <w:lvlJc w:val="left"/>
      <w:pPr>
        <w:ind w:left="0" w:firstLine="0"/>
      </w:pPr>
    </w:lvl>
    <w:lvl w:ilvl="6">
      <w:start w:val="1"/>
      <w:numFmt w:val="none"/>
      <w:pStyle w:val="691"/>
      <w:isLgl w:val="false"/>
      <w:suff w:val="nothing"/>
      <w:lvlText w:val=""/>
      <w:lvlJc w:val="left"/>
      <w:pPr>
        <w:ind w:left="0" w:firstLine="0"/>
      </w:pPr>
    </w:lvl>
    <w:lvl w:ilvl="7">
      <w:start w:val="1"/>
      <w:numFmt w:val="none"/>
      <w:pStyle w:val="692"/>
      <w:isLgl w:val="false"/>
      <w:suff w:val="nothing"/>
      <w:lvlText w:val=""/>
      <w:lvlJc w:val="left"/>
      <w:pPr>
        <w:ind w:left="0" w:firstLine="0"/>
      </w:pPr>
    </w:lvl>
    <w:lvl w:ilvl="8">
      <w:start w:val="1"/>
      <w:numFmt w:val="none"/>
      <w:pStyle w:val="693"/>
      <w:isLgl w:val="false"/>
      <w:suff w:val="nothing"/>
      <w:lvlText w:val=""/>
      <w:lvlJc w:val="left"/>
      <w:pPr>
        <w:ind w:left="0" w:firstLine="0"/>
      </w:p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0"/>
  </w:num>
  <w:num w:numId="5">
    <w:abstractNumId w:val="8"/>
  </w:num>
  <w:num w:numId="6">
    <w:abstractNumId w:val="5"/>
  </w:num>
  <w:num w:numId="7">
    <w:abstractNumId w:val="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4"/>
    </w:rPr>
  </w:style>
  <w:style w:type="paragraph" w:styleId="685">
    <w:name w:val="Heading 1"/>
    <w:basedOn w:val="684"/>
    <w:next w:val="684"/>
    <w:link w:val="905"/>
    <w:uiPriority w:val="0"/>
    <w:qFormat/>
    <w:pPr>
      <w:numPr>
        <w:ilvl w:val="0"/>
        <w:numId w:val="1"/>
      </w:numPr>
      <w:jc w:val="center"/>
      <w:keepLines/>
      <w:keepNext/>
      <w:spacing w:before="340" w:after="330" w:line="578" w:lineRule="auto"/>
      <w:outlineLvl w:val="0"/>
    </w:pPr>
    <w:rPr>
      <w:b/>
      <w:bCs/>
      <w:sz w:val="32"/>
      <w:szCs w:val="44"/>
    </w:rPr>
  </w:style>
  <w:style w:type="paragraph" w:styleId="686">
    <w:name w:val="Heading 2"/>
    <w:basedOn w:val="684"/>
    <w:next w:val="684"/>
    <w:link w:val="91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87">
    <w:name w:val="Heading 3"/>
    <w:basedOn w:val="684"/>
    <w:next w:val="684"/>
    <w:link w:val="950"/>
    <w:uiPriority w:val="0"/>
    <w:qFormat/>
    <w:pPr>
      <w:numPr>
        <w:ilvl w:val="2"/>
        <w:numId w:val="1"/>
      </w:numPr>
      <w:keepLines/>
      <w:keepNext/>
      <w:spacing w:before="260" w:after="260" w:line="416" w:lineRule="auto"/>
      <w:outlineLvl w:val="2"/>
    </w:pPr>
    <w:rPr>
      <w:b/>
      <w:bCs/>
      <w:sz w:val="32"/>
      <w:szCs w:val="32"/>
    </w:rPr>
  </w:style>
  <w:style w:type="paragraph" w:styleId="688">
    <w:name w:val="Heading 4"/>
    <w:basedOn w:val="684"/>
    <w:next w:val="684"/>
    <w:link w:val="98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89">
    <w:name w:val="Heading 5"/>
    <w:basedOn w:val="684"/>
    <w:next w:val="684"/>
    <w:link w:val="940"/>
    <w:uiPriority w:val="0"/>
    <w:qFormat/>
    <w:pPr>
      <w:numPr>
        <w:ilvl w:val="4"/>
        <w:numId w:val="1"/>
      </w:numPr>
      <w:keepLines/>
      <w:keepNext/>
      <w:spacing w:before="280" w:after="290" w:line="376" w:lineRule="auto"/>
      <w:outlineLvl w:val="4"/>
    </w:pPr>
    <w:rPr>
      <w:b/>
      <w:bCs/>
      <w:sz w:val="28"/>
      <w:szCs w:val="28"/>
    </w:rPr>
  </w:style>
  <w:style w:type="paragraph" w:styleId="690">
    <w:name w:val="Heading 6"/>
    <w:basedOn w:val="684"/>
    <w:next w:val="684"/>
    <w:link w:val="926"/>
    <w:uiPriority w:val="0"/>
    <w:qFormat/>
    <w:pPr>
      <w:numPr>
        <w:ilvl w:val="5"/>
        <w:numId w:val="1"/>
      </w:numPr>
      <w:keepLines/>
      <w:keepNext/>
      <w:spacing w:before="240" w:after="64" w:line="320" w:lineRule="auto"/>
      <w:outlineLvl w:val="5"/>
    </w:pPr>
    <w:rPr>
      <w:rFonts w:ascii="Cambria" w:hAnsi="Cambria"/>
      <w:b/>
      <w:bCs/>
      <w:sz w:val="24"/>
    </w:rPr>
  </w:style>
  <w:style w:type="paragraph" w:styleId="691">
    <w:name w:val="Heading 7"/>
    <w:basedOn w:val="684"/>
    <w:next w:val="684"/>
    <w:link w:val="981"/>
    <w:uiPriority w:val="0"/>
    <w:qFormat/>
    <w:pPr>
      <w:numPr>
        <w:ilvl w:val="6"/>
        <w:numId w:val="1"/>
      </w:numPr>
      <w:keepLines/>
      <w:keepNext/>
      <w:spacing w:before="240" w:after="64" w:line="320" w:lineRule="auto"/>
      <w:outlineLvl w:val="6"/>
    </w:pPr>
    <w:rPr>
      <w:b/>
      <w:bCs/>
      <w:sz w:val="24"/>
    </w:rPr>
  </w:style>
  <w:style w:type="paragraph" w:styleId="692">
    <w:name w:val="Heading 8"/>
    <w:basedOn w:val="684"/>
    <w:next w:val="684"/>
    <w:link w:val="966"/>
    <w:uiPriority w:val="0"/>
    <w:qFormat/>
    <w:pPr>
      <w:numPr>
        <w:ilvl w:val="7"/>
        <w:numId w:val="1"/>
      </w:numPr>
      <w:keepLines/>
      <w:keepNext/>
      <w:spacing w:before="240" w:after="64" w:line="320" w:lineRule="auto"/>
      <w:outlineLvl w:val="7"/>
    </w:pPr>
    <w:rPr>
      <w:rFonts w:ascii="Cambria" w:hAnsi="Cambria"/>
      <w:sz w:val="24"/>
    </w:rPr>
  </w:style>
  <w:style w:type="paragraph" w:styleId="693">
    <w:name w:val="Heading 9"/>
    <w:basedOn w:val="684"/>
    <w:next w:val="684"/>
    <w:link w:val="944"/>
    <w:uiPriority w:val="0"/>
    <w:qFormat/>
    <w:pPr>
      <w:numPr>
        <w:ilvl w:val="8"/>
        <w:numId w:val="1"/>
      </w:numPr>
      <w:keepLines/>
      <w:keepNext/>
      <w:spacing w:before="240" w:after="64" w:line="320" w:lineRule="auto"/>
      <w:outlineLvl w:val="8"/>
    </w:pPr>
    <w:rPr>
      <w:rFonts w:ascii="Cambria" w:hAnsi="Cambria"/>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List 3"/>
    <w:basedOn w:val="684"/>
    <w:uiPriority w:val="99"/>
    <w:unhideWhenUsed/>
    <w:qFormat/>
    <w:pPr>
      <w:ind w:left="1260" w:hanging="420"/>
      <w:spacing w:before="100" w:beforeAutospacing="1" w:after="100" w:afterAutospacing="1"/>
    </w:pPr>
    <w:rPr>
      <w:szCs w:val="21"/>
    </w:rPr>
  </w:style>
  <w:style w:type="paragraph" w:styleId="697">
    <w:name w:val="toc 7"/>
    <w:basedOn w:val="684"/>
    <w:next w:val="684"/>
    <w:uiPriority w:val="39"/>
    <w:unhideWhenUsed/>
    <w:qFormat/>
    <w:pPr>
      <w:ind w:left="2520"/>
    </w:pPr>
    <w:rPr>
      <w:rFonts w:ascii="Calibri" w:hAnsi="Calibri"/>
      <w:szCs w:val="22"/>
    </w:rPr>
  </w:style>
  <w:style w:type="paragraph" w:styleId="698">
    <w:name w:val="Normal Indent"/>
    <w:basedOn w:val="684"/>
    <w:next w:val="684"/>
    <w:uiPriority w:val="0"/>
    <w:qFormat/>
    <w:pPr>
      <w:ind w:firstLine="420"/>
    </w:pPr>
    <w:rPr>
      <w:b/>
      <w:sz w:val="24"/>
      <w:szCs w:val="20"/>
    </w:rPr>
  </w:style>
  <w:style w:type="paragraph" w:styleId="699">
    <w:name w:val="Caption"/>
    <w:basedOn w:val="684"/>
    <w:next w:val="684"/>
    <w:uiPriority w:val="0"/>
    <w:qFormat/>
    <w:rPr>
      <w:rFonts w:ascii="Cambria" w:hAnsi="Cambria" w:eastAsia="黑体"/>
      <w:sz w:val="20"/>
      <w:szCs w:val="22"/>
    </w:rPr>
  </w:style>
  <w:style w:type="paragraph" w:styleId="700">
    <w:name w:val="Document Map"/>
    <w:basedOn w:val="684"/>
    <w:link w:val="934"/>
    <w:uiPriority w:val="0"/>
    <w:qFormat/>
    <w:rPr>
      <w:rFonts w:ascii="宋体"/>
      <w:sz w:val="18"/>
      <w:szCs w:val="18"/>
    </w:rPr>
  </w:style>
  <w:style w:type="paragraph" w:styleId="701">
    <w:name w:val="annotation text"/>
    <w:basedOn w:val="684"/>
    <w:link w:val="958"/>
    <w:uiPriority w:val="99"/>
    <w:qFormat/>
    <w:pPr>
      <w:jc w:val="left"/>
    </w:pPr>
  </w:style>
  <w:style w:type="paragraph" w:styleId="702">
    <w:name w:val="Body Text 3"/>
    <w:basedOn w:val="684"/>
    <w:link w:val="977"/>
    <w:uiPriority w:val="0"/>
    <w:qFormat/>
    <w:rPr>
      <w:rFonts w:ascii="宋体"/>
      <w:sz w:val="24"/>
      <w:szCs w:val="20"/>
    </w:rPr>
  </w:style>
  <w:style w:type="paragraph" w:styleId="703">
    <w:name w:val="Body Text"/>
    <w:basedOn w:val="684"/>
    <w:next w:val="684"/>
    <w:link w:val="965"/>
    <w:uiPriority w:val="0"/>
    <w:qFormat/>
    <w:pPr>
      <w:jc w:val="center"/>
    </w:pPr>
    <w:rPr>
      <w:rFonts w:eastAsia="幼圆"/>
      <w:b/>
      <w:bCs/>
      <w:sz w:val="44"/>
    </w:rPr>
  </w:style>
  <w:style w:type="paragraph" w:styleId="704">
    <w:name w:val="Body Text Indent"/>
    <w:basedOn w:val="684"/>
    <w:link w:val="921"/>
    <w:uiPriority w:val="0"/>
    <w:qFormat/>
    <w:pPr>
      <w:ind w:left="420"/>
      <w:spacing w:after="120"/>
    </w:pPr>
  </w:style>
  <w:style w:type="paragraph" w:styleId="705">
    <w:name w:val="index 4"/>
    <w:basedOn w:val="684"/>
    <w:next w:val="684"/>
    <w:uiPriority w:val="0"/>
    <w:qFormat/>
    <w:pPr>
      <w:ind w:left="600"/>
    </w:pPr>
    <w:rPr>
      <w:rFonts w:ascii="Calibri" w:hAnsi="Calibri"/>
    </w:rPr>
  </w:style>
  <w:style w:type="paragraph" w:styleId="706">
    <w:name w:val="toc 5"/>
    <w:basedOn w:val="684"/>
    <w:next w:val="684"/>
    <w:uiPriority w:val="39"/>
    <w:unhideWhenUsed/>
    <w:qFormat/>
    <w:pPr>
      <w:ind w:left="1680"/>
    </w:pPr>
    <w:rPr>
      <w:rFonts w:ascii="Calibri" w:hAnsi="Calibri"/>
      <w:szCs w:val="22"/>
    </w:rPr>
  </w:style>
  <w:style w:type="paragraph" w:styleId="707">
    <w:name w:val="toc 3"/>
    <w:basedOn w:val="684"/>
    <w:next w:val="684"/>
    <w:uiPriority w:val="39"/>
    <w:qFormat/>
    <w:pPr>
      <w:ind w:left="840"/>
    </w:pPr>
    <w:rPr>
      <w:rFonts w:ascii="Calibri" w:hAnsi="Calibri"/>
      <w:szCs w:val="22"/>
    </w:rPr>
  </w:style>
  <w:style w:type="paragraph" w:styleId="708">
    <w:name w:val="Plain Text"/>
    <w:basedOn w:val="684"/>
    <w:link w:val="927"/>
    <w:uiPriority w:val="0"/>
    <w:qFormat/>
    <w:rPr>
      <w:rFonts w:ascii="Ari"/>
    </w:rPr>
  </w:style>
  <w:style w:type="paragraph" w:styleId="709">
    <w:name w:val="toc 8"/>
    <w:basedOn w:val="684"/>
    <w:next w:val="684"/>
    <w:uiPriority w:val="39"/>
    <w:unhideWhenUsed/>
    <w:qFormat/>
    <w:pPr>
      <w:ind w:left="2940"/>
    </w:pPr>
    <w:rPr>
      <w:rFonts w:ascii="Calibri" w:hAnsi="Calibri"/>
      <w:szCs w:val="22"/>
    </w:rPr>
  </w:style>
  <w:style w:type="paragraph" w:styleId="710">
    <w:name w:val="Date"/>
    <w:basedOn w:val="684"/>
    <w:next w:val="684"/>
    <w:link w:val="935"/>
    <w:uiPriority w:val="99"/>
    <w:unhideWhenUsed/>
    <w:qFormat/>
  </w:style>
  <w:style w:type="paragraph" w:styleId="711">
    <w:name w:val="Body Text Indent 2"/>
    <w:basedOn w:val="684"/>
    <w:link w:val="957"/>
    <w:uiPriority w:val="99"/>
    <w:unhideWhenUsed/>
    <w:qFormat/>
    <w:pPr>
      <w:ind w:firstLine="525"/>
      <w:spacing w:line="420" w:lineRule="exact"/>
    </w:pPr>
    <w:rPr>
      <w:rFonts w:ascii="宋体"/>
      <w:sz w:val="20"/>
      <w:szCs w:val="20"/>
    </w:rPr>
  </w:style>
  <w:style w:type="paragraph" w:styleId="712">
    <w:name w:val="endnote text"/>
    <w:basedOn w:val="684"/>
    <w:link w:val="902"/>
    <w:uiPriority w:val="99"/>
    <w:semiHidden/>
    <w:unhideWhenUsed/>
    <w:qFormat/>
    <w:pPr>
      <w:spacing w:after="0" w:line="240" w:lineRule="auto"/>
    </w:pPr>
    <w:rPr>
      <w:sz w:val="20"/>
    </w:rPr>
  </w:style>
  <w:style w:type="paragraph" w:styleId="713">
    <w:name w:val="Balloon Text"/>
    <w:basedOn w:val="684"/>
    <w:link w:val="980"/>
    <w:uiPriority w:val="0"/>
    <w:qFormat/>
    <w:rPr>
      <w:sz w:val="18"/>
      <w:szCs w:val="18"/>
    </w:rPr>
  </w:style>
  <w:style w:type="paragraph" w:styleId="714">
    <w:name w:val="Footer"/>
    <w:basedOn w:val="684"/>
    <w:link w:val="970"/>
    <w:uiPriority w:val="99"/>
    <w:qFormat/>
    <w:pPr>
      <w:jc w:val="left"/>
      <w:tabs>
        <w:tab w:val="center" w:pos="4153" w:leader="none"/>
        <w:tab w:val="right" w:pos="8306" w:leader="none"/>
      </w:tabs>
    </w:pPr>
    <w:rPr>
      <w:sz w:val="18"/>
      <w:szCs w:val="18"/>
    </w:rPr>
  </w:style>
  <w:style w:type="paragraph" w:styleId="715">
    <w:name w:val="Header"/>
    <w:basedOn w:val="684"/>
    <w:link w:val="925"/>
    <w:uiPriority w:val="99"/>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84"/>
    <w:next w:val="684"/>
    <w:uiPriority w:val="39"/>
    <w:qFormat/>
  </w:style>
  <w:style w:type="paragraph" w:styleId="717">
    <w:name w:val="toc 4"/>
    <w:basedOn w:val="684"/>
    <w:next w:val="684"/>
    <w:uiPriority w:val="39"/>
    <w:unhideWhenUsed/>
    <w:qFormat/>
    <w:pPr>
      <w:ind w:left="1260"/>
    </w:pPr>
    <w:rPr>
      <w:rFonts w:ascii="Calibri" w:hAnsi="Calibri"/>
      <w:szCs w:val="22"/>
    </w:rPr>
  </w:style>
  <w:style w:type="paragraph" w:styleId="718">
    <w:name w:val="index heading"/>
    <w:basedOn w:val="684"/>
    <w:next w:val="719"/>
    <w:uiPriority w:val="99"/>
    <w:unhideWhenUsed/>
    <w:qFormat/>
    <w:pPr>
      <w:tabs>
        <w:tab w:val="left" w:pos="240" w:leader="none"/>
      </w:tabs>
    </w:pPr>
  </w:style>
  <w:style w:type="paragraph" w:styleId="719">
    <w:name w:val="index 1"/>
    <w:basedOn w:val="684"/>
    <w:next w:val="684"/>
    <w:uiPriority w:val="0"/>
    <w:qFormat/>
    <w:pPr>
      <w:jc w:val="center"/>
      <w:spacing w:line="220" w:lineRule="exact"/>
    </w:pPr>
    <w:rPr>
      <w:rFonts w:ascii="仿宋_GB2312" w:hAnsi="Calibri" w:eastAsia="仿宋_GB2312"/>
      <w:szCs w:val="22"/>
    </w:rPr>
  </w:style>
  <w:style w:type="paragraph" w:styleId="720">
    <w:name w:val="Subtitle"/>
    <w:basedOn w:val="684"/>
    <w:next w:val="684"/>
    <w:link w:val="953"/>
    <w:uiPriority w:val="0"/>
    <w:qFormat/>
    <w:pPr>
      <w:jc w:val="center"/>
      <w:spacing w:before="240" w:after="60" w:line="312" w:lineRule="auto"/>
      <w:outlineLvl w:val="1"/>
    </w:pPr>
    <w:rPr>
      <w:rFonts w:ascii="Cambria" w:hAnsi="Cambria"/>
      <w:b/>
      <w:bCs/>
      <w:sz w:val="32"/>
      <w:szCs w:val="32"/>
    </w:rPr>
  </w:style>
  <w:style w:type="paragraph" w:styleId="721">
    <w:name w:val="footnote text"/>
    <w:basedOn w:val="684"/>
    <w:link w:val="901"/>
    <w:uiPriority w:val="99"/>
    <w:semiHidden/>
    <w:unhideWhenUsed/>
    <w:qFormat/>
    <w:pPr>
      <w:spacing w:after="40" w:line="240" w:lineRule="auto"/>
    </w:pPr>
    <w:rPr>
      <w:sz w:val="18"/>
    </w:rPr>
  </w:style>
  <w:style w:type="paragraph" w:styleId="722">
    <w:name w:val="toc 6"/>
    <w:basedOn w:val="684"/>
    <w:next w:val="684"/>
    <w:uiPriority w:val="39"/>
    <w:unhideWhenUsed/>
    <w:qFormat/>
    <w:pPr>
      <w:ind w:left="2100"/>
    </w:pPr>
    <w:rPr>
      <w:rFonts w:ascii="Calibri" w:hAnsi="Calibri"/>
      <w:szCs w:val="22"/>
    </w:rPr>
  </w:style>
  <w:style w:type="paragraph" w:styleId="723">
    <w:name w:val="Body Text Indent 3"/>
    <w:basedOn w:val="684"/>
    <w:link w:val="978"/>
    <w:uiPriority w:val="99"/>
    <w:qFormat/>
    <w:pPr>
      <w:ind w:left="420"/>
      <w:spacing w:after="120"/>
    </w:pPr>
    <w:rPr>
      <w:sz w:val="16"/>
      <w:szCs w:val="20"/>
    </w:rPr>
  </w:style>
  <w:style w:type="paragraph" w:styleId="724">
    <w:name w:val="table of figures"/>
    <w:basedOn w:val="684"/>
    <w:next w:val="684"/>
    <w:uiPriority w:val="99"/>
    <w:unhideWhenUsed/>
    <w:qFormat/>
    <w:pPr>
      <w:spacing w:after="0" w:afterAutospacing="0"/>
    </w:pPr>
  </w:style>
  <w:style w:type="paragraph" w:styleId="725">
    <w:name w:val="toc 2"/>
    <w:basedOn w:val="684"/>
    <w:next w:val="684"/>
    <w:uiPriority w:val="39"/>
    <w:qFormat/>
    <w:pPr>
      <w:ind w:left="420"/>
    </w:pPr>
    <w:rPr>
      <w:rFonts w:ascii="Calibri" w:hAnsi="Calibri"/>
      <w:szCs w:val="22"/>
    </w:rPr>
  </w:style>
  <w:style w:type="paragraph" w:styleId="726">
    <w:name w:val="toc 9"/>
    <w:basedOn w:val="684"/>
    <w:next w:val="684"/>
    <w:uiPriority w:val="39"/>
    <w:unhideWhenUsed/>
    <w:qFormat/>
    <w:pPr>
      <w:ind w:left="3360"/>
    </w:pPr>
    <w:rPr>
      <w:rFonts w:ascii="Calibri" w:hAnsi="Calibri"/>
      <w:szCs w:val="22"/>
    </w:rPr>
  </w:style>
  <w:style w:type="paragraph" w:styleId="727">
    <w:name w:val="HTML Preformatted"/>
    <w:basedOn w:val="68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28">
    <w:name w:val="Normal (Web)"/>
    <w:basedOn w:val="684"/>
    <w:uiPriority w:val="99"/>
    <w:qFormat/>
    <w:pPr>
      <w:jc w:val="left"/>
      <w:spacing w:before="100" w:beforeAutospacing="1" w:after="100" w:afterAutospacing="1"/>
      <w:widowControl/>
    </w:pPr>
    <w:rPr>
      <w:rFonts w:ascii="宋体" w:hAnsi="宋体" w:cs="宋体"/>
      <w:sz w:val="24"/>
    </w:rPr>
  </w:style>
  <w:style w:type="paragraph" w:styleId="729">
    <w:name w:val="Title"/>
    <w:basedOn w:val="684"/>
    <w:next w:val="684"/>
    <w:link w:val="930"/>
    <w:uiPriority w:val="0"/>
    <w:qFormat/>
    <w:pPr>
      <w:jc w:val="center"/>
      <w:spacing w:before="240" w:after="60" w:line="420" w:lineRule="atLeast"/>
      <w:outlineLvl w:val="0"/>
    </w:pPr>
    <w:rPr>
      <w:rFonts w:ascii="Arial" w:hAnsi="Arial"/>
      <w:b/>
      <w:sz w:val="32"/>
      <w:szCs w:val="20"/>
    </w:rPr>
  </w:style>
  <w:style w:type="paragraph" w:styleId="730">
    <w:name w:val="annotation subject"/>
    <w:basedOn w:val="701"/>
    <w:next w:val="701"/>
    <w:link w:val="968"/>
    <w:uiPriority w:val="0"/>
    <w:qFormat/>
    <w:rPr>
      <w:b/>
      <w:bCs/>
    </w:rPr>
  </w:style>
  <w:style w:type="paragraph" w:styleId="731">
    <w:name w:val="Body Text First Indent"/>
    <w:basedOn w:val="703"/>
    <w:next w:val="722"/>
    <w:uiPriority w:val="99"/>
    <w:unhideWhenUsed/>
    <w:qFormat/>
    <w:pPr>
      <w:ind w:firstLine="420"/>
      <w:jc w:val="both"/>
      <w:spacing w:after="120"/>
    </w:pPr>
    <w:rPr>
      <w:sz w:val="21"/>
    </w:rPr>
  </w:style>
  <w:style w:type="paragraph" w:styleId="732">
    <w:name w:val="Body Text First Indent 2"/>
    <w:basedOn w:val="704"/>
    <w:link w:val="1052"/>
    <w:uiPriority w:val="99"/>
    <w:semiHidden/>
    <w:unhideWhenUsed/>
    <w:qFormat/>
    <w:pPr>
      <w:ind w:firstLine="420"/>
    </w:pPr>
  </w:style>
  <w:style w:type="table" w:styleId="733">
    <w:name w:val="Table Grid"/>
    <w:basedOn w:val="69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uiPriority w:val="22"/>
    <w:qFormat/>
    <w:rPr>
      <w:rFonts w:cs="Times New Roman"/>
      <w:b/>
    </w:rPr>
  </w:style>
  <w:style w:type="character" w:styleId="735">
    <w:name w:val="endnote reference"/>
    <w:basedOn w:val="694"/>
    <w:uiPriority w:val="99"/>
    <w:semiHidden/>
    <w:unhideWhenUsed/>
    <w:qFormat/>
    <w:rPr>
      <w:vertAlign w:val="superscript"/>
    </w:rPr>
  </w:style>
  <w:style w:type="character" w:styleId="736">
    <w:name w:val="page number"/>
    <w:uiPriority w:val="0"/>
    <w:qFormat/>
    <w:rPr>
      <w:rFonts w:eastAsia="宋体"/>
      <w:b/>
      <w:spacing w:val="0"/>
      <w:sz w:val="24"/>
      <w:szCs w:val="24"/>
      <w:vertAlign w:val="baseline"/>
      <w:lang w:val="en-US" w:eastAsia="zh-CN" w:bidi="ar-SA"/>
    </w:rPr>
  </w:style>
  <w:style w:type="character" w:styleId="737">
    <w:name w:val="FollowedHyperlink"/>
    <w:uiPriority w:val="0"/>
    <w:qFormat/>
    <w:rPr>
      <w:color w:val="800080"/>
      <w:u w:val="single"/>
    </w:rPr>
  </w:style>
  <w:style w:type="character" w:styleId="738">
    <w:name w:val="Emphasis"/>
    <w:uiPriority w:val="0"/>
    <w:qFormat/>
    <w:rPr>
      <w:color w:val="cc0000"/>
    </w:rPr>
  </w:style>
  <w:style w:type="character" w:styleId="739">
    <w:name w:val="HTML Typewriter"/>
    <w:basedOn w:val="694"/>
    <w:uiPriority w:val="99"/>
    <w:semiHidden/>
    <w:unhideWhenUsed/>
    <w:qFormat/>
    <w:rPr>
      <w:rFonts w:hint="default" w:ascii="monospace" w:hAnsi="monospace" w:eastAsia="monospace" w:cs="monospace"/>
      <w:sz w:val="20"/>
    </w:rPr>
  </w:style>
  <w:style w:type="character" w:styleId="740">
    <w:name w:val="HTML Acronym"/>
    <w:basedOn w:val="694"/>
    <w:uiPriority w:val="99"/>
    <w:semiHidden/>
    <w:unhideWhenUsed/>
    <w:qFormat/>
  </w:style>
  <w:style w:type="character" w:styleId="741">
    <w:name w:val="Hyperlink"/>
    <w:uiPriority w:val="99"/>
    <w:qFormat/>
    <w:rPr>
      <w:color w:val="0000ff"/>
      <w:u w:val="single"/>
    </w:rPr>
  </w:style>
  <w:style w:type="character" w:styleId="742">
    <w:name w:val="HTML Code"/>
    <w:basedOn w:val="694"/>
    <w:uiPriority w:val="99"/>
    <w:semiHidden/>
    <w:unhideWhenUsed/>
    <w:qFormat/>
    <w:rPr>
      <w:rFonts w:hint="default" w:ascii="monospace" w:hAnsi="monospace" w:eastAsia="monospace" w:cs="monospace"/>
      <w:sz w:val="20"/>
    </w:rPr>
  </w:style>
  <w:style w:type="character" w:styleId="743">
    <w:name w:val="annotation reference"/>
    <w:uiPriority w:val="99"/>
    <w:qFormat/>
    <w:rPr>
      <w:sz w:val="21"/>
      <w:szCs w:val="21"/>
    </w:rPr>
  </w:style>
  <w:style w:type="character" w:styleId="744">
    <w:name w:val="HTML Cite"/>
    <w:uiPriority w:val="0"/>
    <w:qFormat/>
    <w:rPr>
      <w:color w:val="008000"/>
    </w:rPr>
  </w:style>
  <w:style w:type="character" w:styleId="745">
    <w:name w:val="footnote reference"/>
    <w:basedOn w:val="694"/>
    <w:uiPriority w:val="99"/>
    <w:unhideWhenUsed/>
    <w:qFormat/>
    <w:rPr>
      <w:vertAlign w:val="superscript"/>
    </w:rPr>
  </w:style>
  <w:style w:type="character" w:styleId="746">
    <w:name w:val="HTML Keyboard"/>
    <w:basedOn w:val="694"/>
    <w:uiPriority w:val="99"/>
    <w:semiHidden/>
    <w:unhideWhenUsed/>
    <w:qFormat/>
    <w:rPr>
      <w:rFonts w:ascii="monospace" w:hAnsi="monospace" w:eastAsia="monospace" w:cs="monospace"/>
      <w:sz w:val="20"/>
    </w:rPr>
  </w:style>
  <w:style w:type="character" w:styleId="747">
    <w:name w:val="HTML Sample"/>
    <w:basedOn w:val="694"/>
    <w:uiPriority w:val="99"/>
    <w:semiHidden/>
    <w:unhideWhenUsed/>
    <w:qFormat/>
    <w:rPr>
      <w:rFonts w:hint="default" w:ascii="monospace" w:hAnsi="monospace" w:eastAsia="monospace" w:cs="monospace"/>
    </w:rPr>
  </w:style>
  <w:style w:type="paragraph" w:styleId="748" w:customStyle="1">
    <w:name w:val="正文首行缩进 21"/>
    <w:basedOn w:val="749"/>
    <w:next w:val="684"/>
    <w:uiPriority w:val="0"/>
    <w:qFormat/>
    <w:pPr>
      <w:ind w:firstLine="420"/>
      <w:spacing w:before="100" w:beforeAutospacing="1"/>
    </w:pPr>
    <w:rPr>
      <w:rFonts w:ascii="宋体" w:hAnsi="宋体"/>
      <w:szCs w:val="21"/>
    </w:rPr>
  </w:style>
  <w:style w:type="paragraph" w:styleId="749" w:customStyle="1">
    <w:name w:val="正文文本缩进111"/>
    <w:basedOn w:val="684"/>
    <w:next w:val="750"/>
    <w:uiPriority w:val="0"/>
    <w:unhideWhenUsed/>
    <w:qFormat/>
    <w:pPr>
      <w:ind w:left="420"/>
      <w:spacing w:after="120"/>
    </w:pPr>
  </w:style>
  <w:style w:type="paragraph" w:styleId="750" w:customStyle="1">
    <w:name w:val="寄信人地址11"/>
    <w:basedOn w:val="684"/>
    <w:uiPriority w:val="0"/>
    <w:qFormat/>
    <w:rPr>
      <w:rFonts w:ascii="Arial" w:hAnsi="Arial"/>
      <w:szCs w:val="24"/>
    </w:rPr>
  </w:style>
  <w:style w:type="paragraph" w:styleId="751">
    <w:name w:val="List Paragraph"/>
    <w:basedOn w:val="684"/>
    <w:uiPriority w:val="99"/>
    <w:qFormat/>
    <w:pPr>
      <w:ind w:firstLine="420"/>
    </w:pPr>
  </w:style>
  <w:style w:type="paragraph" w:styleId="752" w:customStyle="1">
    <w:name w:val="正文文本11"/>
    <w:basedOn w:val="684"/>
    <w:next w:val="753"/>
    <w:uiPriority w:val="99"/>
    <w:qFormat/>
    <w:rPr>
      <w:sz w:val="20"/>
    </w:rPr>
  </w:style>
  <w:style w:type="paragraph" w:styleId="753" w:customStyle="1">
    <w:name w:val="一级条标题"/>
    <w:basedOn w:val="754"/>
    <w:next w:val="7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4" w:customStyle="1">
    <w:name w:val="章标题"/>
    <w:next w:val="684"/>
    <w:uiPriority w:val="0"/>
    <w:qFormat/>
    <w:pPr>
      <w:jc w:val="both"/>
      <w:spacing w:before="50" w:after="50"/>
      <w:outlineLvl w:val="1"/>
    </w:pPr>
    <w:rPr>
      <w:rFonts w:hint="default" w:ascii="Times New Roman" w:hAnsi="Times New Roman" w:eastAsia="黑体" w:cs="Times New Roman"/>
      <w:sz w:val="21"/>
      <w:lang w:val="en-US" w:eastAsia="zh-CN" w:bidi="ar-SA"/>
    </w:rPr>
  </w:style>
  <w:style w:type="paragraph" w:styleId="755" w:customStyle="1">
    <w:name w:val="段"/>
    <w:next w:val="684"/>
    <w:uiPriority w:val="0"/>
    <w:qFormat/>
    <w:pPr>
      <w:ind w:firstLine="200"/>
      <w:jc w:val="both"/>
    </w:pPr>
    <w:rPr>
      <w:rFonts w:hint="default" w:ascii="宋体" w:hAnsi="Times New Roman" w:eastAsia="宋体" w:cs="Times New Roman"/>
      <w:sz w:val="21"/>
      <w:lang w:val="en-US" w:eastAsia="zh-CN" w:bidi="ar-SA"/>
    </w:rPr>
  </w:style>
  <w:style w:type="paragraph" w:styleId="756" w:customStyle="1">
    <w:name w:val="标题 41"/>
    <w:basedOn w:val="684"/>
    <w:next w:val="684"/>
    <w:uiPriority w:val="0"/>
    <w:qFormat/>
    <w:pPr>
      <w:keepLines/>
      <w:keepNext/>
      <w:spacing w:before="280" w:after="290" w:line="372" w:lineRule="auto"/>
      <w:outlineLvl w:val="3"/>
    </w:pPr>
    <w:rPr>
      <w:rFonts w:ascii="Arial" w:hAnsi="Arial" w:eastAsia="黑体"/>
      <w:b/>
      <w:bCs/>
      <w:sz w:val="28"/>
      <w:szCs w:val="28"/>
    </w:rPr>
  </w:style>
  <w:style w:type="character" w:styleId="757" w:customStyle="1">
    <w:name w:val="Heading 1 Char"/>
    <w:basedOn w:val="694"/>
    <w:uiPriority w:val="9"/>
    <w:qFormat/>
    <w:rPr>
      <w:rFonts w:ascii="Arial" w:hAnsi="Arial" w:eastAsia="Arial" w:cs="Arial"/>
      <w:sz w:val="40"/>
      <w:szCs w:val="40"/>
    </w:rPr>
  </w:style>
  <w:style w:type="character" w:styleId="758" w:customStyle="1">
    <w:name w:val="Heading 2 Char"/>
    <w:basedOn w:val="694"/>
    <w:uiPriority w:val="9"/>
    <w:qFormat/>
    <w:rPr>
      <w:rFonts w:ascii="Arial" w:hAnsi="Arial" w:eastAsia="Arial" w:cs="Arial"/>
      <w:sz w:val="34"/>
    </w:rPr>
  </w:style>
  <w:style w:type="character" w:styleId="759" w:customStyle="1">
    <w:name w:val="Heading 3 Char"/>
    <w:basedOn w:val="694"/>
    <w:uiPriority w:val="9"/>
    <w:qFormat/>
    <w:rPr>
      <w:rFonts w:ascii="Arial" w:hAnsi="Arial" w:eastAsia="Arial" w:cs="Arial"/>
      <w:sz w:val="30"/>
      <w:szCs w:val="30"/>
    </w:rPr>
  </w:style>
  <w:style w:type="character" w:styleId="760" w:customStyle="1">
    <w:name w:val="Heading 4 Char"/>
    <w:basedOn w:val="694"/>
    <w:uiPriority w:val="9"/>
    <w:qFormat/>
    <w:rPr>
      <w:rFonts w:ascii="Arial" w:hAnsi="Arial" w:eastAsia="Arial" w:cs="Arial"/>
      <w:b/>
      <w:bCs/>
      <w:sz w:val="26"/>
      <w:szCs w:val="26"/>
    </w:rPr>
  </w:style>
  <w:style w:type="character" w:styleId="761" w:customStyle="1">
    <w:name w:val="Heading 5 Char"/>
    <w:basedOn w:val="694"/>
    <w:uiPriority w:val="9"/>
    <w:qFormat/>
    <w:rPr>
      <w:rFonts w:ascii="Arial" w:hAnsi="Arial" w:eastAsia="Arial" w:cs="Arial"/>
      <w:b/>
      <w:bCs/>
      <w:sz w:val="24"/>
      <w:szCs w:val="24"/>
    </w:rPr>
  </w:style>
  <w:style w:type="character" w:styleId="762" w:customStyle="1">
    <w:name w:val="Heading 6 Char"/>
    <w:basedOn w:val="694"/>
    <w:uiPriority w:val="9"/>
    <w:qFormat/>
    <w:rPr>
      <w:rFonts w:ascii="Arial" w:hAnsi="Arial" w:eastAsia="Arial" w:cs="Arial"/>
      <w:b/>
      <w:bCs/>
      <w:sz w:val="22"/>
      <w:szCs w:val="22"/>
    </w:rPr>
  </w:style>
  <w:style w:type="character" w:styleId="763" w:customStyle="1">
    <w:name w:val="Heading 7 Char"/>
    <w:basedOn w:val="694"/>
    <w:uiPriority w:val="9"/>
    <w:qFormat/>
    <w:rPr>
      <w:rFonts w:ascii="Arial" w:hAnsi="Arial" w:eastAsia="Arial" w:cs="Arial"/>
      <w:b/>
      <w:bCs/>
      <w:i/>
      <w:iCs/>
      <w:sz w:val="22"/>
      <w:szCs w:val="22"/>
    </w:rPr>
  </w:style>
  <w:style w:type="character" w:styleId="764" w:customStyle="1">
    <w:name w:val="Heading 8 Char"/>
    <w:basedOn w:val="694"/>
    <w:uiPriority w:val="9"/>
    <w:qFormat/>
    <w:rPr>
      <w:rFonts w:ascii="Arial" w:hAnsi="Arial" w:eastAsia="Arial" w:cs="Arial"/>
      <w:i/>
      <w:iCs/>
      <w:sz w:val="22"/>
      <w:szCs w:val="22"/>
    </w:rPr>
  </w:style>
  <w:style w:type="character" w:styleId="765" w:customStyle="1">
    <w:name w:val="Heading 9 Char"/>
    <w:basedOn w:val="694"/>
    <w:uiPriority w:val="9"/>
    <w:qFormat/>
    <w:rPr>
      <w:rFonts w:ascii="Arial" w:hAnsi="Arial" w:eastAsia="Arial" w:cs="Arial"/>
      <w:i/>
      <w:iCs/>
      <w:sz w:val="21"/>
      <w:szCs w:val="21"/>
    </w:r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basedOn w:val="694"/>
    <w:uiPriority w:val="10"/>
    <w:qFormat/>
    <w:rPr>
      <w:sz w:val="48"/>
      <w:szCs w:val="48"/>
    </w:rPr>
  </w:style>
  <w:style w:type="character" w:styleId="768" w:customStyle="1">
    <w:name w:val="Subtitle Char"/>
    <w:basedOn w:val="694"/>
    <w:uiPriority w:val="11"/>
    <w:qFormat/>
    <w:rPr>
      <w:sz w:val="24"/>
      <w:szCs w:val="24"/>
    </w:rPr>
  </w:style>
  <w:style w:type="paragraph" w:styleId="769">
    <w:name w:val="Quote"/>
    <w:basedOn w:val="684"/>
    <w:next w:val="684"/>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684"/>
    <w:next w:val="684"/>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basedOn w:val="694"/>
    <w:uiPriority w:val="99"/>
    <w:qFormat/>
  </w:style>
  <w:style w:type="character" w:styleId="774" w:customStyle="1">
    <w:name w:val="Footer Char"/>
    <w:basedOn w:val="694"/>
    <w:uiPriority w:val="99"/>
    <w:qFormat/>
  </w:style>
  <w:style w:type="character" w:styleId="775" w:customStyle="1">
    <w:name w:val="Caption Char"/>
    <w:uiPriority w:val="99"/>
    <w:qFormat/>
  </w:style>
  <w:style w:type="table" w:styleId="776" w:customStyle="1">
    <w:name w:val="Table Grid Light"/>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basedOn w:val="6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basedOn w:val="6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basedOn w:val="6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basedOn w:val="6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basedOn w:val="6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basedOn w:val="6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basedOn w:val="6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basedOn w:val="6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basedOn w:val="6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basedOn w:val="6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basedOn w:val="6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basedOn w:val="6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basedOn w:val="6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basedOn w:val="6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basedOn w:val="6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basedOn w:val="6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basedOn w:val="6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basedOn w:val="6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basedOn w:val="69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basedOn w:val="69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basedOn w:val="69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basedOn w:val="69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basedOn w:val="69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basedOn w:val="69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basedOn w:val="69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basedOn w:val="6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basedOn w:val="69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basedOn w:val="6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basedOn w:val="69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basedOn w:val="69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basedOn w:val="69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basedOn w:val="69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basedOn w:val="69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basedOn w:val="69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basedOn w:val="69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basedOn w:val="69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basedOn w:val="69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basedOn w:val="69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basedOn w:val="69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basedOn w:val="69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basedOn w:val="69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basedOn w:val="69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basedOn w:val="69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basedOn w:val="69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basedOn w:val="69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basedOn w:val="69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basedOn w:val="69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basedOn w:val="69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basedOn w:val="69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basedOn w:val="6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basedOn w:val="69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basedOn w:val="6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basedOn w:val="69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basedOn w:val="69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basedOn w:val="69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basedOn w:val="69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basedOn w:val="69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basedOn w:val="69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basedOn w:val="69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basedOn w:val="69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basedOn w:val="69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basedOn w:val="69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basedOn w:val="69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basedOn w:val="69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basedOn w:val="69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basedOn w:val="69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basedOn w:val="69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basedOn w:val="69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basedOn w:val="69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basedOn w:val="69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basedOn w:val="69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basedOn w:val="69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basedOn w:val="69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basedOn w:val="69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basedOn w:val="69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basedOn w:val="69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basedOn w:val="69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basedOn w:val="69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basedOn w:val="6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basedOn w:val="69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basedOn w:val="69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basedOn w:val="69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basedOn w:val="69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basedOn w:val="69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basedOn w:val="69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basedOn w:val="6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basedOn w:val="6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basedOn w:val="6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basedOn w:val="6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basedOn w:val="6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basedOn w:val="6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basedOn w:val="6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21"/>
    <w:uiPriority w:val="99"/>
    <w:qFormat/>
    <w:rPr>
      <w:sz w:val="18"/>
    </w:rPr>
  </w:style>
  <w:style w:type="character" w:styleId="902" w:customStyle="1">
    <w:name w:val="Endnote Text Char"/>
    <w:link w:val="712"/>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列表段落1"/>
    <w:basedOn w:val="684"/>
    <w:uiPriority w:val="99"/>
    <w:qFormat/>
    <w:pPr>
      <w:ind w:firstLine="420"/>
    </w:pPr>
  </w:style>
  <w:style w:type="character" w:styleId="905" w:customStyle="1">
    <w:name w:val="标题 1 Char1"/>
    <w:link w:val="685"/>
    <w:uiPriority w:val="0"/>
    <w:qFormat/>
    <w:rPr>
      <w:rFonts w:ascii="Times New Roman" w:hAnsi="Times New Roman" w:eastAsia="宋体" w:cs="Times New Roman"/>
      <w:b/>
      <w:bCs/>
      <w:sz w:val="32"/>
      <w:szCs w:val="44"/>
    </w:rPr>
  </w:style>
  <w:style w:type="character" w:styleId="906" w:customStyle="1">
    <w:name w:val="明显强调1"/>
    <w:uiPriority w:val="0"/>
    <w:qFormat/>
    <w:rPr>
      <w:b/>
      <w:bCs/>
      <w:i/>
      <w:iCs/>
      <w:color w:val="4f81bd"/>
    </w:rPr>
  </w:style>
  <w:style w:type="character" w:styleId="907" w:customStyle="1">
    <w:name w:val="批注文字 Char2"/>
    <w:uiPriority w:val="0"/>
    <w:qFormat/>
    <w:rPr>
      <w:sz w:val="21"/>
    </w:rPr>
  </w:style>
  <w:style w:type="character" w:styleId="908" w:customStyle="1">
    <w:name w:val="标题 3 Char_0"/>
    <w:link w:val="909"/>
    <w:uiPriority w:val="0"/>
    <w:qFormat/>
    <w:rPr>
      <w:b/>
      <w:bCs/>
      <w:sz w:val="32"/>
      <w:szCs w:val="32"/>
    </w:rPr>
  </w:style>
  <w:style w:type="paragraph" w:styleId="909" w:customStyle="1">
    <w:name w:val="标题 3_0"/>
    <w:basedOn w:val="910"/>
    <w:next w:val="910"/>
    <w:link w:val="908"/>
    <w:uiPriority w:val="0"/>
    <w:qFormat/>
    <w:pPr>
      <w:keepLines/>
      <w:keepNext/>
      <w:spacing w:before="260" w:after="260" w:line="416" w:lineRule="auto"/>
      <w:outlineLvl w:val="2"/>
    </w:pPr>
    <w:rPr>
      <w:b/>
      <w:bCs/>
      <w:sz w:val="32"/>
      <w:szCs w:val="32"/>
    </w:rPr>
  </w:style>
  <w:style w:type="paragraph" w:styleId="910" w:customStyle="1">
    <w:name w:val="正文_0"/>
    <w:uiPriority w:val="0"/>
    <w:qFormat/>
    <w:pPr>
      <w:jc w:val="both"/>
      <w:widowControl w:val="off"/>
    </w:pPr>
    <w:rPr>
      <w:rFonts w:hint="default" w:ascii="Times New Roman" w:hAnsi="Times New Roman" w:eastAsia="宋体" w:cs="Times New Roman"/>
      <w:sz w:val="21"/>
      <w:szCs w:val="24"/>
    </w:rPr>
  </w:style>
  <w:style w:type="character" w:styleId="911" w:customStyle="1">
    <w:name w:val="标题 2 Char"/>
    <w:link w:val="686"/>
    <w:uiPriority w:val="0"/>
    <w:qFormat/>
    <w:rPr>
      <w:rFonts w:ascii="Cambria" w:hAnsi="Cambria"/>
      <w:b/>
      <w:bCs/>
      <w:sz w:val="32"/>
      <w:szCs w:val="32"/>
    </w:rPr>
  </w:style>
  <w:style w:type="character" w:styleId="912" w:customStyle="1">
    <w:name w:val="正文文本 Char2"/>
    <w:uiPriority w:val="99"/>
    <w:semiHidden/>
    <w:qFormat/>
    <w:rPr>
      <w:rFonts w:ascii="Calibri" w:hAnsi="Calibri" w:eastAsia="宋体" w:cs="Times New Roman"/>
    </w:rPr>
  </w:style>
  <w:style w:type="character" w:styleId="913" w:customStyle="1">
    <w:name w:val="页脚 Char1"/>
    <w:uiPriority w:val="99"/>
    <w:semiHidden/>
    <w:qFormat/>
    <w:rPr>
      <w:rFonts w:ascii="Calibri" w:hAnsi="Calibri" w:eastAsia="宋体" w:cs="Times New Roman"/>
      <w:sz w:val="18"/>
      <w:szCs w:val="18"/>
    </w:rPr>
  </w:style>
  <w:style w:type="character" w:styleId="914" w:customStyle="1">
    <w:name w:val="明显引用 Char2"/>
    <w:uiPriority w:val="99"/>
    <w:qFormat/>
    <w:rPr>
      <w:b/>
      <w:bCs/>
      <w:i/>
      <w:iCs/>
      <w:color w:val="4f81bd"/>
      <w:sz w:val="21"/>
      <w:szCs w:val="24"/>
    </w:rPr>
  </w:style>
  <w:style w:type="character" w:styleId="915" w:customStyle="1">
    <w:name w:val="引用 Char"/>
    <w:link w:val="916"/>
    <w:uiPriority w:val="0"/>
    <w:qFormat/>
    <w:rPr>
      <w:i/>
      <w:iCs/>
      <w:color w:val="000000"/>
    </w:rPr>
  </w:style>
  <w:style w:type="paragraph" w:styleId="916" w:customStyle="1">
    <w:name w:val="引用1"/>
    <w:basedOn w:val="684"/>
    <w:next w:val="684"/>
    <w:link w:val="915"/>
    <w:uiPriority w:val="0"/>
    <w:qFormat/>
    <w:rPr>
      <w:i/>
      <w:iCs/>
      <w:color w:val="000000"/>
      <w:sz w:val="20"/>
      <w:szCs w:val="20"/>
    </w:rPr>
  </w:style>
  <w:style w:type="character" w:styleId="917" w:customStyle="1">
    <w:name w:val="标题 1 Char_0"/>
    <w:link w:val="918"/>
    <w:uiPriority w:val="0"/>
    <w:qFormat/>
    <w:rPr>
      <w:b/>
      <w:bCs/>
      <w:sz w:val="44"/>
      <w:szCs w:val="44"/>
    </w:rPr>
  </w:style>
  <w:style w:type="paragraph" w:styleId="918" w:customStyle="1">
    <w:name w:val="标题 1_0"/>
    <w:basedOn w:val="910"/>
    <w:next w:val="910"/>
    <w:link w:val="917"/>
    <w:uiPriority w:val="0"/>
    <w:qFormat/>
    <w:pPr>
      <w:keepLines/>
      <w:keepNext/>
      <w:spacing w:before="340" w:after="330" w:line="578" w:lineRule="auto"/>
      <w:outlineLvl w:val="0"/>
    </w:pPr>
    <w:rPr>
      <w:b/>
      <w:bCs/>
      <w:sz w:val="44"/>
      <w:szCs w:val="44"/>
    </w:rPr>
  </w:style>
  <w:style w:type="character" w:styleId="919" w:customStyle="1">
    <w:name w:val="正文文本缩进 3 Char1"/>
    <w:uiPriority w:val="99"/>
    <w:semiHidden/>
    <w:qFormat/>
    <w:rPr>
      <w:sz w:val="16"/>
      <w:szCs w:val="16"/>
    </w:rPr>
  </w:style>
  <w:style w:type="character" w:styleId="920" w:customStyle="1">
    <w:name w:val="引用 Char1"/>
    <w:uiPriority w:val="29"/>
    <w:qFormat/>
    <w:rPr>
      <w:i/>
      <w:iCs/>
      <w:color w:val="000000"/>
      <w:sz w:val="21"/>
    </w:rPr>
  </w:style>
  <w:style w:type="character" w:styleId="921" w:customStyle="1">
    <w:name w:val="正文文本缩进 Char"/>
    <w:link w:val="704"/>
    <w:uiPriority w:val="0"/>
    <w:qFormat/>
    <w:rPr>
      <w:sz w:val="21"/>
      <w:szCs w:val="24"/>
    </w:rPr>
  </w:style>
  <w:style w:type="character" w:styleId="922" w:customStyle="1">
    <w:name w:val="font161"/>
    <w:uiPriority w:val="0"/>
    <w:qFormat/>
    <w:rPr>
      <w:b/>
      <w:sz w:val="32"/>
    </w:rPr>
  </w:style>
  <w:style w:type="character" w:styleId="923" w:customStyle="1">
    <w:name w:val="标题 4 Char_0"/>
    <w:link w:val="924"/>
    <w:uiPriority w:val="0"/>
    <w:qFormat/>
    <w:rPr>
      <w:rFonts w:ascii="Arial" w:hAnsi="Arial" w:eastAsia="黑体"/>
      <w:b/>
      <w:bCs/>
      <w:sz w:val="28"/>
      <w:szCs w:val="28"/>
    </w:rPr>
  </w:style>
  <w:style w:type="paragraph" w:styleId="924" w:customStyle="1">
    <w:name w:val="标题 4_0"/>
    <w:basedOn w:val="910"/>
    <w:next w:val="910"/>
    <w:link w:val="923"/>
    <w:uiPriority w:val="0"/>
    <w:qFormat/>
    <w:pPr>
      <w:keepLines/>
      <w:keepNext/>
      <w:spacing w:before="280" w:after="290" w:line="376" w:lineRule="auto"/>
      <w:outlineLvl w:val="3"/>
    </w:pPr>
    <w:rPr>
      <w:rFonts w:ascii="Arial" w:hAnsi="Arial" w:eastAsia="黑体"/>
      <w:b/>
      <w:bCs/>
      <w:sz w:val="28"/>
      <w:szCs w:val="28"/>
    </w:rPr>
  </w:style>
  <w:style w:type="character" w:styleId="925" w:customStyle="1">
    <w:name w:val="页眉 Char"/>
    <w:link w:val="715"/>
    <w:uiPriority w:val="99"/>
    <w:qFormat/>
    <w:rPr>
      <w:sz w:val="18"/>
      <w:szCs w:val="18"/>
    </w:rPr>
  </w:style>
  <w:style w:type="character" w:styleId="926" w:customStyle="1">
    <w:name w:val="标题 6 Char"/>
    <w:link w:val="690"/>
    <w:uiPriority w:val="0"/>
    <w:qFormat/>
    <w:rPr>
      <w:rFonts w:ascii="Cambria" w:hAnsi="Cambria" w:eastAsia="宋体" w:cs="Times New Roman"/>
      <w:b/>
      <w:bCs/>
      <w:sz w:val="24"/>
      <w:szCs w:val="24"/>
    </w:rPr>
  </w:style>
  <w:style w:type="character" w:styleId="927" w:customStyle="1">
    <w:name w:val="纯文本 Char"/>
    <w:link w:val="708"/>
    <w:uiPriority w:val="0"/>
    <w:qFormat/>
    <w:rPr>
      <w:rFonts w:ascii="Ari"/>
      <w:lang w:val="en-US" w:eastAsia="zh-CN" w:bidi="ar-SA"/>
    </w:rPr>
  </w:style>
  <w:style w:type="character" w:styleId="928" w:customStyle="1">
    <w:name w:val="引用 Char2"/>
    <w:uiPriority w:val="99"/>
    <w:qFormat/>
    <w:rPr>
      <w:i/>
      <w:iCs/>
      <w:color w:val="000000"/>
      <w:sz w:val="21"/>
      <w:szCs w:val="24"/>
    </w:rPr>
  </w:style>
  <w:style w:type="character" w:styleId="929" w:customStyle="1">
    <w:name w:val="rvts11"/>
    <w:uiPriority w:val="0"/>
    <w:qFormat/>
    <w:rPr>
      <w:rFonts w:hint="default" w:ascii="KNLe" w:hAnsi="KNLe"/>
      <w:sz w:val="24"/>
      <w:szCs w:val="24"/>
      <w:u w:val="single"/>
    </w:rPr>
  </w:style>
  <w:style w:type="character" w:styleId="930" w:customStyle="1">
    <w:name w:val="标题 Char"/>
    <w:link w:val="729"/>
    <w:uiPriority w:val="0"/>
    <w:qFormat/>
    <w:rPr>
      <w:rFonts w:ascii="Arial" w:hAnsi="Arial"/>
      <w:b/>
      <w:sz w:val="32"/>
    </w:rPr>
  </w:style>
  <w:style w:type="character" w:styleId="931" w:customStyle="1">
    <w:name w:val="标题5 Char Char"/>
    <w:link w:val="932"/>
    <w:uiPriority w:val="0"/>
    <w:qFormat/>
    <w:rPr>
      <w:rFonts w:ascii="Arial" w:hAnsi="Arial"/>
      <w:b/>
      <w:bCs/>
      <w:sz w:val="24"/>
      <w:szCs w:val="32"/>
    </w:rPr>
  </w:style>
  <w:style w:type="paragraph" w:styleId="932" w:customStyle="1">
    <w:name w:val="标题5"/>
    <w:basedOn w:val="687"/>
    <w:link w:val="931"/>
    <w:uiPriority w:val="0"/>
    <w:qFormat/>
    <w:pPr>
      <w:numPr>
        <w:ilvl w:val="0"/>
        <w:numId w:val="0"/>
      </w:numPr>
      <w:spacing w:line="413" w:lineRule="auto"/>
    </w:pPr>
    <w:rPr>
      <w:rFonts w:ascii="Arial" w:hAnsi="Arial"/>
      <w:sz w:val="24"/>
    </w:rPr>
  </w:style>
  <w:style w:type="character" w:styleId="933" w:customStyle="1">
    <w:name w:val="副标题 Char2"/>
    <w:uiPriority w:val="11"/>
    <w:qFormat/>
    <w:rPr>
      <w:rFonts w:ascii="Cambria" w:hAnsi="Cambria" w:cs="Times New Roman"/>
      <w:b/>
      <w:bCs/>
      <w:sz w:val="32"/>
      <w:szCs w:val="32"/>
    </w:rPr>
  </w:style>
  <w:style w:type="character" w:styleId="934" w:customStyle="1">
    <w:name w:val="文档结构图 Char"/>
    <w:link w:val="700"/>
    <w:uiPriority w:val="0"/>
    <w:qFormat/>
    <w:rPr>
      <w:rFonts w:ascii="宋体"/>
      <w:sz w:val="18"/>
      <w:szCs w:val="18"/>
    </w:rPr>
  </w:style>
  <w:style w:type="character" w:styleId="935" w:customStyle="1">
    <w:name w:val="日期 Char"/>
    <w:link w:val="710"/>
    <w:uiPriority w:val="99"/>
    <w:qFormat/>
    <w:rPr>
      <w:sz w:val="21"/>
      <w:szCs w:val="24"/>
    </w:rPr>
  </w:style>
  <w:style w:type="character" w:styleId="936" w:customStyle="1">
    <w:name w:val="批注主题 Char1"/>
    <w:uiPriority w:val="0"/>
    <w:qFormat/>
    <w:rPr>
      <w:b/>
      <w:bCs/>
      <w:sz w:val="21"/>
      <w:szCs w:val="22"/>
    </w:rPr>
  </w:style>
  <w:style w:type="character" w:styleId="937" w:customStyle="1">
    <w:name w:val="font31"/>
    <w:uiPriority w:val="0"/>
    <w:qFormat/>
    <w:rPr>
      <w:rFonts w:hint="eastAsia" w:ascii="宋体" w:hAnsi="宋体" w:eastAsia="宋体" w:cs="宋体"/>
      <w:color w:val="000000"/>
      <w:sz w:val="20"/>
      <w:szCs w:val="20"/>
      <w:u w:val="none"/>
    </w:rPr>
  </w:style>
  <w:style w:type="character" w:styleId="938" w:customStyle="1">
    <w:name w:val="明显引用 Char"/>
    <w:link w:val="939"/>
    <w:uiPriority w:val="0"/>
    <w:qFormat/>
    <w:rPr>
      <w:b/>
      <w:bCs/>
      <w:i/>
      <w:iCs/>
      <w:color w:val="4f81bd"/>
    </w:rPr>
  </w:style>
  <w:style w:type="paragraph" w:styleId="939" w:customStyle="1">
    <w:name w:val="明显引用1"/>
    <w:basedOn w:val="684"/>
    <w:next w:val="684"/>
    <w:link w:val="938"/>
    <w:uiPriority w:val="0"/>
    <w:qFormat/>
    <w:pPr>
      <w:ind w:left="936" w:right="936"/>
      <w:spacing w:before="200" w:after="280"/>
      <w:pBdr>
        <w:bottom w:val="single" w:color="4F81BD" w:sz="4" w:space="4"/>
      </w:pBdr>
    </w:pPr>
    <w:rPr>
      <w:b/>
      <w:bCs/>
      <w:i/>
      <w:iCs/>
      <w:color w:val="4f81bd"/>
      <w:sz w:val="20"/>
      <w:szCs w:val="20"/>
    </w:rPr>
  </w:style>
  <w:style w:type="character" w:styleId="940" w:customStyle="1">
    <w:name w:val="标题 5 Char"/>
    <w:link w:val="689"/>
    <w:uiPriority w:val="0"/>
    <w:qFormat/>
    <w:rPr>
      <w:b/>
      <w:bCs/>
      <w:sz w:val="28"/>
      <w:szCs w:val="28"/>
    </w:rPr>
  </w:style>
  <w:style w:type="character" w:styleId="941" w:customStyle="1">
    <w:name w:val="日期 Char1"/>
    <w:uiPriority w:val="0"/>
    <w:qFormat/>
    <w:rPr>
      <w:rFonts w:ascii="Calibri" w:hAnsi="Calibri" w:eastAsia="宋体" w:cs="Times New Roman"/>
    </w:rPr>
  </w:style>
  <w:style w:type="character" w:styleId="942" w:customStyle="1">
    <w:name w:val="批注框文本 Char1"/>
    <w:uiPriority w:val="0"/>
    <w:qFormat/>
    <w:rPr>
      <w:sz w:val="18"/>
      <w:szCs w:val="18"/>
    </w:rPr>
  </w:style>
  <w:style w:type="character" w:styleId="943" w:customStyle="1">
    <w:name w:val="标题 Char1"/>
    <w:uiPriority w:val="10"/>
    <w:qFormat/>
    <w:rPr>
      <w:rFonts w:ascii="Cambria" w:hAnsi="Cambria" w:eastAsia="宋体" w:cs="Times New Roman"/>
      <w:b/>
      <w:bCs/>
      <w:sz w:val="32"/>
      <w:szCs w:val="32"/>
    </w:rPr>
  </w:style>
  <w:style w:type="character" w:styleId="944" w:customStyle="1">
    <w:name w:val="标题 9 Char"/>
    <w:link w:val="693"/>
    <w:uiPriority w:val="0"/>
    <w:qFormat/>
    <w:rPr>
      <w:rFonts w:ascii="Cambria" w:hAnsi="Cambria" w:eastAsia="宋体" w:cs="Times New Roman"/>
      <w:sz w:val="21"/>
      <w:szCs w:val="21"/>
    </w:rPr>
  </w:style>
  <w:style w:type="character" w:styleId="945" w:customStyle="1">
    <w:name w:val="不明显参考1"/>
    <w:uiPriority w:val="0"/>
    <w:qFormat/>
    <w:rPr>
      <w:smallCaps/>
      <w:color w:val="c0504d"/>
      <w:u w:val="single"/>
    </w:rPr>
  </w:style>
  <w:style w:type="character" w:styleId="946" w:customStyle="1">
    <w:name w:val="批注文字 Char1"/>
    <w:uiPriority w:val="0"/>
    <w:qFormat/>
    <w:rPr>
      <w:rFonts w:ascii="Calibri" w:hAnsi="Calibri" w:eastAsia="宋体" w:cs="Times New Roman"/>
    </w:rPr>
  </w:style>
  <w:style w:type="character" w:styleId="947" w:customStyle="1">
    <w:name w:val="标题 Char2"/>
    <w:uiPriority w:val="10"/>
    <w:qFormat/>
    <w:rPr>
      <w:rFonts w:ascii="Cambria" w:hAnsi="Cambria" w:cs="Times New Roman"/>
      <w:b/>
      <w:bCs/>
      <w:sz w:val="32"/>
      <w:szCs w:val="32"/>
    </w:rPr>
  </w:style>
  <w:style w:type="character" w:styleId="948" w:customStyle="1">
    <w:name w:val="正文文本 3 Char1"/>
    <w:uiPriority w:val="99"/>
    <w:semiHidden/>
    <w:qFormat/>
    <w:rPr>
      <w:sz w:val="16"/>
      <w:szCs w:val="16"/>
    </w:rPr>
  </w:style>
  <w:style w:type="character" w:styleId="949" w:customStyle="1">
    <w:name w:val="批注主题 Char2"/>
    <w:uiPriority w:val="0"/>
    <w:qFormat/>
    <w:rPr>
      <w:b/>
      <w:bCs/>
      <w:sz w:val="21"/>
    </w:rPr>
  </w:style>
  <w:style w:type="character" w:styleId="950" w:customStyle="1">
    <w:name w:val="标题 3 Char"/>
    <w:link w:val="687"/>
    <w:uiPriority w:val="0"/>
    <w:qFormat/>
    <w:rPr>
      <w:b/>
      <w:bCs/>
      <w:sz w:val="32"/>
      <w:szCs w:val="32"/>
    </w:rPr>
  </w:style>
  <w:style w:type="character" w:styleId="951" w:customStyle="1">
    <w:name w:val="正文文本 Char_0"/>
    <w:link w:val="952"/>
    <w:uiPriority w:val="0"/>
    <w:qFormat/>
    <w:rPr>
      <w:szCs w:val="24"/>
    </w:rPr>
  </w:style>
  <w:style w:type="paragraph" w:styleId="952" w:customStyle="1">
    <w:name w:val="正文文本_0"/>
    <w:basedOn w:val="910"/>
    <w:link w:val="951"/>
    <w:uiPriority w:val="0"/>
    <w:qFormat/>
    <w:pPr>
      <w:spacing w:after="120"/>
    </w:pPr>
    <w:rPr>
      <w:sz w:val="20"/>
    </w:rPr>
  </w:style>
  <w:style w:type="character" w:styleId="953" w:customStyle="1">
    <w:name w:val="副标题 Char"/>
    <w:link w:val="720"/>
    <w:uiPriority w:val="0"/>
    <w:qFormat/>
    <w:rPr>
      <w:rFonts w:ascii="Cambria" w:hAnsi="Cambria"/>
      <w:b/>
      <w:bCs/>
      <w:sz w:val="32"/>
      <w:szCs w:val="32"/>
    </w:rPr>
  </w:style>
  <w:style w:type="character" w:styleId="954" w:customStyle="1">
    <w:name w:val="bookmark"/>
    <w:basedOn w:val="694"/>
    <w:uiPriority w:val="0"/>
    <w:qFormat/>
  </w:style>
  <w:style w:type="character" w:styleId="955" w:customStyle="1">
    <w:name w:val="标题 5 Char_0"/>
    <w:link w:val="956"/>
    <w:uiPriority w:val="0"/>
    <w:qFormat/>
    <w:rPr>
      <w:rFonts w:ascii="Calibri" w:hAnsi="Calibri"/>
      <w:b/>
      <w:bCs/>
      <w:sz w:val="28"/>
      <w:szCs w:val="28"/>
    </w:rPr>
  </w:style>
  <w:style w:type="paragraph" w:styleId="956" w:customStyle="1">
    <w:name w:val="标题 5_0"/>
    <w:basedOn w:val="910"/>
    <w:next w:val="910"/>
    <w:link w:val="955"/>
    <w:uiPriority w:val="0"/>
    <w:qFormat/>
    <w:pPr>
      <w:keepLines/>
      <w:keepNext/>
      <w:spacing w:before="280" w:after="290" w:line="372" w:lineRule="auto"/>
      <w:outlineLvl w:val="4"/>
    </w:pPr>
    <w:rPr>
      <w:rFonts w:ascii="Calibri" w:hAnsi="Calibri"/>
      <w:b/>
      <w:bCs/>
      <w:sz w:val="28"/>
      <w:szCs w:val="28"/>
    </w:rPr>
  </w:style>
  <w:style w:type="character" w:styleId="957" w:customStyle="1">
    <w:name w:val="正文文本缩进 2 Char"/>
    <w:link w:val="711"/>
    <w:uiPriority w:val="99"/>
    <w:qFormat/>
    <w:rPr>
      <w:rFonts w:ascii="宋体"/>
    </w:rPr>
  </w:style>
  <w:style w:type="character" w:styleId="958" w:customStyle="1">
    <w:name w:val="批注文字 Char"/>
    <w:link w:val="701"/>
    <w:uiPriority w:val="99"/>
    <w:qFormat/>
    <w:rPr>
      <w:sz w:val="21"/>
      <w:szCs w:val="24"/>
    </w:rPr>
  </w:style>
  <w:style w:type="character" w:styleId="959" w:customStyle="1">
    <w:name w:val="font11"/>
    <w:uiPriority w:val="0"/>
    <w:qFormat/>
    <w:rPr>
      <w:rFonts w:hint="eastAsia" w:ascii="宋体" w:hAnsi="宋体" w:eastAsia="宋体" w:cs="宋体"/>
      <w:color w:val="000000"/>
      <w:sz w:val="20"/>
      <w:szCs w:val="20"/>
      <w:u w:val="none"/>
    </w:rPr>
  </w:style>
  <w:style w:type="character" w:styleId="960" w:customStyle="1">
    <w:name w:val="明显参考1"/>
    <w:uiPriority w:val="0"/>
    <w:qFormat/>
    <w:rPr>
      <w:b/>
      <w:bCs/>
      <w:smallCaps/>
      <w:color w:val="c0504d"/>
      <w:spacing w:val="5"/>
      <w:u w:val="single"/>
    </w:rPr>
  </w:style>
  <w:style w:type="character" w:styleId="961" w:customStyle="1">
    <w:name w:val="超链接_0"/>
    <w:uiPriority w:val="99"/>
    <w:qFormat/>
    <w:rPr>
      <w:rFonts w:ascii="Calibri" w:hAnsi="Calibri"/>
      <w:color w:val="0000ff"/>
      <w:u w:val="single"/>
    </w:rPr>
  </w:style>
  <w:style w:type="character" w:styleId="962" w:customStyle="1">
    <w:name w:val="文档结构图 Char2"/>
    <w:uiPriority w:val="99"/>
    <w:semiHidden/>
    <w:qFormat/>
    <w:rPr>
      <w:rFonts w:ascii="宋体" w:hAnsi="Calibri" w:eastAsia="宋体" w:cs="Times New Roman"/>
      <w:sz w:val="18"/>
      <w:szCs w:val="18"/>
    </w:rPr>
  </w:style>
  <w:style w:type="character" w:styleId="963" w:customStyle="1">
    <w:name w:val="textcontents"/>
    <w:uiPriority w:val="0"/>
    <w:qFormat/>
    <w:rPr>
      <w:rFonts w:cs="Times New Roman"/>
    </w:rPr>
  </w:style>
  <w:style w:type="character" w:styleId="964" w:customStyle="1">
    <w:name w:val="标题 1 Char"/>
    <w:uiPriority w:val="0"/>
    <w:qFormat/>
    <w:rPr>
      <w:b/>
      <w:bCs/>
      <w:sz w:val="32"/>
      <w:szCs w:val="44"/>
    </w:rPr>
  </w:style>
  <w:style w:type="character" w:styleId="965" w:customStyle="1">
    <w:name w:val="正文文本 Char"/>
    <w:link w:val="703"/>
    <w:uiPriority w:val="0"/>
    <w:qFormat/>
    <w:rPr>
      <w:rFonts w:eastAsia="幼圆"/>
      <w:b/>
      <w:bCs/>
      <w:sz w:val="44"/>
      <w:szCs w:val="24"/>
    </w:rPr>
  </w:style>
  <w:style w:type="character" w:styleId="966" w:customStyle="1">
    <w:name w:val="标题 8 Char"/>
    <w:link w:val="692"/>
    <w:uiPriority w:val="0"/>
    <w:qFormat/>
    <w:rPr>
      <w:rFonts w:ascii="Cambria" w:hAnsi="Cambria" w:eastAsia="宋体" w:cs="Times New Roman"/>
      <w:sz w:val="24"/>
      <w:szCs w:val="24"/>
    </w:rPr>
  </w:style>
  <w:style w:type="character" w:styleId="967" w:customStyle="1">
    <w:name w:val="副标题 Char1"/>
    <w:uiPriority w:val="11"/>
    <w:qFormat/>
    <w:rPr>
      <w:rFonts w:ascii="Cambria" w:hAnsi="Cambria" w:cs="Times New Roman"/>
      <w:b/>
      <w:bCs/>
      <w:sz w:val="32"/>
      <w:szCs w:val="32"/>
    </w:rPr>
  </w:style>
  <w:style w:type="character" w:styleId="968" w:customStyle="1">
    <w:name w:val="批注主题 Char"/>
    <w:link w:val="730"/>
    <w:uiPriority w:val="0"/>
    <w:qFormat/>
    <w:rPr>
      <w:b/>
      <w:bCs/>
      <w:sz w:val="21"/>
      <w:szCs w:val="24"/>
    </w:rPr>
  </w:style>
  <w:style w:type="character" w:styleId="969" w:customStyle="1">
    <w:name w:val="书籍标题1"/>
    <w:uiPriority w:val="0"/>
    <w:qFormat/>
    <w:rPr>
      <w:b/>
      <w:bCs/>
      <w:smallCaps/>
      <w:spacing w:val="5"/>
    </w:rPr>
  </w:style>
  <w:style w:type="character" w:styleId="970" w:customStyle="1">
    <w:name w:val="页脚 Char"/>
    <w:link w:val="714"/>
    <w:uiPriority w:val="99"/>
    <w:qFormat/>
    <w:rPr>
      <w:sz w:val="18"/>
      <w:szCs w:val="18"/>
    </w:rPr>
  </w:style>
  <w:style w:type="character" w:styleId="971" w:customStyle="1">
    <w:name w:val="标题4 Char Char"/>
    <w:link w:val="972"/>
    <w:uiPriority w:val="0"/>
    <w:qFormat/>
    <w:rPr>
      <w:rFonts w:ascii="Arial" w:hAnsi="Arial"/>
      <w:b/>
      <w:bCs/>
      <w:sz w:val="24"/>
      <w:szCs w:val="32"/>
    </w:rPr>
  </w:style>
  <w:style w:type="paragraph" w:styleId="972" w:customStyle="1">
    <w:name w:val="标题4"/>
    <w:basedOn w:val="686"/>
    <w:next w:val="705"/>
    <w:link w:val="971"/>
    <w:uiPriority w:val="0"/>
    <w:qFormat/>
    <w:pPr>
      <w:numPr>
        <w:ilvl w:val="0"/>
        <w:numId w:val="0"/>
      </w:numPr>
      <w:spacing w:line="413" w:lineRule="auto"/>
    </w:pPr>
    <w:rPr>
      <w:rFonts w:ascii="Arial" w:hAnsi="Arial"/>
      <w:sz w:val="24"/>
    </w:rPr>
  </w:style>
  <w:style w:type="character" w:styleId="973" w:customStyle="1">
    <w:name w:val="正文文本 Char1"/>
    <w:uiPriority w:val="0"/>
    <w:qFormat/>
    <w:rPr>
      <w:rFonts w:ascii="Calibri" w:hAnsi="Calibri" w:eastAsia="宋体" w:cs="Times New Roman"/>
    </w:rPr>
  </w:style>
  <w:style w:type="character" w:styleId="974" w:customStyle="1">
    <w:name w:val="明显引用 Char1"/>
    <w:uiPriority w:val="30"/>
    <w:qFormat/>
    <w:rPr>
      <w:b/>
      <w:bCs/>
      <w:i/>
      <w:iCs/>
      <w:color w:val="4f81bd"/>
      <w:sz w:val="21"/>
    </w:rPr>
  </w:style>
  <w:style w:type="character" w:styleId="975" w:customStyle="1">
    <w:name w:val="页眉 Char1"/>
    <w:uiPriority w:val="99"/>
    <w:semiHidden/>
    <w:qFormat/>
    <w:rPr>
      <w:rFonts w:ascii="Calibri" w:hAnsi="Calibri" w:eastAsia="宋体" w:cs="Times New Roman"/>
      <w:sz w:val="18"/>
      <w:szCs w:val="18"/>
    </w:rPr>
  </w:style>
  <w:style w:type="character" w:styleId="976" w:customStyle="1">
    <w:name w:val="不明显强调1"/>
    <w:uiPriority w:val="0"/>
    <w:qFormat/>
    <w:rPr>
      <w:i/>
      <w:iCs/>
      <w:color w:val="808080"/>
    </w:rPr>
  </w:style>
  <w:style w:type="character" w:styleId="977" w:customStyle="1">
    <w:name w:val="正文文本 3 Char"/>
    <w:link w:val="702"/>
    <w:uiPriority w:val="0"/>
    <w:qFormat/>
    <w:rPr>
      <w:rFonts w:ascii="宋体"/>
      <w:sz w:val="24"/>
    </w:rPr>
  </w:style>
  <w:style w:type="character" w:styleId="978" w:customStyle="1">
    <w:name w:val="正文文本缩进 3 Char"/>
    <w:link w:val="723"/>
    <w:uiPriority w:val="0"/>
    <w:qFormat/>
    <w:rPr>
      <w:sz w:val="16"/>
    </w:rPr>
  </w:style>
  <w:style w:type="character" w:styleId="979" w:customStyle="1">
    <w:name w:val="font21"/>
    <w:uiPriority w:val="0"/>
    <w:qFormat/>
    <w:rPr>
      <w:rFonts w:hint="eastAsia" w:ascii="宋体" w:hAnsi="宋体" w:eastAsia="宋体" w:cs="宋体"/>
      <w:color w:val="000000"/>
      <w:sz w:val="20"/>
      <w:szCs w:val="20"/>
      <w:u w:val="none"/>
    </w:rPr>
  </w:style>
  <w:style w:type="character" w:styleId="980" w:customStyle="1">
    <w:name w:val="批注框文本 Char"/>
    <w:link w:val="713"/>
    <w:uiPriority w:val="0"/>
    <w:qFormat/>
    <w:rPr>
      <w:sz w:val="18"/>
      <w:szCs w:val="18"/>
    </w:rPr>
  </w:style>
  <w:style w:type="character" w:styleId="981" w:customStyle="1">
    <w:name w:val="标题 7 Char"/>
    <w:link w:val="691"/>
    <w:uiPriority w:val="0"/>
    <w:qFormat/>
    <w:rPr>
      <w:b/>
      <w:bCs/>
      <w:sz w:val="24"/>
      <w:szCs w:val="24"/>
    </w:rPr>
  </w:style>
  <w:style w:type="character" w:styleId="982" w:customStyle="1">
    <w:name w:val="文档结构图 Char1"/>
    <w:uiPriority w:val="0"/>
    <w:qFormat/>
    <w:rPr>
      <w:rFonts w:ascii="宋体" w:hAnsi="Calibri" w:eastAsia="宋体" w:cs="Times New Roman"/>
      <w:sz w:val="18"/>
      <w:szCs w:val="18"/>
    </w:rPr>
  </w:style>
  <w:style w:type="character" w:styleId="983" w:customStyle="1">
    <w:name w:val="标题 2 Char_0"/>
    <w:link w:val="984"/>
    <w:uiPriority w:val="0"/>
    <w:qFormat/>
    <w:rPr>
      <w:rFonts w:ascii="Cambria" w:hAnsi="Cambria"/>
      <w:b/>
      <w:bCs/>
      <w:sz w:val="32"/>
      <w:szCs w:val="32"/>
    </w:rPr>
  </w:style>
  <w:style w:type="paragraph" w:styleId="984" w:customStyle="1">
    <w:name w:val="标题 2_0"/>
    <w:basedOn w:val="910"/>
    <w:next w:val="910"/>
    <w:link w:val="983"/>
    <w:uiPriority w:val="0"/>
    <w:unhideWhenUsed/>
    <w:qFormat/>
    <w:pPr>
      <w:keepLines/>
      <w:keepNext/>
      <w:spacing w:before="260" w:after="260" w:line="416" w:lineRule="auto"/>
      <w:outlineLvl w:val="1"/>
    </w:pPr>
    <w:rPr>
      <w:rFonts w:ascii="Cambria" w:hAnsi="Cambria"/>
      <w:b/>
      <w:bCs/>
      <w:sz w:val="32"/>
      <w:szCs w:val="32"/>
    </w:rPr>
  </w:style>
  <w:style w:type="character" w:styleId="985" w:customStyle="1">
    <w:name w:val="日期 Char2"/>
    <w:uiPriority w:val="99"/>
    <w:semiHidden/>
    <w:qFormat/>
    <w:rPr>
      <w:rFonts w:ascii="Calibri" w:hAnsi="Calibri" w:eastAsia="宋体" w:cs="Times New Roman"/>
    </w:rPr>
  </w:style>
  <w:style w:type="character" w:styleId="986" w:customStyle="1">
    <w:name w:val="批注框文本 Char2"/>
    <w:uiPriority w:val="99"/>
    <w:semiHidden/>
    <w:qFormat/>
    <w:rPr>
      <w:rFonts w:ascii="Calibri" w:hAnsi="Calibri" w:eastAsia="宋体" w:cs="Times New Roman"/>
      <w:sz w:val="18"/>
      <w:szCs w:val="18"/>
    </w:rPr>
  </w:style>
  <w:style w:type="character" w:styleId="987" w:customStyle="1">
    <w:name w:val="标题 4 Char"/>
    <w:link w:val="688"/>
    <w:uiPriority w:val="0"/>
    <w:qFormat/>
    <w:rPr>
      <w:rFonts w:ascii="Cambria" w:hAnsi="Cambria" w:eastAsia="宋体" w:cs="Times New Roman"/>
      <w:b/>
      <w:bCs/>
      <w:sz w:val="28"/>
      <w:szCs w:val="28"/>
    </w:rPr>
  </w:style>
  <w:style w:type="character" w:styleId="988" w:customStyle="1">
    <w:name w:val="列出段落 Char"/>
    <w:link w:val="989"/>
    <w:uiPriority w:val="99"/>
    <w:qFormat/>
    <w:rPr>
      <w:sz w:val="21"/>
      <w:szCs w:val="24"/>
    </w:rPr>
  </w:style>
  <w:style w:type="paragraph" w:styleId="989" w:customStyle="1">
    <w:name w:val="List Paragraph1"/>
    <w:basedOn w:val="684"/>
    <w:link w:val="988"/>
    <w:uiPriority w:val="99"/>
    <w:qFormat/>
    <w:pPr>
      <w:ind w:firstLine="420"/>
    </w:pPr>
  </w:style>
  <w:style w:type="paragraph" w:styleId="990" w:customStyle="1">
    <w:name w:val="样式 标题 3 + (中文) 黑体 小四 非加粗 段前: 7.8 磅 段后: 0 磅 行距: 固定值 20 磅"/>
    <w:basedOn w:val="687"/>
    <w:next w:val="684"/>
    <w:uiPriority w:val="0"/>
    <w:qFormat/>
    <w:pPr>
      <w:spacing w:before="0" w:after="0" w:line="400" w:lineRule="exact"/>
    </w:pPr>
    <w:rPr>
      <w:rFonts w:eastAsia="黑体" w:cs="宋体"/>
      <w:b w:val="0"/>
      <w:bCs w:val="0"/>
      <w:sz w:val="24"/>
      <w:szCs w:val="20"/>
    </w:rPr>
  </w:style>
  <w:style w:type="paragraph" w:styleId="991" w:customStyle="1">
    <w:name w:val="_Style 34"/>
    <w:next w:val="684"/>
    <w:uiPriority w:val="0"/>
    <w:qFormat/>
    <w:pPr>
      <w:jc w:val="both"/>
      <w:widowControl w:val="off"/>
    </w:pPr>
    <w:rPr>
      <w:rFonts w:hint="default" w:ascii="Times New Roman" w:hAnsi="Times New Roman" w:eastAsia="宋体" w:cs="Times New Roman"/>
      <w:sz w:val="21"/>
    </w:rPr>
  </w:style>
  <w:style w:type="paragraph" w:styleId="992" w:customStyle="1">
    <w:name w:val="正文_3"/>
    <w:uiPriority w:val="0"/>
    <w:qFormat/>
    <w:pPr>
      <w:jc w:val="both"/>
      <w:widowControl w:val="off"/>
    </w:pPr>
    <w:rPr>
      <w:rFonts w:hint="default" w:ascii="Times New Roman" w:hAnsi="Times New Roman" w:eastAsia="宋体" w:cs="Times New Roman"/>
      <w:sz w:val="21"/>
      <w:szCs w:val="22"/>
    </w:rPr>
  </w:style>
  <w:style w:type="paragraph" w:styleId="993" w:customStyle="1">
    <w:name w:val="_Style 36"/>
    <w:next w:val="684"/>
    <w:uiPriority w:val="0"/>
    <w:qFormat/>
    <w:pPr>
      <w:jc w:val="both"/>
      <w:widowControl w:val="off"/>
    </w:pPr>
    <w:rPr>
      <w:rFonts w:hint="default" w:ascii="Times New Roman" w:hAnsi="Times New Roman" w:eastAsia="宋体" w:cs="Times New Roman"/>
      <w:sz w:val="21"/>
    </w:rPr>
  </w:style>
  <w:style w:type="paragraph" w:styleId="994" w:customStyle="1">
    <w:name w:val="空半行"/>
    <w:basedOn w:val="684"/>
    <w:uiPriority w:val="0"/>
    <w:qFormat/>
    <w:pPr>
      <w:spacing w:line="120" w:lineRule="exact"/>
    </w:pPr>
    <w:rPr>
      <w:rFonts w:ascii="Calibri" w:hAnsi="Calibri" w:eastAsia="仿宋_GB2312"/>
      <w:color w:val="ffffff"/>
      <w:sz w:val="30"/>
      <w:szCs w:val="22"/>
    </w:rPr>
  </w:style>
  <w:style w:type="paragraph" w:styleId="995" w:customStyle="1">
    <w:name w:val="1方案格式1"/>
    <w:basedOn w:val="685"/>
    <w:uiPriority w:val="0"/>
    <w:qFormat/>
    <w:pPr>
      <w:numPr>
        <w:numId w:val="2"/>
      </w:numPr>
      <w:ind w:left="0" w:firstLine="0"/>
      <w:spacing w:line="360" w:lineRule="auto"/>
      <w:tabs>
        <w:tab w:val="left" w:pos="360" w:leader="none"/>
      </w:tabs>
    </w:pPr>
    <w:rPr>
      <w:rFonts w:eastAsia="微软雅黑"/>
      <w:bCs w:val="0"/>
      <w:sz w:val="48"/>
    </w:rPr>
  </w:style>
  <w:style w:type="paragraph" w:styleId="996" w:customStyle="1">
    <w:name w:val="格式３"/>
    <w:basedOn w:val="684"/>
    <w:uiPriority w:val="0"/>
    <w:qFormat/>
    <w:pPr>
      <w:ind w:left="600" w:hanging="600"/>
      <w:spacing w:line="420" w:lineRule="exact"/>
    </w:pPr>
    <w:rPr>
      <w:rFonts w:ascii="宋体" w:hAnsi="宋体"/>
      <w:color w:val="000000"/>
      <w:sz w:val="24"/>
      <w:szCs w:val="20"/>
    </w:rPr>
  </w:style>
  <w:style w:type="paragraph" w:styleId="997" w:customStyle="1">
    <w:name w:val="正文1"/>
    <w:uiPriority w:val="0"/>
    <w:qFormat/>
    <w:pPr>
      <w:jc w:val="both"/>
      <w:widowControl w:val="off"/>
    </w:pPr>
    <w:rPr>
      <w:rFonts w:hint="default" w:ascii="Calibri" w:hAnsi="Calibri" w:eastAsia="宋体" w:cs="Times New Roman"/>
    </w:rPr>
  </w:style>
  <w:style w:type="paragraph" w:styleId="998" w:customStyle="1">
    <w:name w:val="列出段落1"/>
    <w:basedOn w:val="684"/>
    <w:uiPriority w:val="34"/>
    <w:qFormat/>
    <w:pPr>
      <w:contextualSpacing/>
      <w:ind w:left="720"/>
      <w:jc w:val="left"/>
      <w:widowControl/>
    </w:pPr>
    <w:rPr>
      <w:rFonts w:ascii="Arial" w:hAnsi="Arial" w:eastAsia="黑体"/>
      <w:sz w:val="24"/>
      <w:lang w:eastAsia="en-US"/>
    </w:rPr>
  </w:style>
  <w:style w:type="paragraph" w:styleId="999" w:customStyle="1">
    <w:name w:val="正文空2字"/>
    <w:basedOn w:val="684"/>
    <w:uiPriority w:val="0"/>
    <w:qFormat/>
    <w:pPr>
      <w:ind w:firstLine="200"/>
      <w:spacing w:line="360" w:lineRule="auto"/>
    </w:pPr>
    <w:rPr>
      <w:sz w:val="24"/>
      <w:lang w:bidi="en-US"/>
    </w:rPr>
  </w:style>
  <w:style w:type="paragraph" w:styleId="1000" w:customStyle="1">
    <w:name w:val="正文_0_0_0"/>
    <w:uiPriority w:val="0"/>
    <w:qFormat/>
    <w:pPr>
      <w:jc w:val="both"/>
      <w:widowControl w:val="off"/>
    </w:pPr>
    <w:rPr>
      <w:rFonts w:hint="default" w:ascii="Times New Roman" w:hAnsi="Times New Roman" w:eastAsia="宋体" w:cs="Times New Roman"/>
    </w:rPr>
  </w:style>
  <w:style w:type="paragraph" w:styleId="1001" w:customStyle="1">
    <w:name w:val="目录 5_0"/>
    <w:basedOn w:val="910"/>
    <w:next w:val="910"/>
    <w:uiPriority w:val="39"/>
    <w:qFormat/>
    <w:pPr>
      <w:ind w:left="1680"/>
    </w:pPr>
    <w:rPr>
      <w:rFonts w:ascii="Calibri" w:hAnsi="Calibri"/>
    </w:rPr>
  </w:style>
  <w:style w:type="paragraph" w:styleId="1002" w:customStyle="1">
    <w:name w:val="修订1"/>
    <w:uiPriority w:val="0"/>
    <w:qFormat/>
    <w:rPr>
      <w:rFonts w:hint="default" w:ascii="Times New Roman" w:hAnsi="Times New Roman" w:eastAsia="宋体" w:cs="Times New Roman"/>
      <w:sz w:val="21"/>
      <w:szCs w:val="24"/>
    </w:rPr>
  </w:style>
  <w:style w:type="paragraph" w:styleId="1003" w:customStyle="1">
    <w:name w:val="标题 11"/>
    <w:basedOn w:val="997"/>
    <w:next w:val="99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04" w:customStyle="1">
    <w:name w:val="正文 + 行距: 固定值 20 磅"/>
    <w:basedOn w:val="684"/>
    <w:uiPriority w:val="0"/>
    <w:qFormat/>
    <w:pPr>
      <w:ind w:firstLine="716"/>
      <w:spacing w:line="400" w:lineRule="exact"/>
    </w:pPr>
    <w:rPr>
      <w:rFonts w:ascii="Calibri" w:hAnsi="Calibri"/>
      <w:szCs w:val="22"/>
    </w:rPr>
  </w:style>
  <w:style w:type="paragraph" w:styleId="1005" w:customStyle="1">
    <w:name w:val="TOC 标题1"/>
    <w:basedOn w:val="685"/>
    <w:next w:val="68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06" w:customStyle="1">
    <w:name w:val="表格文字"/>
    <w:basedOn w:val="684"/>
    <w:link w:val="1037"/>
    <w:uiPriority w:val="0"/>
    <w:qFormat/>
    <w:pPr>
      <w:jc w:val="left"/>
      <w:spacing w:line="420" w:lineRule="atLeast"/>
    </w:pPr>
    <w:rPr>
      <w:rFonts w:ascii="Calibri" w:hAnsi="Calibri"/>
      <w:szCs w:val="22"/>
    </w:rPr>
  </w:style>
  <w:style w:type="paragraph" w:styleId="1007" w:customStyle="1">
    <w:name w:val="flNote"/>
    <w:basedOn w:val="684"/>
    <w:uiPriority w:val="0"/>
    <w:qFormat/>
    <w:pPr>
      <w:jc w:val="center"/>
      <w:spacing w:before="320" w:after="160" w:line="360" w:lineRule="atLeast"/>
    </w:pPr>
    <w:rPr>
      <w:rFonts w:ascii="Arial" w:hAnsi="Calibri" w:eastAsia="黑体"/>
      <w:sz w:val="30"/>
      <w:szCs w:val="22"/>
    </w:rPr>
  </w:style>
  <w:style w:type="paragraph" w:styleId="1008" w:customStyle="1">
    <w:name w:val="文章正文"/>
    <w:basedOn w:val="684"/>
    <w:uiPriority w:val="99"/>
    <w:qFormat/>
    <w:pPr>
      <w:ind w:firstLine="480"/>
      <w:spacing w:line="360" w:lineRule="auto"/>
    </w:pPr>
    <w:rPr>
      <w:rFonts w:ascii="仿宋_GB2312" w:hAnsi="宋体" w:eastAsia="仿宋_GB2312"/>
      <w:color w:val="ff0000"/>
      <w:sz w:val="24"/>
    </w:rPr>
  </w:style>
  <w:style w:type="paragraph" w:styleId="1009" w:customStyle="1">
    <w:name w:val="表格"/>
    <w:basedOn w:val="684"/>
    <w:uiPriority w:val="0"/>
    <w:qFormat/>
    <w:pPr>
      <w:jc w:val="center"/>
    </w:pPr>
    <w:rPr>
      <w:rFonts w:ascii="华文细黑" w:hAnsi="华文细黑"/>
      <w:szCs w:val="22"/>
    </w:rPr>
  </w:style>
  <w:style w:type="paragraph" w:styleId="1010" w:customStyle="1">
    <w:name w:val="Char"/>
    <w:basedOn w:val="684"/>
    <w:uiPriority w:val="0"/>
    <w:qFormat/>
    <w:pPr>
      <w:jc w:val="left"/>
      <w:spacing w:after="160" w:line="240" w:lineRule="exact"/>
      <w:widowControl/>
    </w:pPr>
    <w:rPr>
      <w:rFonts w:ascii="Verdana" w:hAnsi="Verdana"/>
      <w:sz w:val="20"/>
      <w:szCs w:val="20"/>
      <w:lang w:eastAsia="en-US"/>
    </w:rPr>
  </w:style>
  <w:style w:type="paragraph" w:styleId="1011" w:customStyle="1">
    <w:name w:val="Default"/>
    <w:uiPriority w:val="0"/>
    <w:qFormat/>
    <w:pPr>
      <w:widowControl w:val="off"/>
    </w:pPr>
    <w:rPr>
      <w:rFonts w:hint="default" w:ascii="宋体" w:hAnsi="Times New Roman" w:eastAsia="宋体" w:cs="宋体"/>
      <w:color w:val="000000"/>
      <w:sz w:val="24"/>
      <w:szCs w:val="24"/>
    </w:rPr>
  </w:style>
  <w:style w:type="paragraph" w:styleId="1012" w:customStyle="1">
    <w:name w:val="列出段落2"/>
    <w:basedOn w:val="684"/>
    <w:uiPriority w:val="99"/>
    <w:qFormat/>
    <w:pPr>
      <w:ind w:firstLine="420"/>
    </w:pPr>
  </w:style>
  <w:style w:type="paragraph" w:styleId="1013" w:customStyle="1">
    <w:name w:val="6'"/>
    <w:basedOn w:val="684"/>
    <w:uiPriority w:val="0"/>
    <w:qFormat/>
    <w:pPr>
      <w:jc w:val="center"/>
      <w:spacing w:line="320" w:lineRule="exact"/>
    </w:pPr>
    <w:rPr>
      <w:rFonts w:ascii="Calibri" w:hAnsi="Calibri"/>
      <w:spacing w:val="20"/>
      <w:szCs w:val="22"/>
    </w:rPr>
  </w:style>
  <w:style w:type="paragraph" w:styleId="1014" w:customStyle="1">
    <w:name w:val="Char Char Char Char Char Char Char"/>
    <w:basedOn w:val="684"/>
    <w:uiPriority w:val="0"/>
    <w:qFormat/>
    <w:pPr>
      <w:spacing w:line="360" w:lineRule="auto"/>
    </w:pPr>
    <w:rPr>
      <w:sz w:val="24"/>
      <w:szCs w:val="20"/>
    </w:rPr>
  </w:style>
  <w:style w:type="paragraph" w:styleId="1015" w:customStyle="1">
    <w:name w:val="2方案格式2"/>
    <w:basedOn w:val="995"/>
    <w:uiPriority w:val="0"/>
    <w:qFormat/>
    <w:pPr>
      <w:numPr>
        <w:ilvl w:val="1"/>
      </w:numPr>
      <w:spacing w:before="50" w:after="50" w:line="240" w:lineRule="auto"/>
      <w:outlineLvl w:val="1"/>
    </w:pPr>
    <w:rPr>
      <w:sz w:val="44"/>
    </w:rPr>
  </w:style>
  <w:style w:type="paragraph" w:styleId="1016" w:customStyle="1">
    <w:name w:val="无间隔1"/>
    <w:uiPriority w:val="0"/>
    <w:qFormat/>
    <w:pPr>
      <w:jc w:val="both"/>
      <w:widowControl w:val="off"/>
    </w:pPr>
    <w:rPr>
      <w:rFonts w:hint="default" w:ascii="Calibri" w:hAnsi="Calibri" w:eastAsia="宋体" w:cs="Times New Roman"/>
      <w:sz w:val="21"/>
      <w:szCs w:val="22"/>
    </w:rPr>
  </w:style>
  <w:style w:type="paragraph" w:styleId="1017" w:customStyle="1">
    <w:name w:val="文档正文"/>
    <w:basedOn w:val="684"/>
    <w:uiPriority w:val="0"/>
    <w:qFormat/>
    <w:pPr>
      <w:ind w:firstLine="567"/>
      <w:spacing w:line="480" w:lineRule="atLeast"/>
    </w:pPr>
    <w:rPr>
      <w:rFonts w:ascii="Ari" w:eastAsia="Ari"/>
      <w:sz w:val="28"/>
      <w:szCs w:val="20"/>
    </w:rPr>
  </w:style>
  <w:style w:type="paragraph" w:styleId="1018" w:customStyle="1">
    <w:name w:val="txt"/>
    <w:basedOn w:val="684"/>
    <w:uiPriority w:val="0"/>
    <w:qFormat/>
    <w:pPr>
      <w:jc w:val="left"/>
      <w:spacing w:before="100" w:beforeAutospacing="1" w:after="100" w:afterAutospacing="1"/>
      <w:widowControl/>
    </w:pPr>
    <w:rPr>
      <w:rFonts w:ascii="宋体" w:hAnsi="宋体" w:cs="宋体"/>
      <w:sz w:val="24"/>
    </w:rPr>
  </w:style>
  <w:style w:type="paragraph" w:styleId="1019" w:customStyle="1">
    <w:name w:val="目录 4_0"/>
    <w:basedOn w:val="910"/>
    <w:next w:val="910"/>
    <w:uiPriority w:val="39"/>
    <w:qFormat/>
    <w:pPr>
      <w:ind w:left="1260"/>
    </w:pPr>
    <w:rPr>
      <w:rFonts w:ascii="Calibri" w:hAnsi="Calibri"/>
    </w:rPr>
  </w:style>
  <w:style w:type="paragraph" w:styleId="1020" w:customStyle="1">
    <w:name w:val="目录 3_0"/>
    <w:basedOn w:val="910"/>
    <w:next w:val="910"/>
    <w:uiPriority w:val="39"/>
    <w:qFormat/>
    <w:pPr>
      <w:ind w:left="840"/>
    </w:pPr>
    <w:rPr>
      <w:rFonts w:ascii="Calibri" w:hAnsi="Calibri"/>
    </w:rPr>
  </w:style>
  <w:style w:type="paragraph" w:styleId="1021" w:customStyle="1">
    <w:name w:val="样式 标题 1 + 黑体 三号 非加粗 居中 段前: 6 磅 段后: 6 磅 行距: 固定值 20 磅"/>
    <w:basedOn w:val="685"/>
    <w:uiPriority w:val="0"/>
    <w:qFormat/>
    <w:pPr>
      <w:numPr>
        <w:numId w:val="0"/>
      </w:numPr>
      <w:spacing w:before="120" w:after="120" w:line="400" w:lineRule="exact"/>
    </w:pPr>
    <w:rPr>
      <w:rFonts w:ascii="黑体" w:hAnsi="黑体" w:eastAsia="黑体"/>
      <w:b w:val="0"/>
      <w:bCs w:val="0"/>
      <w:szCs w:val="20"/>
    </w:rPr>
  </w:style>
  <w:style w:type="paragraph" w:styleId="1022" w:customStyle="1">
    <w:name w:val="1"/>
    <w:basedOn w:val="684"/>
    <w:next w:val="684"/>
    <w:uiPriority w:val="0"/>
    <w:qFormat/>
    <w:rPr>
      <w:rFonts w:ascii="Calibri" w:hAnsi="Calibri"/>
      <w:szCs w:val="22"/>
    </w:rPr>
  </w:style>
  <w:style w:type="paragraph" w:styleId="1023" w:customStyle="1">
    <w:name w:val="Blockquote_0"/>
    <w:basedOn w:val="910"/>
    <w:uiPriority w:val="0"/>
    <w:qFormat/>
    <w:pPr>
      <w:ind w:left="360" w:right="360"/>
      <w:jc w:val="left"/>
      <w:spacing w:before="100" w:after="100"/>
    </w:pPr>
    <w:rPr>
      <w:rFonts w:ascii="Calibri" w:hAnsi="Calibri" w:eastAsia="Times New Roman"/>
      <w:sz w:val="24"/>
      <w:szCs w:val="20"/>
    </w:rPr>
  </w:style>
  <w:style w:type="paragraph" w:styleId="1024" w:customStyle="1">
    <w:name w:val="列出段落11"/>
    <w:basedOn w:val="684"/>
    <w:uiPriority w:val="0"/>
    <w:qFormat/>
    <w:pPr>
      <w:contextualSpacing/>
      <w:ind w:left="720"/>
      <w:jc w:val="left"/>
      <w:widowControl/>
    </w:pPr>
    <w:rPr>
      <w:rFonts w:ascii="Arial" w:hAnsi="Arial" w:eastAsia="黑体"/>
      <w:sz w:val="24"/>
      <w:lang w:eastAsia="en-US"/>
    </w:rPr>
  </w:style>
  <w:style w:type="paragraph" w:styleId="1025" w:customStyle="1">
    <w:name w:val="样式 标题 2 + Times New Roman 四号 非加粗 段前: 5 磅 段后: 0 磅 行距: 固定值 20..._0"/>
    <w:basedOn w:val="684"/>
    <w:uiPriority w:val="0"/>
    <w:qFormat/>
    <w:pPr>
      <w:keepLines/>
      <w:keepNext/>
      <w:spacing w:before="100" w:line="360" w:lineRule="auto"/>
      <w:outlineLvl w:val="1"/>
    </w:pPr>
    <w:rPr>
      <w:rFonts w:eastAsia="Times New Roman" w:cs="宋体"/>
      <w:sz w:val="28"/>
      <w:szCs w:val="20"/>
    </w:rPr>
  </w:style>
  <w:style w:type="paragraph" w:styleId="1026" w:customStyle="1">
    <w:name w:val="op_mapdots_left"/>
    <w:basedOn w:val="684"/>
    <w:uiPriority w:val="0"/>
    <w:qFormat/>
    <w:pPr>
      <w:jc w:val="left"/>
      <w:spacing w:before="100" w:beforeAutospacing="1" w:after="100" w:afterAutospacing="1"/>
      <w:widowControl/>
    </w:pPr>
    <w:rPr>
      <w:rFonts w:ascii="宋体" w:hAnsi="宋体" w:cs="宋体"/>
      <w:sz w:val="24"/>
    </w:rPr>
  </w:style>
  <w:style w:type="paragraph" w:styleId="1027" w:customStyle="1">
    <w:name w:val="p0"/>
    <w:basedOn w:val="684"/>
    <w:uiPriority w:val="0"/>
    <w:qFormat/>
    <w:pPr>
      <w:widowControl/>
    </w:pPr>
    <w:rPr>
      <w:b/>
      <w:bCs/>
      <w:sz w:val="24"/>
    </w:rPr>
  </w:style>
  <w:style w:type="paragraph" w:styleId="1028" w:customStyle="1">
    <w:name w:val="Blockquote"/>
    <w:basedOn w:val="684"/>
    <w:uiPriority w:val="0"/>
    <w:qFormat/>
    <w:pPr>
      <w:ind w:left="360" w:right="360"/>
      <w:jc w:val="left"/>
      <w:spacing w:before="100" w:after="100"/>
    </w:pPr>
    <w:rPr>
      <w:rFonts w:ascii="Calibri" w:hAnsi="Calibri"/>
      <w:sz w:val="24"/>
      <w:szCs w:val="22"/>
    </w:rPr>
  </w:style>
  <w:style w:type="paragraph" w:styleId="1029" w:customStyle="1">
    <w:name w:val="3方案格式3"/>
    <w:basedOn w:val="1015"/>
    <w:uiPriority w:val="0"/>
    <w:qFormat/>
    <w:pPr>
      <w:numPr>
        <w:ilvl w:val="2"/>
      </w:numPr>
      <w:outlineLvl w:val="2"/>
    </w:pPr>
    <w:rPr>
      <w:sz w:val="32"/>
    </w:rPr>
  </w:style>
  <w:style w:type="paragraph" w:styleId="1030" w:customStyle="1">
    <w:name w:val="样式 标题 2 + Times New Roman 四号 非加粗 段前: 5 磅 段后: 0 磅 行距: 固定值 20..."/>
    <w:basedOn w:val="68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31" w:customStyle="1">
    <w:name w:val="标题2"/>
    <w:basedOn w:val="686"/>
    <w:next w:val="703"/>
    <w:uiPriority w:val="0"/>
    <w:qFormat/>
    <w:pPr>
      <w:spacing w:before="156" w:after="156" w:line="360" w:lineRule="auto"/>
    </w:pPr>
    <w:rPr>
      <w:bCs w:val="0"/>
      <w:sz w:val="24"/>
    </w:rPr>
  </w:style>
  <w:style w:type="paragraph" w:styleId="1032" w:customStyle="1">
    <w:name w:val="普通正文"/>
    <w:basedOn w:val="684"/>
    <w:uiPriority w:val="0"/>
    <w:qFormat/>
    <w:pPr>
      <w:ind w:firstLine="480"/>
      <w:jc w:val="left"/>
      <w:spacing w:before="120" w:after="120" w:line="360" w:lineRule="auto"/>
    </w:pPr>
    <w:rPr>
      <w:rFonts w:ascii="Arial" w:hAnsi="Arial"/>
      <w:sz w:val="24"/>
    </w:rPr>
  </w:style>
  <w:style w:type="paragraph" w:styleId="1033" w:customStyle="1">
    <w:name w:val="正文11"/>
    <w:uiPriority w:val="0"/>
    <w:qFormat/>
    <w:rPr>
      <w:rFonts w:hint="default" w:ascii="Calibri" w:hAnsi="Calibri" w:eastAsia="宋体" w:cs="Calibri"/>
      <w:sz w:val="24"/>
      <w:szCs w:val="24"/>
    </w:rPr>
  </w:style>
  <w:style w:type="paragraph" w:styleId="1034" w:customStyle="1">
    <w:name w:val="正文2"/>
    <w:uiPriority w:val="0"/>
    <w:qFormat/>
    <w:rPr>
      <w:rFonts w:hint="default" w:ascii="Times New Roman" w:hAnsi="Times New Roman" w:eastAsia="微软雅黑" w:cs="Times New Roman"/>
      <w:sz w:val="24"/>
      <w:szCs w:val="24"/>
    </w:rPr>
  </w:style>
  <w:style w:type="paragraph" w:styleId="1035" w:customStyle="1">
    <w:name w:val="列出段落3"/>
    <w:basedOn w:val="684"/>
    <w:uiPriority w:val="34"/>
    <w:qFormat/>
    <w:pPr>
      <w:ind w:firstLine="420"/>
      <w:jc w:val="left"/>
      <w:spacing w:after="200"/>
      <w:widowControl/>
    </w:pPr>
    <w:rPr>
      <w:rFonts w:ascii="Tahoma" w:hAnsi="Tahoma" w:eastAsia="微软雅黑"/>
      <w:sz w:val="22"/>
      <w:szCs w:val="22"/>
    </w:rPr>
  </w:style>
  <w:style w:type="paragraph" w:styleId="1036" w:customStyle="1">
    <w:name w:val="纯文本2"/>
    <w:basedOn w:val="684"/>
    <w:uiPriority w:val="0"/>
    <w:qFormat/>
    <w:pPr>
      <w:jc w:val="left"/>
    </w:pPr>
    <w:rPr>
      <w:rFonts w:hint="eastAsia" w:ascii="宋体" w:hAnsi="宋体" w:cs="Courier New"/>
      <w:sz w:val="24"/>
      <w:szCs w:val="20"/>
      <w:lang w:bidi="hi-IN"/>
    </w:rPr>
  </w:style>
  <w:style w:type="character" w:styleId="1037" w:customStyle="1">
    <w:name w:val="表格文字 字符"/>
    <w:link w:val="1006"/>
    <w:uiPriority w:val="0"/>
    <w:qFormat/>
    <w:rPr>
      <w:rFonts w:ascii="Calibri" w:hAnsi="Calibri" w:eastAsia="宋体" w:cs="Times New Roman"/>
      <w:sz w:val="21"/>
      <w:szCs w:val="22"/>
    </w:rPr>
  </w:style>
  <w:style w:type="paragraph" w:styleId="1038" w:customStyle="1">
    <w:name w:val="trs_editor"/>
    <w:basedOn w:val="684"/>
    <w:uiPriority w:val="0"/>
    <w:qFormat/>
    <w:pPr>
      <w:jc w:val="left"/>
      <w:spacing w:before="100" w:beforeAutospacing="1" w:after="100" w:afterAutospacing="1"/>
      <w:widowControl/>
    </w:pPr>
    <w:rPr>
      <w:rFonts w:ascii="宋体" w:hAnsi="宋体" w:cs="宋体"/>
      <w:sz w:val="24"/>
    </w:rPr>
  </w:style>
  <w:style w:type="paragraph" w:styleId="1039" w:customStyle="1">
    <w:name w:val="标题二级"/>
    <w:basedOn w:val="684"/>
    <w:uiPriority w:val="0"/>
    <w:qFormat/>
    <w:pPr>
      <w:ind w:firstLine="412"/>
    </w:pPr>
    <w:rPr>
      <w:rFonts w:ascii="宋体" w:hAnsi="宋体"/>
      <w:szCs w:val="21"/>
    </w:rPr>
  </w:style>
  <w:style w:type="paragraph" w:styleId="1040" w:customStyle="1">
    <w:name w:val="修订2"/>
    <w:hidden/>
    <w:uiPriority w:val="99"/>
    <w:semiHidden/>
    <w:qFormat/>
    <w:rPr>
      <w:rFonts w:hint="default" w:ascii="Times New Roman" w:hAnsi="Times New Roman" w:eastAsia="宋体" w:cs="Times New Roman"/>
      <w:sz w:val="21"/>
      <w:szCs w:val="24"/>
    </w:rPr>
  </w:style>
  <w:style w:type="paragraph" w:styleId="1041" w:customStyle="1">
    <w:name w:val="修订3"/>
    <w:hidden/>
    <w:uiPriority w:val="99"/>
    <w:semiHidden/>
    <w:qFormat/>
    <w:rPr>
      <w:rFonts w:hint="default" w:ascii="Times New Roman" w:hAnsi="Times New Roman" w:eastAsia="宋体" w:cs="Times New Roman"/>
      <w:sz w:val="21"/>
      <w:szCs w:val="24"/>
    </w:rPr>
  </w:style>
  <w:style w:type="character" w:styleId="1042" w:customStyle="1">
    <w:name w:val="无"/>
    <w:uiPriority w:val="0"/>
    <w:qFormat/>
  </w:style>
  <w:style w:type="paragraph" w:styleId="1043" w:customStyle="1">
    <w:name w:val="Heading #2|1"/>
    <w:basedOn w:val="684"/>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44" w:customStyle="1">
    <w:name w:val="Body text|1"/>
    <w:basedOn w:val="684"/>
    <w:uiPriority w:val="0"/>
    <w:qFormat/>
    <w:pPr>
      <w:ind w:firstLine="400"/>
      <w:spacing w:line="401" w:lineRule="auto"/>
    </w:pPr>
    <w:rPr>
      <w:rFonts w:ascii="宋体" w:hAnsi="宋体" w:cs="宋体"/>
      <w:sz w:val="30"/>
      <w:szCs w:val="30"/>
      <w:lang w:val="zh-TW" w:eastAsia="zh-TW" w:bidi="zh-TW"/>
    </w:rPr>
  </w:style>
  <w:style w:type="paragraph" w:styleId="1045" w:customStyle="1">
    <w:name w:val="_Style 1931"/>
    <w:basedOn w:val="684"/>
    <w:next w:val="751"/>
    <w:uiPriority w:val="34"/>
    <w:qFormat/>
    <w:pPr>
      <w:ind w:firstLine="420"/>
    </w:pPr>
  </w:style>
  <w:style w:type="paragraph" w:styleId="1046" w:customStyle="1">
    <w:name w:val="段落"/>
    <w:basedOn w:val="684"/>
    <w:uiPriority w:val="0"/>
    <w:qFormat/>
    <w:pPr>
      <w:ind w:firstLine="480"/>
      <w:spacing w:line="460" w:lineRule="exact"/>
    </w:pPr>
    <w:rPr>
      <w:rFonts w:ascii="Calibri" w:hAnsi="Calibri"/>
      <w:sz w:val="24"/>
      <w:szCs w:val="20"/>
    </w:rPr>
  </w:style>
  <w:style w:type="paragraph" w:styleId="1047" w:customStyle="1">
    <w:name w:val="首行缩进"/>
    <w:basedOn w:val="684"/>
    <w:uiPriority w:val="0"/>
    <w:qFormat/>
    <w:pPr>
      <w:ind w:firstLine="480"/>
      <w:spacing w:line="360" w:lineRule="auto"/>
    </w:pPr>
    <w:rPr>
      <w:rFonts w:ascii="宋体" w:hAnsi="宋体" w:cs="宋体"/>
      <w:sz w:val="24"/>
    </w:rPr>
  </w:style>
  <w:style w:type="paragraph" w:styleId="1048" w:customStyle="1">
    <w:name w:val="列出段落4"/>
    <w:basedOn w:val="684"/>
    <w:uiPriority w:val="99"/>
    <w:unhideWhenUsed/>
    <w:qFormat/>
    <w:pPr>
      <w:ind w:firstLine="420"/>
      <w:spacing w:line="360" w:lineRule="auto"/>
    </w:pPr>
    <w:rPr>
      <w:rFonts w:ascii="Calibri" w:hAnsi="Calibri" w:eastAsia="仿宋_GB2312"/>
      <w:sz w:val="32"/>
      <w:szCs w:val="22"/>
    </w:rPr>
  </w:style>
  <w:style w:type="paragraph" w:styleId="1049" w:customStyle="1">
    <w:name w:val="修订4"/>
    <w:hidden/>
    <w:uiPriority w:val="99"/>
    <w:semiHidden/>
    <w:qFormat/>
    <w:rPr>
      <w:rFonts w:hint="default" w:ascii="Times New Roman" w:hAnsi="Times New Roman" w:eastAsia="宋体" w:cs="Times New Roman"/>
      <w:sz w:val="21"/>
      <w:szCs w:val="24"/>
    </w:rPr>
  </w:style>
  <w:style w:type="paragraph" w:styleId="1050" w:customStyle="1">
    <w:name w:val="正文 A"/>
    <w:next w:val="703"/>
    <w:uiPriority w:val="0"/>
    <w:qFormat/>
    <w:pPr>
      <w:jc w:val="both"/>
      <w:widowControl w:val="off"/>
    </w:pPr>
    <w:rPr>
      <w:rFonts w:hint="default" w:ascii="Times New Roman" w:hAnsi="Times New Roman" w:eastAsia="ヒラギノ角ゴ Pro W3" w:cs="Times New Roman"/>
      <w:color w:val="000000"/>
      <w:sz w:val="21"/>
    </w:rPr>
  </w:style>
  <w:style w:type="paragraph" w:styleId="1051" w:customStyle="1">
    <w:name w:val="修订5"/>
    <w:hidden/>
    <w:uiPriority w:val="99"/>
    <w:unhideWhenUsed/>
    <w:qFormat/>
    <w:rPr>
      <w:rFonts w:hint="default" w:ascii="Times New Roman" w:hAnsi="Times New Roman" w:eastAsia="宋体" w:cs="Times New Roman"/>
      <w:sz w:val="21"/>
      <w:szCs w:val="24"/>
    </w:rPr>
  </w:style>
  <w:style w:type="character" w:styleId="1052" w:customStyle="1">
    <w:name w:val="正文首行缩进 2 Char"/>
    <w:basedOn w:val="921"/>
    <w:link w:val="732"/>
    <w:uiPriority w:val="99"/>
    <w:semiHidden/>
    <w:qFormat/>
    <w:rPr>
      <w:sz w:val="21"/>
      <w:szCs w:val="24"/>
    </w:rPr>
  </w:style>
  <w:style w:type="paragraph" w:styleId="1053" w:customStyle="1">
    <w:name w:val="正文文本首行缩进 2"/>
    <w:basedOn w:val="704"/>
    <w:uiPriority w:val="99"/>
    <w:qFormat/>
    <w:pPr>
      <w:ind w:left="0" w:firstLine="420"/>
      <w:jc w:val="center"/>
      <w:spacing w:after="0" w:line="360" w:lineRule="auto"/>
      <w:tabs>
        <w:tab w:val="left" w:pos="0" w:leader="none"/>
        <w:tab w:val="left" w:pos="993" w:leader="none"/>
        <w:tab w:val="left" w:pos="1134" w:leader="none"/>
      </w:tabs>
    </w:pPr>
    <w:rPr>
      <w:rFonts w:ascii="宋体" w:hAnsi="宋体"/>
      <w:sz w:val="24"/>
      <w:szCs w:val="21"/>
    </w:rPr>
  </w:style>
  <w:style w:type="paragraph" w:styleId="1054" w:customStyle="1">
    <w:name w:val="纯文本1"/>
    <w:basedOn w:val="684"/>
    <w:uiPriority w:val="0"/>
    <w:qFormat/>
    <w:rPr>
      <w:rFonts w:ascii="宋体" w:hAnsi="Courier New"/>
    </w:rPr>
  </w:style>
  <w:style w:type="paragraph" w:styleId="1055" w:customStyle="1">
    <w:name w:val="普通(网站)12"/>
    <w:basedOn w:val="684"/>
    <w:uiPriority w:val="99"/>
    <w:unhideWhenUsed/>
    <w:qFormat/>
    <w:pPr>
      <w:ind w:left="0" w:right="0"/>
      <w:jc w:val="left"/>
      <w:spacing w:before="100" w:beforeAutospacing="1" w:after="100" w:afterAutospacing="1"/>
    </w:pPr>
    <w:rPr>
      <w:sz w:val="24"/>
      <w:lang w:val="en-US" w:eastAsia="zh-CN" w:bidi="ar"/>
    </w:rPr>
  </w:style>
  <w:style w:type="table" w:styleId="1056" w:customStyle="1">
    <w:name w:val="Table Normal"/>
    <w:uiPriority w:val="0"/>
    <w:unhideWhenUsed/>
    <w:qFormat/>
    <w:tblPr>
      <w:tblCellMar>
        <w:left w:w="0" w:type="dxa"/>
        <w:top w:w="0" w:type="dxa"/>
        <w:right w:w="0" w:type="dxa"/>
        <w:bottom w:w="0" w:type="dxa"/>
      </w:tblCellMar>
    </w:tblPr>
  </w:style>
  <w:style w:type="paragraph" w:styleId="1057" w:customStyle="1">
    <w:name w:val="Table Text"/>
    <w:basedOn w:val="684"/>
    <w:uiPriority w:val="0"/>
    <w:semiHidden/>
    <w:qFormat/>
    <w:rPr>
      <w:rFonts w:ascii="宋体" w:hAnsi="宋体" w:eastAsia="宋体" w:cs="宋体"/>
      <w:sz w:val="21"/>
      <w:szCs w:val="21"/>
      <w:lang w:val="en-US" w:eastAsia="en-US" w:bidi="ar-SA"/>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张杨</cp:lastModifiedBy>
  <cp:revision>34</cp:revision>
  <dcterms:created xsi:type="dcterms:W3CDTF">2024-12-10T05:33:00Z</dcterms:created>
  <dcterms:modified xsi:type="dcterms:W3CDTF">2026-07-27T02:40:45Z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3E4D82CADAE046079F5CD8FCC52A6A15_13</vt:lpwstr>
  </property>
  <property fmtid="{D5CDD505-2E9C-101B-9397-08002B2CF9AE}" pid="4" name="KSOTemplateDocerSaveRecord">
    <vt:lpwstr>eyJoZGlkIjoiOTVmMDVjMzllOTFlNTRlYTNhMGJiZDE4ZDBmNjMxZmYiLCJ1c2VySWQiOiIxNjYyMzY2NDUyIn0=</vt:lpwstr>
  </property>
</Properties>
</file>