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3"/>
        <w:rPr>
          <w:rFonts w:hint="eastAsia"/>
        </w:rPr>
      </w:pPr>
      <w:r>
        <w:rPr>
          <w:rFonts w:hint="eastAsia"/>
        </w:rPr>
      </w:r>
      <w:r/>
    </w:p>
    <w:p>
      <w:pPr>
        <w:pStyle w:val="96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0"/>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南京市梅山高级中学等多校教学多媒体设备</w:t>
      </w:r>
      <w:r>
        <w:rPr>
          <w:rFonts w:eastAsia="宋体" w:cs="Times New Roman"/>
          <w:b/>
          <w:color w:val="000000"/>
          <w:sz w:val="30"/>
          <w:szCs w:val="30"/>
          <w:u w:val="single"/>
          <w:lang w:val="en-US" w:eastAsia="zh-CN"/>
        </w:rPr>
      </w:r>
      <w:r/>
    </w:p>
    <w:p>
      <w:pPr>
        <w:pStyle w:val="870"/>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0264</w:t>
      </w:r>
      <w:r>
        <w:rPr>
          <w:rFonts w:eastAsia="宋体" w:cs="Times New Roman"/>
          <w:b/>
          <w:color w:val="000000"/>
          <w:sz w:val="30"/>
          <w:szCs w:val="30"/>
          <w:lang w:val="en-US" w:eastAsia="zh-CN"/>
        </w:rPr>
      </w:r>
      <w:r/>
    </w:p>
    <w:p>
      <w:pPr>
        <w:pStyle w:val="870"/>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2"/>
        <w:rPr>
          <w:rFonts w:hint="eastAsia"/>
          <w:color w:val="000000"/>
        </w:rPr>
      </w:pPr>
      <w:r>
        <w:rPr>
          <w:rFonts w:hint="eastAsia"/>
          <w:color w:val="000000"/>
        </w:rPr>
      </w:r>
      <w:r/>
    </w:p>
    <w:p>
      <w:pPr>
        <w:pStyle w:val="870"/>
        <w:jc w:val="left"/>
        <w:spacing w:line="360" w:lineRule="auto"/>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 </w:t>
      </w:r>
      <w:r>
        <w:rPr>
          <w:rFonts w:hint="eastAsia" w:ascii="宋体" w:hAnsi="宋体" w:eastAsia="宋体"/>
          <w:color w:val="000000"/>
          <w:sz w:val="24"/>
          <w:szCs w:val="24"/>
          <w:lang w:val="en-US" w:eastAsia="zh-CN"/>
        </w:rPr>
      </w:r>
      <w:r/>
    </w:p>
    <w:p>
      <w:pPr>
        <w:pStyle w:val="8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0"/>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87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0"/>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0"/>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0"/>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87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40</w:t>
      </w:r>
      <w:r>
        <w:rPr>
          <w:rFonts w:hint="eastAsia" w:ascii="黑体" w:hAnsi="宋体" w:eastAsia="黑体" w:cs="Times New Roman"/>
          <w:color w:val="000000"/>
          <w:sz w:val="36"/>
          <w:szCs w:val="21"/>
        </w:rPr>
      </w:r>
      <w:r/>
    </w:p>
    <w:p>
      <w:pPr>
        <w:pStyle w:val="870"/>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0"/>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0"/>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0"/>
        <w:ind w:firstLine="480"/>
        <w:pageBreakBefore w:val="0"/>
        <w:spacing w:line="252" w:lineRule="auto"/>
        <w:widowControl w:val="off"/>
        <w:rPr>
          <w:rFonts w:hint="eastAsia" w:ascii="Times New Roman" w:hAnsi="Times New Roman" w:eastAsia="宋体" w:cs="Times New Roman"/>
          <w:sz w:val="24"/>
          <w:szCs w:val="24"/>
          <w:lang w:eastAsia="zh-CN"/>
        </w:rPr>
      </w:pPr>
      <w:r/>
      <w:bookmarkEnd w:id="11"/>
      <w:r/>
      <w:bookmarkStart w:id="12" w:name="_Toc28359003"/>
      <w:r/>
      <w:bookmarkStart w:id="13" w:name="_Toc38985264"/>
      <w:r/>
      <w:bookmarkStart w:id="14" w:name="_Toc28359080"/>
      <w:r/>
      <w:bookmarkStart w:id="15" w:name="_Toc35393791"/>
      <w:r/>
      <w:bookmarkStart w:id="16" w:name="_Toc35393622"/>
      <w:r>
        <w:rPr>
          <w:rFonts w:hint="eastAsia" w:ascii="Times New Roman" w:hAnsi="Times New Roman" w:eastAsia="宋体" w:cs="Times New Roman"/>
          <w:sz w:val="24"/>
          <w:szCs w:val="24"/>
          <w:lang w:eastAsia="zh-CN"/>
        </w:rPr>
        <w:t xml:space="preserve">1.项目编号：JSZC-3201</w:t>
      </w:r>
      <w:r>
        <w:rPr>
          <w:rFonts w:hint="eastAsia" w:ascii="Times New Roman" w:hAnsi="Times New Roman" w:eastAsia="宋体" w:cs="Times New Roman"/>
          <w:sz w:val="24"/>
          <w:szCs w:val="24"/>
          <w:lang w:val="en-US" w:eastAsia="zh-CN"/>
        </w:rPr>
        <w:t xml:space="preserve">00</w:t>
      </w:r>
      <w:r>
        <w:rPr>
          <w:rFonts w:hint="eastAsia" w:ascii="Times New Roman" w:hAnsi="Times New Roman" w:eastAsia="宋体" w:cs="Times New Roman"/>
          <w:sz w:val="24"/>
          <w:szCs w:val="24"/>
          <w:lang w:eastAsia="zh-CN"/>
        </w:rPr>
        <w:t xml:space="preserve">-JZCG-G20</w:t>
      </w:r>
      <w:r>
        <w:rPr>
          <w:rFonts w:hint="eastAsia" w:ascii="Times New Roman" w:hAnsi="Times New Roman" w:eastAsia="宋体" w:cs="Times New Roman"/>
          <w:sz w:val="24"/>
          <w:szCs w:val="24"/>
          <w:lang w:val="en-US" w:eastAsia="zh-CN"/>
        </w:rPr>
        <w:t xml:space="preserve">26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0264</w:t>
      </w:r>
      <w:r>
        <w:rPr>
          <w:rFonts w:hint="eastAsia" w:ascii="Times New Roman" w:hAnsi="Times New Roman" w:eastAsia="宋体" w:cs="Times New Roman"/>
          <w:sz w:val="24"/>
          <w:szCs w:val="24"/>
          <w:lang w:eastAsia="zh-CN"/>
        </w:rPr>
        <w:t xml:space="preserve"> </w:t>
      </w:r>
      <w:r>
        <w:rPr>
          <w:rFonts w:hint="eastAsia" w:ascii="Times New Roman" w:hAnsi="Times New Roman" w:eastAsia="宋体" w:cs="Times New Roman"/>
          <w:sz w:val="24"/>
          <w:szCs w:val="24"/>
          <w:lang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2.项目名称：南京市梅山高级中学等多校教学多媒体设备</w:t>
      </w:r>
      <w:r>
        <w:rPr>
          <w:rFonts w:hint="eastAsia" w:ascii="Times New Roman" w:hAnsi="Times New Roman" w:eastAsia="宋体" w:cs="Times New Roman"/>
          <w:sz w:val="24"/>
          <w:szCs w:val="24"/>
          <w:lang w:eastAsia="zh-CN"/>
        </w:rPr>
      </w:r>
      <w:r/>
    </w:p>
    <w:p>
      <w:pPr>
        <w:pStyle w:val="870"/>
        <w:ind w:firstLine="480"/>
        <w:pageBreakBefore w:val="0"/>
        <w:spacing w:line="252" w:lineRule="auto"/>
        <w:widowControl w:val="off"/>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3.预算金额：</w:t>
      </w:r>
      <w:r>
        <w:rPr>
          <w:rFonts w:hint="eastAsia" w:ascii="Times New Roman" w:hAnsi="Times New Roman" w:eastAsia="宋体" w:cs="Times New Roman"/>
          <w:sz w:val="24"/>
          <w:szCs w:val="24"/>
          <w:lang w:val="en-US" w:eastAsia="zh-CN"/>
        </w:rPr>
        <w:t xml:space="preserve">131.1万元</w:t>
      </w:r>
      <w:r>
        <w:rPr>
          <w:rFonts w:ascii="Times New Roman" w:hAnsi="Times New Roman" w:eastAsia="宋体" w:cs="Times New Roman"/>
          <w:sz w:val="24"/>
          <w:szCs w:val="24"/>
          <w:lang w:val="en-US"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4.最高限价：</w:t>
      </w:r>
      <w:r>
        <w:rPr>
          <w:rFonts w:hint="eastAsia" w:ascii="Times New Roman" w:hAnsi="Times New Roman" w:eastAsia="宋体" w:cs="Times New Roman"/>
          <w:sz w:val="24"/>
          <w:szCs w:val="24"/>
          <w:lang w:val="en-US" w:eastAsia="zh-CN"/>
        </w:rPr>
        <w:t xml:space="preserve">131.1万元</w:t>
      </w:r>
      <w:r>
        <w:rPr>
          <w:rFonts w:hint="eastAsia" w:ascii="Times New Roman" w:hAnsi="Times New Roman" w:eastAsia="宋体" w:cs="Times New Roman"/>
          <w:sz w:val="24"/>
          <w:szCs w:val="24"/>
          <w:lang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5.采购需求（简介）：</w:t>
      </w:r>
      <w:r>
        <w:rPr>
          <w:rFonts w:hint="eastAsia" w:ascii="Times New Roman" w:hAnsi="Times New Roman" w:eastAsia="宋体" w:cs="Times New Roman"/>
          <w:sz w:val="24"/>
          <w:szCs w:val="24"/>
          <w:lang w:val="en-US" w:eastAsia="zh-CN"/>
        </w:rPr>
        <w:t xml:space="preserve">根据学校需求配置智慧黑板、触控一体机、教学白板软件、教研管理平台、设备运维管理平台、无线展台、智慧交互屏、互联书写板、智能教鞭、智能教学话筒、多媒体教学音箱、AI算力终端、教师摄像机、学生摄像机、拾音麦克风、课堂分析系统、学生成长系统、移动支架等，满足学校的教学需要。</w:t>
      </w:r>
      <w:r>
        <w:rPr>
          <w:rFonts w:hint="eastAsia" w:ascii="Times New Roman" w:hAnsi="Times New Roman" w:eastAsia="宋体" w:cs="Times New Roman"/>
          <w:sz w:val="24"/>
          <w:szCs w:val="24"/>
          <w:lang w:eastAsia="zh-CN"/>
        </w:rPr>
        <w:t xml:space="preserve">（详细内容见本招标文件第四章） </w:t>
      </w:r>
      <w:r>
        <w:rPr>
          <w:rFonts w:hint="eastAsia" w:ascii="Times New Roman" w:hAnsi="Times New Roman" w:eastAsia="宋体" w:cs="Times New Roman"/>
          <w:sz w:val="24"/>
          <w:szCs w:val="24"/>
          <w:lang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6.合同履行期限：</w:t>
      </w:r>
      <w:r>
        <w:rPr>
          <w:rFonts w:hint="eastAsia" w:ascii="Times New Roman" w:hAnsi="Times New Roman" w:eastAsia="宋体" w:cs="Times New Roman"/>
          <w:sz w:val="24"/>
          <w:szCs w:val="24"/>
          <w:lang w:val="en-US" w:eastAsia="zh-CN"/>
        </w:rPr>
        <w:t xml:space="preserve">合同签订之日起30日历天内完成所有设备供货、安装、调试、深化设计、培训并通过验收。</w:t>
      </w:r>
      <w:r>
        <w:rPr>
          <w:rFonts w:hint="eastAsia" w:ascii="Times New Roman" w:hAnsi="Times New Roman" w:eastAsia="宋体" w:cs="Times New Roman"/>
          <w:sz w:val="24"/>
          <w:szCs w:val="24"/>
          <w:lang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7.本项目不接受联合体投标。</w:t>
      </w:r>
      <w:r>
        <w:rPr>
          <w:rFonts w:hint="eastAsia" w:ascii="Times New Roman" w:hAnsi="Times New Roman" w:eastAsia="宋体" w:cs="Times New Roman"/>
          <w:sz w:val="24"/>
          <w:szCs w:val="24"/>
          <w:lang w:val="en-US"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8.本项目不接受进口产品投标。</w:t>
      </w:r>
      <w:r>
        <w:rPr>
          <w:rFonts w:hint="eastAsia" w:ascii="Times New Roman" w:hAnsi="Times New Roman" w:eastAsia="宋体" w:cs="Times New Roman"/>
          <w:sz w:val="24"/>
          <w:szCs w:val="24"/>
          <w:lang w:val="en-US" w:eastAsia="zh-CN"/>
        </w:rPr>
      </w:r>
      <w:r/>
    </w:p>
    <w:p>
      <w:pPr>
        <w:pStyle w:val="870"/>
        <w:ind w:firstLine="480"/>
        <w:pageBreakBefore w:val="0"/>
        <w:spacing w:line="252" w:lineRule="auto"/>
        <w:widowControl w:val="off"/>
        <w:rPr>
          <w:rFonts w:hint="eastAsia" w:ascii="Times New Roman" w:hAnsi="Times New Roman" w:eastAsia="宋体" w:cs="Times New Roman"/>
          <w:sz w:val="24"/>
          <w:szCs w:val="24"/>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Times New Roman" w:hAnsi="Times New Roman" w:eastAsia="宋体" w:cs="Times New Roman"/>
          <w:sz w:val="24"/>
          <w:szCs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0"/>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38985265"/>
      <w:r/>
      <w:bookmarkStart w:id="19" w:name="_Toc28359081"/>
      <w:r/>
      <w:bookmarkStart w:id="20" w:name="_Toc28359004"/>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0"/>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ascii="SimSun" w:hAnsi="SimSun" w:eastAsia="SimSun" w:cs="SimSun"/>
          <w:color w:val="000000" w:themeColor="text1"/>
          <w:sz w:val="24"/>
        </w:rPr>
        <w:t xml:space="preserve">本项目专门面向中小微企业采购，投标人应为中小微企业或监狱企业或残疾人福利性单位，提供《中小企业声明函》或《残疾人福利性单位声明函》（格式见第六章）或监狱企业的证明文件。</w:t>
      </w:r>
      <w:r>
        <w:rPr>
          <w:rFonts w:hint="eastAsia" w:ascii="宋体" w:hAnsi="宋体" w:eastAsia="宋体"/>
          <w:color w:val="000000" w:themeColor="text1"/>
          <w:sz w:val="24"/>
          <w:szCs w:val="24"/>
          <w:highlight w:val="none"/>
          <w:lang w:val="zh-CN" w:eastAsia="zh-CN"/>
        </w:rPr>
      </w:r>
      <w:r/>
    </w:p>
    <w:p>
      <w:pPr>
        <w:pStyle w:val="870"/>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0"/>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0"/>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0"/>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8985267"/>
      <w:r/>
      <w:bookmarkStart w:id="29" w:name="_Toc35393794"/>
      <w:r/>
      <w:bookmarkStart w:id="30" w:name="_Toc28359007"/>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ascii="SimSun" w:hAnsi="SimSun" w:eastAsia="SimSun" w:cs="SimSun"/>
          <w:color w:val="000000"/>
          <w:sz w:val="24"/>
        </w:rPr>
        <w:t xml:space="preserve">2026年8月27日9时30分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0"/>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0"/>
        <w:ind w:firstLine="480"/>
        <w:pageBreakBefore w:val="0"/>
        <w:spacing w:line="252"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3"/>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0"/>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28359008"/>
      <w:r/>
      <w:bookmarkStart w:id="37" w:name="_Toc38985269"/>
      <w:r/>
      <w:bookmarkStart w:id="38" w:name="_Toc35393796"/>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0"/>
        <w:ind w:firstLine="480"/>
        <w:pageBreakBefore w:val="0"/>
        <w:spacing w:line="252" w:lineRule="auto"/>
        <w:widowControl w:val="off"/>
        <w:rPr>
          <w:rFonts w:hint="eastAsia" w:ascii="宋体" w:hAnsi="宋体" w:eastAsia="宋体" w:cs="宋体"/>
          <w:color w:val="0000ff"/>
          <w:sz w:val="24"/>
          <w:szCs w:val="24"/>
          <w:highlight w:val="none"/>
          <w:u w:val="none"/>
          <w:lang w:val="en-US" w:eastAsia="zh-CN"/>
        </w:rPr>
      </w:pPr>
      <w:r>
        <w:rPr>
          <w:rFonts w:hint="eastAsia" w:ascii="宋体" w:hAnsi="宋体"/>
          <w:sz w:val="24"/>
          <w:szCs w:val="24"/>
        </w:rPr>
      </w:r>
      <w:r>
        <w:rPr>
          <w:rFonts w:ascii="SimSun" w:hAnsi="SimSun" w:eastAsia="SimSun" w:cs="SimSun"/>
          <w:color w:val="000000"/>
          <w:sz w:val="24"/>
        </w:rPr>
        <w:t xml:space="preserve">2.本项目组织勘察及答疑，供应商代表携带加盖单位公章的营业执照复印件、法定代表人授权委托书、身份证参加。签到时间：2026年8月14日9时40分至10时00分，地址：雨花外国语小学花神庙分校，联系人：魏主任，联系电话：18724015176。</w:t>
      </w:r>
      <w:r>
        <w:rPr>
          <w:rFonts w:hint="eastAsia" w:ascii="宋体" w:hAnsi="宋体" w:eastAsia="宋体" w:cs="宋体"/>
          <w:color w:val="0000ff"/>
          <w:sz w:val="24"/>
          <w:szCs w:val="24"/>
          <w:highlight w:val="none"/>
          <w:u w:val="none"/>
          <w:lang w:val="en-US" w:eastAsia="zh-CN"/>
        </w:rPr>
      </w:r>
      <w:r/>
    </w:p>
    <w:p>
      <w:pPr>
        <w:pStyle w:val="870"/>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rFonts w:hint="eastAsia" w:ascii="宋体" w:hAnsi="宋体" w:eastAsia="宋体" w:cs="宋体"/>
          <w:sz w:val="24"/>
          <w:szCs w:val="24"/>
          <w:highlight w:val="none"/>
          <w:lang w:eastAsia="zh-CN"/>
        </w:rPr>
      </w:r>
      <w:r/>
    </w:p>
    <w:p>
      <w:pPr>
        <w:pStyle w:val="870"/>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0"/>
        <w:ind w:firstLine="482"/>
        <w:spacing w:line="252" w:lineRule="auto"/>
        <w:rPr>
          <w:rFonts w:hint="eastAsia" w:ascii="宋体" w:hAnsi="宋体" w:eastAsia="宋体" w:cs="Times New Roman"/>
          <w:b w:val="0"/>
          <w:bCs w:val="0"/>
          <w:color w:val="000000"/>
          <w:sz w:val="24"/>
          <w:lang w:val="zh-CN"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lang w:val="zh-CN" w:eastAsia="zh-CN"/>
        </w:rPr>
      </w:r>
      <w:r/>
    </w:p>
    <w:p>
      <w:pPr>
        <w:pStyle w:val="870"/>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采购人《质疑函》收件人：刘老师，收件地址：</w:t>
      </w:r>
      <w:r>
        <w:rPr>
          <w:rFonts w:hint="eastAsia" w:ascii="宋体" w:hAnsi="宋体" w:eastAsia="宋体" w:cs="宋体"/>
          <w:color w:val="000000"/>
          <w:sz w:val="24"/>
          <w:szCs w:val="24"/>
        </w:rPr>
        <w:t xml:space="preserve">南京市雨花台区雨花南路2号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rPr>
        <w:t xml:space="preserve">025-52873803</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0"/>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0"/>
        <w:ind w:firstLine="480"/>
        <w:spacing w:line="252"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w:t>
      </w:r>
      <w:r>
        <w:rPr>
          <w:rFonts w:hint="eastAsia" w:ascii="宋体" w:hAnsi="宋体" w:eastAsia="宋体" w:cs="宋体"/>
          <w:color w:val="000000"/>
          <w:sz w:val="24"/>
          <w:szCs w:val="24"/>
          <w:lang w:val="en-US" w:eastAsia="zh-CN"/>
        </w:rPr>
      </w:r>
      <w:r/>
    </w:p>
    <w:p>
      <w:pPr>
        <w:pStyle w:val="870"/>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称：南京市雨花台区教育局          </w:t>
      </w:r>
      <w:r>
        <w:rPr>
          <w:rFonts w:hint="eastAsia" w:ascii="宋体" w:hAnsi="宋体" w:eastAsia="宋体" w:cs="宋体"/>
          <w:color w:val="000000"/>
          <w:sz w:val="24"/>
          <w:szCs w:val="24"/>
        </w:rPr>
      </w:r>
      <w:r/>
    </w:p>
    <w:p>
      <w:pPr>
        <w:pStyle w:val="870"/>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址：南京市雨花台区雨花南路2号    </w:t>
      </w:r>
      <w:r>
        <w:rPr>
          <w:rFonts w:hint="eastAsia" w:ascii="宋体" w:hAnsi="宋体" w:eastAsia="宋体" w:cs="宋体"/>
          <w:color w:val="000000"/>
          <w:sz w:val="24"/>
          <w:szCs w:val="24"/>
        </w:rPr>
      </w:r>
      <w:r/>
    </w:p>
    <w:p>
      <w:pPr>
        <w:pStyle w:val="870"/>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联系人：刘老师 </w:t>
      </w:r>
      <w:r>
        <w:rPr>
          <w:rFonts w:hint="eastAsia" w:ascii="宋体" w:hAnsi="宋体" w:eastAsia="宋体" w:cs="宋体"/>
          <w:color w:val="000000"/>
          <w:sz w:val="24"/>
          <w:szCs w:val="24"/>
        </w:rPr>
      </w:r>
      <w:r/>
    </w:p>
    <w:p>
      <w:pPr>
        <w:pStyle w:val="870"/>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联系电话：025-52873803 </w:t>
      </w:r>
      <w:bookmarkStart w:id="40" w:name="_Toc28359086"/>
      <w:r/>
      <w:bookmarkStart w:id="41" w:name="_Toc28359009"/>
      <w:r>
        <w:rPr>
          <w:rFonts w:hint="eastAsia" w:ascii="宋体" w:hAnsi="宋体" w:eastAsia="宋体" w:cs="宋体"/>
          <w:color w:val="000000"/>
          <w:sz w:val="24"/>
          <w:szCs w:val="24"/>
        </w:rPr>
      </w:r>
      <w:r/>
    </w:p>
    <w:p>
      <w:pPr>
        <w:pStyle w:val="87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0"/>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0"/>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0"/>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w:t>
      </w:r>
      <w:r>
        <w:rPr>
          <w:rFonts w:hint="eastAsia" w:ascii="宋体" w:hAnsi="宋体" w:eastAsia="宋体" w:cs="Times New Roman"/>
          <w:b w:val="0"/>
          <w:bCs w:val="0"/>
          <w:color w:val="000000"/>
          <w:sz w:val="24"/>
          <w:lang w:val="en-US" w:eastAsia="zh-CN"/>
        </w:rPr>
        <w:t xml:space="preserve">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5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20823303"/>
      <w:r/>
      <w:bookmarkStart w:id="43" w:name="_Toc513029231"/>
      <w:r/>
      <w:bookmarkStart w:id="44" w:name="_Toc16938547"/>
      <w:r/>
      <w:bookmarkStart w:id="45" w:name="_Toc120614221"/>
      <w:r/>
      <w:bookmarkStart w:id="46" w:name="_Toc479757207"/>
      <w:r/>
      <w:bookmarkStart w:id="47" w:name="_Toc16938558"/>
      <w:r/>
      <w:bookmarkStart w:id="48" w:name="_Toc513029242"/>
      <w:r/>
      <w:bookmarkStart w:id="49" w:name="_Toc20823314"/>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0"/>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4"/>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0"/>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0"/>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lang w:val="zh-CN"/>
        </w:rPr>
      </w:r>
      <w:r/>
    </w:p>
    <w:p>
      <w:pPr>
        <w:pStyle w:val="870"/>
        <w:ind w:firstLine="420"/>
        <w:spacing w:line="240" w:lineRule="auto"/>
        <w:rPr>
          <w:rFonts w:hint="eastAsia" w:ascii="宋体" w:hAnsi="宋体" w:eastAsia="宋体" w:cs="Times New Roman"/>
          <w:color w:val="000000"/>
          <w:sz w:val="24"/>
          <w:szCs w:val="22"/>
          <w:highlight w:val="none"/>
          <w:lang w:val="zh-CN"/>
        </w:rPr>
      </w:pPr>
      <w:r/>
      <w:bookmarkEnd w:id="42"/>
      <w:r/>
      <w:bookmarkEnd w:id="43"/>
      <w:r/>
      <w:bookmarkEnd w:id="44"/>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w:t>
      </w:r>
      <w:r>
        <w:rPr>
          <w:rFonts w:hint="eastAsia" w:ascii="宋体" w:hAnsi="宋体" w:eastAsia="宋体" w:cs="Times New Roman"/>
          <w:color w:val="000000"/>
          <w:sz w:val="24"/>
          <w:szCs w:val="22"/>
          <w:highlight w:val="none"/>
          <w:lang w:val="zh-CN"/>
        </w:rPr>
        <w:t xml:space="preserve">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0"/>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0"/>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0"/>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0"/>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雨花区财政局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4"/>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0"/>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0"/>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0"/>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4"/>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0"/>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4"/>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0"/>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0"/>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0"/>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0"/>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4"/>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0"/>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4"/>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0"/>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4"/>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0"/>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0"/>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0"/>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0"/>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0"/>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0"/>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0"/>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0"/>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0"/>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0"/>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0"/>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0"/>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0"/>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0"/>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eastAsia="宋体" w:cs="Times New Roman"/>
          <w:color w:val="000000"/>
          <w:sz w:val="24"/>
          <w:highlight w:val="none"/>
          <w:lang w:val="zh-CN" w:eastAsia="zh-CN"/>
        </w:rPr>
      </w:r>
      <w:r/>
    </w:p>
    <w:p>
      <w:pPr>
        <w:pStyle w:val="87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5"/>
      <w:r/>
      <w:bookmarkEnd w:id="46"/>
      <w:r/>
      <w:bookmarkEnd w:id="47"/>
      <w:r/>
      <w:bookmarkEnd w:id="48"/>
      <w:r/>
      <w:bookmarkEnd w:id="49"/>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0"/>
        <w:ind w:firstLine="480"/>
        <w:keepLines w:val="0"/>
        <w:keepNext w:val="0"/>
        <w:pageBreakBefore w:val="0"/>
        <w:spacing w:line="264" w:lineRule="auto"/>
        <w:widowControl w:val="off"/>
        <w:rPr>
          <w:rFonts w:hint="eastAsia" w:ascii="宋体" w:hAnsi="宋体"/>
          <w:bCs/>
          <w:color w:val="000000"/>
          <w:sz w:val="24"/>
          <w:szCs w:val="21"/>
        </w:rPr>
      </w:pPr>
      <w:r/>
      <w:bookmarkStart w:id="50" w:name="_Toc16938559"/>
      <w:r/>
      <w:bookmarkStart w:id="51" w:name="_Toc513029243"/>
      <w:r/>
      <w:bookmarkStart w:id="52" w:name="_Toc20823315"/>
      <w:r/>
      <w:bookmarkStart w:id="53" w:name="_Hlt16619350"/>
      <w:r/>
      <w:bookmarkStart w:id="54" w:name="_Toc120614244"/>
      <w:r/>
      <w:bookmarkStart w:id="55" w:name="_Toc20823346"/>
      <w:r/>
      <w:bookmarkStart w:id="56" w:name="_Toc16938590"/>
      <w:r/>
      <w:bookmarkStart w:id="57" w:name="_Toc479757211"/>
      <w:r/>
      <w:bookmarkStart w:id="58"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0"/>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0"/>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0"/>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0"/>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0"/>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0"/>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0"/>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w:t>
      </w:r>
      <w:r>
        <w:rPr>
          <w:rFonts w:hint="eastAsia" w:ascii="方正黑体_GBK" w:hAnsi="方正黑体_GBK" w:eastAsia="方正黑体_GBK" w:cs="方正黑体_GBK"/>
          <w:b w:val="0"/>
          <w:bCs/>
          <w:color w:val="000000"/>
          <w:sz w:val="24"/>
          <w:szCs w:val="24"/>
        </w:rPr>
        <w:t xml:space="preserve">履约保证金</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0"/>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0"/>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0"/>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0"/>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1"/>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0"/>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bookmarkEnd w:id="50"/>
      <w:r/>
      <w:bookmarkEnd w:id="51"/>
      <w:r/>
      <w:bookmarkEnd w:id="52"/>
      <w:r/>
      <w:bookmarkStart w:id="59" w:name="_Hlt16619369"/>
      <w:r/>
      <w:bookmarkEnd w:id="59"/>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0"/>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0"/>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0"/>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3"/>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54"/>
      <w:r/>
      <w:bookmarkEnd w:id="55"/>
      <w:r/>
      <w:bookmarkEnd w:id="56"/>
      <w:r>
        <w:rPr>
          <w:rFonts w:hint="eastAsia" w:ascii="方正小标宋简体" w:hAnsi="方正小标宋简体" w:eastAsia="方正小标宋简体" w:cs="方正小标宋简体"/>
          <w:color w:val="000000"/>
          <w:sz w:val="36"/>
          <w:szCs w:val="36"/>
        </w:rPr>
      </w:r>
      <w:r/>
    </w:p>
    <w:p>
      <w:pPr>
        <w:pStyle w:val="870"/>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60" w:name="_Toc26554093"/>
      <w:r/>
      <w:bookmarkStart w:id="61"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0"/>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0"/>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学校需求配置智慧黑板、触控一体机、教学白板软件、教研管理平台、设备运维管理平台、无线展台、智慧交互屏、互联书写板、智能教鞭、智能教学话筒、多媒体教学音箱、AI算力终端、教师摄像机、学生摄像机、拾音麦克风、课堂分析系统、学生成长系统、移动支架等，满足学校的教学需要。</w:t>
      </w:r>
      <w:r>
        <w:rPr>
          <w:rFonts w:hint="eastAsia" w:ascii="宋体" w:hAnsi="宋体" w:eastAsia="宋体" w:cs="宋体"/>
          <w:bCs/>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Times New Roman"/>
          <w:bCs w:val="0"/>
          <w:color w:val="000000"/>
          <w:sz w:val="24"/>
          <w:szCs w:val="24"/>
        </w:rPr>
        <w:t xml:space="preserve">招标文件涉及标准中未标年号的一律采用最新的标准；随着标准的修订，以修订后的最新标准为依据。</w:t>
      </w:r>
      <w:r>
        <w:rPr>
          <w:rFonts w:hint="eastAsia" w:ascii="宋体" w:hAnsi="宋体" w:eastAsia="宋体" w:cs="宋体"/>
          <w:bCs/>
          <w:color w:val="000000"/>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0"/>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248"/>
        <w:gridCol w:w="985"/>
        <w:gridCol w:w="1278"/>
      </w:tblGrid>
      <w:tr>
        <w:trPr>
          <w:trHeight w:val="470"/>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0"/>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0"/>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智慧黑板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12500</w:t>
            </w:r>
            <w:r>
              <w:rPr>
                <w:rFonts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color w:val="000000"/>
                <w:sz w:val="24"/>
                <w:szCs w:val="24"/>
                <w:lang w:val="en-US" w:eastAsia="zh-CN"/>
              </w:rPr>
              <w:t xml:space="preserve">核心产品</w:t>
            </w: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触控一体机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教学白板软件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教研管理平台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设备运维管理平台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无线展台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智慧交互屏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互联书写板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4425</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智能教鞭</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智能教学话筒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多媒体教学音箱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AI算力终端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教师摄像机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学生摄像机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拾音麦克风</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课堂分析系统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学生成长系统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移动支架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原多媒体设备拆除</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77</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3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软件和信息技术服务业</w:t>
            </w:r>
            <w:r>
              <w:rPr>
                <w:rFonts w:hint="eastAsia" w:ascii="宋体" w:hAnsi="宋体" w:eastAsia="宋体" w:cs="宋体"/>
                <w:bCs/>
                <w:sz w:val="24"/>
                <w:szCs w:val="24"/>
                <w:lang w:val="en-US" w:eastAsia="zh-CN"/>
              </w:rPr>
            </w:r>
            <w:r/>
          </w:p>
        </w:tc>
        <w:tc>
          <w:tcPr>
            <w:tcW w:w="503"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w:t>
            </w:r>
            <w:r>
              <w:rPr>
                <w:rFonts w:hint="eastAsia" w:ascii="宋体" w:hAnsi="宋体" w:eastAsia="宋体" w:cs="宋体"/>
                <w:bCs/>
                <w:sz w:val="24"/>
                <w:szCs w:val="24"/>
                <w:lang w:val="en-US" w:eastAsia="zh-CN"/>
              </w:rPr>
            </w:r>
            <w:r/>
          </w:p>
        </w:tc>
        <w:tc>
          <w:tcPr>
            <w:tcW w:w="652"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bl>
    <w:p>
      <w:pPr>
        <w:pStyle w:val="870"/>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0"/>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bCs/>
          <w:color w:val="000000"/>
          <w:sz w:val="24"/>
          <w:szCs w:val="24"/>
          <w:lang w:val="en-US" w:eastAsia="zh-CN"/>
        </w:rPr>
        <w:t xml:space="preserve">1.产品技术指标</w:t>
      </w:r>
      <w:r>
        <w:rPr>
          <w:rFonts w:hint="eastAsia"/>
          <w:color w:val="000000"/>
          <w:lang w:val="en-US" w:eastAsia="zh-CN"/>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779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w:t>
            </w:r>
            <w:r>
              <w:rPr>
                <w:rFonts w:hint="eastAsia" w:ascii="宋体" w:hAnsi="宋体" w:eastAsia="宋体" w:cs="宋体"/>
                <w:b/>
                <w:bCs w:val="0"/>
                <w:sz w:val="24"/>
                <w:szCs w:val="24"/>
              </w:rPr>
              <w:t xml:space="preserve">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trHeight w:val="840"/>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bookmarkStart w:id="62" w:name="OLE_LINK3"/>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智慧黑板</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1.整体外观尺寸：长≥4200mm，高≥1200mm。整机采用全金属外壳，三拼接平面一体化设计，副屏支持磁吸附功能；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屏幕采用≥86英寸A规屏，分辨率≥3840×2160，内置全视角背光增光膜，屏幕中心亮度三分之一的亮度观看视角≥130°，支持智能画质调节，播放视频即可根据屏幕内容自动调节画质参数；自动调整对比度、饱和度、色调色相值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3.采用≥12核国产化嵌入式芯片，CPU≥8核，RAM≥2G，ROM≥32G；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4.采用红外触控方式，支持≥50点触控；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▲5.内置2.2声道扬声器，采用模块化设计，可单独拆卸，顶置朝前发声，功率≥80W；</w:t>
            </w:r>
            <w:r>
              <w:rPr>
                <w:rFonts w:hint="eastAsia" w:ascii="宋体" w:hAnsi="宋体" w:eastAsia="宋体" w:cs="宋体"/>
                <w:bCs/>
                <w:sz w:val="24"/>
                <w:szCs w:val="24"/>
                <w:highlight w:val="none"/>
                <w:lang w:val="en-US" w:eastAsia="zh-CN"/>
              </w:rPr>
              <w:t xml:space="preserve">(签订合同</w:t>
            </w:r>
            <w:r>
              <w:rPr>
                <w:rFonts w:hint="eastAsia" w:ascii="宋体" w:hAnsi="宋体" w:eastAsia="宋体" w:cs="宋体"/>
                <w:bCs/>
                <w:sz w:val="24"/>
                <w:szCs w:val="24"/>
                <w:lang w:val="en-US" w:eastAsia="zh-CN"/>
              </w:rPr>
              <w:t xml:space="preserve">时提供第三方检测机构出具的检测结果符合相应要求和标准的检测报告原件扫描件，检测依据：GB/T12060.5-2011《声系统设备第5部分:扬声器主要性能测试方法》）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6.支持AI人声语言增强功能，扩声系统语言传输指数（STIPA）≥0.75；</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7.内置≥8阵列麦克风，拾音距离≥12m，内置麦克风声源定位算法，声源定位精度≤5度，可以识别回答问题的学生方位，黑板上边框内置≥1颗摄像头，像素≥5000万，视场角≥135度，支持人脸识别；</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8.蓝牙版本≥5.4，工作距离≥12m，内置双WiFi6无线网卡，支持802.11a/b/g/n/ac/ax，工作频率 2.4GHz/5GHz，工作距离≥12m；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9.接口：HDMI IN≥2，USB 3.0≥2，USB Type-C IN≥1，TOUCH 2.0≥1，AUDIO OUT≥1，RS232≥1，按键≥5个（功能支持自定义）；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10.内置超声波投屏功能：智能手机与整机无需在同一局域网内，可实现配对，一键投屏，用户无需手动输入投屏码或扫码获取投屏码；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11.支持将手机文件传输到智慧黑板显示终端，传输文件格式支持：pptx、pdf、docx、txt、xlsx、jpg、png、gif、svg、mp4、rmvb、avi、3gp、wmv、flv、mkv、mp3、wav、wma、ogg、zip；</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12.整机设备支持多种身份识别方式，支持通过账号登录、手机扫码登录、人脸识别登录、声纹识别登录、近场发现登录，并支持账号安全登录检测；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13.整机内置智能体AI图像生成功能 ，支持通过语音与智能体对话交互,整机侧边栏内置智能语音转文字工具，将整机内置麦克风拾取的语音进行文字转译，以悬浮字幕形式将转译文字显示在屏幕上；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14.整机具备班级视力检测功能，学⽣站在距离屏幕前5m处，可通过⼿势识别方式来标识方向进行视力测试，测试完成后可直接生成视力检测结果，并建立学生视力档案，对学生视力情况进⾏管理；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整机侧边栏内置自习工具，通过整机麦克风监测教室中学生音量大小，当学生音量大于阈值时，屏幕自动弹窗提醒进行自习纪律干预,整机支持将PPT课件转化为交互式课件进行协同编辑，支持查看当前在线用户，针对邀请协同的用户可设置可编辑、可阅读权限,整机内置计算器应用，支持多项式复杂计算，对多项式进行积分、求导、多项式展开和多项式分解，支持对多项式进行绘制图像，展示绘制结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▲16.整机内置AR授课工具，支持对视频展台所采集的画面中叠加动态的3D 模型。3D模型包括：动</w:t>
            </w:r>
            <w:r>
              <w:rPr>
                <w:rFonts w:hint="eastAsia" w:ascii="宋体" w:hAnsi="宋体" w:eastAsia="宋体" w:cs="宋体"/>
                <w:bCs/>
                <w:sz w:val="24"/>
                <w:szCs w:val="24"/>
                <w:highlight w:val="none"/>
                <w:lang w:val="en-US" w:eastAsia="zh-CN"/>
              </w:rPr>
              <w:t xml:space="preserve">物、微生物、人体骨骼、乐器、星球、地形。(签订合同时提供第三方检测机</w:t>
            </w:r>
            <w:r>
              <w:rPr>
                <w:rFonts w:hint="eastAsia" w:ascii="宋体" w:hAnsi="宋体" w:eastAsia="宋体" w:cs="宋体"/>
                <w:bCs/>
                <w:sz w:val="24"/>
                <w:szCs w:val="24"/>
                <w:lang w:val="en-US" w:eastAsia="zh-CN"/>
              </w:rPr>
              <w:t xml:space="preserve">构出具的检测结果符合相应要求和标准的检测报告原件扫描件，检测依据：GB/T 25000.51-2016《系统与软件工程 系统与软件质量要求和评价（SQuaRE） 第51部分：就绪可用软件产品（RUSP）的质量要求和测试细则》）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17.整机内置文字快剪功能，支持微课录制结束后提取视频中的文字，按照提取出的文字，对视频进行快速视频剪辑；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18.内置OPS电脑模块采用按压式卡扣，CPU主频≥2.0GHz，不低于8核心十二线程；内存≥8G，固态硬盘≥256GB。</w:t>
            </w:r>
            <w:r>
              <w:rPr>
                <w:rFonts w:ascii="宋体" w:hAnsi="宋体" w:eastAsia="宋体" w:cs="宋体"/>
                <w:bCs/>
                <w:sz w:val="24"/>
                <w:szCs w:val="24"/>
                <w:lang w:val="en-US" w:eastAsia="zh-CN" w:bidi="ar-SA"/>
              </w:rPr>
            </w:r>
            <w:r/>
          </w:p>
        </w:tc>
      </w:tr>
      <w:tr>
        <w:trPr>
          <w:trHeight w:val="985"/>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触控一体机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1.整机边角采用弧形设计，边框支持磁吸功能，可吸附具备磁吸功能的书写笔；</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2.屏幕采用≥86英寸液晶显示器，分辨率≥3840×2160；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3.整机采用≥12核国产化嵌入式芯片，CPU≥8核，主频≥1.6GHz，内存≥2GB，存储空间≥32GB；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4.采用红外触控方式，支持≥50点触控；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5.整机内置2.2声道扬声器，采用模块化设计，无需打开背板即可单独拆卸，最大功率≥80W；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6.支持AI空间感知音效，可通过内置麦克风采集教室物理环境声音，自动生成符合当前教室物理环境的频段、音量、音效；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7.整机上边框内置摄像头，支持拍摄≥1600 万像素数的照片和视频，支持输出 4k 分辨率的视频，视场角≥120度；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8.接口：HDMI IN≥2，USB 3.0≥2，USB Type-C ≥1，TOUCH 2.0≥1，AUDIO OUT≥1，RS232≥1；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9.整机前置 USB 接口具备防撞挡板设计，前置按键支持自定义设置；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10.蓝牙版本≥5.4，工作距离≥12m；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11.内置双WiFi6无线网卡，支持802.11a/b/g/n/ac/ax，工作频率 2.4GHz/5GHz，工作距离≥12m；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12.内置超声波投屏功能：智能手机与整机无需在同一局域网内，可实现配对，一键投屏，用户无需手动输入投屏码或扫码获取投屏码；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13.支持将手机文件传输到智慧黑板显示终端，传输文件格式支持：pptx、pdf、docx、txt、xlsx、jpg、png、gif、svg、mp4、rmvb、avi、3gp、wmv、flv、mkv、mp3、wav、wma、ogg、zip；</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▲14.整机设备支持多种身份识别方式，支持通过账号登录、手机扫码登录、人脸识别登录、</w:t>
            </w:r>
            <w:r>
              <w:rPr>
                <w:rFonts w:hint="eastAsia" w:ascii="宋体" w:hAnsi="宋体" w:eastAsia="宋体" w:cs="宋体"/>
                <w:bCs/>
                <w:sz w:val="24"/>
                <w:szCs w:val="24"/>
                <w:highlight w:val="none"/>
                <w:lang w:val="en-US" w:eastAsia="zh-CN"/>
              </w:rPr>
              <w:t xml:space="preserve">声纹识别登录、近场发现登录，并支持账号安全登录检测；(签订合同时提供第三</w:t>
            </w:r>
            <w:r>
              <w:rPr>
                <w:rFonts w:hint="eastAsia" w:ascii="宋体" w:hAnsi="宋体" w:eastAsia="宋体" w:cs="宋体"/>
                <w:bCs/>
                <w:sz w:val="24"/>
                <w:szCs w:val="24"/>
                <w:lang w:val="en-US" w:eastAsia="zh-CN"/>
              </w:rPr>
              <w:t xml:space="preserve">方检测机构出具的检测结果符合相应要求和标准的检测报告原件扫描件，检测依据：GB/T 25000.51-2016《系统与软件工程 系统与软件质量要求和评价（SQuaRE） 第51部分：就绪可用软件产品（RUSP）的质量要求和测试细则》）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15.整机内置智能体AI图像生成功能 ，支持通过语音与智能体对话交互；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16.整机具备班级视力检测功能，学⽣站在距离屏幕前5m处，可通过⼿势识别方式来标识方向进行视力测试，测试完成后可直接生成视力检测结果，并建立学生视力档案，对学生视力情况进⾏管理；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17.整机侧边栏内置自习工具，通过整机麦克风监测教室中学生音量大小，当学生音量大于阈值时，屏幕自动弹窗提醒进行自习纪律干预；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18.整机支持将PPT课件转化为交互式课件进行协同编辑，支持查看当前在线用户，针对邀请协同的用户可设置可编辑、可阅读权限；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19.整机侧边栏内置智能语音转文字工具，将整机内置麦克风拾取的语音进行文字转译，以悬浮字幕形式将转译文字显示在屏幕上；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20.整机内置计算器应用，支持多项式复杂计算，对多项式进行积分、求导、多项式展开和多项式分解，支持对多项式进行绘制图像，展示绘制结果；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21.整机内置AR授课工具，支持对视频展台所采集的画面中叠加动态的3D 模型。3D模型包括：动物、微生物、人体骨骼、乐器、星球、地形；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22.整机内置文字快剪功能，支持微课录制结束后提取视频中的文字，按照提取出的文字，对视频进行快速视频剪辑；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23.内置OPS电脑模块采用按压式卡扣，CPU主频≥2.0GHz，不低于8核心十二线程；内存≥8G，固态硬盘≥256GB。</w:t>
            </w:r>
            <w:r>
              <w:rPr>
                <w:rFonts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教学白板软件</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（一）备授课功能：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1.为教师提供可扩展的云存储空间；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2.支持分组管理云课件，用户可自定义分组名称，并根据需要将课件分类管理；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3.支持点对点分享云课件，用户可在软件中直接将课件发送给其它用户，同时也可以在软件中直接接收并打开其它用户分享的课件；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4.支持多人在选择书写工具的状态下同时书写和擦除，互不影响，方便不同学生在屏幕上同时书写；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5.支持创建互动分类游戏，系统需提供不少于10种游戏模板，直接选择并输入相应内容即可轻松生成互动分类游戏，提升课堂趣味性；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7.支持任意对象自定义路径动画设置，可绘制任意的移动轨迹并让对象沿着轨迹路径进行移动，可单独设置该动画通过翻页或单击对象本身进行触发；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（二）微课功能：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2.支持选择云端课件录制、本地文件录制、模板录制三种模式，录制的微课内容存储于云端，本地文件录制模式支持不少3种文件格式，模板录制模式提供至少5种模板类型；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3.支持回收微课的观看结果，辅助教师分析学情。支持查看微课整体数据，包括：观看次数、观看人数、点赞次数、完课率、平均观看时长等信息；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4.支持查看每个观看者的详细观看结果，包括：学生姓名、观看时长、观看次数、互动参与度、答题正确率等信息。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（三）集体备课：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1.发起集备：支持选择教案、课件、胶囊资源上传发起集备研讨，支持设置多重访问权限，通过手机号搜索即可邀请外校老师，可用于跨校教研场景；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3.生成集备报告：支持生成集备报告，报告生成后，参备人可查看具体报告内容和下载集备报告。报告内包含集备信息、数据统计、研讨记录的具体内容。</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教研管理平台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1.管理者通过学校数据可视化看板，查看学校课件教案数、累计校本研修次数等情况，掌握学校教研关键数据（课件和教案数量，校本课件、校本教案的数据），了解关键数据环比上周的的具体情况；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2.通过多维度分析学校的信息化教学应用情况，综合评估出信息化指数；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3.支持查看集体备课报告等，了解教研组集体备课开展情况；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4.展示教师在线研修情况，包括教师备课时长和在线学习时长，掌握教师日常的备课和学习情况；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5.展示本校教师产生的课件、教案数量，及校本资源库建设情况。通过榜单直观呈现教师产出的课件/教案被获取数，教师评价有根源；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自定义设置学校专属评课表，系统预置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0"/>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设备运维管理平台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1.设计架构：系统采用模块化的架构设计B/S架构，通过浏览器打开并用微信扫码登录、账号密码登录和微信授权登录完成鉴权；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2.提供个性化工作台自定义功能，在工作台配置页面，可通过拖拉拽可视化配置组件的方式，完成个性化工作台的配置；工作台可配置组件数量不小于30个；</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3.系统管理员：提供组织管理员管理功能，包括：管理员添加、移除和转移，同时支持设置管理员的管理权限，包括：组织管理，系统管理员管理，角色权限等；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4.角色权限：支持学校自定义角色组，针对角色可设置功能权限；支持自定义角色下对应成员的管理范围；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5.支持自定义设备类型及数量，掌握校内设备资产分布情况；支持查看本校常用软件、设备网络负载、硬件负载情况，并提供网络优化、硬件升级指南；</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6.支持同时查看不少于20个教室的实时摄像头画面、设备屏幕画面；支持远程发送文本消息、语音消息；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7.支持掌上看班服务，拥有掌上看班权限的老师可在移动端实时巡班，并进行基础远程管控；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8.支持远程批量清理设备磁盘；支持清理指定磁盘的指定文件夹；支持清理系统盘备份、缓存、日志等文件；支持迁移系统盘视频、图片、音乐、文档文件；支持格式化非系统盘磁盘；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9.支持远程向已冰冻的设备发送指令、安装软件，在设备正常关机时触发穿透动作，穿透完成后，设备即可使用已安装软件、执行已接收指令，且穿透过程中无需人为解冻；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AI自动监测设备画面色情、恐怖、暴力、游戏等风险内容或元素；支持设置警告内容，当监测到不良画面后自动提醒；支持将每天监测到的风险结果自动推送提醒管理；(签订合同时提供第三方检测机构出具的检测结果符合相应要求和标准的检测报告原件扫描件，检测依据：GB/T 25000.51-2016《系统与软件工程 系统与软件质量要求和评价（SQuaRE） 第51部分：就绪可用软件产品（RUSP）的质量要求和测试细则》）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11.支持软件安装，用户自主上传官方正版软件，支持批量将软件发送至班班通设备安装，软件自动静默安装，无需人工操作；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12.支持信息发布功能，支持设置按照每周循环播放、指定日期播放、自定义日期播放≥3种节目播放机制。</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无线展台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1.可固定在三脚架上，可放置在讲台、学生课桌上；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2.支持拍摄1300万像素照片，支持3840*2160@20Hz超高清实时视频流传输；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3.摄像头臂上下可在0-90°任意位置弯折悬停、前后可180°旋转、主机和支架可分离机构设计，能俯拍作业，水平拍摄，手持拍摄；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4.俯拍情况下，拍摄角度可覆盖A3画幅；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5.主机具备显示屏幕，机身上有不少于3个物理按键；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6.支持相位对焦技术，支持通过双击大屏画面任意位置，即时改变对焦位置，可对立体物体的局部进行精确对焦；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7.支持5G wifi无线传输；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8.采用type C充电接口，产品工作不低于4小时。</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智慧交互屏</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1.屏幕采用≥86英寸A规屏，分辨率≥3840×2160；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2.内置全视角背光增光膜，屏幕中心亮度三分之一的亮度观看视角≥130°；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3.采用≥12核国产化嵌入式芯片，CPU≥8核，RAM≥2G，ROM≥32G；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4.采用红外触控方式，支持≥50点触控；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5.书写显示支持单笔双色，同一支笔头、笔尾设定不同的颜色进行书写；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6.支持手笔分离功能，使用笔正常书写，使用手指可进行点击操作，无需手动切换；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内置2.2声道扬声器，采用模块化设计，可单独拆卸，顶置朝前发声，功率≥80W；(签订合同时提供第三方检测机构出具的检测结果符合相应要求和标准的检测报告原件扫描件，检测依据：GB/T12060.5-2011《声系统设备第5部分:扬声器主要性能测试方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8.支持AI人声语言增强功能，扩声系统语言传输指数（STIPA）≥0.75；</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9.内置≥8阵列麦克风，拾音距离≥12m，内置麦克风声源定位算法，声源定位精度≤5度，可以识别回答问题的学生方位；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10.支持识别用户声纹并进行统一身份登录，登录后自动获取个人教学课件列表，可跳过软件自带登录步骤；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11.内置智能语音转文字工具；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12.机器上边框内置≥1颗摄像头，像素≥5000万，视场角≥135度，支持人脸识别；</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13.蓝牙版本≥5.4，工作距离≥12m；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14.内置双WiFi6无线网卡，支持802.11a/b/g/n/ac/ax，工作频率 2.4GHz/5GHz，工作距离≥12m；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15.接口：HDMI IN≥2，USB 3.0≥2，USB Type-C IN≥1，TOUCH 2.0≥1，AUDIO OUT≥1，RS232≥1，按键≥5个（功能支持自定义）；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16.内置超声波投屏功能：智能手机与整机无需在同一局域网内，可实现配对，一键投屏，用户无需手动输入投屏码或扫码获取投屏码；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17.支持将手机文件传输到大屏上，传输文件格式支持：pptx、pdf、docx、txt、xlsx、jpg、png、gif、svg、mp4、rmvb、avi、3gp、wmv、flv、mkv、mp3、wav、wma、ogg、zip；</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18.内置语音助手，支持通过智能笔调起语音助手，语音搜索指定内容；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19.具备班级视力检测功能，学生站在距离屏幕前5m处，可通过手势识别方式来标识方向进行视力测试，测试完成后可直接生成视力检测结果，并建立学生视力档案；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20.内置微课制作工具，支持对全屏/区域的屏幕内容、整机声音、麦克风声音、摄像头内容进行录制，录制结束后提取视频中的文字，按照文字对视频进行快速视频剪辑；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21.内置AR授课工具，支持对视频展台所采集的画面中叠加动态的3D 模型。3D模型包括：动物、微生物、人体骨骼、乐器、星球、地形；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22.整机内置AI智能体（非第三方应用），可根据教学和学习需求可创建，支持个性化设定角色信息，支持语音和文字两种方式与智能体进行对话交互；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23.内置OPS电脑模块采用按压式卡扣，CPU主频≥2.0GHz，不低于8核心十二线程；内存≥8G，固态硬盘≥256GB。</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互联书写板</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1.左、右单侧板尺寸≥1100mm；与智慧交互屏一体化设计，拼接后长≥4200mm，高≥1200mm，主副屏过渡平滑，中间无单独边框阻隔；书写板支持磁吸附功能；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2.左、右两侧书写板采用红外触控方式，分别支持≥10点触控书写，并在主屏上以电子化形式同步显示；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▲3.左、右单侧板分别≥4 个物理按键，支持：启动板书、窗口展开收起、≥2 个自定义按键；(</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原件扫描件）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4.支持板书记录功能，支持互联书写侧板板书与智慧黑板显示终端同步显示；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5.支持在课件播放后，自动开始记录副屏黑板内容，无需用户手动点击记录功能；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6.为适应不同墙体安装环境，互联书写侧板偏离智慧交互屏水平面±10°夹角条件下可正常书写、触控，无书写断笔、跳点现象；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7.下边框堆积粉笔灰可以正常进行主屏和两侧黑板的电子化书写、擦除同步显示、触控，不受影响。</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智能教鞭</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1.笔身造型采用圆润一体化笔型设计，表面采用手感漆工艺便于握持；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2.笔身配置不少于五个按键，具备上下翻页，智能语音，远程聚光灯，书写颜色切换等功能；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3.采用锥型笔尖设计，直径≤3mm；同时支持电容，红外触控设备书写，书写最小精度2mm；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▲4.内置麦克风，支持按键唤醒语音识别功能，可直接通过语音打开已安装的应用，可直接通过语音调用网络搜索引擎搜索查询相应资料，可进行语音转写输入等操作（</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原件扫描件）；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5.支持按键调起批注功能，可通过按键实现批注颜色切换，长按按键可实现橡皮擦功能；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6.无线dongle&amp;蓝牙连接距离≥12m，上下翻页/语音控制/远程批注实现距离≥12m；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7.内置锂电池，支持type-c充电，待机时间≥60h，连续书写时间≥8h；</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8.支持智能休眠节电，当设备&gt;5min无人操作时，设备自动进入休眠节电模式。</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智能教学话筒</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1、内置900mAh可充电锂电池，充电范围4.35V-6V/500mA-1.2A，续航：不小于8小时；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2、有效接收距离：30米（开阔无障碍物，接收与发射处于静止状态下测试结果），背景噪音：无；</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3、带充电底座，可对2只无线麦克风进行充电；</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4、具有4寸液晶显示屏，显示屏可显示话筒电量，话筒信号及话筒状态等功能（</w:t>
            </w:r>
            <w:r>
              <w:rPr>
                <w:rFonts w:hint="eastAsia" w:ascii="宋体" w:hAnsi="宋体" w:eastAsia="宋体" w:cs="宋体"/>
                <w:bCs/>
                <w:sz w:val="24"/>
                <w:szCs w:val="24"/>
                <w:highlight w:val="none"/>
                <w:lang w:val="zh-CN" w:eastAsia="zh-CN"/>
              </w:rPr>
              <w:t xml:space="preserve">签订合同</w:t>
            </w:r>
            <w:r>
              <w:rPr>
                <w:rFonts w:hint="eastAsia" w:ascii="宋体" w:hAnsi="宋体" w:eastAsia="宋体" w:cs="宋体"/>
                <w:bCs/>
                <w:sz w:val="24"/>
                <w:szCs w:val="24"/>
                <w:highlight w:val="none"/>
                <w:lang w:val="en-US" w:eastAsia="zh-CN"/>
              </w:rPr>
              <w:t xml:space="preserve">时</w:t>
            </w:r>
            <w:r>
              <w:rPr>
                <w:rFonts w:hint="eastAsia" w:ascii="宋体" w:hAnsi="宋体" w:eastAsia="宋体" w:cs="宋体"/>
                <w:bCs/>
                <w:sz w:val="24"/>
                <w:szCs w:val="24"/>
                <w:highlight w:val="none"/>
                <w:lang w:val="zh-CN" w:eastAsia="zh-CN"/>
              </w:rPr>
              <w:t xml:space="preserve">提供符合国家及行业相关管理规范要求的第三方检测机构出具的检测报告</w:t>
            </w:r>
            <w:r>
              <w:rPr>
                <w:rFonts w:hint="eastAsia" w:ascii="宋体" w:hAnsi="宋体" w:eastAsia="宋体" w:cs="宋体"/>
                <w:bCs/>
                <w:sz w:val="24"/>
                <w:szCs w:val="24"/>
                <w:highlight w:val="none"/>
                <w:lang w:val="en-US" w:eastAsia="zh-CN"/>
              </w:rPr>
              <w:t xml:space="preserve">原件扫描件）；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5、液晶显示屏可根据用户需要，定制背景图片；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5、底座带可拆卸话筒杆，话筒杆类型可选择方形短杆或标准话筒杆；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6、无线麦克风集话筒、激光教鞭、无线PPT翻页三种使用功能与一体，内置咪芯，同时支持外接头戴麦；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7、无线麦克风充电座内置电子锁，可通过第三方中控，解锁无线麦克风，方便管理，避免丢失；</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8、内置紫外线消毒功能，可对无线麦克风进行消毒（</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原件扫描件）。</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多媒体教学音箱</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1.输出功率：60W；额定阻抗：4Ω；灵敏度：91dB；频率响应：20Hz-20KHz；总谐波失真：≤0.5%；信噪比：≥90dB；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2.信号输入：平衡式输入x1、有线话筒输入x2；信号输出:平衡式输出 x1、外接喇叭输出×1；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3.功能面板：独立话筒音量调节、独立混响调节、独立高低音调节、独立音乐音量调节；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4.输入控制：可扩展交流声电子监控开关，具有一键降静噪功能PC/AUX功能，解决交流声干扰；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5.主音箱带IP网络接口，一套音箱含主副两只音箱配置，可实现通过软件平台独立控制音箱功能（签订合同时提供网络接口图片及软件截图）。                     </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AI算力终端</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1.采用一体设计，产品边缘采用圆角包边防护；背板采用金属材质，有效屏蔽内部电路器件辐射；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2.处理器≥8核，主频≥2.3GHz；内存≥16GB，存储≥256GB；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▲3.采用国产AI算力芯片，峰值算力不低于32TOPS@INT8峰值算力，支持H.264&amp;H.265解码格式，解码能力支持32x1080P@25fps，8x4K@25fps，不低于8K ；编码能力不低于12x1080P@25fps, 不低于3x4K@25fps，不低于8K。支持JPEG图片编解码：1080P@60fps，不低于32768*</w:t>
            </w:r>
            <w:r>
              <w:rPr>
                <w:rFonts w:hint="eastAsia" w:ascii="宋体" w:hAnsi="宋体" w:eastAsia="宋体" w:cs="宋体"/>
                <w:bCs/>
                <w:sz w:val="24"/>
                <w:szCs w:val="24"/>
                <w:highlight w:val="none"/>
                <w:lang w:val="en-US" w:eastAsia="zh-CN"/>
              </w:rPr>
              <w:t xml:space="preserve">32768（</w:t>
            </w:r>
            <w:r>
              <w:rPr>
                <w:rFonts w:hint="eastAsia" w:ascii="宋体" w:hAnsi="宋体" w:eastAsia="宋体" w:cs="宋体"/>
                <w:bCs/>
                <w:sz w:val="24"/>
                <w:szCs w:val="24"/>
                <w:highlight w:val="none"/>
                <w:lang w:val="zh-CN" w:eastAsia="zh-CN"/>
              </w:rPr>
              <w:t xml:space="preserve">签订合同</w:t>
            </w:r>
            <w:r>
              <w:rPr>
                <w:rFonts w:hint="eastAsia" w:ascii="宋体" w:hAnsi="宋体" w:eastAsia="宋体" w:cs="宋体"/>
                <w:bCs/>
                <w:sz w:val="24"/>
                <w:szCs w:val="24"/>
                <w:highlight w:val="none"/>
                <w:lang w:val="en-US" w:eastAsia="zh-CN"/>
              </w:rPr>
              <w:t xml:space="preserve">时</w:t>
            </w:r>
            <w:r>
              <w:rPr>
                <w:rFonts w:hint="eastAsia" w:ascii="宋体" w:hAnsi="宋体" w:eastAsia="宋体" w:cs="宋体"/>
                <w:bCs/>
                <w:sz w:val="24"/>
                <w:szCs w:val="24"/>
                <w:highlight w:val="none"/>
                <w:lang w:val="zh-CN" w:eastAsia="zh-CN"/>
              </w:rPr>
              <w:t xml:space="preserve">提供符合国家及行业相关管理规范要求的第三方检测机构出具</w:t>
            </w:r>
            <w:r>
              <w:rPr>
                <w:rFonts w:hint="eastAsia" w:ascii="宋体" w:hAnsi="宋体" w:eastAsia="宋体" w:cs="宋体"/>
                <w:bCs/>
                <w:sz w:val="24"/>
                <w:szCs w:val="24"/>
                <w:lang w:val="zh-CN" w:eastAsia="zh-CN"/>
              </w:rPr>
              <w:t xml:space="preserve">的检测报告</w:t>
            </w:r>
            <w:r>
              <w:rPr>
                <w:rFonts w:hint="eastAsia" w:ascii="宋体" w:hAnsi="宋体" w:eastAsia="宋体" w:cs="宋体"/>
                <w:bCs/>
                <w:sz w:val="24"/>
                <w:szCs w:val="24"/>
                <w:lang w:val="en-US" w:eastAsia="zh-CN"/>
              </w:rPr>
              <w:t xml:space="preserve">原件扫描件）；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4.存储器支持TCG-OPAL 2.0硬件加密功能，既不影响硬盘读写性能又保障用户数据安全，每一块存储器密钥均根据特定算法生成，和设备一一绑定；</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5.内置独立千兆网络交换机，满足外接的多媒体教学设备，实现与AI算力模块单元之间通信；D卡接口，≥1路Type-C 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7.支持红绿双色工作状态LED指示灯；绿色常亮表示正常工作；红色常亮代表故障；红色闪烁代表系统处于升级过程；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8.处于无任务并无人操作状态下，5分钟后自动进入低功耗模式；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9.支持AC220V独立供电，功耗≤80W。</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教师摄像机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1.整机采用一体化设计，内置4k摄像头，整机摄像头水平视场角≥40°，对角线视场角≥42°；整机摄像头传感器有效像素≥5000万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2.整机可同时提供2路编码输出，1路支持1920x1080分辨率的课堂实录画面，帧率30fps；1路1920x1080分辨率板书画面，帧率可选1-20帧；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3.整机内置视频处理器采用四核处理器，linux 5.1及以上操作系统，≥512MB系统内存、≥128MB存储空间；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4.在无需连接外网情况下，整机支持老师在教学过程书写的板书内容和老师遮挡分层处理，输出视频中老师身体遮挡板书内容实现透视可见，实现教学过程板书可视化；</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5.在无需连接外网情况下，整机支持老师在副屏位置书写板书的图像识别，可对画面内板书内容和人物进行分层； 支持人物的隐藏和透明度调整设置；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6.整机内置1个红绿双色指示灯，支持显示工作状态；工作状态包括：正常上电后状态、OTA升级状态、复位状态；正常工作状态为红色常亮，推流后为绿色常亮；OTA升级，指示灯为绿色闪烁。</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学生摄像机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1.整机采用一体化设计，内置五个摄像头和8阵列麦克风，支持POE和DC 12V直流供电；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2.整机具备≥2路RJ45接口；≥1路Type-C接口；≥1路DC 12V电源输入接口；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3.配置独立不低于1GB系统内存,不低于8GB存储空间;采样率不低于16k，AAC编码码率不低于32kbps；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4.整机内置独立音频CPU处理器，采集音频拆分2路信号，一路用于课堂回放音频，一路用于AI语音分析；支持（自动增益控制（AGC）、自动抑制噪声（ANC）），提升麦克风拾音效果；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5.整机内置采用不低于4核视频处理器，操作系统版本linux 5.1及以上操作系统，≥1GB系统内存、≥256MB存储空间；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6.整机支持H.264视频编码格式，支持输出1080p、4k、8k分辨率画面；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▲7.整机内置非独立式摄像头，采用一体化集成设计，摄像头数量≥5个；像素值≥1个800万+4个1300万（</w:t>
            </w:r>
            <w:r>
              <w:rPr>
                <w:rFonts w:hint="eastAsia" w:ascii="宋体" w:hAnsi="宋体" w:eastAsia="宋体" w:cs="宋体"/>
                <w:bCs/>
                <w:sz w:val="24"/>
                <w:szCs w:val="24"/>
                <w:lang w:val="zh-CN" w:eastAsia="zh-CN"/>
              </w:rPr>
              <w:t xml:space="preserve">签订合同</w:t>
            </w:r>
            <w:r>
              <w:rPr>
                <w:rFonts w:hint="eastAsia" w:ascii="宋体" w:hAnsi="宋体" w:eastAsia="宋体" w:cs="宋体"/>
                <w:bCs/>
                <w:sz w:val="24"/>
                <w:szCs w:val="24"/>
                <w:lang w:val="en-US" w:eastAsia="zh-CN"/>
              </w:rPr>
              <w:t xml:space="preserve">时</w:t>
            </w:r>
            <w:r>
              <w:rPr>
                <w:rFonts w:hint="eastAsia" w:ascii="宋体" w:hAnsi="宋体" w:eastAsia="宋体" w:cs="宋体"/>
                <w:bCs/>
                <w:sz w:val="24"/>
                <w:szCs w:val="24"/>
                <w:lang w:val="zh-CN" w:eastAsia="zh-CN"/>
              </w:rPr>
              <w:t xml:space="preserve">提供符合国家及行业相关管理规范要求的第三方检测机构出具的检测报告</w:t>
            </w:r>
            <w:r>
              <w:rPr>
                <w:rFonts w:hint="eastAsia" w:ascii="宋体" w:hAnsi="宋体" w:eastAsia="宋体" w:cs="宋体"/>
                <w:bCs/>
                <w:sz w:val="24"/>
                <w:szCs w:val="24"/>
                <w:lang w:val="en-US" w:eastAsia="zh-CN"/>
              </w:rPr>
              <w:t xml:space="preserve">原件扫描件）；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8.整机内置的智能拼接摄像头，视场角&gt;151度，水平视场角&gt;132度,具备多个摄像头画面智能拼接技术，拼接摄像头画面可支持1s内快速动态融合；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9.整机内置非独立摄像头模组，同时输出至少3路视频流，同时支持课堂远程巡课、课堂教学数据采集、本地画面预览（拍照或视频录制）；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10.整机支持POE供电，其中一路为POE IN，另一路为POE OUT，支持给外部POE设备供电。</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拾音麦克风</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1.产品采用一体化设计，内置8个传感器单元，组成线阵列麦克风；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2.产品内置阵列麦克风，360°全向拾音，麦克风清晰最大拾音距离≥10m；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3.产品音频处理采用4核国产音频处理芯片；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4.阵列麦克风具备≥1个状态指示灯，可显示麦克风工作状态，绿表示工作状态正常；红灯表示级联失败；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5.产品支持网络数字音频数据传输；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6.产品接口含2路RJ45级联接口，POE IN支持RJ45音频输入，POE OUT支持网络级联和数据输出，同时支持POE IN电源；1路Type-C调试接口；1个红绿双色指示灯，支持显示产品工作状态；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7.产品支持POE有线网络供电，只需要1路网线，即可实现供电及信号传输；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8.产品整机支持POE供电，其中一路为POE IN，另一路为POE OUT，支持给外部POE设备供电；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9.支持网络级联，级联数量最大支持3级；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10.支持波束成型、噪声抑制、增益控制。</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课堂分析系统</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系统支持对教室环境的3D还原重建，形成桌椅、讲台、教学屏的真实环境建模，采集到的师生互动行为自动对应到具体课桌位置；支持不少于正前方、左前方、右前方、左后方、右后方5种视角转换。支持不少于行列式教室布局、方形桌小组讨论布局、圆形桌小组讨论</w:t>
            </w:r>
            <w:r>
              <w:rPr>
                <w:rFonts w:hint="eastAsia" w:ascii="宋体" w:hAnsi="宋体" w:eastAsia="宋体" w:cs="宋体"/>
                <w:bCs/>
                <w:sz w:val="24"/>
                <w:szCs w:val="24"/>
                <w:highlight w:val="none"/>
                <w:lang w:val="en-US" w:eastAsia="zh-CN"/>
              </w:rPr>
              <w:t xml:space="preserve">布局(签订合同时提供第三方检测机构出具的检测结果符合相应要求和标准的检测报告原件扫描件</w:t>
            </w:r>
            <w:r>
              <w:rPr>
                <w:rFonts w:hint="eastAsia" w:ascii="宋体" w:hAnsi="宋体" w:eastAsia="宋体" w:cs="宋体"/>
                <w:bCs/>
                <w:sz w:val="24"/>
                <w:szCs w:val="24"/>
                <w:lang w:val="en-US" w:eastAsia="zh-CN"/>
              </w:rPr>
              <w:t xml:space="preserve">，检测依据：GB/T 25000.51-2016《系统与软件工程 系统与软件质量要求和评价（SQuaRE） 第51部分：就绪可用软件产品（RUSP）的质量要求和测试细则》）；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2.系统支持对师生互动行为，进行2D还原重建，并标识对应学生的头像及互动情况。支持不少于行列式教室布局、方形桌小组讨论布局、圆形桌小组讨论布局等；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3.支持在2D和3D课堂孪生界面中，通过颜色深浅表示学生参与互动的活跃程度，基于学生上台次数、举手次数、问答次数计算学生活跃程度，颜色越深则代表越活跃；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4.支持点击课堂活跃热力图中的学生头像，查看该学生的师生互动视频片段，统计该学生在本节课的上台互动、举手次数、问答次数；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5.支持在地面上显示教师的巡堂轨迹，颜色越深代表停留时间越长；支持教师巡堂轨迹回放；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6.系统可依据评课表的维度进行分析，系统根据评课表的要求，给出评价结论和依据，并且会针对性给出改进的建议。支持老师根据实际情况，切换不同评课表，切换后会自动生成新的分析建议；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系统将从课堂艺术、学习体验、合作探究、整体发展、目标达成、评价反馈、思维激发、课堂调控等维度计算出整体的教研指数，并根据课堂中实际获得指数值，与全国均值对比，明确本节课的优劣点。同时支持AI分析建议，帮助老师更好理解课程当前的情况以及接下来改进的方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系统支持上传word/pdf格式的教学设计，或者读取用户的云教案。当上传教学设计后，系统会自动识别教学设计中的教学目标、教学重难点和教学环节，并且比对课堂中真实授课的数据，从而判断对应的教学目标、教学重难点和教学环节是否达成。当系统识别出未达成，或者部分达成的时候，会有对应标识，并且给出对应的理由和AI改进建议。整体按照思维导图的形式呈现，并且支持自由缩放与拖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9.系统支持中英文页面切换，当切换成英文界面的时候，系统页面、AI助手，AI分析均以英文模式对话或者显示；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10.系统依据采集到的音视频数据，支持用户针对课堂的内容进行自由提问，生成式大模型会依据报告内容给予对应回复；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系统根据教学内容，基于教学环节、教学任务、教学行为三个特征，形成用户教学流程分布执行情况，支持以进度样式展示，展示不同课堂行为环节的开展时长和占比，课堂行为包括：交互教学、探究学习、讲解教学、知识总结、作业发布、迁移应用、巩固检测、识记学习、演示教学、体验学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12.系统将课堂中老师和学生的声音转写为文字，按照前后文自动切割为不同的片段；片段支持展开查看详细文字，支持跳转到文字段落对应的视频片段。支持中英混杂识别显示；支持数学、物理公式识别显示；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系统支持识别课堂学习内容及学生学习，对课前与课中链接、课中与课后链接进行分级评价。支持对学生完成自主学习、提供学习资源、分析学生学习数据、布置课后学习任务四个维度，形成四级评价标准，并给出对应的改进建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系统支持对老师的核心提问进行抽取，结合提问-学生回答-教师评价，按照加权计算方式，给出每组提问的有效性评分，从而构建成平均有效性。按支持标记每组提问的发生时间与对应有效性评分，并给出对应的分析建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15.系统支持自动识别学生回答内容，并且按照前结构、单点结构、多点结构、关联结构、抽象拓展结构的形式进行分析。点击分析结果可以跳转到对应的视频片段；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16.系统支持自动识别老师的核心提问，并且会将提问片段进行抽取，可以看到片段总体的抬头率、回答问题的举手率。点击片段明细，可以按照座位图的方式，查阅具体学生举手和回答的情况；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17.系统支持自动识别学生回答时长，可分类为5秒以内，5-15秒，15秒以上。点击各个类型会自动打开到相应的课堂实录视频片段窗口，显示对应文字明细，文字明细会按师生角色区分，并自动进行分段分句；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18.系统支持教师画面、学生画面双窗口显示；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19.系统支持将听评课记录关联，通过听课记录快速跳转课堂实录片段，并能抽象出评课摘要，呈现本节课人工评价各维度的评分；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20.支持下载对应的课堂质量分析报告，以docx格式进行保存，内容包含模型构建说明、应用实践数据分析、后续发展规划、测评框架说明等内容；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系统支持不少于5节课数据进行对比，实现同课异构分析，支持课堂教学质量，以及基础数据两种形式进行比较。系统将提供课程得分维度及子维度明细数据，以及基础数据（总体数据、课堂活跃图、课堂时间分配、PTA模型、学生抬头率）、学生学习（学生互动数据、学生行为分布、回答建构分类、应答时间）、教师教学（讲授数据、课堂流程重构、提问有效性、提问类型、4MAT模型、候答时间、评价类型、弗兰德斯互动分析、S-T分析、Rt-Ch分析）的对比分析，同时支持数据下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系统支持按照周期性统计，分析老师教学能力变化情况。在统计周期内，会显示老师的有效课堂数量、教学热区分布、提问有效性、教学风格、授课语速。同时通过课堂艺术、学习体验、合作探究、整体发展、目标达成、评价反馈、思维激发、课堂调控等八个维度，计算出老师的教研指数，并且可以与全国均值对比。同时系统支持将每个指数拆分到子维度统计，并形成趋势变化分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23.系统支持以学校为单位，查阅本校设备所生成的报告，按照报告数据进行统计分析，将数据分为课堂艺术、课堂调控、思维激发、评价反馈、目标达成、整体发展、合作探究、学习体验八个维度，每个维度对应有多个不同指标，从而构建学校课堂质量分析框架。分析页面支持生成学校均值，与全国均值进行对比，支持进行时间的切换，并且生成对应的解析与建议。支持按照学段进行拆解分析。</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学生成长系统</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1.能根据开课情况，自动识别学生认真听讲、积极举手、问答问题等行为，并且课后形成AI建议给到老师。老师可以删除或者增加学生点评；</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2.支持以座位表图片、导入Excel表格等形式还原座位布局，以管理座位排布；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3.系统支持按照周、月自动生成班级报表。支持按照全部老师，以及老师个体的数据进行查阅呈现；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系统自动生成周期内待关注学生列表，按照情绪波动、有点小情绪、专注度下降、表扬减少、待改进增加、以及单项待改进最多的标签显示学生头像及姓名。支持点击下钻查阅学生详情，包含待改进变化、点评变化、以及自动生成AI评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系统自动生成周期内标杆学生清单，按照小红花最多、小红花飙升、待改进减少、专注度最高、专注度飙升、以及单项最多的表扬项标签显示学生头像及姓名。支持点击下钻查阅学生详情，包含待改进变化、点评变化、以及自动生成AI评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6.系统自动生成周期内的标杆小组清单，按照小红花获得数量前三进行呈现；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7.系统支持一键生成奖状，支持修改奖状的模版、获奖学生姓名、奖状内容、称号、颁发人、颁发日期。支持删除奖状与颁发推送，并发送站内通知；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8.系统依据采集到的学生情绪状态数据、专注度数据、点评数据，生成全班的学生成长报告；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9.系统根据采集到的点评数据、专注度及情绪数据进行综合理解，自动生成AI评语；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10.系统自动采集学生点评数据、专注度数据和情绪数据，并且支持数据下钻；</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系统按照点评的统计，自动形成综合素质评价。系统将根据点评的内容，按照学习表现、品行素养、身心健康、社会实践、艺术审美五个维度构建雷达图。并且基于评价内容，生成AI评价。支持学生数值和全班均值比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12.支持点击学科下钻，查阅学科的个性化评价建议、专注度变化、情绪指数变化以及点评数据；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13.系统自动采集学生所获取的奖状，并形成荣誉墙；</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14.系统支持绑定班级信息，并且设定开启定时录制能力。同时支持上传人脸信息，实现人脸绑定。支持设定AI点评项。</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移动支架</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1.支持86寸大屏承挂，重量≥100kg，壁挂高度可调；整体高度≥1597mm；</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2.托盘承重25KG,模具设置U型置物槽，方便触摸笔、遥控器等物品放置；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3.支撑立杆采用壁厚≥1.8mm方通冷轧钢材质，表面黑色喷涂；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4.脚轮为万向轮，聚氨酯（PU）材质，均带脚刹，直径不小于∮75mm；脚轮中心距横向≥1115mm，纵向≥627mm。</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bookmarkEnd w:id="62"/>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原多媒体设备拆除</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将学校原多媒体设备，并清理灰尘，按学校要求整齐堆放至指定地点，确保学生安全。</w:t>
            </w:r>
            <w:r>
              <w:rPr>
                <w:rFonts w:hint="eastAsia" w:ascii="宋体" w:hAnsi="宋体" w:eastAsia="宋体" w:cs="宋体"/>
                <w:bCs/>
                <w:sz w:val="24"/>
                <w:szCs w:val="24"/>
                <w:lang w:val="en-US" w:eastAsia="zh-CN" w:bidi="ar-SA"/>
              </w:rPr>
            </w:r>
            <w:r/>
          </w:p>
        </w:tc>
      </w:tr>
    </w:tbl>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70"/>
        <w:ind w:firstLine="480"/>
        <w:keepLines w:val="0"/>
        <w:keepNext w:val="0"/>
        <w:pageBreakBefore w:val="0"/>
        <w:spacing w:line="264" w:lineRule="auto"/>
        <w:widowControl w:val="off"/>
        <w:rPr>
          <w:rFonts w:ascii="宋体" w:hAnsi="宋体" w:eastAsia="宋体" w:cs="宋体"/>
          <w:color w:val="0000ff"/>
          <w:sz w:val="24"/>
          <w:szCs w:val="24"/>
          <w:lang w:val="en-US" w:eastAsia="zh-CN"/>
        </w:rPr>
      </w:pPr>
      <w:r>
        <w:rPr>
          <w:rFonts w:hint="eastAsia" w:ascii="宋体" w:hAnsi="宋体" w:eastAsia="宋体" w:cs="宋体"/>
          <w:bCs/>
          <w:color w:val="000000"/>
          <w:sz w:val="24"/>
          <w:szCs w:val="24"/>
          <w:lang w:val="en-US" w:eastAsia="zh-CN"/>
        </w:rPr>
        <w:t xml:space="preserve">产品清单标记为政府强制采购节能产品，签订合同时提供国家确定的认证机构出具的、处于有效期之内的节能产品认证证书。</w:t>
      </w:r>
      <w:r>
        <w:rPr>
          <w:rFonts w:ascii="宋体" w:hAnsi="宋体" w:eastAsia="宋体" w:cs="宋体"/>
          <w:color w:val="0000ff"/>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（1）质量要求</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所供产品须为正品行货、原厂封装未使用过的产品。本项目验收前供应商承担所有货物的保管责任。供应商安装、调试、培训完成，由采购人组织验收，检验不合格或不符合质量要求，供应商除无条件退货、返工外，还应承担交付时间违约责任。</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②供应商按照投标文件响应内容提供的服务承诺及实施方案等是真实的，一旦由专家或者采购人或者产品到货后或者使用中发现技术指标、产品资料、服务承诺等与投标文件不符，</w:t>
      </w:r>
      <w:r>
        <w:rPr>
          <w:rFonts w:hint="eastAsia" w:ascii="宋体" w:hAnsi="宋体" w:eastAsia="宋体" w:cs="宋体"/>
          <w:bCs w:val="0"/>
          <w:color w:val="000000"/>
          <w:sz w:val="24"/>
          <w:szCs w:val="24"/>
          <w:lang w:val="en-US" w:eastAsia="zh-CN"/>
        </w:rPr>
        <w:t xml:space="preserve">采购人有权对不满足要求的供应商视为虚假应标，按无效投标处理。</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③供应商提供的货物未达到投标文件响应要求或工期延误，对采购人造成损失的，由供应商承担一切责任，并依据合同条款赔偿所造成的损失。</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（2）验收要求</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①项目实施完成，供应商应完成文档整理，竣工文档是验收的必要条件。</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②所供货物必须是全新的，原装正品，完全符合国家规定的质量标准。因产品质量或安装不当导致验收不合格，应及时处理直至验收合格，期间产生的一切费用由供应商承担。</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（3）质保（维保）及售后要求</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①供应商提供项目整体上门质保三年（含）以上（自验收报告签字确认日起，进入质保期）。</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②当系统或设备发生故障时，供应商在保修期内应向采购人提供所有设备、材料和劳工维修处理，报修时4小时内到达现场、24小时内无法修复须提供备件保障系统设备正常运行。 </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fldChar w:fldCharType="begin"/>
      </w:r>
      <w:r>
        <w:rPr>
          <w:rFonts w:hint="eastAsia" w:ascii="宋体" w:hAnsi="宋体" w:eastAsia="宋体" w:cs="宋体"/>
          <w:bCs w:val="0"/>
          <w:color w:val="000000"/>
          <w:sz w:val="24"/>
          <w:szCs w:val="24"/>
          <w:lang w:val="en-US" w:eastAsia="zh-CN"/>
        </w:rPr>
        <w:instrText xml:space="preserve"> = 3 \* GB3 \* MERGEFORMAT </w:instrText>
      </w:r>
      <w:r>
        <w:rPr>
          <w:rFonts w:hint="eastAsia" w:ascii="宋体" w:hAnsi="宋体" w:eastAsia="宋体" w:cs="宋体"/>
          <w:bCs w:val="0"/>
          <w:color w:val="000000"/>
          <w:sz w:val="24"/>
          <w:szCs w:val="24"/>
          <w:lang w:val="en-US" w:eastAsia="zh-CN"/>
        </w:rPr>
        <w:fldChar w:fldCharType="separate"/>
      </w:r>
      <w:r>
        <w:rPr>
          <w:rFonts w:hint="eastAsia"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fldChar w:fldCharType="end"/>
      </w:r>
      <w:r>
        <w:rPr>
          <w:rFonts w:hint="eastAsia" w:ascii="宋体" w:hAnsi="宋体" w:eastAsia="宋体" w:cs="宋体"/>
          <w:bCs w:val="0"/>
          <w:color w:val="000000"/>
          <w:sz w:val="24"/>
          <w:szCs w:val="24"/>
          <w:lang w:val="en-US" w:eastAsia="zh-CN"/>
        </w:rPr>
        <w:t xml:space="preserve">质保（维保）期结束后，供应商仍应负责提供终身维修服务，只收取配件费。</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（4）培训要求</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质保期内每年上门培训不低于二次，提供软件终身升级服务，费用包含在投标报价中。</w:t>
      </w:r>
      <w:r>
        <w:rPr>
          <w:rFonts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（5）人员要求</w:t>
      </w:r>
      <w:r>
        <w:rPr>
          <w:rFonts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本项目实施人员不少于4人，其中项目负责人1人，技术负责人1人。</w:t>
      </w:r>
      <w:r>
        <w:rPr>
          <w:rFonts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w:t>
      </w:r>
      <w:r>
        <w:rPr>
          <w:rFonts w:ascii="宋体" w:hAnsi="宋体" w:eastAsia="宋体" w:cs="宋体"/>
          <w:bCs w:val="0"/>
          <w:color w:val="000000"/>
          <w:sz w:val="24"/>
          <w:szCs w:val="24"/>
          <w:lang w:val="en-US" w:eastAsia="zh-CN"/>
        </w:rPr>
        <w:t xml:space="preserve">付款条件</w:t>
      </w:r>
      <w:r>
        <w:rPr>
          <w:rFonts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0"/>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0"/>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ascii="宋体" w:hAnsi="宋体" w:eastAsia="宋体" w:cs="宋体"/>
          <w:color w:val="000000"/>
          <w:sz w:val="24"/>
          <w:szCs w:val="24"/>
        </w:rPr>
        <w:t xml:space="preserve">（1）交付时间：</w:t>
      </w:r>
      <w:r>
        <w:rPr>
          <w:rFonts w:hint="eastAsia" w:ascii="宋体" w:hAnsi="宋体" w:eastAsia="宋体" w:cs="宋体"/>
          <w:bCs w:val="0"/>
          <w:color w:val="000000"/>
          <w:sz w:val="24"/>
          <w:szCs w:val="24"/>
          <w:lang w:val="en-US" w:eastAsia="zh-CN"/>
        </w:rPr>
        <w:t xml:space="preserve">合同签订之日起30日内完成所有设备</w:t>
      </w:r>
      <w:r>
        <w:rPr>
          <w:rFonts w:hint="eastAsia" w:ascii="Times New Roman" w:hAnsi="Times New Roman" w:eastAsia="宋体" w:cs="Times New Roman"/>
          <w:sz w:val="24"/>
          <w:szCs w:val="24"/>
          <w:lang w:val="en-US" w:eastAsia="zh-CN"/>
        </w:rPr>
        <w:t xml:space="preserve">供货、安装、调试、深化设计、培训并通过验收</w:t>
      </w:r>
      <w:r>
        <w:rPr>
          <w:rFonts w:hint="eastAsia" w:ascii="宋体" w:hAnsi="宋体" w:eastAsia="宋体" w:cs="宋体"/>
          <w:bCs w:val="0"/>
          <w:color w:val="000000"/>
          <w:sz w:val="24"/>
          <w:szCs w:val="24"/>
          <w:lang w:val="en-US" w:eastAsia="zh-CN"/>
        </w:rPr>
        <w:t xml:space="preserve">。</w:t>
      </w:r>
      <w:r>
        <w:rPr>
          <w:rFonts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0"/>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3"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63"/>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0"/>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0"/>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0"/>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0"/>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3"/>
        <w:rPr>
          <w:rFonts w:hint="eastAsia"/>
          <w:lang w:eastAsia="zh-CN"/>
        </w:rPr>
      </w:pPr>
      <w:r>
        <w:rPr>
          <w:rFonts w:hint="eastAsia"/>
          <w:lang w:eastAsia="zh-CN"/>
        </w:rPr>
      </w:r>
      <w:r/>
    </w:p>
    <w:p>
      <w:pPr>
        <w:pStyle w:val="87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附件：各校分配表</w:t>
      </w:r>
      <w:r>
        <w:rPr>
          <w:rFonts w:hint="eastAsia" w:ascii="宋体" w:hAnsi="宋体" w:eastAsia="宋体" w:cs="宋体"/>
          <w:sz w:val="24"/>
          <w:szCs w:val="24"/>
          <w:lang w:val="en-US" w:eastAsia="zh-CN"/>
        </w:rPr>
      </w:r>
      <w:r/>
    </w:p>
    <w:p>
      <w:pPr>
        <w:pStyle w:val="882"/>
        <w:rPr>
          <w:lang w:val="en-US" w:eastAsia="zh-CN"/>
        </w:rPr>
      </w:pPr>
      <w:r>
        <w:rPr>
          <w:lang w:val="en-US" w:eastAsia="zh-CN"/>
        </w:rPr>
        <w:object w:dxaOrig="1450" w:dyaOrig="131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5pt;height:65.5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rPr>
          <w:lang w:val="en-US" w:eastAsia="zh-CN"/>
        </w:rPr>
      </w:r>
      <w:r/>
    </w:p>
    <w:p>
      <w:pPr>
        <w:pStyle w:val="870"/>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64" w:name="_Toc120614281"/>
      <w:r>
        <w:rPr>
          <w:rFonts w:hint="eastAsia" w:ascii="方正小标宋简体" w:hAnsi="方正小标宋简体" w:eastAsia="方正小标宋简体" w:cs="方正小标宋简体"/>
          <w:color w:val="000000"/>
          <w:sz w:val="36"/>
          <w:szCs w:val="36"/>
        </w:rPr>
      </w:r>
      <w:r/>
    </w:p>
    <w:p>
      <w:pPr>
        <w:pStyle w:val="870"/>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0"/>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0"/>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w:t>
      </w:r>
      <w:r>
        <w:rPr>
          <w:rFonts w:hint="eastAsia" w:ascii="宋体" w:hAnsi="宋体" w:eastAsia="宋体" w:cs="宋体"/>
          <w:sz w:val="24"/>
          <w:szCs w:val="24"/>
          <w:lang w:eastAsia="zh-CN"/>
        </w:rPr>
        <w:t xml:space="preserve">标候选人。</w:t>
      </w:r>
      <w:r>
        <w:rPr>
          <w:rFonts w:hint="eastAsia" w:ascii="宋体" w:hAnsi="宋体" w:eastAsia="宋体" w:cs="宋体"/>
          <w:sz w:val="24"/>
          <w:szCs w:val="24"/>
          <w:lang w:eastAsia="zh-CN"/>
        </w:rPr>
      </w:r>
      <w:r/>
    </w:p>
    <w:p>
      <w:pPr>
        <w:pStyle w:val="870"/>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0"/>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0"/>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0"/>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0"/>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0"/>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0"/>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0"/>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0"/>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0"/>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0"/>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0"/>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0"/>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产品技术参数全部满足招标要求的得满分，打★指标为必须满足项，如有负偏离将作为无效投标，打▲指标（10项）为重要指标，</w:t>
            </w:r>
            <w:r>
              <w:rPr>
                <w:rFonts w:hint="eastAsia" w:ascii="宋体" w:hAnsi="宋体" w:eastAsia="宋体" w:cs="宋体"/>
                <w:sz w:val="21"/>
                <w:szCs w:val="21"/>
                <w:lang w:val="en-US" w:eastAsia="zh-CN"/>
              </w:rPr>
              <w:t xml:space="preserve">有1项负偏离扣1分，其余指标有1项负偏离扣0.05分。</w:t>
            </w:r>
            <w:r>
              <w:rPr>
                <w:rFonts w:hint="eastAsia" w:ascii="宋体" w:hAnsi="宋体" w:eastAsia="宋体" w:cs="宋体"/>
                <w:spacing w:val="1"/>
                <w:szCs w:val="21"/>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20</w:t>
            </w:r>
            <w:r>
              <w:rPr>
                <w:rFonts w:ascii="宋体" w:hAnsi="宋体" w:eastAsia="宋体" w:cs="宋体"/>
                <w:szCs w:val="21"/>
                <w:lang w:val="en-US" w:eastAsia="zh-CN"/>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深化设计</w:t>
            </w:r>
            <w:r>
              <w:rPr>
                <w:rFonts w:hint="eastAsia" w:ascii="宋体" w:hAnsi="宋体" w:eastAsia="宋体" w:cs="宋体"/>
                <w:szCs w:val="21"/>
                <w:lang w:val="en-US" w:eastAsia="zh-CN"/>
              </w:rPr>
            </w:r>
            <w:r/>
          </w:p>
        </w:tc>
        <w:tc>
          <w:tcPr>
            <w:tcW w:w="6330"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szCs w:val="21"/>
                <w:lang w:val="en-US" w:eastAsia="zh-CN"/>
              </w:rPr>
            </w:pPr>
            <w:r/>
            <w:bookmarkStart w:id="65" w:name="OLE_LINK5"/>
            <w:r>
              <w:rPr>
                <w:rFonts w:hint="eastAsia" w:ascii="宋体" w:hAnsi="宋体" w:eastAsia="宋体" w:cs="宋体"/>
                <w:szCs w:val="21"/>
                <w:lang w:val="en-US" w:eastAsia="zh-CN"/>
              </w:rPr>
              <w:t xml:space="preserve">根据本项目采购需求（雨花外国语小学花神庙分校现场情况进行图纸方案设计【包括“智慧黑板”（清单1）“无线展台”（清单6）、“智慧交互屏”（清单7）、“互联书写板”（清单8）“智能教学话筒”（清单10）“多媒体教学音箱”（清单11）“AI算力终端”（清单12）、教师摄像机（清单13）、学生摄像机（清单14）、拾音麦克风（清单15）】）及相关要求编制方案，内容包含：</w:t>
            </w:r>
            <w:r>
              <w:rPr>
                <w:rFonts w:hint="eastAsia" w:ascii="宋体" w:hAnsi="宋体" w:eastAsia="宋体" w:cs="宋体"/>
                <w:color w:val="000000"/>
                <w:sz w:val="21"/>
                <w:szCs w:val="21"/>
                <w:highlight w:val="none"/>
                <w:lang w:val="en-US" w:eastAsia="zh-CN"/>
              </w:rPr>
              <w:t xml:space="preserve">1.录播教室布局及线路图；2.录播教室系统连接图；3.录播教室效果图；4.科学教室布局及线路图；5.科学教室系统连接图；6.科学教室效果图</w:t>
            </w:r>
            <w:r>
              <w:rPr>
                <w:rFonts w:hint="eastAsia" w:ascii="宋体" w:hAnsi="宋体" w:eastAsia="宋体" w:cs="宋体"/>
                <w:szCs w:val="21"/>
                <w:lang w:val="en-US" w:eastAsia="zh-CN"/>
              </w:rPr>
              <w:t xml:space="preserve">。以上每项内容逐项评分：</w:t>
            </w:r>
            <w:r>
              <w:rPr>
                <w:rFonts w:hint="eastAsia" w:ascii="宋体" w:hAnsi="宋体" w:eastAsia="宋体" w:cs="宋体"/>
                <w:szCs w:val="21"/>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方案内容规范、完整、系统结果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Cs w:val="21"/>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上述每项内容符合得1分；部分符合得0.5分；不符合或不提供不得分。</w:t>
            </w:r>
            <w:bookmarkEnd w:id="65"/>
            <w:r>
              <w:rPr>
                <w:rFonts w:hint="eastAsia" w:ascii="宋体" w:hAnsi="宋体" w:eastAsia="宋体" w:cs="宋体"/>
                <w:szCs w:val="21"/>
                <w:lang w:val="en-US" w:eastAsia="zh-CN"/>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检测报告</w:t>
            </w:r>
            <w:r>
              <w:rPr>
                <w:rFonts w:hint="eastAsia" w:ascii="宋体" w:hAnsi="宋体" w:eastAsia="宋体" w:cs="宋体"/>
                <w:szCs w:val="21"/>
                <w:highlight w:val="none"/>
                <w:lang w:val="en-US" w:eastAsia="zh-CN"/>
              </w:rPr>
            </w:r>
            <w:r/>
          </w:p>
        </w:tc>
        <w:tc>
          <w:tcPr>
            <w:tcW w:w="6330"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1.投标人所投“智慧黑板”（清单1）、“触控一体机”（清单2）、“智慧交互屏”（清单7）通过人眼视觉舒适度（VICO）测试，测试结果达到A级及以上，每提供一项满足要求的检测报告得1分，最多得3分（</w:t>
            </w:r>
            <w:r>
              <w:rPr>
                <w:rFonts w:hint="eastAsia" w:ascii="宋体" w:hAnsi="宋体" w:cs="宋体"/>
                <w:highlight w:val="none"/>
              </w:rPr>
              <w:t xml:space="preserve">提供第三方检测机构出具的检测结果符合相应要求和标准的检测报告原件扫描件，检测依据：GB/T44441-2024，检测报告需体现相关检测内容，否则不予认可</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hint="eastAsia" w:ascii="宋体" w:hAnsi="宋体" w:cs="宋体"/>
                <w:highlight w:val="none"/>
              </w:rPr>
              <w:t xml:space="preserve">投标人所投“教学白板软件”（清单</w:t>
            </w:r>
            <w:r>
              <w:rPr>
                <w:rFonts w:hint="eastAsia" w:ascii="宋体" w:hAnsi="宋体" w:cs="宋体"/>
                <w:highlight w:val="none"/>
                <w:lang w:val="en-US" w:eastAsia="zh-CN"/>
              </w:rPr>
              <w:t xml:space="preserve">3</w:t>
            </w:r>
            <w:r>
              <w:rPr>
                <w:rFonts w:hint="eastAsia" w:ascii="宋体" w:hAnsi="宋体" w:cs="宋体"/>
                <w:highlight w:val="none"/>
              </w:rPr>
              <w:t xml:space="preserve">）具备集体备课报告功能，报告内包含集备信息、数据统计、研讨记录的具体内容</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满足要求的</w:t>
            </w:r>
            <w:r>
              <w:rPr>
                <w:rFonts w:hint="eastAsia" w:ascii="宋体" w:hAnsi="宋体" w:cs="宋体"/>
                <w:highlight w:val="none"/>
              </w:rPr>
              <w:t xml:space="preserve">得</w:t>
            </w:r>
            <w:r>
              <w:rPr>
                <w:rFonts w:hint="eastAsia" w:ascii="宋体" w:hAnsi="宋体" w:cs="宋体"/>
                <w:highlight w:val="none"/>
                <w:lang w:val="en-US" w:eastAsia="zh-CN"/>
              </w:rPr>
              <w:t xml:space="preserve">1</w:t>
            </w:r>
            <w:r>
              <w:rPr>
                <w:rFonts w:hint="eastAsia" w:ascii="宋体" w:hAnsi="宋体" w:cs="宋体"/>
                <w:highlight w:val="none"/>
              </w:rPr>
              <w:t xml:space="preserve">分(提供第三方检测机构出具的检测结果符合相应要求和标准的检测报告原件扫描件，检测依据：GB/T 25000.51-2016《系统与软件工程系统与软件质量要求和评价（SQuaRE） 第51部分：就绪可用软件产品（RUSP）的质量要求和测试细则》，检测报告需体现相关检测内容，否则不予认可)</w:t>
            </w:r>
            <w:r>
              <w:rPr>
                <w:rFonts w:hint="eastAsia" w:ascii="宋体" w:hAnsi="宋体" w:cs="宋体"/>
                <w:highlight w:val="none"/>
                <w:lang w:eastAsia="zh-CN"/>
              </w:rPr>
              <w:t xml:space="preserve">。</w:t>
            </w:r>
            <w:r>
              <w:rPr>
                <w:rFonts w:hint="eastAsia" w:ascii="宋体" w:hAnsi="宋体" w:eastAsia="宋体" w:cs="宋体"/>
                <w:szCs w:val="21"/>
                <w:highlight w:val="none"/>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0"/>
              <w:jc w:val="left"/>
              <w:spacing w:before="68" w:line="264" w:lineRule="auto"/>
              <w:rPr>
                <w:rFonts w:ascii="宋体" w:hAnsi="宋体" w:eastAsia="宋体" w:cs="宋体"/>
                <w:sz w:val="21"/>
                <w:szCs w:val="24"/>
                <w:highlight w:val="none"/>
                <w:lang w:val="en-US" w:eastAsia="zh-CN" w:bidi="ar-SA"/>
              </w:rPr>
            </w:pPr>
            <w:r>
              <w:rPr>
                <w:rFonts w:hint="eastAsia" w:ascii="宋体" w:hAnsi="宋体" w:cs="宋体"/>
                <w:spacing w:val="-2"/>
                <w:highlight w:val="none"/>
              </w:rPr>
              <w:t xml:space="preserve">产品兼容性</w:t>
            </w:r>
            <w:r>
              <w:rPr>
                <w:rFonts w:ascii="宋体" w:hAnsi="宋体" w:eastAsia="宋体" w:cs="宋体"/>
                <w:sz w:val="21"/>
                <w:szCs w:val="24"/>
                <w:highlight w:val="none"/>
                <w:lang w:val="en-US" w:eastAsia="zh-CN" w:bidi="ar-SA"/>
              </w:rPr>
            </w:r>
            <w:r/>
          </w:p>
        </w:tc>
        <w:tc>
          <w:tcPr>
            <w:tcW w:w="6330" w:type="dxa"/>
            <w:vAlign w:val="center"/>
            <w:textDirection w:val="lrTb"/>
            <w:noWrap w:val="false"/>
          </w:tcPr>
          <w:p>
            <w:pPr>
              <w:pStyle w:val="870"/>
              <w:spacing w:line="264" w:lineRule="auto"/>
              <w:rPr>
                <w:rFonts w:ascii="宋体" w:hAnsi="宋体" w:cs="宋体"/>
                <w:highlight w:val="none"/>
              </w:rPr>
            </w:pPr>
            <w:r>
              <w:rPr>
                <w:rFonts w:hint="eastAsia" w:ascii="宋体" w:hAnsi="宋体" w:cs="宋体"/>
                <w:highlight w:val="none"/>
              </w:rPr>
              <w:t xml:space="preserve">投标人所投</w:t>
            </w:r>
            <w:r>
              <w:rPr>
                <w:rFonts w:hint="eastAsia" w:ascii="宋体" w:hAnsi="宋体" w:eastAsia="宋体" w:cs="宋体"/>
                <w:color w:val="000000"/>
                <w:sz w:val="21"/>
                <w:szCs w:val="21"/>
              </w:rPr>
              <w:t xml:space="preserve">投标人</w:t>
            </w:r>
            <w:r>
              <w:rPr>
                <w:rFonts w:hint="eastAsia" w:ascii="宋体" w:hAnsi="宋体" w:eastAsia="宋体" w:cs="宋体"/>
                <w:color w:val="000000"/>
                <w:sz w:val="21"/>
                <w:szCs w:val="21"/>
              </w:rPr>
              <w:t xml:space="preserve">所投智慧交互屏（清单7）、互联书写板（清单8）、AI算力终端（清单12）产品均为同一品牌的得2分。</w:t>
            </w:r>
            <w:r>
              <w:rPr>
                <w:rFonts w:ascii="宋体" w:hAnsi="宋体" w:cs="宋体"/>
                <w:highlight w:val="none"/>
              </w:rPr>
            </w:r>
            <w:r/>
          </w:p>
          <w:p>
            <w:pPr>
              <w:pStyle w:val="870"/>
              <w:spacing w:line="264" w:lineRule="auto"/>
              <w:rPr>
                <w:rFonts w:hint="eastAsia" w:ascii="宋体" w:hAnsi="宋体" w:eastAsia="宋体" w:cs="宋体"/>
                <w:sz w:val="21"/>
                <w:szCs w:val="24"/>
                <w:highlight w:val="none"/>
                <w:lang w:val="en-US" w:eastAsia="zh-CN" w:bidi="ar-SA"/>
              </w:rPr>
            </w:pPr>
            <w:r>
              <w:rPr>
                <w:rFonts w:hint="eastAsia" w:ascii="宋体" w:hAnsi="宋体" w:cs="宋体"/>
                <w:highlight w:val="none"/>
              </w:rPr>
              <w:t xml:space="preserve">以上提供相关证明材料或承诺书（格式自拟），缺项漏项或不提供的不得分。</w:t>
            </w:r>
            <w:r>
              <w:rPr>
                <w:rFonts w:hint="eastAsia" w:ascii="宋体" w:hAnsi="宋体" w:eastAsia="宋体" w:cs="宋体"/>
                <w:sz w:val="21"/>
                <w:szCs w:val="24"/>
                <w:highlight w:val="none"/>
                <w:lang w:val="en-US" w:eastAsia="zh-CN" w:bidi="ar-SA"/>
              </w:rPr>
            </w:r>
            <w:r/>
          </w:p>
        </w:tc>
        <w:tc>
          <w:tcPr>
            <w:tcW w:w="647" w:type="dxa"/>
            <w:vAlign w:val="center"/>
            <w:textDirection w:val="lrTb"/>
            <w:noWrap w:val="false"/>
          </w:tcPr>
          <w:p>
            <w:pPr>
              <w:pStyle w:val="870"/>
              <w:jc w:val="center"/>
              <w:spacing w:line="264" w:lineRule="auto"/>
              <w:rPr>
                <w:rFonts w:hint="eastAsia" w:ascii="宋体" w:hAnsi="宋体" w:eastAsia="宋体" w:cs="宋体"/>
                <w:sz w:val="21"/>
                <w:szCs w:val="24"/>
                <w:highlight w:val="none"/>
                <w:lang w:val="en-US" w:eastAsia="zh-CN" w:bidi="ar-SA"/>
              </w:rPr>
            </w:pPr>
            <w:r>
              <w:rPr>
                <w:rFonts w:hint="eastAsia" w:ascii="宋体" w:hAnsi="宋体" w:cs="宋体"/>
                <w:highlight w:val="none"/>
              </w:rPr>
              <w:t xml:space="preserve">2</w:t>
            </w:r>
            <w:r>
              <w:rPr>
                <w:rFonts w:hint="eastAsia" w:ascii="宋体" w:hAnsi="宋体" w:eastAsia="宋体" w:cs="宋体"/>
                <w:sz w:val="21"/>
                <w:szCs w:val="24"/>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客观分</w:t>
            </w:r>
            <w:r>
              <w:rPr>
                <w:rFonts w:hint="eastAsia" w:ascii="宋体" w:hAnsi="宋体" w:eastAsia="宋体" w:cs="宋体"/>
                <w:sz w:val="21"/>
                <w:szCs w:val="21"/>
                <w:highlight w:val="none"/>
                <w:lang w:val="en-US" w:eastAsia="zh-CN" w:bidi="ar-SA"/>
              </w:rPr>
            </w:r>
            <w:r/>
          </w:p>
        </w:tc>
      </w:tr>
      <w:tr>
        <w:trPr>
          <w:trHeight w:val="889"/>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0"/>
              <w:jc w:val="both"/>
              <w:keepLines w:val="0"/>
              <w:keepNext w:val="0"/>
              <w:pageBreakBefore w:val="0"/>
              <w:spacing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视频演示1</w:t>
            </w:r>
            <w:r>
              <w:rPr>
                <w:rFonts w:ascii="宋体" w:hAnsi="宋体" w:eastAsia="宋体" w:cs="宋体"/>
                <w:color w:val="000000"/>
                <w:szCs w:val="21"/>
                <w:lang w:val="en-US" w:eastAsia="zh-CN"/>
              </w:rPr>
            </w:r>
            <w:r/>
          </w:p>
        </w:tc>
        <w:tc>
          <w:tcPr>
            <w:tcW w:w="6330"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en-US" w:eastAsia="zh-CN"/>
              </w:rPr>
              <w:t xml:space="preserve">投标人</w:t>
            </w:r>
            <w:r>
              <w:rPr>
                <w:rFonts w:hint="eastAsia" w:ascii="宋体" w:hAnsi="宋体" w:eastAsia="宋体" w:cs="宋体"/>
                <w:color w:val="000000"/>
                <w:szCs w:val="21"/>
                <w:lang w:val="zh-CN" w:eastAsia="zh-CN"/>
              </w:rPr>
              <w:t xml:space="preserve">提供</w:t>
            </w:r>
            <w:r>
              <w:rPr>
                <w:rFonts w:hint="eastAsia" w:ascii="宋体" w:hAnsi="宋体" w:eastAsia="宋体" w:cs="宋体"/>
                <w:color w:val="000000"/>
                <w:szCs w:val="21"/>
              </w:rPr>
              <w:t xml:space="preserve">“智慧交互屏（清单</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）、设备运维管理平台（清单</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）、无线展台（清单</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）、课堂分析系统（清单</w:t>
            </w:r>
            <w:r>
              <w:rPr>
                <w:rFonts w:hint="eastAsia" w:ascii="宋体" w:hAnsi="宋体" w:eastAsia="宋体" w:cs="宋体"/>
                <w:color w:val="000000"/>
                <w:szCs w:val="21"/>
                <w:lang w:val="en-US" w:eastAsia="zh-CN"/>
              </w:rPr>
              <w:t xml:space="preserve">16</w:t>
            </w:r>
            <w:r>
              <w:rPr>
                <w:rFonts w:hint="eastAsia" w:ascii="宋体" w:hAnsi="宋体" w:eastAsia="宋体" w:cs="宋体"/>
                <w:color w:val="000000"/>
                <w:szCs w:val="21"/>
              </w:rPr>
              <w:t xml:space="preserve">）、学生成长系统（清单</w:t>
            </w:r>
            <w:r>
              <w:rPr>
                <w:rFonts w:hint="eastAsia" w:ascii="宋体" w:hAnsi="宋体" w:eastAsia="宋体" w:cs="宋体"/>
                <w:color w:val="000000"/>
                <w:szCs w:val="21"/>
                <w:lang w:val="en-US" w:eastAsia="zh-CN"/>
              </w:rPr>
              <w:t xml:space="preserve">17</w:t>
            </w:r>
            <w:r>
              <w:rPr>
                <w:rFonts w:hint="eastAsia" w:ascii="宋体" w:hAnsi="宋体" w:eastAsia="宋体" w:cs="宋体"/>
                <w:color w:val="000000"/>
                <w:szCs w:val="21"/>
              </w:rPr>
              <w:t xml:space="preserve">）</w:t>
            </w:r>
            <w:r>
              <w:rPr>
                <w:rFonts w:hint="eastAsia" w:ascii="宋体" w:hAnsi="宋体" w:eastAsia="宋体" w:cs="宋体"/>
                <w:color w:val="000000"/>
                <w:szCs w:val="21"/>
                <w:lang w:eastAsia="zh-CN"/>
              </w:rPr>
              <w:t xml:space="preserve">搭建</w:t>
            </w:r>
            <w:r>
              <w:rPr>
                <w:rFonts w:hint="eastAsia" w:ascii="宋体" w:hAnsi="宋体" w:eastAsia="宋体" w:cs="宋体"/>
                <w:color w:val="000000"/>
                <w:szCs w:val="21"/>
              </w:rPr>
              <w:t xml:space="preserve">组成演示环境</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评委根据投标人提供的以下视频演示情况综合评分（每家供应商</w:t>
            </w:r>
            <w:r>
              <w:rPr>
                <w:rFonts w:hint="eastAsia" w:ascii="宋体" w:hAnsi="宋体" w:eastAsia="宋体" w:cs="宋体"/>
                <w:color w:val="000000"/>
                <w:szCs w:val="21"/>
              </w:rPr>
              <w:t xml:space="preserve">视频时长总计不超过</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分钟</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zh-CN" w:eastAsia="zh-CN"/>
              </w:rPr>
            </w:r>
            <w:r/>
          </w:p>
          <w:p>
            <w:pPr>
              <w:pStyle w:val="870"/>
              <w:jc w:val="left"/>
              <w:keepLines w:val="0"/>
              <w:keepNext w:val="0"/>
              <w:pageBreakBefore w:val="0"/>
              <w:spacing w:line="288"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1.演示智慧交互屏答题统计功能，通过摄像头进行捕捉和AI识别学生通过手势答案，最终收集回作答情况，形成课中的互动学情</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70"/>
              <w:jc w:val="left"/>
              <w:keepLines w:val="0"/>
              <w:keepNext w:val="0"/>
              <w:pageBreakBefore w:val="0"/>
              <w:spacing w:line="288" w:lineRule="auto"/>
              <w:widowControl w:val="off"/>
              <w:rPr>
                <w:rFonts w:hint="eastAsia" w:ascii="宋体" w:hAnsi="宋体" w:cs="宋体"/>
                <w:color w:val="000000"/>
                <w:szCs w:val="21"/>
                <w:lang w:eastAsia="zh-CN"/>
              </w:rPr>
            </w:pPr>
            <w:r>
              <w:rPr>
                <w:rFonts w:hint="eastAsia" w:ascii="宋体" w:hAnsi="宋体" w:cs="宋体"/>
                <w:color w:val="000000"/>
                <w:szCs w:val="21"/>
              </w:rPr>
              <w:t xml:space="preserve">2.演示无线展台通过显示屏幕，实时预览拍摄的范围和画面，通过3个物理按键分别实现开/关机、拍照、画面旋转等功能</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70"/>
              <w:jc w:val="left"/>
              <w:keepLines w:val="0"/>
              <w:keepNext w:val="0"/>
              <w:pageBreakBefore w:val="0"/>
              <w:spacing w:line="288"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3.演示课堂分析系统支持教师画面、学生画面双窗口显示，小窗口可自由拖动位置和自由切换；视频画面与互动课件一一对应，点击互动课件缩略图，可跳转至对应视频片段</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70"/>
              <w:jc w:val="left"/>
              <w:keepLines w:val="0"/>
              <w:keepNext w:val="0"/>
              <w:pageBreakBefore w:val="0"/>
              <w:spacing w:line="288"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4.演示学生成长系统生成全班的学生成长报告，按照学生头像形式进行选择</w:t>
            </w:r>
            <w:r>
              <w:rPr>
                <w:rFonts w:hint="eastAsia" w:ascii="宋体" w:hAnsi="宋体" w:cs="宋体"/>
                <w:color w:val="000000"/>
                <w:szCs w:val="21"/>
                <w:lang w:eastAsia="zh-CN"/>
              </w:rPr>
              <w:t xml:space="preserve">，</w:t>
            </w:r>
            <w:r>
              <w:rPr>
                <w:rFonts w:hint="eastAsia" w:ascii="宋体" w:hAnsi="宋体" w:cs="宋体"/>
                <w:color w:val="000000"/>
                <w:szCs w:val="21"/>
              </w:rPr>
              <w:t xml:space="preserve">点击学生</w:t>
            </w:r>
            <w:r>
              <w:rPr>
                <w:rFonts w:hint="eastAsia" w:ascii="宋体" w:hAnsi="宋体" w:eastAsia="宋体" w:cs="宋体"/>
                <w:color w:val="000000"/>
                <w:szCs w:val="21"/>
              </w:rPr>
              <w:t xml:space="preserve">头像即可打开具体报告，根据采集到的不同学科的专注度、愉悦度数据，系统进行学科兴趣分析，并且基于学科兴趣分析形成AI分析建议。</w:t>
            </w:r>
            <w:r>
              <w:rPr>
                <w:rFonts w:hint="eastAsia" w:ascii="宋体" w:hAnsi="宋体" w:eastAsia="宋体" w:cs="宋体"/>
                <w:color w:val="000000"/>
                <w:szCs w:val="21"/>
                <w:lang w:eastAsia="zh-CN"/>
              </w:rPr>
            </w:r>
            <w:r/>
          </w:p>
          <w:p>
            <w:pPr>
              <w:pStyle w:val="870"/>
              <w:jc w:val="left"/>
              <w:keepLines w:val="0"/>
              <w:keepNext w:val="0"/>
              <w:pageBreakBefore w:val="0"/>
              <w:spacing w:line="288"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以上每小项功能，每成功演示全部内容的得1.5分，功能演示不全或不符合要求或未提供的不得分。</w:t>
            </w:r>
            <w:r>
              <w:rPr>
                <w:rFonts w:hint="eastAsia" w:ascii="宋体" w:hAnsi="宋体" w:eastAsia="宋体" w:cs="宋体"/>
                <w:color w:val="000000"/>
                <w:szCs w:val="21"/>
                <w:lang w:eastAsia="zh-CN"/>
              </w:rPr>
            </w:r>
            <w:r/>
          </w:p>
          <w:p>
            <w:pPr>
              <w:pStyle w:val="870"/>
              <w:jc w:val="both"/>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0"/>
              <w:jc w:val="both"/>
              <w:keepLines w:val="0"/>
              <w:keepNext w:val="0"/>
              <w:pageBreakBefore w:val="0"/>
              <w:spacing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视频文件必须为实物拍摄后的文件，不得通过后期剪辑、拼接、倍速、遮挡、特效合成等方式影响测试过程真实性。视频应清晰展示设备整体、测试人员、系统界面等关键内容。</w:t>
            </w:r>
            <w:r>
              <w:rPr>
                <w:rFonts w:hint="eastAsia" w:ascii="宋体" w:hAnsi="宋体" w:eastAsia="宋体" w:cs="宋体"/>
                <w:color w:val="000000"/>
                <w:szCs w:val="21"/>
                <w:lang w:eastAsia="zh-CN"/>
              </w:rPr>
            </w:r>
            <w:r/>
          </w:p>
          <w:p>
            <w:pPr>
              <w:pStyle w:val="870"/>
              <w:jc w:val="both"/>
              <w:keepLines w:val="0"/>
              <w:keepNext w:val="0"/>
              <w:pageBreakBefore w:val="0"/>
              <w:spacing w:line="264" w:lineRule="auto"/>
              <w:widowControl w:val="off"/>
              <w:rPr>
                <w:rFonts w:hint="eastAsia" w:ascii="宋体" w:hAnsi="宋体" w:eastAsia="宋体" w:cs="宋体"/>
                <w:color w:val="000000"/>
                <w:szCs w:val="21"/>
                <w:lang w:val="zh-CN" w:eastAsia="zh-CN"/>
              </w:rPr>
            </w:pPr>
            <w:r>
              <w:rPr>
                <w:rFonts w:hint="eastAsia" w:ascii="宋体" w:hAnsi="宋体" w:eastAsia="宋体" w:cs="宋体"/>
                <w:color w:val="000000"/>
                <w:szCs w:val="21"/>
                <w:lang w:val="en-US" w:eastAsia="zh-CN"/>
              </w:rPr>
              <w:t xml:space="preserve">2.投标人未提供视频文件或因投标人自身原因视频文件无法打开或视频画面不清晰无法辨认的不得分。</w:t>
            </w:r>
            <w:r>
              <w:rPr>
                <w:rFonts w:hint="eastAsia" w:ascii="宋体" w:hAnsi="宋体" w:eastAsia="宋体" w:cs="宋体"/>
                <w:color w:val="000000"/>
                <w:szCs w:val="21"/>
                <w:lang w:val="zh-CN" w:eastAsia="zh-CN"/>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val="en-US" w:eastAsia="zh-CN"/>
              </w:rPr>
              <w:t xml:space="preserve">客</w:t>
            </w:r>
            <w:r>
              <w:rPr>
                <w:rFonts w:hint="eastAsia" w:ascii="宋体" w:hAnsi="宋体" w:eastAsia="宋体" w:cs="宋体"/>
                <w:spacing w:val="-6"/>
                <w:szCs w:val="21"/>
                <w:highlight w:val="none"/>
                <w:lang w:eastAsia="zh-CN"/>
              </w:rPr>
              <w:t xml:space="preserve">观分</w:t>
            </w:r>
            <w:r>
              <w:rPr>
                <w:rFonts w:hint="eastAsia" w:ascii="宋体" w:hAnsi="宋体" w:eastAsia="宋体" w:cs="宋体"/>
                <w:spacing w:val="-6"/>
                <w:sz w:val="21"/>
                <w:szCs w:val="21"/>
                <w:highlight w:val="none"/>
                <w:lang w:val="en-US" w:eastAsia="zh-CN" w:bidi="ar-SA"/>
              </w:rPr>
            </w:r>
            <w:r/>
          </w:p>
        </w:tc>
      </w:tr>
      <w:tr>
        <w:trPr>
          <w:trHeight w:val="889"/>
        </w:trPr>
        <w:tc>
          <w:tcPr>
            <w:tcW w:w="519" w:type="dxa"/>
            <w:vAlign w:val="center"/>
            <w:textDirection w:val="lrTb"/>
            <w:noWrap w:val="false"/>
          </w:tcPr>
          <w:p>
            <w:pPr>
              <w:pStyle w:val="870"/>
              <w:jc w:val="center"/>
              <w:keepLines w:val="0"/>
              <w:keepNext w:val="0"/>
              <w:pageBreakBefore w:val="0"/>
              <w:spacing w:before="68" w:line="264" w:lineRule="auto"/>
              <w:widowControl w:val="off"/>
              <w:rPr>
                <w:rFonts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70"/>
              <w:jc w:val="both"/>
              <w:keepLines w:val="0"/>
              <w:keepNext w:val="0"/>
              <w:pageBreakBefore w:val="0"/>
              <w:spacing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视频演示2</w:t>
            </w:r>
            <w:r>
              <w:rPr>
                <w:rFonts w:ascii="宋体" w:hAnsi="宋体" w:eastAsia="宋体" w:cs="宋体"/>
                <w:color w:val="000000"/>
                <w:szCs w:val="21"/>
                <w:lang w:val="en-US" w:eastAsia="zh-CN"/>
              </w:rPr>
            </w:r>
            <w:r/>
          </w:p>
        </w:tc>
        <w:tc>
          <w:tcPr>
            <w:tcW w:w="6330" w:type="dxa"/>
            <w:vAlign w:val="center"/>
            <w:textDirection w:val="lrTb"/>
            <w:noWrap w:val="false"/>
          </w:tcPr>
          <w:p>
            <w:pPr>
              <w:pStyle w:val="870"/>
              <w:jc w:val="both"/>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cs="宋体"/>
                <w:color w:val="000000"/>
                <w:szCs w:val="21"/>
              </w:rPr>
              <w:t xml:space="preserve">评委根据投标人</w:t>
            </w:r>
            <w:r>
              <w:rPr>
                <w:rFonts w:hint="eastAsia" w:ascii="宋体" w:hAnsi="宋体" w:eastAsia="宋体" w:cs="宋体"/>
                <w:color w:val="000000"/>
                <w:szCs w:val="21"/>
                <w:lang w:eastAsia="zh-CN"/>
              </w:rPr>
              <w:t xml:space="preserve">提供“智慧黑板”（清单</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）演示视频</w:t>
            </w:r>
            <w:r>
              <w:rPr>
                <w:rFonts w:hint="eastAsia" w:ascii="宋体" w:hAnsi="宋体" w:eastAsia="宋体" w:cs="宋体"/>
                <w:color w:val="000000"/>
                <w:szCs w:val="21"/>
                <w:lang w:val="en-US" w:eastAsia="zh-CN"/>
              </w:rPr>
              <w:t xml:space="preserve">综合评分（每家供应商</w:t>
            </w:r>
            <w:r>
              <w:rPr>
                <w:rFonts w:hint="eastAsia" w:ascii="宋体" w:hAnsi="宋体" w:eastAsia="宋体" w:cs="宋体"/>
                <w:color w:val="000000"/>
                <w:szCs w:val="21"/>
                <w:lang w:eastAsia="zh-CN"/>
              </w:rPr>
              <w:t xml:space="preserve">视频时长总计不超过</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分钟</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r>
            <w:r/>
          </w:p>
          <w:p>
            <w:pPr>
              <w:pStyle w:val="870"/>
              <w:jc w:val="both"/>
              <w:keepLines w:val="0"/>
              <w:keepNext w:val="0"/>
              <w:pageBreakBefore w:val="0"/>
              <w:spacing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演示内容包括1.</w:t>
            </w:r>
            <w:r>
              <w:rPr>
                <w:rFonts w:hint="eastAsia" w:ascii="宋体" w:hAnsi="宋体" w:eastAsia="宋体" w:cs="宋体"/>
                <w:color w:val="000000"/>
                <w:szCs w:val="21"/>
                <w:lang w:eastAsia="zh-CN"/>
              </w:rPr>
              <w:t xml:space="preserve">智慧黑板的日常使用规范；</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智慧黑板的培训；</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智慧黑板的保养</w:t>
            </w:r>
            <w:r>
              <w:rPr>
                <w:rFonts w:hint="eastAsia" w:ascii="宋体" w:hAnsi="宋体" w:eastAsia="宋体" w:cs="宋体"/>
                <w:szCs w:val="21"/>
                <w:lang w:val="en-US" w:eastAsia="zh-CN"/>
              </w:rPr>
              <w:t xml:space="preserve">。以上每项内容逐项评分：</w:t>
            </w:r>
            <w:r>
              <w:rPr>
                <w:rFonts w:ascii="宋体" w:hAnsi="宋体" w:eastAsia="宋体" w:cs="宋体"/>
                <w:color w:val="000000"/>
                <w:szCs w:val="21"/>
                <w:lang w:val="en-US" w:eastAsia="zh-CN"/>
              </w:rPr>
            </w:r>
            <w:r/>
          </w:p>
          <w:p>
            <w:pPr>
              <w:pStyle w:val="870"/>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color w:val="000000"/>
                <w:szCs w:val="21"/>
                <w:lang w:val="en-US" w:eastAsia="zh-CN"/>
              </w:rPr>
              <w:t xml:space="preserve">视频内容完善、丰富、完整、</w:t>
            </w:r>
            <w:r>
              <w:rPr>
                <w:rFonts w:hint="eastAsia" w:ascii="宋体" w:hAnsi="宋体" w:eastAsia="宋体" w:cs="宋体"/>
                <w:color w:val="000000"/>
                <w:szCs w:val="21"/>
                <w:lang w:eastAsia="zh-CN"/>
              </w:rPr>
              <w:t xml:space="preserve">清晰易懂</w:t>
            </w:r>
            <w:r>
              <w:rPr>
                <w:rFonts w:hint="eastAsia" w:ascii="宋体" w:hAnsi="宋体" w:eastAsia="宋体" w:cs="宋体"/>
                <w:color w:val="000000"/>
                <w:szCs w:val="21"/>
                <w:lang w:val="en-US" w:eastAsia="zh-CN"/>
              </w:rPr>
              <w:t xml:space="preserve">，且专门针对本项目，契合采购需求视为符合；</w:t>
            </w:r>
            <w:r>
              <w:rPr>
                <w:rFonts w:hint="eastAsia" w:ascii="宋体" w:hAnsi="宋体" w:eastAsia="宋体" w:cs="宋体"/>
                <w:szCs w:val="21"/>
                <w:lang w:val="en-US" w:eastAsia="zh-CN"/>
              </w:rPr>
              <w:t xml:space="preserve">视频内容属于通用类，非专门针对本项目，部分契合采购需求视为部分符合；视频内容非专门针对本项目，脱离采购需求视为不符合。</w:t>
            </w:r>
            <w:r>
              <w:rPr>
                <w:rFonts w:hint="eastAsia" w:ascii="宋体" w:hAnsi="宋体" w:eastAsia="宋体" w:cs="宋体"/>
                <w:szCs w:val="21"/>
                <w:lang w:val="en-US" w:eastAsia="zh-CN"/>
              </w:rPr>
            </w:r>
            <w:r/>
          </w:p>
          <w:p>
            <w:pPr>
              <w:pStyle w:val="1002"/>
              <w:ind w:firstLine="0"/>
              <w:rPr>
                <w:rFonts w:hint="eastAsia" w:ascii="宋体" w:hAnsi="宋体" w:cs="宋体"/>
                <w:caps/>
                <w:szCs w:val="21"/>
              </w:rPr>
            </w:pPr>
            <w:r>
              <w:rPr>
                <w:rFonts w:hint="eastAsia" w:ascii="宋体" w:hAnsi="宋体" w:eastAsia="宋体" w:cs="宋体"/>
                <w:szCs w:val="21"/>
                <w:lang w:val="en-US" w:eastAsia="zh-CN"/>
              </w:rPr>
              <w:t xml:space="preserve">上述内容符合得1分；部分符合得0.5分；不符合或不提供不得分。</w:t>
            </w:r>
            <w:r>
              <w:rPr>
                <w:rFonts w:hint="eastAsia" w:ascii="宋体" w:hAnsi="宋体" w:cs="宋体"/>
                <w:caps/>
                <w:szCs w:val="21"/>
              </w:rPr>
            </w:r>
            <w:r/>
          </w:p>
          <w:p>
            <w:pPr>
              <w:pStyle w:val="870"/>
              <w:jc w:val="both"/>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0"/>
              <w:jc w:val="both"/>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1.投标人未提供视频文件或因投标人自身原因视频文件无法打开或视频画面不清晰无法辨认的不得分。</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lang w:val="en-US" w:eastAsia="zh-CN"/>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ascii="宋体" w:hAnsi="宋体" w:eastAsia="宋体" w:cs="宋体"/>
                <w:spacing w:val="-6"/>
                <w:szCs w:val="21"/>
                <w:highlight w:val="none"/>
                <w:lang w:val="en-US" w:eastAsia="zh-CN"/>
              </w:rPr>
            </w:pPr>
            <w:r>
              <w:rPr>
                <w:rFonts w:hint="eastAsia" w:ascii="宋体" w:hAnsi="宋体" w:eastAsia="宋体" w:cs="宋体"/>
                <w:spacing w:val="-6"/>
                <w:szCs w:val="21"/>
                <w:highlight w:val="none"/>
                <w:lang w:val="en-US" w:eastAsia="zh-CN"/>
              </w:rPr>
              <w:t xml:space="preserve">主观分</w:t>
            </w:r>
            <w:r>
              <w:rPr>
                <w:rFonts w:ascii="宋体" w:hAnsi="宋体" w:eastAsia="宋体" w:cs="宋体"/>
                <w:spacing w:val="-6"/>
                <w:szCs w:val="21"/>
                <w:highlight w:val="none"/>
                <w:lang w:val="en-US" w:eastAsia="zh-CN"/>
              </w:rPr>
            </w:r>
            <w:r/>
          </w:p>
        </w:tc>
      </w:tr>
      <w:tr>
        <w:trPr>
          <w:trHeight w:val="472"/>
        </w:trPr>
        <w:tc>
          <w:tcPr>
            <w:gridSpan w:val="5"/>
            <w:tcW w:w="9575" w:type="dxa"/>
            <w:vAlign w:val="center"/>
            <w:textDirection w:val="lrTb"/>
            <w:noWrap w:val="false"/>
          </w:tcPr>
          <w:p>
            <w:pPr>
              <w:pStyle w:val="870"/>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437"/>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4"/>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olor w:val="000000"/>
                <w:sz w:val="21"/>
                <w:szCs w:val="21"/>
                <w:lang w:val="en-US"/>
              </w:rPr>
              <w:t xml:space="preserve">对项目时间进度安排；2.项目安全措施；3.文明施工措施；4.质量措施；5.技术控制措施；6.档案管理措施。</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0"/>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0"/>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0"/>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0"/>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：1.售后</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；2.售后</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；4.</w:t>
            </w:r>
            <w:r>
              <w:rPr>
                <w:rFonts w:hint="eastAsia" w:ascii="宋体" w:hAnsi="宋体" w:eastAsia="宋体" w:cs="宋体"/>
                <w:sz w:val="21"/>
                <w:szCs w:val="21"/>
                <w:highlight w:val="none"/>
              </w:rPr>
              <w:t xml:space="preserve">故障响应</w:t>
            </w:r>
            <w:r>
              <w:rPr>
                <w:rFonts w:hint="eastAsia" w:ascii="宋体" w:hAnsi="宋体" w:eastAsia="宋体" w:cs="宋体"/>
                <w:sz w:val="21"/>
                <w:szCs w:val="21"/>
                <w:highlight w:val="none"/>
                <w:lang w:eastAsia="zh-CN"/>
              </w:rPr>
              <w:t xml:space="preserve">及</w:t>
            </w:r>
            <w:r>
              <w:rPr>
                <w:rFonts w:hint="eastAsia" w:ascii="宋体" w:hAnsi="宋体" w:eastAsia="宋体" w:cs="宋体"/>
                <w:sz w:val="21"/>
                <w:szCs w:val="21"/>
                <w:highlight w:val="none"/>
              </w:rPr>
              <w:t xml:space="preserve">故障解决方案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5.专业人员技术保障；6.</w:t>
            </w:r>
            <w:r>
              <w:rPr>
                <w:rFonts w:hint="eastAsia" w:ascii="Times New Roman" w:hAnsi="Times New Roman" w:eastAsia="宋体" w:cs="Times New Roman"/>
                <w:color w:val="000000"/>
                <w:sz w:val="21"/>
                <w:szCs w:val="21"/>
                <w:lang w:val="en-US" w:bidi="ar-SA"/>
              </w:rPr>
              <w:t xml:space="preserve">应急处置措施</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0"/>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0"/>
              <w:rPr>
                <w:rFonts w:hint="eastAsia" w:ascii="Calibri" w:hAnsi="Calibri" w:eastAsia="Calibri" w:cs="宋体"/>
                <w:color w:val="000000"/>
                <w:sz w:val="20"/>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356"/>
        </w:trPr>
        <w:tc>
          <w:tcPr>
            <w:tcW w:w="519" w:type="dxa"/>
            <w:vAlign w:val="center"/>
            <w:textDirection w:val="lrTb"/>
            <w:noWrap w:val="false"/>
          </w:tcPr>
          <w:p>
            <w:pPr>
              <w:pStyle w:val="870"/>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0"/>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0"/>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根据本项目采购需求及相关要求编制方案（除</w:t>
            </w:r>
            <w:r>
              <w:rPr>
                <w:rFonts w:hint="eastAsia" w:ascii="宋体" w:hAnsi="宋体" w:eastAsia="宋体" w:cs="宋体"/>
                <w:color w:val="000000"/>
                <w:szCs w:val="21"/>
                <w:lang w:eastAsia="zh-CN"/>
              </w:rPr>
              <w:t xml:space="preserve">“智慧黑板”（清单</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培训内容</w:t>
            </w:r>
            <w:r>
              <w:rPr>
                <w:rFonts w:hint="eastAsia" w:ascii="Times New Roman" w:hAnsi="Times New Roman" w:eastAsia="宋体" w:cs="Times New Roman"/>
                <w:color w:val="000000"/>
                <w:sz w:val="21"/>
                <w:szCs w:val="21"/>
                <w:lang w:val="en-US" w:eastAsia="zh-CN" w:bidi="ar-SA"/>
              </w:rPr>
              <w:t xml:space="preserve">），内容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：1.培训内容及</w:t>
            </w:r>
            <w:r>
              <w:rPr>
                <w:rFonts w:hint="eastAsia" w:ascii="Times New Roman" w:hAnsi="Times New Roman" w:eastAsia="宋体" w:cs="Times New Roman"/>
                <w:color w:val="000000"/>
                <w:sz w:val="21"/>
                <w:szCs w:val="21"/>
                <w:lang w:val="en-US" w:eastAsia="zh-CN" w:bidi="ar-SA"/>
              </w:rPr>
              <w:t xml:space="preserve">培训时长</w:t>
            </w:r>
            <w:r>
              <w:rPr>
                <w:rFonts w:hint="eastAsia" w:ascii="Times New Roman" w:hAnsi="Times New Roman" w:eastAsia="宋体" w:cs="Times New Roman"/>
                <w:color w:val="000000"/>
                <w:sz w:val="21"/>
                <w:szCs w:val="21"/>
                <w:lang w:val="en-US" w:eastAsia="zh-CN" w:bidi="ar-SA"/>
              </w:rPr>
              <w:t xml:space="preserve">；2.培训教材及培训平台；3.培训</w:t>
            </w:r>
            <w:r>
              <w:rPr>
                <w:rFonts w:hint="eastAsia" w:ascii="Times New Roman" w:hAnsi="Times New Roman" w:eastAsia="宋体" w:cs="Times New Roman"/>
                <w:color w:val="000000"/>
                <w:sz w:val="21"/>
                <w:szCs w:val="21"/>
                <w:lang w:val="en-US" w:eastAsia="zh-CN" w:bidi="ar-SA"/>
              </w:rPr>
              <w:t xml:space="preserve">质量</w:t>
            </w:r>
            <w:r>
              <w:rPr>
                <w:rFonts w:hint="eastAsia" w:ascii="Times New Roman" w:hAnsi="Times New Roman" w:eastAsia="宋体" w:cs="Times New Roman"/>
                <w:color w:val="000000"/>
                <w:sz w:val="21"/>
                <w:szCs w:val="21"/>
                <w:lang w:val="en-US" w:eastAsia="zh-CN" w:bidi="ar-SA"/>
              </w:rPr>
              <w:t xml:space="preserve">保障措施。以上每项内容逐条阐述。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0"/>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完整、合理性、操作性强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0"/>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0"/>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0"/>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0"/>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highlight w:val="none"/>
                <w:lang w:val="en-US" w:eastAsia="zh-CN" w:bidi="ar-SA"/>
              </w:rPr>
              <w:t xml:space="preserve">（含）以来类似项目业绩（内容至少需</w:t>
            </w:r>
            <w:r>
              <w:rPr>
                <w:rFonts w:hint="eastAsia" w:ascii="宋体" w:hAnsi="宋体" w:eastAsia="宋体" w:cs="宋体"/>
                <w:color w:val="000000"/>
                <w:szCs w:val="21"/>
                <w:highlight w:val="none"/>
                <w:lang w:val="en-US" w:eastAsia="zh-CN"/>
              </w:rPr>
              <w:t xml:space="preserve">包含</w:t>
            </w:r>
            <w:r>
              <w:rPr>
                <w:rFonts w:hint="eastAsia" w:ascii="宋体" w:hAnsi="宋体" w:eastAsia="宋体" w:cs="宋体"/>
                <w:color w:val="000000"/>
                <w:sz w:val="21"/>
                <w:szCs w:val="21"/>
                <w:highlight w:val="none"/>
                <w:lang w:val="en-US" w:eastAsia="zh-CN" w:bidi="ar-SA"/>
              </w:rPr>
              <w:t xml:space="preserve">智慧黑板</w:t>
            </w:r>
            <w:r>
              <w:rPr>
                <w:rFonts w:hint="eastAsia" w:ascii="宋体" w:hAnsi="宋体" w:eastAsia="宋体" w:cs="宋体"/>
                <w:color w:val="000000"/>
                <w:sz w:val="21"/>
                <w:szCs w:val="21"/>
                <w:highlight w:val="none"/>
                <w:lang w:val="en-US" w:eastAsia="zh-CN" w:bidi="ar-SA"/>
              </w:rPr>
              <w:t xml:space="preserve">），每提供1个得1分，最多得3分。（时间以合同签订时间为准，</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eastAsia="zh-CN"/>
              </w:rPr>
              <w:t xml:space="preserve">同时</w:t>
            </w:r>
            <w:r>
              <w:rPr>
                <w:rFonts w:hint="eastAsia" w:ascii="宋体" w:hAnsi="宋体" w:eastAsia="宋体" w:cs="宋体"/>
                <w:color w:val="000000"/>
                <w:sz w:val="21"/>
                <w:szCs w:val="21"/>
                <w:highlight w:val="none"/>
              </w:rPr>
              <w:t xml:space="preserve">提供中标通知书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或成交通知书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、合同及清单、验收证明材料</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结款发票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证明材料缺项或未提供的不得分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70"/>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0"/>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0"/>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70"/>
              <w:jc w:val="both"/>
              <w:keepLines w:val="0"/>
              <w:keepNext w:val="0"/>
              <w:pageBreakBefore w:val="0"/>
              <w:spacing w:before="69" w:line="264" w:lineRule="auto"/>
              <w:widowControl w:val="off"/>
              <w:rPr>
                <w:rFonts w:hint="eastAsia" w:ascii="宋体" w:hAnsi="宋体" w:eastAsia="宋体" w:cs="宋体"/>
                <w:color w:val="000000"/>
                <w:spacing w:val="-1"/>
                <w:szCs w:val="21"/>
                <w:lang w:eastAsia="zh-CN"/>
              </w:rPr>
            </w:pPr>
            <w:r>
              <w:rPr>
                <w:rFonts w:hint="eastAsia" w:ascii="宋体" w:hAnsi="宋体" w:eastAsia="宋体" w:cs="宋体"/>
                <w:color w:val="000000"/>
                <w:spacing w:val="-1"/>
                <w:szCs w:val="21"/>
                <w:lang w:eastAsia="zh-CN"/>
              </w:rPr>
              <w:t xml:space="preserve">1.所投产品“教研管理平台”（清单</w:t>
            </w:r>
            <w:r>
              <w:rPr>
                <w:rFonts w:hint="eastAsia" w:ascii="宋体" w:hAnsi="宋体" w:eastAsia="宋体" w:cs="宋体"/>
                <w:color w:val="000000"/>
                <w:spacing w:val="-1"/>
                <w:szCs w:val="21"/>
                <w:lang w:val="en-US" w:eastAsia="zh-CN"/>
              </w:rPr>
              <w:t xml:space="preserve">4</w:t>
            </w:r>
            <w:r>
              <w:rPr>
                <w:rFonts w:hint="eastAsia" w:ascii="宋体" w:hAnsi="宋体" w:eastAsia="宋体" w:cs="宋体"/>
                <w:color w:val="000000"/>
                <w:spacing w:val="-1"/>
                <w:szCs w:val="21"/>
                <w:lang w:eastAsia="zh-CN"/>
              </w:rPr>
              <w:t xml:space="preserve">）符合《信息安全等级保护管理办法》的有关规定，具备三级或以上信息系统安全等级保护备案证明。得1分；</w:t>
            </w:r>
            <w:r>
              <w:rPr>
                <w:rFonts w:hint="eastAsia" w:ascii="宋体" w:hAnsi="宋体" w:eastAsia="宋体" w:cs="宋体"/>
                <w:color w:val="000000"/>
                <w:spacing w:val="-1"/>
                <w:szCs w:val="21"/>
                <w:lang w:eastAsia="zh-CN"/>
              </w:rPr>
            </w:r>
            <w:r/>
          </w:p>
          <w:p>
            <w:pPr>
              <w:pStyle w:val="870"/>
              <w:jc w:val="both"/>
              <w:keepLines w:val="0"/>
              <w:keepNext w:val="0"/>
              <w:pageBreakBefore w:val="0"/>
              <w:spacing w:before="69" w:line="264" w:lineRule="auto"/>
              <w:widowControl w:val="off"/>
              <w:rPr>
                <w:rFonts w:hint="eastAsia" w:ascii="宋体" w:hAnsi="宋体" w:eastAsia="宋体" w:cs="宋体"/>
                <w:color w:val="000000"/>
                <w:spacing w:val="-1"/>
                <w:szCs w:val="21"/>
                <w:lang w:eastAsia="zh-CN"/>
              </w:rPr>
            </w:pPr>
            <w:r>
              <w:rPr>
                <w:rFonts w:hint="eastAsia" w:ascii="宋体" w:hAnsi="宋体" w:eastAsia="宋体" w:cs="宋体"/>
                <w:color w:val="000000"/>
                <w:spacing w:val="-1"/>
                <w:szCs w:val="21"/>
                <w:lang w:eastAsia="zh-CN"/>
              </w:rPr>
              <w:t xml:space="preserve">2.所投产品“设备运维管理平台”（清单</w:t>
            </w:r>
            <w:r>
              <w:rPr>
                <w:rFonts w:hint="eastAsia" w:ascii="宋体" w:hAnsi="宋体" w:eastAsia="宋体" w:cs="宋体"/>
                <w:color w:val="000000"/>
                <w:spacing w:val="-1"/>
                <w:szCs w:val="21"/>
                <w:lang w:val="en-US" w:eastAsia="zh-CN"/>
              </w:rPr>
              <w:t xml:space="preserve">5</w:t>
            </w:r>
            <w:r>
              <w:rPr>
                <w:rFonts w:hint="eastAsia" w:ascii="宋体" w:hAnsi="宋体" w:eastAsia="宋体" w:cs="宋体"/>
                <w:color w:val="000000"/>
                <w:spacing w:val="-1"/>
                <w:szCs w:val="21"/>
                <w:lang w:eastAsia="zh-CN"/>
              </w:rPr>
              <w:t xml:space="preserve">）符合《信息安全等级保护管理办法》的有关规定，具备三级或以上信息系统安全等级保护备案证明。得1分。</w:t>
            </w:r>
            <w:r>
              <w:rPr>
                <w:rFonts w:hint="eastAsia" w:ascii="宋体" w:hAnsi="宋体" w:eastAsia="宋体" w:cs="宋体"/>
                <w:color w:val="000000"/>
                <w:spacing w:val="-1"/>
                <w:szCs w:val="21"/>
                <w:lang w:eastAsia="zh-CN"/>
              </w:rPr>
            </w:r>
            <w:r/>
          </w:p>
          <w:p>
            <w:pPr>
              <w:pStyle w:val="870"/>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（以上须提供相关证书，未提供的不得分。）</w:t>
            </w:r>
            <w:r>
              <w:rPr>
                <w:rFonts w:hint="eastAsia" w:ascii="宋体" w:hAnsi="宋体" w:eastAsia="宋体" w:cs="宋体"/>
                <w:color w:val="000000"/>
                <w:spacing w:val="-1"/>
                <w:szCs w:val="21"/>
                <w:lang w:val="en-US" w:eastAsia="zh-CN"/>
              </w:rPr>
            </w:r>
            <w:r/>
          </w:p>
        </w:tc>
        <w:tc>
          <w:tcPr>
            <w:tcW w:w="647" w:type="dxa"/>
            <w:vAlign w:val="center"/>
            <w:textDirection w:val="lrTb"/>
            <w:noWrap w:val="false"/>
          </w:tcPr>
          <w:p>
            <w:pPr>
              <w:pStyle w:val="870"/>
              <w:jc w:val="center"/>
              <w:spacing w:line="264" w:lineRule="auto"/>
              <w:rPr>
                <w:rFonts w:hint="eastAsia" w:ascii="宋体" w:hAnsi="宋体" w:eastAsia="宋体" w:cs="宋体"/>
                <w:sz w:val="21"/>
                <w:szCs w:val="22"/>
                <w:highlight w:val="none"/>
                <w:lang w:val="en-US" w:eastAsia="zh-CN" w:bidi="ar-SA"/>
              </w:rPr>
            </w:pPr>
            <w:r>
              <w:rPr>
                <w:rFonts w:hint="eastAsia" w:ascii="宋体" w:hAnsi="宋体" w:eastAsia="宋体" w:cs="宋体"/>
                <w:highlight w:val="none"/>
              </w:rPr>
              <w:t xml:space="preserve">2</w:t>
            </w:r>
            <w:r>
              <w:rPr>
                <w:rFonts w:hint="eastAsia" w:ascii="宋体" w:hAnsi="宋体" w:eastAsia="宋体" w:cs="宋体"/>
                <w:sz w:val="21"/>
                <w:szCs w:val="22"/>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0"/>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1003"/>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拟投入本项目的项目负责人具有机电工程专业二级（含）以上建造师注册证书且具有安全生产知识考核合格证（B类）的，得2分。 </w:t>
            </w:r>
            <w:r>
              <w:rPr>
                <w:rFonts w:hint="eastAsia" w:ascii="宋体" w:hAnsi="宋体" w:eastAsia="宋体" w:cs="宋体"/>
                <w:color w:val="000000"/>
                <w:sz w:val="21"/>
                <w:szCs w:val="21"/>
              </w:rPr>
            </w:r>
            <w:r/>
          </w:p>
          <w:p>
            <w:pPr>
              <w:pStyle w:val="870"/>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z w:val="21"/>
                <w:szCs w:val="21"/>
                <w:lang w:val="en-US" w:eastAsia="zh-CN"/>
              </w:rPr>
              <w:t xml:space="preserve">（提供人员证书及投标人为其缴纳的2026年1月以来任意一个月的社保证明材料，缺一不可）</w:t>
            </w:r>
            <w:r>
              <w:rPr>
                <w:rFonts w:hint="eastAsia" w:ascii="宋体" w:hAnsi="宋体" w:eastAsia="宋体" w:cs="宋体"/>
                <w:color w:val="000000"/>
                <w:spacing w:val="-1"/>
                <w:szCs w:val="21"/>
                <w:lang w:val="en-US" w:eastAsia="zh-CN"/>
              </w:rPr>
            </w:r>
            <w:r/>
          </w:p>
        </w:tc>
        <w:tc>
          <w:tcPr>
            <w:tcW w:w="647" w:type="dxa"/>
            <w:vAlign w:val="center"/>
            <w:textDirection w:val="lrTb"/>
            <w:noWrap w:val="false"/>
          </w:tcPr>
          <w:p>
            <w:pPr>
              <w:pStyle w:val="870"/>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w:t>
            </w:r>
            <w:r>
              <w:rPr>
                <w:rFonts w:hint="eastAsia" w:ascii="宋体" w:hAnsi="宋体" w:eastAsia="宋体" w:cs="宋体"/>
                <w:spacing w:val="-2"/>
                <w:szCs w:val="21"/>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0"/>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3</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0"/>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拟投入本项目的技术负责人具备中级</w:t>
            </w:r>
            <w:r>
              <w:rPr>
                <w:rFonts w:hint="eastAsia" w:ascii="宋体" w:hAnsi="宋体" w:eastAsia="宋体" w:cs="宋体"/>
                <w:color w:val="000000"/>
                <w:sz w:val="21"/>
                <w:szCs w:val="21"/>
              </w:rPr>
              <w:t xml:space="preserve">（含）以上</w:t>
            </w:r>
            <w:r>
              <w:rPr>
                <w:rFonts w:hint="eastAsia" w:ascii="宋体" w:hAnsi="宋体" w:eastAsia="宋体" w:cs="宋体"/>
                <w:color w:val="000000"/>
                <w:sz w:val="21"/>
                <w:szCs w:val="21"/>
                <w:lang w:val="en-US" w:eastAsia="zh-CN"/>
              </w:rPr>
              <w:t xml:space="preserve">工程师（数字经济或电子信息类）职称证书，</w:t>
            </w:r>
            <w:r>
              <w:rPr>
                <w:rFonts w:hint="eastAsia" w:ascii="宋体" w:hAnsi="宋体" w:eastAsia="宋体" w:cs="宋体"/>
                <w:color w:val="000000"/>
                <w:sz w:val="21"/>
                <w:szCs w:val="21"/>
              </w:rPr>
              <w:t xml:space="preserve">得2分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870"/>
              <w:jc w:val="both"/>
              <w:keepLines w:val="0"/>
              <w:keepNext w:val="0"/>
              <w:pageBreakBefore w:val="0"/>
              <w:spacing w:before="69"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（提供人员证书及投标人为其缴纳的2026年1月以来任意一个月的社保证明材料，缺一不可）</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70"/>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431"/>
        </w:trPr>
        <w:tc>
          <w:tcPr>
            <w:gridSpan w:val="5"/>
            <w:tcW w:w="9575" w:type="dxa"/>
            <w:vAlign w:val="center"/>
            <w:textDirection w:val="lrTb"/>
            <w:noWrap w:val="false"/>
          </w:tcPr>
          <w:p>
            <w:pPr>
              <w:pStyle w:val="870"/>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0"/>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节能产品</w:t>
            </w:r>
            <w:r>
              <w:rPr>
                <w:rFonts w:hint="eastAsia" w:ascii="宋体" w:hAnsi="宋体" w:eastAsia="宋体" w:cs="宋体"/>
                <w:color w:val="000000"/>
                <w:spacing w:val="-1"/>
                <w:sz w:val="21"/>
                <w:szCs w:val="21"/>
                <w:highlight w:val="none"/>
                <w:lang w:val="en-US" w:eastAsia="zh-CN" w:bidi="ar-SA"/>
              </w:rPr>
            </w:r>
            <w:r/>
          </w:p>
        </w:tc>
        <w:tc>
          <w:tcPr>
            <w:tcW w:w="6330" w:type="dxa"/>
            <w:vAlign w:val="center"/>
            <w:textDirection w:val="lrTb"/>
            <w:noWrap w:val="false"/>
          </w:tcPr>
          <w:p>
            <w:pPr>
              <w:pStyle w:val="870"/>
              <w:spacing w:line="264" w:lineRule="auto"/>
              <w:rPr>
                <w:color w:val="000000"/>
                <w:highlight w:val="none"/>
              </w:rPr>
            </w:pPr>
            <w:r>
              <w:rPr>
                <w:rFonts w:ascii="宋体" w:hAnsi="宋体" w:eastAsia="宋体" w:cs="宋体"/>
                <w:color w:val="000000"/>
                <w:sz w:val="21"/>
                <w:szCs w:val="21"/>
                <w:highlight w:val="none"/>
                <w:lang w:val="en-US" w:eastAsia="zh-CN"/>
              </w:rPr>
              <w:t xml:space="preserve">投标产品属于财政部、国家发</w:t>
            </w:r>
            <w:r>
              <w:rPr>
                <w:rFonts w:hint="eastAsia" w:ascii="宋体" w:hAnsi="宋体" w:eastAsia="宋体" w:cs="宋体"/>
                <w:color w:val="000000"/>
                <w:sz w:val="21"/>
                <w:szCs w:val="21"/>
                <w:highlight w:val="none"/>
                <w:lang w:val="en-US" w:eastAsia="zh-CN"/>
              </w:rPr>
              <w:t xml:space="preserve">展和改革委员会</w:t>
            </w:r>
            <w:r>
              <w:rPr>
                <w:rFonts w:ascii="宋体" w:hAnsi="宋体" w:eastAsia="宋体" w:cs="宋体"/>
                <w:color w:val="000000"/>
                <w:sz w:val="21"/>
                <w:szCs w:val="21"/>
                <w:highlight w:val="none"/>
                <w:lang w:val="en-US" w:eastAsia="zh-CN"/>
              </w:rPr>
              <w:t xml:space="preserve">公布的《节能产品政府采购品目清单》（财库〔2019〕19号）范围内</w:t>
            </w:r>
            <w:r>
              <w:rPr>
                <w:rFonts w:hint="eastAsia" w:ascii="宋体" w:hAnsi="宋体" w:eastAsia="宋体" w:cs="宋体"/>
                <w:color w:val="000000"/>
                <w:sz w:val="21"/>
                <w:szCs w:val="21"/>
                <w:highlight w:val="none"/>
                <w:lang w:val="en-US" w:eastAsia="zh-CN"/>
              </w:rPr>
              <w:t xml:space="preserve">（政府强制采购产品除外）</w:t>
            </w:r>
            <w:r>
              <w:rPr>
                <w:rFonts w:ascii="宋体" w:hAnsi="宋体" w:eastAsia="宋体" w:cs="宋体"/>
                <w:color w:val="000000"/>
                <w:sz w:val="21"/>
                <w:szCs w:val="21"/>
                <w:highlight w:val="none"/>
                <w:lang w:val="en-US" w:eastAsia="zh-CN"/>
              </w:rPr>
              <w:t xml:space="preserve">的，投标人提供国家确定的认证机构出具的、处于有效期之内的该节能产品认证证书的，有1个得0.5分，最多得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w:t>
            </w:r>
            <w:r>
              <w:rPr>
                <w:color w:val="000000"/>
                <w:highlight w:val="none"/>
              </w:rPr>
            </w:r>
            <w:r/>
          </w:p>
          <w:p>
            <w:pPr>
              <w:pStyle w:val="953"/>
              <w:ind w:left="0" w:firstLine="0"/>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备注：项目产品属于优先采购节能产品的，保留该评分项；属于强制采购节能产品的，不再进行节能产品评分。确定后该备注删除。</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676"/>
        </w:trPr>
        <w:tc>
          <w:tcPr>
            <w:tcW w:w="519"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0"/>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环境标志产品</w:t>
            </w:r>
            <w:r>
              <w:rPr>
                <w:rFonts w:hint="eastAsia" w:ascii="宋体" w:hAnsi="宋体" w:eastAsia="宋体" w:cs="宋体"/>
                <w:color w:val="000000"/>
                <w:spacing w:val="-1"/>
                <w:sz w:val="21"/>
                <w:szCs w:val="21"/>
                <w:highlight w:val="none"/>
                <w:lang w:val="en-US" w:eastAsia="zh-CN" w:bidi="ar-SA"/>
              </w:rPr>
            </w:r>
            <w:r/>
          </w:p>
        </w:tc>
        <w:tc>
          <w:tcPr>
            <w:tcW w:w="6330" w:type="dxa"/>
            <w:vAlign w:val="center"/>
            <w:textDirection w:val="lrTb"/>
            <w:noWrap w:val="false"/>
          </w:tcPr>
          <w:p>
            <w:pPr>
              <w:pStyle w:val="870"/>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投标产品属于财政部、生态环境部公布的</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环境标志产品品目清单</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（财库〔2019〕1</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号）范围内的，投标人提供国家确定的认证机构出具的、处于有效期内的该环境标志产品认证证书的，有1个得0.5分，最多得1分。</w:t>
            </w:r>
            <w:r>
              <w:rPr>
                <w:rFonts w:ascii="宋体" w:hAnsi="宋体" w:eastAsia="宋体" w:cs="宋体"/>
                <w:color w:val="000000"/>
                <w:sz w:val="21"/>
                <w:szCs w:val="21"/>
                <w:highlight w:val="none"/>
                <w:lang w:val="en-US" w:eastAsia="zh-CN"/>
              </w:rPr>
            </w:r>
            <w:r/>
          </w:p>
          <w:p>
            <w:pPr>
              <w:pStyle w:val="953"/>
              <w:ind w:left="0" w:firstLine="0"/>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备注：项目</w:t>
            </w:r>
            <w:r>
              <w:rPr>
                <w:rFonts w:ascii="宋体" w:hAnsi="宋体" w:eastAsia="宋体" w:cs="宋体"/>
                <w:color w:val="000000"/>
                <w:sz w:val="21"/>
                <w:szCs w:val="21"/>
                <w:highlight w:val="none"/>
                <w:lang w:val="en-US" w:eastAsia="zh-CN" w:bidi="ar-SA"/>
              </w:rPr>
              <w:t xml:space="preserve">中有</w:t>
            </w:r>
            <w:r>
              <w:rPr>
                <w:rFonts w:hint="eastAsia" w:ascii="宋体" w:hAnsi="宋体" w:eastAsia="宋体" w:cs="宋体"/>
                <w:color w:val="000000"/>
                <w:sz w:val="21"/>
                <w:szCs w:val="21"/>
                <w:highlight w:val="none"/>
                <w:lang w:val="en-US" w:eastAsia="zh-CN" w:bidi="ar-SA"/>
              </w:rPr>
              <w:t xml:space="preserve">硬件产品涉及环境标志产品的，保留该评分项。确定后该备注删除。</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0"/>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64"/>
        </w:trPr>
        <w:tc>
          <w:tcPr>
            <w:tcW w:w="519"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0"/>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0"/>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val="0"/>
                <w:bCs w:val="0"/>
                <w:color w:val="000000"/>
                <w:spacing w:val="-11"/>
                <w:szCs w:val="21"/>
                <w:lang w:val="en-US" w:eastAsia="zh-CN"/>
              </w:rPr>
              <w:t xml:space="preserve">100</w:t>
            </w:r>
            <w:r>
              <w:rPr>
                <w:rFonts w:hint="eastAsia" w:ascii="宋体" w:hAnsi="宋体" w:eastAsia="宋体" w:cs="宋体"/>
                <w:b w:val="0"/>
                <w:bCs w:val="0"/>
                <w:color w:val="000000"/>
                <w:spacing w:val="-11"/>
                <w:szCs w:val="21"/>
              </w:rPr>
              <w:t xml:space="preserve">分</w:t>
            </w:r>
            <w:r>
              <w:rPr>
                <w:rFonts w:hint="eastAsia" w:ascii="宋体" w:hAnsi="宋体" w:eastAsia="宋体" w:cs="宋体"/>
                <w:color w:val="000000"/>
                <w:szCs w:val="21"/>
              </w:rPr>
            </w:r>
            <w:r/>
          </w:p>
        </w:tc>
      </w:tr>
    </w:tbl>
    <w:p>
      <w:pPr>
        <w:pStyle w:val="870"/>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0"/>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1"/>
        <w:rPr>
          <w:rFonts w:hint="eastAsia"/>
          <w:lang w:val="en-US" w:eastAsia="zh-CN"/>
        </w:rPr>
      </w:pPr>
      <w:r>
        <w:rPr>
          <w:rFonts w:hint="eastAsia"/>
          <w:lang w:val="en-US" w:eastAsia="zh-CN"/>
        </w:rPr>
      </w:r>
      <w:r/>
    </w:p>
    <w:p>
      <w:pPr>
        <w:pStyle w:val="870"/>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1"/>
        <w:rPr>
          <w:rFonts w:hint="eastAsia"/>
          <w:lang w:val="en-US" w:eastAsia="zh-CN"/>
        </w:rPr>
      </w:pPr>
      <w:r>
        <w:rPr>
          <w:rFonts w:hint="eastAsia"/>
          <w:lang w:val="en-US" w:eastAsia="zh-CN"/>
        </w:rPr>
      </w:r>
      <w:r/>
    </w:p>
    <w:p>
      <w:pPr>
        <w:pStyle w:val="870"/>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rPr>
          <w:rFonts w:hint="eastAsia"/>
          <w:lang w:val="en-US" w:eastAsia="zh-CN"/>
        </w:rPr>
      </w:r>
      <w:r/>
    </w:p>
    <w:p>
      <w:pPr>
        <w:pStyle w:val="882"/>
        <w:rPr>
          <w:rFonts w:hint="eastAsia"/>
          <w:lang w:val="en-US" w:eastAsia="zh-CN"/>
        </w:rPr>
      </w:pPr>
      <w:r>
        <w:rPr>
          <w:rFonts w:hint="eastAsia"/>
          <w:lang w:val="en-US" w:eastAsia="zh-CN"/>
        </w:rPr>
      </w:r>
      <w:r>
        <w:rPr>
          <w:rFonts w:hint="eastAsia"/>
          <w:lang w:val="en-US" w:eastAsia="zh-CN"/>
        </w:rPr>
      </w:r>
      <w:r/>
    </w:p>
    <w:p>
      <w:pPr>
        <w:pStyle w:val="882"/>
        <w:rPr>
          <w:rFonts w:hint="eastAsia"/>
          <w:lang w:val="en-US" w:eastAsia="zh-CN"/>
        </w:rPr>
      </w:pPr>
      <w:r>
        <w:rPr>
          <w:rFonts w:hint="eastAsia"/>
          <w:lang w:val="en-US" w:eastAsia="zh-CN"/>
        </w:rPr>
      </w:r>
      <w:r>
        <w:rPr>
          <w:rFonts w:hint="eastAsia"/>
          <w:lang w:val="en-US" w:eastAsia="zh-CN"/>
        </w:rPr>
      </w:r>
      <w:r/>
    </w:p>
    <w:p>
      <w:pPr>
        <w:pStyle w:val="882"/>
        <w:rPr>
          <w:rFonts w:hint="eastAsia"/>
          <w:lang w:val="en-US" w:eastAsia="zh-CN"/>
        </w:rPr>
      </w:pPr>
      <w:r>
        <w:rPr>
          <w:rFonts w:hint="eastAsia"/>
          <w:lang w:val="en-US" w:eastAsia="zh-CN"/>
        </w:rPr>
      </w: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82"/>
        <w:rPr>
          <w:rFonts w:hint="eastAsia"/>
          <w:lang w:val="en-US" w:eastAsia="zh-CN"/>
        </w:rPr>
      </w:pPr>
      <w:r>
        <w:rPr>
          <w:rFonts w:hint="eastAsia"/>
          <w:lang w:val="en-US" w:eastAsia="zh-CN"/>
        </w:rPr>
      </w:r>
      <w:r/>
    </w:p>
    <w:p>
      <w:pPr>
        <w:pStyle w:val="870"/>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0"/>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60"/>
      <w:r/>
      <w:bookmarkEnd w:id="61"/>
      <w:r/>
      <w:bookmarkEnd w:id="64"/>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0"/>
        <w:jc w:val="center"/>
        <w:rPr>
          <w:rFonts w:hint="eastAsia" w:ascii="宋体" w:hAnsi="宋体"/>
          <w:b/>
          <w:color w:val="000000"/>
          <w:sz w:val="72"/>
          <w:szCs w:val="21"/>
        </w:rPr>
      </w:pPr>
      <w:r/>
      <w:bookmarkStart w:id="66" w:name="_Hlt26955039"/>
      <w:r/>
      <w:bookmarkEnd w:id="66"/>
      <w:r/>
      <w:bookmarkStart w:id="67" w:name="_Hlt26671244"/>
      <w:r/>
      <w:bookmarkEnd w:id="67"/>
      <w:r/>
      <w:bookmarkStart w:id="68" w:name="_Toc49090576"/>
      <w:r/>
      <w:bookmarkStart w:id="69" w:name="_Toc120614282"/>
      <w:r/>
      <w:bookmarkStart w:id="70" w:name="_Toc26554094"/>
      <w:r>
        <w:rPr>
          <w:rFonts w:hint="eastAsia" w:ascii="宋体" w:hAnsi="宋体"/>
          <w:b/>
          <w:color w:val="000000"/>
          <w:sz w:val="72"/>
          <w:szCs w:val="21"/>
        </w:rPr>
      </w:r>
      <w:r/>
    </w:p>
    <w:p>
      <w:pPr>
        <w:pStyle w:val="870"/>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0"/>
        <w:jc w:val="center"/>
        <w:rPr>
          <w:rFonts w:hint="eastAsia" w:ascii="宋体" w:hAnsi="宋体"/>
          <w:b/>
          <w:color w:val="000000"/>
          <w:sz w:val="72"/>
          <w:szCs w:val="21"/>
        </w:rPr>
      </w:pPr>
      <w:r>
        <w:rPr>
          <w:rFonts w:hint="eastAsia" w:ascii="宋体" w:hAnsi="宋体"/>
          <w:b/>
          <w:color w:val="000000"/>
          <w:sz w:val="72"/>
          <w:szCs w:val="21"/>
        </w:rPr>
      </w:r>
      <w:r/>
    </w:p>
    <w:p>
      <w:pPr>
        <w:pStyle w:val="870"/>
        <w:jc w:val="center"/>
        <w:rPr>
          <w:rFonts w:hint="eastAsia" w:ascii="宋体" w:hAnsi="宋体"/>
          <w:b/>
          <w:color w:val="000000"/>
          <w:sz w:val="72"/>
          <w:szCs w:val="21"/>
        </w:rPr>
      </w:pPr>
      <w:r>
        <w:rPr>
          <w:rFonts w:hint="eastAsia" w:ascii="宋体" w:hAnsi="宋体"/>
          <w:b/>
          <w:color w:val="000000"/>
          <w:sz w:val="72"/>
          <w:szCs w:val="21"/>
        </w:rPr>
      </w:r>
      <w:r/>
    </w:p>
    <w:p>
      <w:pPr>
        <w:pStyle w:val="870"/>
        <w:jc w:val="center"/>
        <w:rPr>
          <w:rFonts w:hint="eastAsia" w:ascii="宋体" w:hAnsi="宋体"/>
          <w:b/>
          <w:color w:val="000000"/>
          <w:sz w:val="36"/>
          <w:szCs w:val="21"/>
        </w:rPr>
      </w:pPr>
      <w:r>
        <w:rPr>
          <w:rFonts w:hint="eastAsia" w:ascii="宋体" w:hAnsi="宋体"/>
          <w:b/>
          <w:color w:val="000000"/>
          <w:sz w:val="36"/>
          <w:szCs w:val="21"/>
        </w:rPr>
      </w:r>
      <w:r/>
    </w:p>
    <w:p>
      <w:pPr>
        <w:pStyle w:val="870"/>
        <w:jc w:val="center"/>
        <w:rPr>
          <w:rFonts w:hint="eastAsia" w:ascii="宋体" w:hAnsi="宋体"/>
          <w:b/>
          <w:color w:val="000000"/>
          <w:sz w:val="36"/>
          <w:szCs w:val="21"/>
        </w:rPr>
      </w:pPr>
      <w:r>
        <w:rPr>
          <w:rFonts w:hint="eastAsia" w:ascii="宋体" w:hAnsi="宋体"/>
          <w:b/>
          <w:color w:val="000000"/>
          <w:sz w:val="36"/>
          <w:szCs w:val="21"/>
        </w:rPr>
      </w:r>
      <w:r/>
    </w:p>
    <w:p>
      <w:pPr>
        <w:pStyle w:val="870"/>
        <w:jc w:val="center"/>
        <w:rPr>
          <w:rFonts w:hint="eastAsia" w:ascii="宋体" w:hAnsi="宋体"/>
          <w:b/>
          <w:color w:val="000000"/>
          <w:sz w:val="36"/>
          <w:szCs w:val="21"/>
        </w:rPr>
      </w:pPr>
      <w:r>
        <w:rPr>
          <w:rFonts w:hint="eastAsia" w:ascii="宋体" w:hAnsi="宋体"/>
          <w:b/>
          <w:color w:val="000000"/>
          <w:sz w:val="36"/>
          <w:szCs w:val="21"/>
        </w:rPr>
      </w:r>
      <w:r/>
    </w:p>
    <w:p>
      <w:pPr>
        <w:pStyle w:val="870"/>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0"/>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0"/>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0"/>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0"/>
        <w:spacing w:line="440" w:lineRule="exact"/>
        <w:rPr>
          <w:rFonts w:ascii="宋体" w:hAnsi="宋体"/>
          <w:color w:val="000000"/>
          <w:szCs w:val="21"/>
        </w:rPr>
      </w:pPr>
      <w:r>
        <w:rPr>
          <w:rFonts w:ascii="宋体" w:hAnsi="宋体"/>
          <w:color w:val="000000"/>
          <w:szCs w:val="21"/>
        </w:rPr>
      </w:r>
      <w:r/>
    </w:p>
    <w:p>
      <w:pPr>
        <w:pStyle w:val="870"/>
        <w:spacing w:line="600" w:lineRule="exact"/>
        <w:rPr>
          <w:rFonts w:hint="eastAsia" w:ascii="宋体" w:hAnsi="宋体" w:cs="宋体"/>
          <w:sz w:val="28"/>
          <w:szCs w:val="28"/>
          <w:highlight w:val="none"/>
        </w:rPr>
      </w:pPr>
      <w:r>
        <w:rPr>
          <w:rFonts w:ascii="宋体" w:hAnsi="宋体"/>
          <w:b/>
          <w:color w:val="000000"/>
          <w:sz w:val="36"/>
          <w:szCs w:val="21"/>
          <w:u w:val="single"/>
        </w:rPr>
        <w:br w:type="page" w:clear="all"/>
      </w:r>
      <w:bookmarkEnd w:id="57"/>
      <w:r/>
      <w:bookmarkEnd w:id="58"/>
      <w:r/>
      <w:bookmarkEnd w:id="68"/>
      <w:r/>
      <w:bookmarkEnd w:id="69"/>
      <w:r/>
      <w:bookmarkEnd w:id="70"/>
      <w:r>
        <w:rPr>
          <w:rFonts w:hint="eastAsia" w:ascii="宋体" w:hAnsi="宋体"/>
          <w:b/>
          <w:color w:val="000000"/>
          <w:sz w:val="36"/>
          <w:szCs w:val="21"/>
          <w:u w:val="none"/>
          <w:lang w:val="en-US" w:eastAsia="zh-CN"/>
        </w:rPr>
        <w:t xml:space="preserve">   </w:t>
      </w: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0"/>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0"/>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0"/>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0"/>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0"/>
        <w:ind w:firstLine="480"/>
        <w:spacing w:line="440" w:lineRule="exact"/>
        <w:rPr>
          <w:rFonts w:ascii="宋体" w:hAnsi="宋体"/>
          <w:sz w:val="24"/>
          <w:highlight w:val="none"/>
        </w:rPr>
      </w:pPr>
      <w:r>
        <w:rPr>
          <w:rFonts w:ascii="宋体" w:hAnsi="宋体"/>
          <w:sz w:val="24"/>
          <w:highlight w:val="none"/>
        </w:rPr>
      </w:r>
      <w:r/>
    </w:p>
    <w:p>
      <w:pPr>
        <w:pStyle w:val="870"/>
        <w:ind w:firstLine="480"/>
        <w:spacing w:line="440" w:lineRule="exact"/>
        <w:rPr>
          <w:rFonts w:ascii="宋体" w:hAnsi="宋体"/>
          <w:sz w:val="24"/>
          <w:highlight w:val="none"/>
        </w:rPr>
      </w:pPr>
      <w:r>
        <w:rPr>
          <w:rFonts w:ascii="宋体" w:hAnsi="宋体"/>
          <w:sz w:val="24"/>
          <w:highlight w:val="none"/>
        </w:rPr>
      </w:r>
      <w:r/>
    </w:p>
    <w:p>
      <w:pPr>
        <w:pStyle w:val="870"/>
        <w:ind w:firstLine="480"/>
        <w:spacing w:line="440" w:lineRule="exact"/>
        <w:rPr>
          <w:rFonts w:ascii="宋体" w:hAnsi="宋体"/>
          <w:sz w:val="24"/>
          <w:highlight w:val="none"/>
        </w:rPr>
      </w:pPr>
      <w:r>
        <w:rPr>
          <w:rFonts w:ascii="宋体" w:hAnsi="宋体"/>
          <w:sz w:val="24"/>
          <w:highlight w:val="none"/>
        </w:rPr>
      </w:r>
      <w:r/>
    </w:p>
    <w:p>
      <w:pPr>
        <w:pStyle w:val="991"/>
        <w:rPr>
          <w:rFonts w:ascii="宋体" w:hAnsi="宋体"/>
          <w:sz w:val="24"/>
          <w:highlight w:val="none"/>
        </w:rPr>
      </w:pPr>
      <w:r>
        <w:rPr>
          <w:rFonts w:ascii="宋体" w:hAnsi="宋体"/>
          <w:sz w:val="24"/>
          <w:highlight w:val="none"/>
        </w:rPr>
      </w:r>
      <w:r/>
    </w:p>
    <w:p>
      <w:pPr>
        <w:pStyle w:val="991"/>
        <w:rPr>
          <w:rFonts w:ascii="宋体" w:hAnsi="宋体"/>
          <w:sz w:val="24"/>
          <w:highlight w:val="none"/>
        </w:rPr>
      </w:pPr>
      <w:r>
        <w:rPr>
          <w:rFonts w:ascii="宋体" w:hAnsi="宋体"/>
          <w:sz w:val="24"/>
          <w:highlight w:val="none"/>
        </w:rPr>
      </w:r>
      <w:r/>
    </w:p>
    <w:p>
      <w:pPr>
        <w:pStyle w:val="991"/>
        <w:rPr>
          <w:rFonts w:ascii="宋体" w:hAnsi="宋体"/>
          <w:sz w:val="24"/>
          <w:highlight w:val="none"/>
        </w:rPr>
      </w:pPr>
      <w:r>
        <w:rPr>
          <w:rFonts w:ascii="宋体" w:hAnsi="宋体"/>
          <w:sz w:val="24"/>
          <w:highlight w:val="none"/>
        </w:rPr>
      </w:r>
      <w:r/>
    </w:p>
    <w:p>
      <w:pPr>
        <w:pStyle w:val="991"/>
        <w:rPr>
          <w:rFonts w:ascii="宋体" w:hAnsi="宋体"/>
          <w:sz w:val="24"/>
          <w:highlight w:val="none"/>
        </w:rPr>
      </w:pPr>
      <w:r>
        <w:rPr>
          <w:rFonts w:ascii="宋体" w:hAnsi="宋体"/>
          <w:sz w:val="24"/>
          <w:highlight w:val="none"/>
        </w:rPr>
      </w:r>
      <w:r/>
    </w:p>
    <w:p>
      <w:pPr>
        <w:pStyle w:val="870"/>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82"/>
        <w:rPr>
          <w:rFonts w:hint="eastAsia"/>
          <w:lang w:val="en-US" w:eastAsia="zh-CN"/>
        </w:rPr>
      </w:pPr>
      <w:r>
        <w:rPr>
          <w:rFonts w:hint="eastAsia"/>
          <w:lang w:val="en-US" w:eastAsia="zh-CN"/>
        </w:rPr>
      </w:r>
      <w:r/>
    </w:p>
    <w:p>
      <w:pPr>
        <w:pStyle w:val="870"/>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0"/>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0"/>
        <w:ind w:firstLine="492"/>
        <w:spacing w:line="460" w:lineRule="exact"/>
        <w:rPr>
          <w:color w:val="000000"/>
          <w:sz w:val="24"/>
          <w:szCs w:val="24"/>
          <w:highlight w:val="none"/>
        </w:rPr>
      </w:pPr>
      <w:r>
        <w:rPr>
          <w:color w:val="000000"/>
          <w:sz w:val="24"/>
          <w:szCs w:val="24"/>
          <w:highlight w:val="none"/>
        </w:rPr>
      </w:r>
      <w:r/>
    </w:p>
    <w:p>
      <w:pPr>
        <w:pStyle w:val="992"/>
        <w:rPr>
          <w:color w:val="000000"/>
          <w:sz w:val="24"/>
          <w:szCs w:val="24"/>
          <w:highlight w:val="none"/>
        </w:rPr>
      </w:pPr>
      <w:r>
        <w:rPr>
          <w:color w:val="000000"/>
          <w:sz w:val="24"/>
          <w:szCs w:val="24"/>
          <w:highlight w:val="none"/>
        </w:rPr>
      </w:r>
      <w:r/>
    </w:p>
    <w:p>
      <w:pPr>
        <w:pStyle w:val="870"/>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0"/>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0"/>
        <w:rPr>
          <w:sz w:val="24"/>
          <w:szCs w:val="24"/>
          <w:highlight w:val="none"/>
        </w:rPr>
      </w:pPr>
      <w:r>
        <w:rPr>
          <w:sz w:val="24"/>
          <w:szCs w:val="24"/>
          <w:highlight w:val="none"/>
        </w:rPr>
      </w:r>
      <w:r/>
    </w:p>
    <w:p>
      <w:pPr>
        <w:pStyle w:val="870"/>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0"/>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0"/>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2"/>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2"/>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2"/>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2"/>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2"/>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7"/>
        <w:ind w:firstLine="0"/>
        <w:rPr>
          <w:rFonts w:hint="eastAsia"/>
          <w:highlight w:val="none"/>
        </w:rPr>
      </w:pPr>
      <w:r>
        <w:rPr>
          <w:rFonts w:hint="eastAsia"/>
          <w:highlight w:val="none"/>
        </w:rPr>
      </w:r>
      <w:r/>
    </w:p>
    <w:p>
      <w:pPr>
        <w:pStyle w:val="96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0"/>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0"/>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0"/>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4"/>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4"/>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4"/>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0"/>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4"/>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0"/>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0"/>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0"/>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0"/>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0"/>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0"/>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0"/>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0"/>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0"/>
        <w:rPr>
          <w:rFonts w:ascii="宋体" w:hAnsi="宋体"/>
          <w:sz w:val="24"/>
          <w:szCs w:val="24"/>
          <w:highlight w:val="none"/>
        </w:rPr>
      </w:pPr>
      <w:r>
        <w:rPr>
          <w:rFonts w:ascii="宋体" w:hAnsi="宋体"/>
          <w:sz w:val="24"/>
          <w:szCs w:val="24"/>
          <w:highlight w:val="none"/>
        </w:rPr>
      </w:r>
      <w:r/>
    </w:p>
    <w:p>
      <w:pPr>
        <w:pStyle w:val="870"/>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0"/>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870"/>
        <w:rPr>
          <w:rFonts w:hint="eastAsia"/>
          <w:highlight w:val="none"/>
        </w:rPr>
      </w:pPr>
      <w:r>
        <w:rPr>
          <w:rFonts w:hint="eastAsia"/>
          <w:highlight w:val="none"/>
        </w:rPr>
      </w:r>
      <w:r/>
    </w:p>
    <w:p>
      <w:pPr>
        <w:pStyle w:val="870"/>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0"/>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0"/>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4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rPr>
          <w:rFonts w:hint="eastAsia"/>
          <w:highlight w:val="none"/>
          <w:lang w:val="en-US" w:eastAsia="zh-CN"/>
        </w:rPr>
      </w:pPr>
      <w:r>
        <w:rPr>
          <w:rFonts w:hint="eastAsia"/>
          <w:highlight w:val="none"/>
          <w:lang w:val="en-US" w:eastAsia="zh-CN"/>
        </w:rPr>
      </w:r>
      <w:r/>
    </w:p>
    <w:p>
      <w:pPr>
        <w:pStyle w:val="870"/>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0"/>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0"/>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0"/>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0"/>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0"/>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0"/>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0"/>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0"/>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0"/>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0"/>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0"/>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0"/>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0"/>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0"/>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0"/>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0"/>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0"/>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0"/>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0"/>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0"/>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0"/>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0"/>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0"/>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0"/>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0"/>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0"/>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0"/>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0"/>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0"/>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0"/>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0"/>
        <w:ind w:firstLine="480"/>
        <w:rPr>
          <w:rFonts w:hint="eastAsia" w:ascii="宋体" w:hAnsi="宋体"/>
          <w:sz w:val="24"/>
          <w:szCs w:val="24"/>
          <w:highlight w:val="none"/>
        </w:rPr>
      </w:pPr>
      <w:r>
        <w:rPr>
          <w:rFonts w:hint="eastAsia" w:ascii="宋体" w:hAnsi="宋体"/>
          <w:sz w:val="24"/>
          <w:szCs w:val="24"/>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0"/>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0"/>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0"/>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0"/>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0"/>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0"/>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5"/>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0"/>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0"/>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0"/>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0"/>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0"/>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0"/>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0"/>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0"/>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0"/>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0"/>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0"/>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0"/>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0"/>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0"/>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0"/>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0"/>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0"/>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0"/>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0"/>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0"/>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0"/>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0"/>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0"/>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0"/>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0"/>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3"/>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0"/>
        <w:rPr>
          <w:rFonts w:hint="eastAsia"/>
          <w:highlight w:val="none"/>
          <w:lang w:eastAsia="zh-CN"/>
        </w:rPr>
      </w:pPr>
      <w:r>
        <w:rPr>
          <w:rFonts w:hint="eastAsia"/>
          <w:highlight w:val="none"/>
          <w:lang w:eastAsia="zh-CN"/>
        </w:rPr>
      </w:r>
      <w:r/>
    </w:p>
    <w:p>
      <w:pPr>
        <w:pStyle w:val="870"/>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0"/>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0"/>
        <w:ind w:firstLine="480"/>
        <w:spacing w:line="588" w:lineRule="exact"/>
        <w:rPr>
          <w:rFonts w:hint="eastAsia" w:ascii="宋体" w:hAnsi="宋体"/>
          <w:sz w:val="24"/>
          <w:highlight w:val="none"/>
        </w:rPr>
      </w:pPr>
      <w:r>
        <w:rPr>
          <w:rFonts w:hint="eastAsia" w:ascii="宋体" w:hAnsi="宋体"/>
          <w:sz w:val="24"/>
          <w:highlight w:val="none"/>
        </w:rPr>
      </w:r>
      <w:r/>
    </w:p>
    <w:p>
      <w:pPr>
        <w:pStyle w:val="870"/>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0"/>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0"/>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0"/>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0"/>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0"/>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0"/>
        <w:ind w:firstLine="645"/>
        <w:spacing w:line="560" w:lineRule="exact"/>
        <w:rPr>
          <w:rFonts w:hint="eastAsia" w:ascii="宋体" w:hAnsi="宋体"/>
          <w:sz w:val="24"/>
          <w:highlight w:val="none"/>
        </w:rPr>
      </w:pPr>
      <w:r>
        <w:rPr>
          <w:rFonts w:hint="eastAsia" w:ascii="宋体" w:hAnsi="宋体"/>
          <w:sz w:val="24"/>
          <w:highlight w:val="none"/>
        </w:rPr>
      </w:r>
      <w:r/>
    </w:p>
    <w:p>
      <w:pPr>
        <w:pStyle w:val="870"/>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0"/>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0"/>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0"/>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0"/>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0"/>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0"/>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0"/>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1"/>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0"/>
        <w:rPr>
          <w:rFonts w:hint="eastAsia"/>
          <w:highlight w:val="none"/>
        </w:rPr>
      </w:pPr>
      <w:r>
        <w:rPr>
          <w:rFonts w:hint="eastAsia"/>
          <w:highlight w:val="none"/>
        </w:rPr>
      </w:r>
      <w:r/>
    </w:p>
    <w:p>
      <w:pPr>
        <w:pStyle w:val="870"/>
        <w:ind w:firstLine="645"/>
        <w:spacing w:line="560" w:lineRule="exact"/>
        <w:rPr>
          <w:rFonts w:ascii="宋体" w:hAnsi="宋体"/>
          <w:sz w:val="24"/>
          <w:highlight w:val="none"/>
        </w:rPr>
      </w:pPr>
      <w:r>
        <w:rPr>
          <w:rFonts w:ascii="宋体" w:hAnsi="宋体"/>
          <w:sz w:val="24"/>
          <w:highlight w:val="none"/>
        </w:rPr>
      </w:r>
      <w:r/>
    </w:p>
    <w:p>
      <w:pPr>
        <w:pStyle w:val="870"/>
        <w:ind w:firstLine="645"/>
        <w:spacing w:line="560" w:lineRule="exact"/>
        <w:rPr>
          <w:rFonts w:hint="eastAsia" w:ascii="宋体" w:hAnsi="宋体"/>
          <w:sz w:val="24"/>
          <w:highlight w:val="none"/>
        </w:rPr>
      </w:pPr>
      <w:r>
        <w:rPr>
          <w:rFonts w:hint="eastAsia" w:ascii="宋体" w:hAnsi="宋体"/>
          <w:sz w:val="24"/>
          <w:highlight w:val="none"/>
        </w:rPr>
      </w:r>
      <w:r/>
    </w:p>
    <w:p>
      <w:pPr>
        <w:pStyle w:val="870"/>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7"/>
          <w:rFonts w:hint="eastAsia"/>
          <w:i w:val="0"/>
          <w:highlight w:val="none"/>
          <w:u w:val="single"/>
          <w:shd w:val="clear" w:color="auto" w:fill="ffffff"/>
        </w:rPr>
        <w:t xml:space="preserve">（产品名称1）</w:t>
      </w:r>
      <w:r>
        <w:rPr>
          <w:rStyle w:val="947"/>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7"/>
          <w:rFonts w:hint="eastAsia"/>
          <w:i w:val="0"/>
          <w:highlight w:val="none"/>
          <w:u w:val="single"/>
          <w:shd w:val="clear" w:color="auto" w:fill="ffffff"/>
        </w:rPr>
        <w:t xml:space="preserve">（厂名）</w:t>
      </w:r>
      <w:r>
        <w:rPr>
          <w:rStyle w:val="94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Style w:val="947"/>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Style w:val="947"/>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Style w:val="947"/>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5"/>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5"/>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5"/>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5"/>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5"/>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1" w:name="OLE_LINK8"/>
      <w:r>
        <w:rPr>
          <w:rFonts w:hint="eastAsia"/>
          <w:b w:val="0"/>
          <w:bCs w:val="0"/>
          <w:sz w:val="21"/>
          <w:szCs w:val="21"/>
          <w:highlight w:val="none"/>
          <w:shd w:val="clear" w:color="auto" w:fill="ffffff"/>
        </w:rPr>
      </w:r>
      <w:r/>
    </w:p>
    <w:p>
      <w:pPr>
        <w:pStyle w:val="870"/>
        <w:jc w:val="left"/>
        <w:keepLines w:val="0"/>
        <w:keepNext w:val="0"/>
        <w:pageBreakBefore w:val="0"/>
        <w:spacing w:line="360" w:lineRule="auto"/>
        <w:widowControl/>
        <w:rPr>
          <w:highlight w:val="none"/>
          <w:lang w:val="en-US"/>
        </w:rPr>
        <w:outlineLvl w:val="9"/>
      </w:pPr>
      <w:r/>
      <w:bookmarkEnd w:id="71"/>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0"/>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0"/>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0"/>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0"/>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0"/>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0"/>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0"/>
              <w:jc w:val="center"/>
              <w:keepLines w:val="0"/>
              <w:keepNext w:val="0"/>
              <w:widowControl/>
              <w:rPr>
                <w:highlight w:val="none"/>
                <w:vertAlign w:val="baseline"/>
              </w:rPr>
              <w:suppressLineNumbers w:val="0"/>
            </w:pPr>
            <w:r>
              <w:rPr>
                <w:highlight w:val="none"/>
                <w:vertAlign w:val="baseline"/>
              </w:rPr>
            </w:r>
            <w:r/>
          </w:p>
        </w:tc>
      </w:tr>
    </w:tbl>
    <w:p>
      <w:pPr>
        <w:pStyle w:val="87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0"/>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0"/>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0"/>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0"/>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0"/>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0"/>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0"/>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0"/>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0"/>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0"/>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0"/>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0"/>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0"/>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0"/>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0"/>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0"/>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0"/>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0"/>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0"/>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0"/>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0"/>
        <w:rPr>
          <w:rFonts w:hint="eastAsia" w:ascii="宋体" w:hAnsi="宋体"/>
          <w:sz w:val="24"/>
          <w:szCs w:val="24"/>
          <w:highlight w:val="none"/>
        </w:rPr>
      </w:pPr>
      <w:r>
        <w:rPr>
          <w:rFonts w:hint="eastAsia" w:ascii="宋体" w:hAnsi="宋体"/>
          <w:sz w:val="24"/>
          <w:szCs w:val="24"/>
          <w:highlight w:val="none"/>
        </w:rPr>
      </w:r>
      <w:r/>
    </w:p>
    <w:p>
      <w:pPr>
        <w:pStyle w:val="870"/>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0"/>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0"/>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0"/>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0"/>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0"/>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0"/>
        <w:rPr>
          <w:color w:val="000000"/>
          <w:highlight w:val="none"/>
        </w:rPr>
      </w:pPr>
      <w:r>
        <w:rPr>
          <w:color w:val="000000"/>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70"/>
        <w:ind w:left="709" w:hanging="709"/>
        <w:tabs>
          <w:tab w:val="num" w:pos="709" w:leader="none"/>
        </w:tabs>
      </w:pPr>
      <w:rPr>
        <w:rFonts w:hint="eastAsia"/>
      </w:rPr>
    </w:lvl>
    <w:lvl w:ilvl="1">
      <w:start w:val="1"/>
      <w:numFmt w:val="decimal"/>
      <w:isLgl w:val="false"/>
      <w:suff w:val="tab"/>
      <w:lvlText w:val="%1.%2"/>
      <w:lvlJc w:val="left"/>
      <w:pPr>
        <w:pStyle w:val="870"/>
        <w:ind w:left="709" w:hanging="709"/>
        <w:tabs>
          <w:tab w:val="num" w:pos="709" w:leader="none"/>
        </w:tabs>
      </w:pPr>
      <w:rPr>
        <w:rFonts w:hint="eastAsia"/>
      </w:rPr>
    </w:lvl>
    <w:lvl w:ilvl="2">
      <w:start w:val="1"/>
      <w:numFmt w:val="decimal"/>
      <w:isLgl w:val="false"/>
      <w:suff w:val="tab"/>
      <w:lvlText w:val="%1.%2.%3."/>
      <w:lvlJc w:val="left"/>
      <w:pPr>
        <w:pStyle w:val="870"/>
        <w:ind w:left="425" w:hanging="425"/>
        <w:tabs>
          <w:tab w:val="num" w:pos="425" w:leader="none"/>
        </w:tabs>
      </w:pPr>
      <w:rPr>
        <w:rFonts w:hint="eastAsia"/>
      </w:rPr>
    </w:lvl>
    <w:lvl w:ilvl="3">
      <w:start w:val="1"/>
      <w:numFmt w:val="decimal"/>
      <w:isLgl w:val="false"/>
      <w:suff w:val="tab"/>
      <w:lvlText w:val="%1.%2.%3.%4."/>
      <w:lvlJc w:val="left"/>
      <w:pPr>
        <w:pStyle w:val="870"/>
        <w:ind w:left="851" w:hanging="851"/>
        <w:tabs>
          <w:tab w:val="num" w:pos="851" w:leader="none"/>
        </w:tabs>
      </w:pPr>
      <w:rPr>
        <w:rFonts w:hint="eastAsia"/>
      </w:rPr>
    </w:lvl>
    <w:lvl w:ilvl="4">
      <w:start w:val="1"/>
      <w:numFmt w:val="decimal"/>
      <w:isLgl w:val="false"/>
      <w:suff w:val="tab"/>
      <w:lvlText w:val="%1.%2.%3.%4.%5."/>
      <w:lvlJc w:val="left"/>
      <w:pPr>
        <w:pStyle w:val="870"/>
        <w:ind w:left="992" w:hanging="992"/>
        <w:tabs>
          <w:tab w:val="num" w:pos="992" w:leader="none"/>
        </w:tabs>
      </w:pPr>
      <w:rPr>
        <w:rFonts w:hint="eastAsia"/>
      </w:rPr>
    </w:lvl>
    <w:lvl w:ilvl="5">
      <w:start w:val="1"/>
      <w:numFmt w:val="decimal"/>
      <w:isLgl w:val="false"/>
      <w:suff w:val="tab"/>
      <w:lvlText w:val="%1.%2.%3.%4.%5.%6."/>
      <w:lvlJc w:val="left"/>
      <w:pPr>
        <w:pStyle w:val="870"/>
        <w:ind w:left="1134" w:hanging="1134"/>
        <w:tabs>
          <w:tab w:val="num" w:pos="1134" w:leader="none"/>
        </w:tabs>
      </w:pPr>
      <w:rPr>
        <w:rFonts w:hint="eastAsia"/>
      </w:rPr>
    </w:lvl>
    <w:lvl w:ilvl="6">
      <w:start w:val="1"/>
      <w:numFmt w:val="decimal"/>
      <w:isLgl w:val="false"/>
      <w:suff w:val="tab"/>
      <w:lvlText w:val="%1.%2.%3.%4.%5.%6.%7."/>
      <w:lvlJc w:val="left"/>
      <w:pPr>
        <w:pStyle w:val="870"/>
        <w:ind w:left="1276" w:hanging="1276"/>
        <w:tabs>
          <w:tab w:val="num" w:pos="1276" w:leader="none"/>
        </w:tabs>
      </w:pPr>
      <w:rPr>
        <w:rFonts w:hint="eastAsia"/>
      </w:rPr>
    </w:lvl>
    <w:lvl w:ilvl="7">
      <w:start w:val="1"/>
      <w:numFmt w:val="decimal"/>
      <w:isLgl w:val="false"/>
      <w:suff w:val="tab"/>
      <w:lvlText w:val="%1.%2.%3.%4.%5.%6.%7.%8."/>
      <w:lvlJc w:val="left"/>
      <w:pPr>
        <w:pStyle w:val="870"/>
        <w:ind w:left="1418" w:hanging="1418"/>
        <w:tabs>
          <w:tab w:val="num" w:pos="1418" w:leader="none"/>
        </w:tabs>
      </w:pPr>
      <w:rPr>
        <w:rFonts w:hint="eastAsia"/>
      </w:rPr>
    </w:lvl>
    <w:lvl w:ilvl="8">
      <w:start w:val="1"/>
      <w:numFmt w:val="decimal"/>
      <w:isLgl w:val="false"/>
      <w:suff w:val="tab"/>
      <w:lvlText w:val="%1.%2.%3.%4.%5.%6.%7.%8.%9."/>
      <w:lvlJc w:val="left"/>
      <w:pPr>
        <w:pStyle w:val="87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0"/>
        <w:ind w:left="0" w:firstLine="0"/>
      </w:pPr>
      <w:rPr>
        <w:rFonts w:hint="eastAsia"/>
      </w:rPr>
    </w:lvl>
    <w:lvl w:ilvl="1">
      <w:start w:val="1"/>
      <w:numFmt w:val="decimal"/>
      <w:isLgl w:val="false"/>
      <w:suff w:val="nothing"/>
      <w:lvlText w:val="%2、"/>
      <w:lvlJc w:val="left"/>
      <w:pPr>
        <w:pStyle w:val="870"/>
        <w:ind w:left="0" w:firstLine="0"/>
      </w:pPr>
      <w:rPr>
        <w:rFonts w:hint="eastAsia"/>
      </w:rPr>
    </w:lvl>
    <w:lvl w:ilvl="2">
      <w:start w:val="1"/>
      <w:numFmt w:val="decimal"/>
      <w:isLgl w:val="false"/>
      <w:suff w:val="nothing"/>
      <w:lvlText w:val="%2.%3 "/>
      <w:lvlJc w:val="left"/>
      <w:pPr>
        <w:pStyle w:val="870"/>
        <w:ind w:left="0" w:firstLine="0"/>
      </w:pPr>
      <w:rPr>
        <w:rFonts w:hint="eastAsia"/>
      </w:rPr>
    </w:lvl>
    <w:lvl w:ilvl="3">
      <w:start w:val="1"/>
      <w:numFmt w:val="decimal"/>
      <w:isLgl w:val="false"/>
      <w:suff w:val="nothing"/>
      <w:lvlText w:val="%2.%3.%4 "/>
      <w:lvlJc w:val="left"/>
      <w:pPr>
        <w:pStyle w:val="870"/>
        <w:ind w:left="0" w:firstLine="0"/>
      </w:pPr>
      <w:rPr>
        <w:rFonts w:hint="eastAsia"/>
      </w:rPr>
    </w:lvl>
    <w:lvl w:ilvl="4">
      <w:start w:val="1"/>
      <w:numFmt w:val="decimal"/>
      <w:isLgl w:val="false"/>
      <w:suff w:val="nothing"/>
      <w:lvlText w:val="%2.%3.%4.%5 "/>
      <w:lvlJc w:val="left"/>
      <w:pPr>
        <w:pStyle w:val="870"/>
        <w:ind w:left="0" w:firstLine="0"/>
      </w:pPr>
      <w:rPr>
        <w:rFonts w:hint="eastAsia"/>
      </w:rPr>
    </w:lvl>
    <w:lvl w:ilvl="5">
      <w:start w:val="1"/>
      <w:numFmt w:val="decimal"/>
      <w:pStyle w:val="876"/>
      <w:isLgl w:val="false"/>
      <w:suff w:val="nothing"/>
      <w:lvlText w:val=""/>
      <w:lvlJc w:val="left"/>
      <w:pPr>
        <w:pStyle w:val="870"/>
        <w:ind w:left="0" w:firstLine="0"/>
      </w:pPr>
      <w:rPr>
        <w:rFonts w:hint="eastAsia"/>
      </w:rPr>
    </w:lvl>
    <w:lvl w:ilvl="6">
      <w:start w:val="1"/>
      <w:numFmt w:val="decimal"/>
      <w:pStyle w:val="877"/>
      <w:isLgl w:val="false"/>
      <w:suff w:val="nothing"/>
      <w:lvlText w:val=""/>
      <w:lvlJc w:val="left"/>
      <w:pPr>
        <w:pStyle w:val="870"/>
        <w:ind w:left="0" w:firstLine="0"/>
      </w:pPr>
      <w:rPr>
        <w:rFonts w:hint="eastAsia"/>
      </w:rPr>
    </w:lvl>
    <w:lvl w:ilvl="7">
      <w:start w:val="1"/>
      <w:numFmt w:val="decimal"/>
      <w:pStyle w:val="878"/>
      <w:isLgl w:val="false"/>
      <w:suff w:val="nothing"/>
      <w:lvlText w:val=""/>
      <w:lvlJc w:val="left"/>
      <w:pPr>
        <w:pStyle w:val="870"/>
        <w:ind w:left="0" w:firstLine="0"/>
      </w:pPr>
      <w:rPr>
        <w:rFonts w:hint="eastAsia"/>
      </w:rPr>
    </w:lvl>
    <w:lvl w:ilvl="8">
      <w:start w:val="1"/>
      <w:numFmt w:val="decimal"/>
      <w:pStyle w:val="879"/>
      <w:isLgl w:val="false"/>
      <w:suff w:val="nothing"/>
      <w:lvlText w:val=""/>
      <w:lvlJc w:val="left"/>
      <w:pPr>
        <w:pStyle w:val="870"/>
        <w:ind w:left="0" w:firstLine="0"/>
      </w:pPr>
      <w:rPr>
        <w:rFonts w:hint="eastAsia"/>
      </w:rPr>
    </w:lvl>
  </w:abstractNum>
  <w:abstractNum w:abstractNumId="4">
    <w:multiLevelType w:val="hybridMultilevel"/>
    <w:lvl w:ilvl="0">
      <w:start w:val="3"/>
      <w:numFmt w:val="decimal"/>
      <w:isLgl w:val="false"/>
      <w:suff w:val="space"/>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0"/>
    <w:next w:val="870"/>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0"/>
    <w:next w:val="870"/>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0"/>
    <w:next w:val="870"/>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0"/>
    <w:next w:val="870"/>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0"/>
    <w:next w:val="870"/>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0"/>
    <w:next w:val="870"/>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0"/>
    <w:next w:val="870"/>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0"/>
    <w:next w:val="870"/>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0"/>
    <w:next w:val="870"/>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82"/>
    <w:link w:val="870"/>
    <w:qFormat/>
    <w:pPr>
      <w:jc w:val="both"/>
      <w:widowControl w:val="off"/>
    </w:pPr>
    <w:rPr>
      <w:sz w:val="21"/>
      <w:szCs w:val="22"/>
      <w:lang w:val="en-US" w:eastAsia="zh-CN" w:bidi="ar-SA"/>
    </w:rPr>
  </w:style>
  <w:style w:type="paragraph" w:styleId="871">
    <w:name w:val="标题 1"/>
    <w:basedOn w:val="870"/>
    <w:next w:val="870"/>
    <w:link w:val="884"/>
    <w:qFormat/>
    <w:pPr>
      <w:jc w:val="center"/>
      <w:keepNext/>
      <w:outlineLvl w:val="0"/>
    </w:pPr>
    <w:rPr>
      <w:rFonts w:ascii="楷体_GB2312" w:hAnsi="Times New Roman" w:eastAsia="楷体_GB2312" w:cs="Times New Roman"/>
      <w:sz w:val="28"/>
      <w:szCs w:val="28"/>
    </w:rPr>
  </w:style>
  <w:style w:type="paragraph" w:styleId="872">
    <w:name w:val="标题 2"/>
    <w:basedOn w:val="870"/>
    <w:next w:val="870"/>
    <w:link w:val="885"/>
    <w:qFormat/>
    <w:pPr>
      <w:jc w:val="center"/>
      <w:keepLines/>
      <w:keepNext/>
      <w:spacing w:before="260" w:after="260" w:line="416" w:lineRule="auto"/>
      <w:outlineLvl w:val="1"/>
    </w:pPr>
    <w:rPr>
      <w:rFonts w:ascii="Arial" w:hAnsi="Arial" w:eastAsia="幼圆" w:cs="Arial"/>
      <w:b/>
      <w:bCs/>
      <w:sz w:val="44"/>
      <w:szCs w:val="44"/>
    </w:rPr>
  </w:style>
  <w:style w:type="paragraph" w:styleId="873">
    <w:name w:val="标题 3"/>
    <w:basedOn w:val="870"/>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4">
    <w:name w:val="标题 4"/>
    <w:basedOn w:val="870"/>
    <w:next w:val="887"/>
    <w:link w:val="889"/>
    <w:qFormat/>
    <w:pPr>
      <w:keepLines/>
      <w:keepNext/>
      <w:spacing w:before="280" w:after="290" w:line="376" w:lineRule="auto"/>
      <w:outlineLvl w:val="3"/>
    </w:pPr>
    <w:rPr>
      <w:rFonts w:ascii="Arial" w:hAnsi="Arial" w:eastAsia="黑体" w:cs="Arial"/>
      <w:b/>
      <w:bCs/>
      <w:sz w:val="28"/>
      <w:szCs w:val="28"/>
    </w:rPr>
  </w:style>
  <w:style w:type="paragraph" w:styleId="875">
    <w:name w:val="标题 5"/>
    <w:basedOn w:val="870"/>
    <w:next w:val="887"/>
    <w:link w:val="890"/>
    <w:qFormat/>
    <w:pPr>
      <w:keepNext/>
      <w:outlineLvl w:val="4"/>
    </w:pPr>
    <w:rPr>
      <w:rFonts w:ascii="宋体" w:hAnsi="Times New Roman" w:eastAsia="宋体" w:cs="Times New Roman"/>
      <w:color w:val="000000"/>
      <w:sz w:val="28"/>
      <w:szCs w:val="28"/>
    </w:rPr>
  </w:style>
  <w:style w:type="paragraph" w:styleId="876">
    <w:name w:val="标题 6"/>
    <w:basedOn w:val="870"/>
    <w:next w:val="870"/>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7">
    <w:name w:val="标题 7"/>
    <w:basedOn w:val="870"/>
    <w:next w:val="870"/>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8">
    <w:name w:val="标题 8"/>
    <w:basedOn w:val="870"/>
    <w:next w:val="870"/>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9">
    <w:name w:val="标题 9"/>
    <w:basedOn w:val="870"/>
    <w:next w:val="870"/>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0">
    <w:name w:val="默认段落字体"/>
    <w:next w:val="880"/>
    <w:link w:val="870"/>
    <w:uiPriority w:val="1"/>
    <w:unhideWhenUsed/>
  </w:style>
  <w:style w:type="table" w:styleId="881">
    <w:name w:val="普通表格"/>
    <w:next w:val="881"/>
    <w:link w:val="87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2">
    <w:name w:val="正文首行缩进 21"/>
    <w:basedOn w:val="883"/>
    <w:next w:val="882"/>
    <w:link w:val="870"/>
    <w:qFormat/>
    <w:pPr>
      <w:ind w:left="0" w:firstLine="420"/>
      <w:spacing w:after="0" w:line="360" w:lineRule="auto"/>
    </w:pPr>
    <w:rPr>
      <w:rFonts w:ascii="宋体" w:hAnsi="宋体"/>
      <w:sz w:val="20"/>
      <w:szCs w:val="20"/>
      <w:lang w:val="en-US" w:eastAsia="en-US"/>
    </w:rPr>
  </w:style>
  <w:style w:type="paragraph" w:styleId="883">
    <w:name w:val="正文文本缩进1"/>
    <w:basedOn w:val="870"/>
    <w:next w:val="882"/>
    <w:link w:val="870"/>
    <w:unhideWhenUsed/>
    <w:qFormat/>
    <w:pPr>
      <w:ind w:left="420"/>
      <w:spacing w:after="120"/>
    </w:pPr>
  </w:style>
  <w:style w:type="character" w:styleId="884">
    <w:name w:val="标题 1 Char"/>
    <w:next w:val="884"/>
    <w:link w:val="871"/>
    <w:rPr>
      <w:rFonts w:ascii="楷体_GB2312" w:hAnsi="Times New Roman" w:eastAsia="楷体_GB2312" w:cs="Times New Roman"/>
      <w:sz w:val="28"/>
      <w:szCs w:val="28"/>
    </w:rPr>
  </w:style>
  <w:style w:type="character" w:styleId="885">
    <w:name w:val="标题 2 Char"/>
    <w:next w:val="885"/>
    <w:link w:val="872"/>
    <w:rPr>
      <w:rFonts w:ascii="Arial" w:hAnsi="Arial" w:eastAsia="幼圆" w:cs="Arial"/>
      <w:b/>
      <w:bCs/>
      <w:sz w:val="44"/>
      <w:szCs w:val="44"/>
    </w:rPr>
  </w:style>
  <w:style w:type="character" w:styleId="886">
    <w:name w:val="标题 3 Char"/>
    <w:next w:val="886"/>
    <w:link w:val="873"/>
    <w:rPr>
      <w:rFonts w:ascii="Times New Roman" w:hAnsi="Times New Roman" w:eastAsia="宋体" w:cs="Times New Roman"/>
      <w:b/>
      <w:bCs/>
      <w:sz w:val="32"/>
      <w:szCs w:val="32"/>
    </w:rPr>
  </w:style>
  <w:style w:type="paragraph" w:styleId="887">
    <w:name w:val="正文缩进"/>
    <w:basedOn w:val="870"/>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4"/>
    <w:rPr>
      <w:rFonts w:ascii="Arial" w:hAnsi="Arial" w:eastAsia="黑体" w:cs="Arial"/>
      <w:b/>
      <w:bCs/>
      <w:sz w:val="28"/>
      <w:szCs w:val="28"/>
    </w:rPr>
  </w:style>
  <w:style w:type="character" w:styleId="890">
    <w:name w:val="标题 5 Char"/>
    <w:next w:val="890"/>
    <w:link w:val="875"/>
    <w:rPr>
      <w:rFonts w:ascii="宋体" w:hAnsi="Times New Roman" w:eastAsia="宋体" w:cs="Times New Roman"/>
      <w:color w:val="000000"/>
      <w:sz w:val="28"/>
      <w:szCs w:val="28"/>
    </w:rPr>
  </w:style>
  <w:style w:type="character" w:styleId="891">
    <w:name w:val="标题 6 Char"/>
    <w:next w:val="891"/>
    <w:link w:val="876"/>
    <w:rPr>
      <w:rFonts w:ascii="Arial" w:hAnsi="Arial" w:eastAsia="黑体" w:cs="Times New Roman"/>
      <w:b/>
      <w:bCs/>
      <w:sz w:val="24"/>
      <w:szCs w:val="24"/>
    </w:rPr>
  </w:style>
  <w:style w:type="character" w:styleId="892">
    <w:name w:val="标题 7 Char"/>
    <w:next w:val="892"/>
    <w:link w:val="877"/>
    <w:rPr>
      <w:rFonts w:ascii="Times New Roman" w:hAnsi="Times New Roman" w:eastAsia="宋体" w:cs="Times New Roman"/>
      <w:b/>
      <w:bCs/>
      <w:sz w:val="24"/>
      <w:szCs w:val="24"/>
    </w:rPr>
  </w:style>
  <w:style w:type="character" w:styleId="893">
    <w:name w:val="标题 8 Char"/>
    <w:next w:val="893"/>
    <w:link w:val="878"/>
    <w:rPr>
      <w:rFonts w:ascii="Arial" w:hAnsi="Arial" w:eastAsia="黑体" w:cs="Times New Roman"/>
      <w:sz w:val="24"/>
      <w:szCs w:val="24"/>
    </w:rPr>
  </w:style>
  <w:style w:type="character" w:styleId="894">
    <w:name w:val="标题 9 Char"/>
    <w:next w:val="894"/>
    <w:link w:val="879"/>
    <w:rPr>
      <w:rFonts w:ascii="Arial" w:hAnsi="Arial" w:eastAsia="黑体" w:cs="Times New Roman"/>
      <w:szCs w:val="21"/>
    </w:rPr>
  </w:style>
  <w:style w:type="paragraph" w:styleId="895">
    <w:name w:val="列表 3"/>
    <w:basedOn w:val="870"/>
    <w:next w:val="895"/>
    <w:link w:val="870"/>
    <w:pPr>
      <w:ind w:left="100" w:hanging="200"/>
    </w:pPr>
    <w:rPr>
      <w:rFonts w:ascii="Times New Roman" w:hAnsi="Times New Roman" w:eastAsia="宋体" w:cs="Times New Roman"/>
      <w:szCs w:val="21"/>
    </w:rPr>
  </w:style>
  <w:style w:type="paragraph" w:styleId="896">
    <w:name w:val="目录 7"/>
    <w:basedOn w:val="870"/>
    <w:next w:val="870"/>
    <w:link w:val="870"/>
    <w:semiHidden/>
    <w:pPr>
      <w:ind w:left="1260"/>
      <w:jc w:val="left"/>
    </w:pPr>
    <w:rPr>
      <w:rFonts w:ascii="Times New Roman" w:hAnsi="Times New Roman" w:eastAsia="宋体" w:cs="Times New Roman"/>
      <w:szCs w:val="21"/>
    </w:rPr>
  </w:style>
  <w:style w:type="paragraph" w:styleId="897">
    <w:name w:val="文档结构图"/>
    <w:basedOn w:val="870"/>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0"/>
    <w:next w:val="899"/>
    <w:link w:val="90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0">
    <w:name w:val="批注文字 字符"/>
    <w:basedOn w:val="880"/>
    <w:next w:val="900"/>
    <w:link w:val="899"/>
    <w:rPr>
      <w:rFonts w:ascii="Calibri" w:hAnsi="Calibri" w:eastAsia="宋体" w:cs="Times New Roman"/>
      <w:sz w:val="21"/>
      <w:szCs w:val="24"/>
    </w:rPr>
  </w:style>
  <w:style w:type="paragraph" w:styleId="901">
    <w:name w:val="正文文本 3"/>
    <w:basedOn w:val="870"/>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0"/>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0"/>
    <w:next w:val="907"/>
    <w:link w:val="906"/>
    <w:unhideWhenUsed/>
    <w:pPr>
      <w:ind w:left="420"/>
      <w:spacing w:after="120"/>
    </w:pPr>
  </w:style>
  <w:style w:type="character" w:styleId="906">
    <w:name w:val="正文文本缩进 Char"/>
    <w:basedOn w:val="880"/>
    <w:next w:val="906"/>
    <w:link w:val="905"/>
    <w:uiPriority w:val="99"/>
    <w:semiHidden/>
  </w:style>
  <w:style w:type="paragraph" w:styleId="907">
    <w:name w:val="寄信人地址"/>
    <w:basedOn w:val="870"/>
    <w:next w:val="907"/>
    <w:link w:val="870"/>
    <w:qFormat/>
    <w:rPr>
      <w:rFonts w:ascii="Arial" w:hAnsi="Arial" w:eastAsia="宋体" w:cs="宋体"/>
    </w:rPr>
  </w:style>
  <w:style w:type="paragraph" w:styleId="908">
    <w:name w:val="列表 2"/>
    <w:basedOn w:val="870"/>
    <w:next w:val="908"/>
    <w:link w:val="870"/>
    <w:pPr>
      <w:ind w:left="100" w:hanging="200"/>
    </w:pPr>
    <w:rPr>
      <w:rFonts w:ascii="Times New Roman" w:hAnsi="Times New Roman" w:eastAsia="宋体" w:cs="Times New Roman"/>
      <w:szCs w:val="21"/>
    </w:rPr>
  </w:style>
  <w:style w:type="paragraph" w:styleId="909">
    <w:name w:val="目录 5"/>
    <w:basedOn w:val="870"/>
    <w:next w:val="870"/>
    <w:link w:val="870"/>
    <w:semiHidden/>
    <w:pPr>
      <w:ind w:left="840"/>
      <w:jc w:val="left"/>
    </w:pPr>
    <w:rPr>
      <w:rFonts w:ascii="Times New Roman" w:hAnsi="Times New Roman" w:eastAsia="宋体" w:cs="Times New Roman"/>
      <w:szCs w:val="21"/>
    </w:rPr>
  </w:style>
  <w:style w:type="paragraph" w:styleId="910">
    <w:name w:val="目录 3"/>
    <w:basedOn w:val="870"/>
    <w:next w:val="870"/>
    <w:link w:val="870"/>
    <w:semiHidden/>
    <w:pPr>
      <w:ind w:left="420"/>
      <w:jc w:val="left"/>
    </w:pPr>
    <w:rPr>
      <w:rFonts w:ascii="Times New Roman" w:hAnsi="Times New Roman" w:eastAsia="宋体" w:cs="Times New Roman"/>
      <w:i/>
      <w:iCs/>
      <w:szCs w:val="24"/>
    </w:rPr>
  </w:style>
  <w:style w:type="paragraph" w:styleId="911">
    <w:name w:val="纯文本"/>
    <w:basedOn w:val="870"/>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0"/>
    <w:next w:val="870"/>
    <w:link w:val="870"/>
    <w:semiHidden/>
    <w:pPr>
      <w:ind w:left="1470"/>
      <w:jc w:val="left"/>
    </w:pPr>
    <w:rPr>
      <w:rFonts w:ascii="Times New Roman" w:hAnsi="Times New Roman" w:eastAsia="宋体" w:cs="Times New Roman"/>
      <w:szCs w:val="21"/>
    </w:rPr>
  </w:style>
  <w:style w:type="paragraph" w:styleId="914">
    <w:name w:val="日期"/>
    <w:basedOn w:val="870"/>
    <w:next w:val="870"/>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0"/>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0"/>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0"/>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0"/>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0"/>
    <w:next w:val="870"/>
    <w:link w:val="87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0"/>
    <w:next w:val="870"/>
    <w:link w:val="870"/>
    <w:semiHidden/>
    <w:pPr>
      <w:ind w:left="630"/>
      <w:jc w:val="left"/>
    </w:pPr>
    <w:rPr>
      <w:rFonts w:ascii="Times New Roman" w:hAnsi="Times New Roman" w:eastAsia="宋体" w:cs="Times New Roman"/>
      <w:szCs w:val="21"/>
    </w:rPr>
  </w:style>
  <w:style w:type="paragraph" w:styleId="926">
    <w:name w:val="列表"/>
    <w:basedOn w:val="870"/>
    <w:next w:val="926"/>
    <w:link w:val="870"/>
    <w:pPr>
      <w:ind w:left="200" w:hanging="200"/>
    </w:pPr>
    <w:rPr>
      <w:rFonts w:ascii="Times New Roman" w:hAnsi="Times New Roman" w:eastAsia="宋体" w:cs="Times New Roman"/>
      <w:szCs w:val="21"/>
    </w:rPr>
  </w:style>
  <w:style w:type="paragraph" w:styleId="927">
    <w:name w:val="目录 6"/>
    <w:basedOn w:val="870"/>
    <w:next w:val="870"/>
    <w:link w:val="870"/>
    <w:semiHidden/>
    <w:pPr>
      <w:ind w:left="1050"/>
      <w:jc w:val="left"/>
    </w:pPr>
    <w:rPr>
      <w:rFonts w:ascii="Times New Roman" w:hAnsi="Times New Roman" w:eastAsia="宋体" w:cs="Times New Roman"/>
      <w:szCs w:val="21"/>
    </w:rPr>
  </w:style>
  <w:style w:type="paragraph" w:styleId="928">
    <w:name w:val="正文文本缩进 3"/>
    <w:basedOn w:val="870"/>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0"/>
    <w:next w:val="870"/>
    <w:link w:val="870"/>
    <w:semiHidden/>
    <w:pPr>
      <w:ind w:left="840" w:hanging="420"/>
    </w:pPr>
    <w:rPr>
      <w:rFonts w:ascii="Times New Roman" w:hAnsi="Times New Roman" w:eastAsia="宋体" w:cs="Times New Roman"/>
      <w:szCs w:val="21"/>
    </w:rPr>
  </w:style>
  <w:style w:type="paragraph" w:styleId="931">
    <w:name w:val="目录 2"/>
    <w:basedOn w:val="870"/>
    <w:next w:val="870"/>
    <w:link w:val="870"/>
    <w:semiHidden/>
    <w:pPr>
      <w:ind w:left="210"/>
      <w:jc w:val="left"/>
    </w:pPr>
    <w:rPr>
      <w:rFonts w:ascii="Times New Roman" w:hAnsi="Times New Roman" w:eastAsia="宋体" w:cs="Times New Roman"/>
      <w:smallCaps/>
      <w:szCs w:val="24"/>
    </w:rPr>
  </w:style>
  <w:style w:type="paragraph" w:styleId="932">
    <w:name w:val="目录 9"/>
    <w:basedOn w:val="870"/>
    <w:next w:val="870"/>
    <w:link w:val="870"/>
    <w:semiHidden/>
    <w:pPr>
      <w:ind w:left="1680"/>
      <w:jc w:val="left"/>
    </w:pPr>
    <w:rPr>
      <w:rFonts w:ascii="Times New Roman" w:hAnsi="Times New Roman" w:eastAsia="宋体" w:cs="Times New Roman"/>
      <w:szCs w:val="21"/>
    </w:rPr>
  </w:style>
  <w:style w:type="paragraph" w:styleId="933">
    <w:name w:val="正文文本 2"/>
    <w:basedOn w:val="870"/>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0"/>
    <w:next w:val="935"/>
    <w:link w:val="870"/>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0"/>
    <w:next w:val="870"/>
    <w:link w:val="870"/>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0"/>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0"/>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1"/>
    <w:next w:val="943"/>
    <w:link w:val="870"/>
    <w:pPr>
      <w:jc w:val="both"/>
      <w:widowControl w:val="off"/>
    </w:pPr>
    <w:rPr>
      <w:rFonts w:ascii="Times New Roman" w:hAnsi="Times New Roman" w:eastAsia="宋体" w:cs="Times New Roman"/>
      <w:sz w:val="20"/>
      <w:szCs w:val="20"/>
    </w:rPr>
    <w:tblPr/>
  </w:style>
  <w:style w:type="character" w:styleId="944">
    <w:name w:val="要点"/>
    <w:next w:val="944"/>
    <w:link w:val="870"/>
    <w:qFormat/>
    <w:rPr>
      <w:b/>
      <w:bCs/>
    </w:rPr>
  </w:style>
  <w:style w:type="character" w:styleId="945">
    <w:name w:val="页码"/>
    <w:next w:val="945"/>
    <w:link w:val="870"/>
  </w:style>
  <w:style w:type="character" w:styleId="946">
    <w:name w:val="已访问的超链接"/>
    <w:next w:val="946"/>
    <w:link w:val="870"/>
    <w:rPr>
      <w:color w:val="800080"/>
      <w:u w:val="single"/>
    </w:rPr>
  </w:style>
  <w:style w:type="character" w:styleId="947">
    <w:name w:val="强调"/>
    <w:next w:val="947"/>
    <w:link w:val="870"/>
    <w:qFormat/>
    <w:rPr>
      <w:i/>
    </w:rPr>
  </w:style>
  <w:style w:type="character" w:styleId="948">
    <w:name w:val="超链接"/>
    <w:next w:val="948"/>
    <w:link w:val="870"/>
    <w:rPr>
      <w:color w:val="0000ff"/>
      <w:u w:val="single"/>
    </w:rPr>
  </w:style>
  <w:style w:type="character" w:styleId="949">
    <w:name w:val="批注引用"/>
    <w:next w:val="949"/>
    <w:link w:val="870"/>
    <w:semiHidden/>
    <w:rPr>
      <w:sz w:val="21"/>
      <w:szCs w:val="21"/>
    </w:rPr>
  </w:style>
  <w:style w:type="character" w:styleId="950">
    <w:name w:val="批注文字 Char"/>
    <w:basedOn w:val="880"/>
    <w:next w:val="950"/>
    <w:link w:val="899"/>
    <w:uiPriority w:val="99"/>
    <w:semiHidden/>
  </w:style>
  <w:style w:type="paragraph" w:styleId="951">
    <w:name w:val="正文首缩两字"/>
    <w:basedOn w:val="870"/>
    <w:next w:val="951"/>
    <w:link w:val="870"/>
    <w:qFormat/>
    <w:pPr>
      <w:ind w:left="210" w:right="210" w:firstLine="480"/>
      <w:jc w:val="left"/>
      <w:spacing w:line="360" w:lineRule="auto"/>
    </w:pPr>
    <w:rPr>
      <w:rFonts w:ascii="宋体" w:hAnsi="宋体" w:eastAsia="仿宋_GB2312"/>
      <w:sz w:val="24"/>
      <w:szCs w:val="24"/>
    </w:rPr>
  </w:style>
  <w:style w:type="paragraph" w:styleId="952">
    <w:name w:val="正文1"/>
    <w:basedOn w:val="870"/>
    <w:next w:val="952"/>
    <w:link w:val="870"/>
    <w:qFormat/>
    <w:pPr>
      <w:ind w:left="350" w:firstLine="0"/>
    </w:pPr>
    <w:rPr>
      <w:rFonts w:cs="Times New Roman"/>
      <w:sz w:val="20"/>
      <w:szCs w:val="24"/>
    </w:rPr>
  </w:style>
  <w:style w:type="paragraph" w:styleId="953">
    <w:name w:val="索引 41"/>
    <w:basedOn w:val="870"/>
    <w:next w:val="870"/>
    <w:link w:val="870"/>
    <w:semiHidden/>
    <w:qFormat/>
    <w:pPr>
      <w:ind w:left="1260"/>
    </w:pPr>
    <w:rPr>
      <w:rFonts w:ascii="Calibri" w:hAnsi="Calibri" w:eastAsia="Calibri" w:cs="宋体"/>
      <w:sz w:val="20"/>
      <w:lang w:val="zh-CN"/>
    </w:rPr>
  </w:style>
  <w:style w:type="character" w:styleId="954">
    <w:name w:val="font5 Char"/>
    <w:next w:val="954"/>
    <w:link w:val="870"/>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0"/>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0"/>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0"/>
    <w:next w:val="903"/>
    <w:link w:val="870"/>
    <w:pPr>
      <w:spacing w:after="120"/>
    </w:pPr>
    <w:rPr>
      <w:rFonts w:ascii="宋体" w:hAnsi="Arial" w:eastAsia="宋体" w:cs="Times New Roman"/>
      <w:bCs/>
      <w:iCs/>
      <w:szCs w:val="24"/>
    </w:rPr>
  </w:style>
  <w:style w:type="paragraph" w:styleId="960">
    <w:name w:val="xl27"/>
    <w:basedOn w:val="870"/>
    <w:next w:val="960"/>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0"/>
    <w:next w:val="961"/>
    <w:link w:val="8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0"/>
    <w:next w:val="962"/>
    <w:link w:val="870"/>
    <w:pPr>
      <w:ind w:firstLine="200"/>
      <w:tabs>
        <w:tab w:val="left" w:pos="360" w:leader="none"/>
      </w:tabs>
    </w:pPr>
    <w:rPr>
      <w:rFonts w:ascii="Times New Roman" w:hAnsi="Times New Roman" w:eastAsia="宋体" w:cs="Times New Roman"/>
      <w:sz w:val="28"/>
      <w:szCs w:val="30"/>
    </w:rPr>
  </w:style>
  <w:style w:type="paragraph" w:styleId="963">
    <w:name w:val=" Char"/>
    <w:basedOn w:val="897"/>
    <w:next w:val="963"/>
    <w:link w:val="870"/>
    <w:rPr>
      <w:rFonts w:ascii="Tahoma" w:hAnsi="Tahoma"/>
      <w:sz w:val="24"/>
      <w:szCs w:val="24"/>
    </w:rPr>
  </w:style>
  <w:style w:type="paragraph" w:styleId="964">
    <w:name w:val="普通正文"/>
    <w:basedOn w:val="870"/>
    <w:next w:val="964"/>
    <w:link w:val="870"/>
    <w:pPr>
      <w:ind w:firstLine="480"/>
      <w:jc w:val="left"/>
      <w:spacing w:before="120" w:after="120" w:line="360" w:lineRule="auto"/>
    </w:pPr>
    <w:rPr>
      <w:rFonts w:ascii="Arial" w:hAnsi="Arial" w:eastAsia="宋体" w:cs="Times New Roman"/>
      <w:sz w:val="24"/>
      <w:szCs w:val="24"/>
    </w:rPr>
  </w:style>
  <w:style w:type="paragraph" w:styleId="965">
    <w:name w:val="table_lines"/>
    <w:basedOn w:val="870"/>
    <w:next w:val="965"/>
    <w:link w:val="870"/>
    <w:pPr>
      <w:jc w:val="left"/>
      <w:widowControl/>
    </w:pPr>
    <w:rPr>
      <w:rFonts w:ascii="Times New Roman" w:hAnsi="Times New Roman" w:eastAsia="宋体" w:cs="Times New Roman"/>
      <w:sz w:val="20"/>
      <w:szCs w:val="20"/>
      <w:lang w:val="de-DE" w:eastAsia="de-DE"/>
    </w:rPr>
  </w:style>
  <w:style w:type="paragraph" w:styleId="966">
    <w:name w:val="附录1"/>
    <w:next w:val="966"/>
    <w:link w:val="87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0"/>
    <w:next w:val="967"/>
    <w:link w:val="870"/>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7"/>
    <w:next w:val="968"/>
    <w:link w:val="870"/>
    <w:pPr>
      <w:spacing w:line="360" w:lineRule="auto"/>
    </w:pPr>
    <w:rPr>
      <w:rFonts w:ascii="Tahoma" w:hAnsi="Tahoma"/>
      <w:sz w:val="24"/>
      <w:szCs w:val="24"/>
    </w:rPr>
  </w:style>
  <w:style w:type="paragraph" w:styleId="969">
    <w:name w:val="列出段落"/>
    <w:basedOn w:val="870"/>
    <w:next w:val="969"/>
    <w:link w:val="870"/>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0"/>
    <w:next w:val="928"/>
    <w:link w:val="870"/>
    <w:pPr>
      <w:ind w:firstLine="420"/>
      <w:spacing w:line="360" w:lineRule="auto"/>
    </w:pPr>
    <w:rPr>
      <w:rFonts w:ascii="Times New Roman" w:hAnsi="Times New Roman" w:eastAsia="宋体" w:cs="Times New Roman"/>
      <w:color w:val="ff0000"/>
      <w:sz w:val="24"/>
      <w:szCs w:val="24"/>
    </w:rPr>
  </w:style>
  <w:style w:type="paragraph" w:styleId="971">
    <w:name w:val="普通 (Web)"/>
    <w:basedOn w:val="870"/>
    <w:next w:val="971"/>
    <w:link w:val="870"/>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0"/>
    <w:next w:val="972"/>
    <w:link w:val="870"/>
    <w:pPr>
      <w:spacing w:line="360" w:lineRule="auto"/>
    </w:pPr>
    <w:rPr>
      <w:rFonts w:ascii="Times New Roman" w:hAnsi="Times New Roman" w:eastAsia="宋体" w:cs="Times New Roman"/>
      <w:sz w:val="24"/>
      <w:szCs w:val="20"/>
    </w:rPr>
  </w:style>
  <w:style w:type="paragraph" w:styleId="973">
    <w:name w:val="样式1"/>
    <w:basedOn w:val="870"/>
    <w:next w:val="973"/>
    <w:link w:val="870"/>
    <w:pPr>
      <w:numPr>
        <w:ilvl w:val="0"/>
        <w:numId w:val="3"/>
      </w:numPr>
      <w:tabs>
        <w:tab w:val="left" w:pos="709" w:leader="none"/>
      </w:tabs>
    </w:pPr>
    <w:rPr>
      <w:rFonts w:ascii="宋体" w:hAnsi="宋体" w:eastAsia="宋体" w:cs="Times New Roman"/>
      <w:szCs w:val="21"/>
    </w:rPr>
  </w:style>
  <w:style w:type="paragraph" w:styleId="974">
    <w:name w:val="font6"/>
    <w:basedOn w:val="870"/>
    <w:next w:val="974"/>
    <w:link w:val="870"/>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0"/>
    <w:next w:val="975"/>
    <w:link w:val="8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0"/>
    <w:next w:val="870"/>
    <w:link w:val="87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0"/>
    <w:next w:val="870"/>
    <w:link w:val="870"/>
    <w:pPr>
      <w:ind w:firstLine="624"/>
      <w:spacing w:line="590" w:lineRule="atLeast"/>
    </w:pPr>
    <w:rPr>
      <w:rFonts w:ascii="方正黑体_GBK" w:hAnsi="Times New Roman" w:eastAsia="方正黑体_GBK" w:cs="Times New Roman"/>
      <w:sz w:val="32"/>
      <w:szCs w:val="32"/>
    </w:rPr>
  </w:style>
  <w:style w:type="paragraph" w:styleId="978">
    <w:name w:val="xl24"/>
    <w:basedOn w:val="870"/>
    <w:next w:val="978"/>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0"/>
    <w:next w:val="979"/>
    <w:link w:val="87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0"/>
    <w:next w:val="980"/>
    <w:link w:val="870"/>
    <w:pPr>
      <w:jc w:val="left"/>
      <w:spacing w:after="160" w:line="240" w:lineRule="exact"/>
      <w:widowControl/>
    </w:pPr>
    <w:rPr>
      <w:rFonts w:ascii="Verdana" w:hAnsi="Verdana" w:eastAsia="宋体" w:cs="Times New Roman"/>
      <w:sz w:val="20"/>
      <w:szCs w:val="20"/>
      <w:lang w:eastAsia="en-US"/>
    </w:rPr>
  </w:style>
  <w:style w:type="paragraph" w:styleId="981">
    <w:name w:val="xl28"/>
    <w:basedOn w:val="870"/>
    <w:next w:val="981"/>
    <w:link w:val="8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0"/>
    <w:next w:val="982"/>
    <w:link w:val="870"/>
    <w:pPr>
      <w:jc w:val="left"/>
      <w:spacing w:after="160" w:line="240" w:lineRule="exact"/>
      <w:widowControl/>
    </w:pPr>
    <w:rPr>
      <w:rFonts w:ascii="Verdana" w:hAnsi="Verdana" w:eastAsia="宋体" w:cs="Times New Roman"/>
      <w:sz w:val="20"/>
      <w:szCs w:val="20"/>
      <w:lang w:eastAsia="en-US"/>
    </w:rPr>
  </w:style>
  <w:style w:type="paragraph" w:styleId="983">
    <w:name w:val="xl30"/>
    <w:basedOn w:val="870"/>
    <w:next w:val="983"/>
    <w:link w:val="870"/>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7"/>
    <w:next w:val="984"/>
    <w:link w:val="870"/>
    <w:pPr>
      <w:spacing w:line="360" w:lineRule="auto"/>
    </w:pPr>
    <w:rPr>
      <w:rFonts w:ascii="Tahoma" w:hAnsi="Tahoma"/>
      <w:sz w:val="24"/>
      <w:szCs w:val="24"/>
    </w:rPr>
  </w:style>
  <w:style w:type="paragraph" w:styleId="985">
    <w:name w:val="table_1stline"/>
    <w:basedOn w:val="870"/>
    <w:next w:val="985"/>
    <w:link w:val="870"/>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0"/>
    <w:next w:val="986"/>
    <w:link w:val="870"/>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0"/>
    <w:next w:val="870"/>
    <w:link w:val="87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0"/>
    <w:uiPriority w:val="99"/>
    <w:semiHidden/>
    <w:rPr>
      <w:rFonts w:ascii="Times New Roman" w:hAnsi="Times New Roman"/>
      <w:sz w:val="21"/>
      <w:szCs w:val="21"/>
      <w:lang w:val="en-US" w:eastAsia="zh-CN" w:bidi="ar-SA"/>
    </w:rPr>
  </w:style>
  <w:style w:type="paragraph" w:styleId="989">
    <w:name w:val="无间隔"/>
    <w:next w:val="989"/>
    <w:link w:val="870"/>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70"/>
    <w:qFormat/>
    <w:tblPr/>
  </w:style>
  <w:style w:type="paragraph" w:styleId="991">
    <w:name w:val="正文文本12"/>
    <w:basedOn w:val="870"/>
    <w:next w:val="991"/>
    <w:link w:val="870"/>
    <w:uiPriority w:val="1"/>
    <w:qFormat/>
    <w:pPr>
      <w:ind w:left="120"/>
    </w:pPr>
    <w:rPr>
      <w:rFonts w:ascii="宋体" w:hAnsi="宋体" w:eastAsia="宋体" w:cs="宋体"/>
      <w:sz w:val="21"/>
      <w:szCs w:val="21"/>
      <w:lang w:val="zh-CN" w:eastAsia="zh-CN" w:bidi="zh-CN"/>
    </w:rPr>
  </w:style>
  <w:style w:type="paragraph" w:styleId="992">
    <w:name w:val="正文文本 211"/>
    <w:basedOn w:val="870"/>
    <w:next w:val="992"/>
    <w:link w:val="870"/>
    <w:uiPriority w:val="99"/>
    <w:qFormat/>
    <w:pPr>
      <w:jc w:val="center"/>
    </w:pPr>
    <w:rPr>
      <w:b/>
      <w:bCs/>
      <w:sz w:val="20"/>
      <w:szCs w:val="20"/>
    </w:rPr>
  </w:style>
  <w:style w:type="paragraph" w:styleId="993">
    <w:name w:val="正文文本1"/>
    <w:basedOn w:val="870"/>
    <w:next w:val="870"/>
    <w:link w:val="870"/>
    <w:semiHidden/>
    <w:qFormat/>
    <w:rPr>
      <w:rFonts w:ascii="Arial" w:hAnsi="Arial" w:eastAsia="Arial" w:cs="Arial"/>
      <w:sz w:val="21"/>
      <w:szCs w:val="21"/>
      <w:lang w:val="en-US" w:eastAsia="en-US" w:bidi="ar-SA"/>
    </w:rPr>
  </w:style>
  <w:style w:type="paragraph" w:styleId="994">
    <w:name w:val="Table Paragraph"/>
    <w:basedOn w:val="870"/>
    <w:next w:val="994"/>
    <w:link w:val="870"/>
    <w:uiPriority w:val="1"/>
    <w:qFormat/>
    <w:pPr>
      <w:jc w:val="left"/>
    </w:pPr>
    <w:rPr>
      <w:rFonts w:ascii="宋体" w:hAnsi="宋体" w:eastAsia="宋体" w:cs="宋体"/>
      <w:sz w:val="22"/>
      <w:szCs w:val="22"/>
      <w:lang w:val="zh-CN" w:bidi="zh-CN"/>
    </w:rPr>
  </w:style>
  <w:style w:type="table" w:styleId="995">
    <w:name w:val="网格型1"/>
    <w:basedOn w:val="996"/>
    <w:next w:val="995"/>
    <w:link w:val="870"/>
    <w:qFormat/>
    <w:pPr>
      <w:jc w:val="both"/>
      <w:widowControl w:val="off"/>
    </w:pPr>
    <w:tblPr/>
  </w:style>
  <w:style w:type="table" w:styleId="996">
    <w:name w:val="普通表格1"/>
    <w:next w:val="996"/>
    <w:link w:val="870"/>
    <w:uiPriority w:val="99"/>
    <w:unhideWhenUsed/>
    <w:qFormat/>
    <w:tblPr/>
  </w:style>
  <w:style w:type="paragraph" w:styleId="997">
    <w:name w:val="正文文本首行缩进 2"/>
    <w:basedOn w:val="883"/>
    <w:next w:val="997"/>
    <w:link w:val="870"/>
    <w:qFormat/>
    <w:pPr>
      <w:ind w:left="0" w:firstLine="420"/>
      <w:spacing w:after="0" w:line="360" w:lineRule="auto"/>
    </w:pPr>
    <w:rPr>
      <w:rFonts w:ascii="宋体" w:hAnsi="宋体"/>
      <w:sz w:val="20"/>
      <w:szCs w:val="20"/>
      <w:lang w:val="en-US" w:eastAsia="en-US"/>
    </w:rPr>
  </w:style>
  <w:style w:type="table" w:styleId="998">
    <w:name w:val="Table Normal_0"/>
    <w:next w:val="998"/>
    <w:link w:val="870"/>
    <w:qFormat/>
    <w:tblPr/>
  </w:style>
  <w:style w:type="paragraph" w:styleId="999">
    <w:name w:val="正文首行缩进 211"/>
    <w:basedOn w:val="1000"/>
    <w:next w:val="870"/>
    <w:link w:val="870"/>
    <w:qFormat/>
    <w:pPr>
      <w:ind w:left="0" w:firstLine="420"/>
      <w:spacing w:after="0" w:line="360" w:lineRule="auto"/>
    </w:pPr>
    <w:rPr>
      <w:rFonts w:ascii="宋体" w:hAnsi="宋体" w:eastAsia="宋体" w:cs="Times New Roman"/>
      <w:szCs w:val="20"/>
    </w:rPr>
  </w:style>
  <w:style w:type="paragraph" w:styleId="1000">
    <w:name w:val="正文文本缩进11"/>
    <w:basedOn w:val="870"/>
    <w:next w:val="1001"/>
    <w:link w:val="870"/>
    <w:unhideWhenUsed/>
    <w:qFormat/>
    <w:pPr>
      <w:ind w:left="420"/>
      <w:spacing w:after="120"/>
    </w:pPr>
  </w:style>
  <w:style w:type="paragraph" w:styleId="1001">
    <w:name w:val="寄信人地址1"/>
    <w:basedOn w:val="870"/>
    <w:next w:val="1001"/>
    <w:link w:val="870"/>
    <w:qFormat/>
    <w:rPr>
      <w:rFonts w:ascii="Arial" w:hAnsi="Arial" w:eastAsia="宋体" w:cs="宋体"/>
    </w:rPr>
  </w:style>
  <w:style w:type="paragraph" w:styleId="1002">
    <w:name w:val="List Paragraph"/>
    <w:basedOn w:val="870"/>
    <w:next w:val="1002"/>
    <w:link w:val="870"/>
    <w:qFormat/>
    <w:pPr>
      <w:ind w:firstLine="420"/>
    </w:pPr>
    <w:rPr>
      <w:rFonts w:ascii="Calibri" w:hAnsi="Calibri"/>
      <w:szCs w:val="22"/>
    </w:rPr>
  </w:style>
  <w:style w:type="paragraph" w:styleId="1003">
    <w:name w:val="正文文本11"/>
    <w:basedOn w:val="870"/>
    <w:next w:val="1003"/>
    <w:link w:val="870"/>
    <w:qFormat/>
    <w:rPr>
      <w:rFonts w:ascii="楷体_GB2312" w:hAnsi="Arial" w:eastAsia="楷体_GB2312" w:cs="Times New Roman"/>
      <w:sz w:val="28"/>
      <w:szCs w:val="28"/>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7</cp:revision>
  <dcterms:created xsi:type="dcterms:W3CDTF">2023-03-16T02:13:00Z</dcterms:created>
  <dcterms:modified xsi:type="dcterms:W3CDTF">2026-08-06T01:00:34Z</dcterms:modified>
</cp:coreProperties>
</file>